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601.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945.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settings.xml" ContentType="application/vnd.openxmlformats-officedocument.wordprocessingml.settings+xml"/>
  <Override PartName="/word/footer934.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25.xml" ContentType="application/vnd.openxmlformats-officedocument.wordprocessingml.footer+xml"/>
  <Override PartName="/word/footer646.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668.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92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5.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معالم الدین وملاذ المجتهدین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9853_653776707">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3139855_653776707">
            <w:r>
              <w:rPr>
                <w:webHidden/>
                <w:rStyle w:val="IndexLink"/>
                <w:rtl w:val="true"/>
              </w:rPr>
              <w:t xml:space="preserve">المجلد </w:t>
            </w:r>
            <w:r>
              <w:rPr>
                <w:rStyle w:val="IndexLink"/>
              </w:rPr>
              <w:t>1</w:t>
            </w:r>
            <w:r>
              <w:rPr>
                <w:rStyle w:val="IndexLink"/>
                <w:rtl w:val="true"/>
              </w:rPr>
              <w:tab/>
            </w:r>
            <w:r>
              <w:rPr>
                <w:rStyle w:val="IndexLink"/>
              </w:rPr>
              <w:t>16</w:t>
            </w:r>
          </w:hyperlink>
        </w:p>
        <w:p>
          <w:pPr>
            <w:pStyle w:val="Contents3"/>
            <w:tabs>
              <w:tab w:val="clear" w:pos="8459"/>
              <w:tab w:val="right" w:pos="9026" w:leader="dot"/>
            </w:tabs>
            <w:rPr/>
          </w:pPr>
          <w:hyperlink w:anchor="__RefHeading___Toc3139857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39859_653776707">
            <w:r>
              <w:rPr>
                <w:webHidden/>
                <w:rStyle w:val="IndexLink"/>
                <w:rtl w:val="true"/>
              </w:rPr>
              <w:t>الشيخ حسن بن زين الدين العاملي قدس‌سره</w:t>
            </w:r>
            <w:r>
              <w:rPr>
                <w:rStyle w:val="IndexLink"/>
                <w:rtl w:val="true"/>
              </w:rPr>
              <w:tab/>
            </w:r>
            <w:r>
              <w:rPr>
                <w:rStyle w:val="IndexLink"/>
              </w:rPr>
              <w:t>22</w:t>
            </w:r>
          </w:hyperlink>
        </w:p>
        <w:p>
          <w:pPr>
            <w:pStyle w:val="Contents3"/>
            <w:tabs>
              <w:tab w:val="clear" w:pos="8459"/>
              <w:tab w:val="right" w:pos="9026" w:leader="dot"/>
            </w:tabs>
            <w:rPr/>
          </w:pPr>
          <w:hyperlink w:anchor="__RefHeading___Toc3139861_653776707">
            <w:r>
              <w:rPr>
                <w:webHidden/>
                <w:rStyle w:val="IndexLink"/>
                <w:rtl w:val="true"/>
              </w:rPr>
              <w:t>تطوّر الفقه الإمامي حتّى عصر صاحب المعالم</w:t>
            </w:r>
            <w:r>
              <w:rPr>
                <w:rStyle w:val="IndexLink"/>
                <w:rtl w:val="true"/>
              </w:rPr>
              <w:tab/>
            </w:r>
            <w:r>
              <w:rPr>
                <w:rStyle w:val="IndexLink"/>
              </w:rPr>
              <w:t>24</w:t>
            </w:r>
          </w:hyperlink>
        </w:p>
        <w:p>
          <w:pPr>
            <w:pStyle w:val="Contents3"/>
            <w:tabs>
              <w:tab w:val="clear" w:pos="8459"/>
              <w:tab w:val="right" w:pos="9026" w:leader="dot"/>
            </w:tabs>
            <w:rPr/>
          </w:pPr>
          <w:hyperlink w:anchor="__RefHeading___Toc3139863_653776707">
            <w:r>
              <w:rPr>
                <w:webHidden/>
                <w:rStyle w:val="IndexLink"/>
                <w:rtl w:val="true"/>
              </w:rPr>
              <w:t>الظروف السياسية والاجتماعية والثقافية في عصر صاحب المعالم</w:t>
            </w:r>
            <w:r>
              <w:rPr>
                <w:rStyle w:val="IndexLink"/>
                <w:rtl w:val="true"/>
              </w:rPr>
              <w:tab/>
            </w:r>
            <w:r>
              <w:rPr>
                <w:rStyle w:val="IndexLink"/>
              </w:rPr>
              <w:t>33</w:t>
            </w:r>
          </w:hyperlink>
        </w:p>
        <w:p>
          <w:pPr>
            <w:pStyle w:val="Contents4"/>
            <w:tabs>
              <w:tab w:val="clear" w:pos="8176"/>
              <w:tab w:val="right" w:pos="9026" w:leader="dot"/>
            </w:tabs>
            <w:rPr/>
          </w:pPr>
          <w:hyperlink w:anchor="__RefHeading___Toc3139865_65377670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139867_653776707">
            <w:r>
              <w:rPr>
                <w:webHidden/>
                <w:rStyle w:val="IndexLink"/>
                <w:rtl w:val="true"/>
              </w:rPr>
              <w:t xml:space="preserve">أ </w:t>
            </w:r>
            <w:r>
              <w:rPr>
                <w:rStyle w:val="IndexLink"/>
                <w:rtl w:val="true"/>
              </w:rPr>
              <w:t xml:space="preserve">- </w:t>
            </w:r>
            <w:r>
              <w:rPr>
                <w:rStyle w:val="IndexLink"/>
                <w:rtl w:val="true"/>
              </w:rPr>
              <w:t xml:space="preserve">نبذة عن التأريخ السياسي للتشيّع في بلاد الشام </w:t>
            </w:r>
            <w:r>
              <w:rPr>
                <w:rStyle w:val="IndexLink"/>
                <w:rtl w:val="true"/>
              </w:rPr>
              <w:t>:</w:t>
              <w:tab/>
            </w:r>
            <w:r>
              <w:rPr>
                <w:rStyle w:val="IndexLink"/>
              </w:rPr>
              <w:t>33</w:t>
            </w:r>
          </w:hyperlink>
        </w:p>
        <w:p>
          <w:pPr>
            <w:pStyle w:val="Contents4"/>
            <w:tabs>
              <w:tab w:val="clear" w:pos="8176"/>
              <w:tab w:val="right" w:pos="9026" w:leader="dot"/>
            </w:tabs>
            <w:rPr/>
          </w:pPr>
          <w:hyperlink w:anchor="__RefHeading___Toc3139869_653776707">
            <w:r>
              <w:rPr>
                <w:webHidden/>
                <w:rStyle w:val="IndexLink"/>
                <w:rtl w:val="true"/>
              </w:rPr>
              <w:t xml:space="preserve">ب </w:t>
            </w:r>
            <w:r>
              <w:rPr>
                <w:rStyle w:val="IndexLink"/>
                <w:rtl w:val="true"/>
              </w:rPr>
              <w:t xml:space="preserve">- </w:t>
            </w:r>
            <w:r>
              <w:rPr>
                <w:rStyle w:val="IndexLink"/>
                <w:rtl w:val="true"/>
              </w:rPr>
              <w:t xml:space="preserve">الدولة الصوفية وهجرة الفقهاء إليها </w:t>
            </w:r>
            <w:r>
              <w:rPr>
                <w:rStyle w:val="IndexLink"/>
                <w:rtl w:val="true"/>
              </w:rPr>
              <w:t>:</w:t>
              <w:tab/>
            </w:r>
            <w:r>
              <w:rPr>
                <w:rStyle w:val="IndexLink"/>
              </w:rPr>
              <w:t>35</w:t>
            </w:r>
          </w:hyperlink>
        </w:p>
        <w:p>
          <w:pPr>
            <w:pStyle w:val="Contents4"/>
            <w:tabs>
              <w:tab w:val="clear" w:pos="8176"/>
              <w:tab w:val="right" w:pos="9026" w:leader="dot"/>
            </w:tabs>
            <w:rPr/>
          </w:pPr>
          <w:hyperlink w:anchor="__RefHeading___Toc3139871_653776707">
            <w:r>
              <w:rPr>
                <w:webHidden/>
                <w:rStyle w:val="IndexLink"/>
                <w:rtl w:val="true"/>
              </w:rPr>
              <w:t>الحركة العلمية في عصر صاحب المعالم</w:t>
            </w:r>
            <w:r>
              <w:rPr>
                <w:rStyle w:val="IndexLink"/>
                <w:rtl w:val="true"/>
              </w:rPr>
              <w:tab/>
            </w:r>
            <w:r>
              <w:rPr>
                <w:rStyle w:val="IndexLink"/>
              </w:rPr>
              <w:t>42</w:t>
            </w:r>
          </w:hyperlink>
        </w:p>
        <w:p>
          <w:pPr>
            <w:pStyle w:val="Contents3"/>
            <w:tabs>
              <w:tab w:val="clear" w:pos="8459"/>
              <w:tab w:val="right" w:pos="9026" w:leader="dot"/>
            </w:tabs>
            <w:rPr/>
          </w:pPr>
          <w:hyperlink w:anchor="__RefHeading___Toc3139873_653776707">
            <w:r>
              <w:rPr>
                <w:webHidden/>
                <w:rStyle w:val="IndexLink"/>
                <w:rtl w:val="true"/>
              </w:rPr>
              <w:t>حياة صاحب المعالم الشخصية وشخصيته العلمية</w:t>
            </w:r>
            <w:r>
              <w:rPr>
                <w:rStyle w:val="IndexLink"/>
                <w:rtl w:val="true"/>
              </w:rPr>
              <w:tab/>
            </w:r>
            <w:r>
              <w:rPr>
                <w:rStyle w:val="IndexLink"/>
              </w:rPr>
              <w:t>45</w:t>
            </w:r>
          </w:hyperlink>
        </w:p>
        <w:p>
          <w:pPr>
            <w:pStyle w:val="Contents4"/>
            <w:tabs>
              <w:tab w:val="clear" w:pos="8176"/>
              <w:tab w:val="right" w:pos="9026" w:leader="dot"/>
            </w:tabs>
            <w:rPr/>
          </w:pPr>
          <w:hyperlink w:anchor="__RefHeading___Toc3139875_65377670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139877_653776707">
            <w:r>
              <w:rPr>
                <w:webHidden/>
                <w:rStyle w:val="IndexLink"/>
                <w:rtl w:val="true"/>
              </w:rPr>
              <w:t xml:space="preserve">نشأته العلمية وأساتذته </w:t>
            </w:r>
            <w:r>
              <w:rPr>
                <w:rStyle w:val="IndexLink"/>
                <w:rtl w:val="true"/>
              </w:rPr>
              <w:t>:</w:t>
              <w:tab/>
            </w:r>
            <w:r>
              <w:rPr>
                <w:rStyle w:val="IndexLink"/>
              </w:rPr>
              <w:t>47</w:t>
            </w:r>
          </w:hyperlink>
        </w:p>
        <w:p>
          <w:pPr>
            <w:pStyle w:val="Contents3"/>
            <w:tabs>
              <w:tab w:val="clear" w:pos="8459"/>
              <w:tab w:val="right" w:pos="9026" w:leader="dot"/>
            </w:tabs>
            <w:rPr/>
          </w:pPr>
          <w:hyperlink w:anchor="__RefHeading___Toc3139879_653776707">
            <w:r>
              <w:rPr>
                <w:webHidden/>
                <w:rStyle w:val="IndexLink"/>
                <w:rtl w:val="true"/>
              </w:rPr>
              <w:t>مدرسة صاحب المعالم</w:t>
            </w:r>
            <w:r>
              <w:rPr>
                <w:rStyle w:val="IndexLink"/>
                <w:rtl w:val="true"/>
              </w:rPr>
              <w:tab/>
            </w:r>
            <w:r>
              <w:rPr>
                <w:rStyle w:val="IndexLink"/>
              </w:rPr>
              <w:t>49</w:t>
            </w:r>
          </w:hyperlink>
        </w:p>
        <w:p>
          <w:pPr>
            <w:pStyle w:val="Contents4"/>
            <w:tabs>
              <w:tab w:val="clear" w:pos="8176"/>
              <w:tab w:val="right" w:pos="9026" w:leader="dot"/>
            </w:tabs>
            <w:rPr/>
          </w:pPr>
          <w:hyperlink w:anchor="__RefHeading___Toc3139881_653776707">
            <w:r>
              <w:rPr>
                <w:webHidden/>
                <w:rStyle w:val="IndexLink"/>
              </w:rPr>
              <w:t>1</w:t>
            </w:r>
            <w:r>
              <w:rPr>
                <w:rStyle w:val="IndexLink"/>
                <w:rtl w:val="true"/>
              </w:rPr>
              <w:t xml:space="preserve"> - </w:t>
            </w:r>
            <w:r>
              <w:rPr>
                <w:rStyle w:val="IndexLink"/>
                <w:rtl w:val="true"/>
              </w:rPr>
              <w:t xml:space="preserve">نشاطه العلمي </w:t>
            </w:r>
            <w:r>
              <w:rPr>
                <w:rStyle w:val="IndexLink"/>
                <w:rtl w:val="true"/>
              </w:rPr>
              <w:t>:</w:t>
              <w:tab/>
            </w:r>
            <w:r>
              <w:rPr>
                <w:rStyle w:val="IndexLink"/>
              </w:rPr>
              <w:t>49</w:t>
            </w:r>
          </w:hyperlink>
        </w:p>
        <w:p>
          <w:pPr>
            <w:pStyle w:val="Contents5"/>
            <w:tabs>
              <w:tab w:val="clear" w:pos="7892"/>
              <w:tab w:val="right" w:pos="9026" w:leader="dot"/>
            </w:tabs>
            <w:rPr/>
          </w:pPr>
          <w:hyperlink w:anchor="__RefHeading___Toc3139883_65377670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139885_653776707">
            <w:r>
              <w:rPr>
                <w:webHidden/>
                <w:rStyle w:val="IndexLink"/>
                <w:rtl w:val="true"/>
              </w:rPr>
              <w:t xml:space="preserve">أ </w:t>
            </w:r>
            <w:r>
              <w:rPr>
                <w:rStyle w:val="IndexLink"/>
                <w:rtl w:val="true"/>
              </w:rPr>
              <w:t xml:space="preserve">- </w:t>
            </w:r>
            <w:r>
              <w:rPr>
                <w:rStyle w:val="IndexLink"/>
                <w:rtl w:val="true"/>
              </w:rPr>
              <w:t xml:space="preserve">تلامذته والراوون عنه </w:t>
            </w:r>
            <w:r>
              <w:rPr>
                <w:rStyle w:val="IndexLink"/>
                <w:rtl w:val="true"/>
              </w:rPr>
              <w:t>:</w:t>
              <w:tab/>
            </w:r>
            <w:r>
              <w:rPr>
                <w:rStyle w:val="IndexLink"/>
              </w:rPr>
              <w:t>49</w:t>
            </w:r>
          </w:hyperlink>
        </w:p>
        <w:p>
          <w:pPr>
            <w:pStyle w:val="Contents5"/>
            <w:tabs>
              <w:tab w:val="clear" w:pos="7892"/>
              <w:tab w:val="right" w:pos="9026" w:leader="dot"/>
            </w:tabs>
            <w:rPr/>
          </w:pPr>
          <w:hyperlink w:anchor="__RefHeading___Toc3139887_653776707">
            <w:r>
              <w:rPr>
                <w:webHidden/>
                <w:rStyle w:val="IndexLink"/>
                <w:rtl w:val="true"/>
              </w:rPr>
              <w:t xml:space="preserve">ب </w:t>
            </w:r>
            <w:r>
              <w:rPr>
                <w:rStyle w:val="IndexLink"/>
                <w:rtl w:val="true"/>
              </w:rPr>
              <w:t xml:space="preserve">- </w:t>
            </w:r>
            <w:r>
              <w:rPr>
                <w:rStyle w:val="IndexLink"/>
                <w:rtl w:val="true"/>
              </w:rPr>
              <w:t xml:space="preserve">مؤلّفاته </w:t>
            </w:r>
            <w:r>
              <w:rPr>
                <w:rStyle w:val="IndexLink"/>
                <w:rtl w:val="true"/>
              </w:rPr>
              <w:t>:</w:t>
              <w:tab/>
            </w:r>
            <w:r>
              <w:rPr>
                <w:rStyle w:val="IndexLink"/>
              </w:rPr>
              <w:t>50</w:t>
            </w:r>
          </w:hyperlink>
        </w:p>
        <w:p>
          <w:pPr>
            <w:pStyle w:val="Contents6"/>
            <w:tabs>
              <w:tab w:val="clear" w:pos="7609"/>
              <w:tab w:val="right" w:pos="9026" w:leader="dot"/>
            </w:tabs>
            <w:rPr/>
          </w:pPr>
          <w:hyperlink w:anchor="__RefHeading___Toc3139889_653776707">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139891_653776707">
            <w:r>
              <w:rPr>
                <w:webHidden/>
                <w:rStyle w:val="IndexLink"/>
                <w:rtl w:val="true"/>
              </w:rPr>
              <w:t xml:space="preserve">التعريف بمؤلّفاته وشروحها </w:t>
            </w:r>
            <w:r>
              <w:rPr>
                <w:rStyle w:val="IndexLink"/>
                <w:rtl w:val="true"/>
              </w:rPr>
              <w:t>:</w:t>
              <w:tab/>
            </w:r>
            <w:r>
              <w:rPr>
                <w:rStyle w:val="IndexLink"/>
              </w:rPr>
              <w:t>51</w:t>
            </w:r>
          </w:hyperlink>
        </w:p>
        <w:p>
          <w:pPr>
            <w:pStyle w:val="Contents4"/>
            <w:tabs>
              <w:tab w:val="clear" w:pos="8176"/>
              <w:tab w:val="right" w:pos="9026" w:leader="dot"/>
            </w:tabs>
            <w:rPr/>
          </w:pPr>
          <w:hyperlink w:anchor="__RefHeading___Toc3139893_653776707">
            <w:r>
              <w:rPr>
                <w:webHidden/>
                <w:rStyle w:val="IndexLink"/>
              </w:rPr>
              <w:t>2</w:t>
            </w:r>
            <w:r>
              <w:rPr>
                <w:rStyle w:val="IndexLink"/>
                <w:rtl w:val="true"/>
              </w:rPr>
              <w:t xml:space="preserve"> - </w:t>
            </w:r>
            <w:r>
              <w:rPr>
                <w:rStyle w:val="IndexLink"/>
                <w:rtl w:val="true"/>
              </w:rPr>
              <w:t xml:space="preserve">منهجه وملامح مدرسته </w:t>
            </w:r>
            <w:r>
              <w:rPr>
                <w:rStyle w:val="IndexLink"/>
                <w:rtl w:val="true"/>
              </w:rPr>
              <w:t>:</w:t>
              <w:tab/>
            </w:r>
            <w:r>
              <w:rPr>
                <w:rStyle w:val="IndexLink"/>
              </w:rPr>
              <w:t>53</w:t>
            </w:r>
          </w:hyperlink>
        </w:p>
        <w:p>
          <w:pPr>
            <w:pStyle w:val="Contents3"/>
            <w:tabs>
              <w:tab w:val="clear" w:pos="8459"/>
              <w:tab w:val="right" w:pos="9026" w:leader="dot"/>
            </w:tabs>
            <w:rPr/>
          </w:pPr>
          <w:hyperlink w:anchor="__RefHeading___Toc3139895_653776707">
            <w:r>
              <w:rPr>
                <w:webHidden/>
                <w:rStyle w:val="IndexLink"/>
                <w:rtl w:val="true"/>
              </w:rPr>
              <w:t>قيمة الكتاب العلمية</w:t>
            </w:r>
            <w:r>
              <w:rPr>
                <w:rStyle w:val="IndexLink"/>
                <w:rtl w:val="true"/>
              </w:rPr>
              <w:tab/>
            </w:r>
            <w:r>
              <w:rPr>
                <w:rStyle w:val="IndexLink"/>
              </w:rPr>
              <w:t>56</w:t>
            </w:r>
          </w:hyperlink>
        </w:p>
        <w:p>
          <w:pPr>
            <w:pStyle w:val="Contents3"/>
            <w:tabs>
              <w:tab w:val="clear" w:pos="8459"/>
              <w:tab w:val="right" w:pos="9026" w:leader="dot"/>
            </w:tabs>
            <w:rPr/>
          </w:pPr>
          <w:hyperlink w:anchor="__RefHeading___Toc3139897_653776707">
            <w:r>
              <w:rPr>
                <w:webHidden/>
                <w:rStyle w:val="IndexLink"/>
                <w:rtl w:val="true"/>
              </w:rPr>
              <w:t>منهجية كتاب المعالم</w:t>
            </w:r>
            <w:r>
              <w:rPr>
                <w:rStyle w:val="IndexLink"/>
                <w:rtl w:val="true"/>
              </w:rPr>
              <w:tab/>
            </w:r>
            <w:r>
              <w:rPr>
                <w:rStyle w:val="IndexLink"/>
              </w:rPr>
              <w:t>57</w:t>
            </w:r>
          </w:hyperlink>
        </w:p>
        <w:p>
          <w:pPr>
            <w:pStyle w:val="Contents3"/>
            <w:tabs>
              <w:tab w:val="clear" w:pos="8459"/>
              <w:tab w:val="right" w:pos="9026" w:leader="dot"/>
            </w:tabs>
            <w:rPr/>
          </w:pPr>
          <w:hyperlink w:anchor="__RefHeading___Toc3139899_653776707">
            <w:r>
              <w:rPr>
                <w:webHidden/>
                <w:rStyle w:val="IndexLink"/>
                <w:rtl w:val="true"/>
              </w:rPr>
              <w:t xml:space="preserve">النسخ المعتمدة لكتاب </w:t>
            </w:r>
            <w:r>
              <w:rPr>
                <w:rStyle w:val="IndexLink"/>
                <w:rtl w:val="true"/>
              </w:rPr>
              <w:t xml:space="preserve">« </w:t>
            </w:r>
            <w:r>
              <w:rPr>
                <w:rStyle w:val="IndexLink"/>
                <w:rtl w:val="true"/>
              </w:rPr>
              <w:t xml:space="preserve">معالم الدين </w:t>
            </w:r>
            <w:r>
              <w:rPr>
                <w:rStyle w:val="IndexLink"/>
                <w:rtl w:val="true"/>
              </w:rPr>
              <w:t>»</w:t>
              <w:tab/>
            </w:r>
            <w:r>
              <w:rPr>
                <w:rStyle w:val="IndexLink"/>
              </w:rPr>
              <w:t>59</w:t>
            </w:r>
          </w:hyperlink>
        </w:p>
        <w:p>
          <w:pPr>
            <w:pStyle w:val="Contents3"/>
            <w:tabs>
              <w:tab w:val="clear" w:pos="8459"/>
              <w:tab w:val="right" w:pos="9026" w:leader="dot"/>
            </w:tabs>
            <w:rPr/>
          </w:pPr>
          <w:hyperlink w:anchor="__RefHeading___Toc3139901_653776707">
            <w:r>
              <w:rPr>
                <w:webHidden/>
                <w:rStyle w:val="IndexLink"/>
                <w:rtl w:val="true"/>
              </w:rPr>
              <w:t>أسلوبنا في التحقيق</w:t>
            </w:r>
            <w:r>
              <w:rPr>
                <w:rStyle w:val="IndexLink"/>
                <w:rtl w:val="true"/>
              </w:rPr>
              <w:tab/>
            </w:r>
            <w:r>
              <w:rPr>
                <w:rStyle w:val="IndexLink"/>
              </w:rPr>
              <w:t>67</w:t>
            </w:r>
          </w:hyperlink>
        </w:p>
        <w:p>
          <w:pPr>
            <w:pStyle w:val="Contents3"/>
            <w:tabs>
              <w:tab w:val="clear" w:pos="8459"/>
              <w:tab w:val="right" w:pos="9026" w:leader="dot"/>
            </w:tabs>
            <w:rPr/>
          </w:pPr>
          <w:hyperlink w:anchor="__RefHeading___Toc3139903_653776707">
            <w:r>
              <w:rPr>
                <w:webHidden/>
                <w:rStyle w:val="IndexLink"/>
                <w:rtl w:val="true"/>
              </w:rPr>
              <w:t>الفهرس الإجمالي</w:t>
            </w:r>
            <w:r>
              <w:rPr>
                <w:rStyle w:val="IndexLink"/>
                <w:rtl w:val="true"/>
              </w:rPr>
              <w:tab/>
            </w:r>
            <w:r>
              <w:rPr>
                <w:rStyle w:val="IndexLink"/>
              </w:rPr>
              <w:t>70</w:t>
            </w:r>
          </w:hyperlink>
        </w:p>
        <w:p>
          <w:pPr>
            <w:pStyle w:val="Contents3"/>
            <w:tabs>
              <w:tab w:val="clear" w:pos="8459"/>
              <w:tab w:val="right" w:pos="9026" w:leader="dot"/>
            </w:tabs>
            <w:rPr/>
          </w:pPr>
          <w:hyperlink w:anchor="__RefHeading___Toc3139905_653776707">
            <w:r>
              <w:rPr>
                <w:webHidden/>
                <w:rStyle w:val="IndexLink"/>
                <w:rtl w:val="true"/>
              </w:rPr>
              <w:t>مقدمة المؤلف</w:t>
            </w:r>
            <w:r>
              <w:rPr>
                <w:rStyle w:val="IndexLink"/>
                <w:rtl w:val="true"/>
              </w:rPr>
              <w:tab/>
            </w:r>
            <w:r>
              <w:rPr>
                <w:rStyle w:val="IndexLink"/>
              </w:rPr>
              <w:t>72</w:t>
            </w:r>
          </w:hyperlink>
        </w:p>
        <w:p>
          <w:pPr>
            <w:pStyle w:val="Contents3"/>
            <w:tabs>
              <w:tab w:val="clear" w:pos="8459"/>
              <w:tab w:val="right" w:pos="9026" w:leader="dot"/>
            </w:tabs>
            <w:rPr/>
          </w:pPr>
          <w:hyperlink w:anchor="__RefHeading___Toc3139907_653776707">
            <w:r>
              <w:rPr>
                <w:webHidden/>
                <w:rStyle w:val="IndexLink"/>
                <w:rtl w:val="true"/>
              </w:rPr>
              <w:t xml:space="preserve">المقصد الأوّل </w:t>
            </w:r>
            <w:r>
              <w:rPr>
                <w:rStyle w:val="IndexLink"/>
                <w:rtl w:val="true"/>
              </w:rPr>
              <w:t xml:space="preserve">: </w:t>
            </w:r>
            <w:r>
              <w:rPr>
                <w:rStyle w:val="IndexLink"/>
                <w:rtl w:val="true"/>
              </w:rPr>
              <w:t>في بيان فضيلة العلم</w:t>
            </w:r>
            <w:r>
              <w:rPr>
                <w:rStyle w:val="IndexLink"/>
                <w:rtl w:val="true"/>
              </w:rPr>
              <w:tab/>
            </w:r>
            <w:r>
              <w:rPr>
                <w:rStyle w:val="IndexLink"/>
              </w:rPr>
              <w:t>76</w:t>
            </w:r>
          </w:hyperlink>
        </w:p>
        <w:p>
          <w:pPr>
            <w:pStyle w:val="Contents4"/>
            <w:tabs>
              <w:tab w:val="clear" w:pos="8176"/>
              <w:tab w:val="right" w:pos="9026" w:leader="dot"/>
            </w:tabs>
            <w:rPr/>
          </w:pPr>
          <w:hyperlink w:anchor="__RefHeading___Toc3139909_65377670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139911_653776707">
            <w:r>
              <w:rPr>
                <w:webHidden/>
                <w:rStyle w:val="IndexLink"/>
                <w:rtl w:val="true"/>
              </w:rPr>
              <w:t xml:space="preserve">فصل </w:t>
            </w:r>
            <w:r>
              <w:rPr>
                <w:rStyle w:val="IndexLink"/>
                <w:rtl w:val="true"/>
              </w:rPr>
              <w:t xml:space="preserve">: [ </w:t>
            </w:r>
            <w:r>
              <w:rPr>
                <w:rStyle w:val="IndexLink"/>
                <w:rtl w:val="true"/>
              </w:rPr>
              <w:t xml:space="preserve">فضل العلم في الكتاب </w:t>
            </w:r>
            <w:r>
              <w:rPr>
                <w:rStyle w:val="IndexLink"/>
                <w:rtl w:val="true"/>
              </w:rPr>
              <w:t>]</w:t>
              <w:tab/>
            </w:r>
            <w:r>
              <w:rPr>
                <w:rStyle w:val="IndexLink"/>
              </w:rPr>
              <w:t>79</w:t>
            </w:r>
          </w:hyperlink>
        </w:p>
        <w:p>
          <w:pPr>
            <w:pStyle w:val="Contents4"/>
            <w:tabs>
              <w:tab w:val="clear" w:pos="8176"/>
              <w:tab w:val="right" w:pos="9026" w:leader="dot"/>
            </w:tabs>
            <w:rPr/>
          </w:pPr>
          <w:hyperlink w:anchor="__RefHeading___Toc3139913_653776707">
            <w:r>
              <w:rPr>
                <w:webHidden/>
                <w:rStyle w:val="IndexLink"/>
                <w:rtl w:val="true"/>
              </w:rPr>
              <w:t xml:space="preserve">فصل </w:t>
            </w:r>
            <w:r>
              <w:rPr>
                <w:rStyle w:val="IndexLink"/>
                <w:rtl w:val="true"/>
              </w:rPr>
              <w:t xml:space="preserve">: [ </w:t>
            </w:r>
            <w:r>
              <w:rPr>
                <w:rStyle w:val="IndexLink"/>
                <w:rtl w:val="true"/>
              </w:rPr>
              <w:t xml:space="preserve">فضل العلم في السنّة </w:t>
            </w:r>
            <w:r>
              <w:rPr>
                <w:rStyle w:val="IndexLink"/>
                <w:rtl w:val="true"/>
              </w:rPr>
              <w:t>]</w:t>
              <w:tab/>
            </w:r>
            <w:r>
              <w:rPr>
                <w:rStyle w:val="IndexLink"/>
              </w:rPr>
              <w:t>82</w:t>
            </w:r>
          </w:hyperlink>
        </w:p>
        <w:p>
          <w:pPr>
            <w:pStyle w:val="Contents4"/>
            <w:tabs>
              <w:tab w:val="clear" w:pos="8176"/>
              <w:tab w:val="right" w:pos="9026" w:leader="dot"/>
            </w:tabs>
            <w:rPr/>
          </w:pPr>
          <w:hyperlink w:anchor="__RefHeading___Toc3139915_653776707">
            <w:r>
              <w:rPr>
                <w:webHidden/>
                <w:rStyle w:val="IndexLink"/>
                <w:rtl w:val="true"/>
              </w:rPr>
              <w:t xml:space="preserve">فصل </w:t>
            </w:r>
            <w:r>
              <w:rPr>
                <w:rStyle w:val="IndexLink"/>
                <w:rtl w:val="true"/>
              </w:rPr>
              <w:t xml:space="preserve">: [ </w:t>
            </w:r>
            <w:r>
              <w:rPr>
                <w:rStyle w:val="IndexLink"/>
                <w:rtl w:val="true"/>
              </w:rPr>
              <w:t xml:space="preserve">وجوب طلب العلم </w:t>
            </w:r>
            <w:r>
              <w:rPr>
                <w:rStyle w:val="IndexLink"/>
                <w:rtl w:val="true"/>
              </w:rPr>
              <w:t>]</w:t>
              <w:tab/>
            </w:r>
            <w:r>
              <w:rPr>
                <w:rStyle w:val="IndexLink"/>
              </w:rPr>
              <w:t>85</w:t>
            </w:r>
          </w:hyperlink>
        </w:p>
        <w:p>
          <w:pPr>
            <w:pStyle w:val="Contents4"/>
            <w:tabs>
              <w:tab w:val="clear" w:pos="8176"/>
              <w:tab w:val="right" w:pos="9026" w:leader="dot"/>
            </w:tabs>
            <w:rPr/>
          </w:pPr>
          <w:hyperlink w:anchor="__RefHeading___Toc3139917_653776707">
            <w:r>
              <w:rPr>
                <w:webHidden/>
                <w:rStyle w:val="IndexLink"/>
                <w:rtl w:val="true"/>
              </w:rPr>
              <w:t xml:space="preserve">فصل </w:t>
            </w:r>
            <w:r>
              <w:rPr>
                <w:rStyle w:val="IndexLink"/>
                <w:rtl w:val="true"/>
              </w:rPr>
              <w:t xml:space="preserve">: [ </w:t>
            </w:r>
            <w:r>
              <w:rPr>
                <w:rStyle w:val="IndexLink"/>
                <w:rtl w:val="true"/>
              </w:rPr>
              <w:t xml:space="preserve">ما يجب على العلماء مراعاته </w:t>
            </w:r>
            <w:r>
              <w:rPr>
                <w:rStyle w:val="IndexLink"/>
                <w:rtl w:val="true"/>
              </w:rPr>
              <w:t>]</w:t>
              <w:tab/>
            </w:r>
            <w:r>
              <w:rPr>
                <w:rStyle w:val="IndexLink"/>
              </w:rPr>
              <w:t>88</w:t>
            </w:r>
          </w:hyperlink>
        </w:p>
        <w:p>
          <w:pPr>
            <w:pStyle w:val="Contents4"/>
            <w:tabs>
              <w:tab w:val="clear" w:pos="8176"/>
              <w:tab w:val="right" w:pos="9026" w:leader="dot"/>
            </w:tabs>
            <w:rPr/>
          </w:pPr>
          <w:hyperlink w:anchor="__RefHeading___Toc3139919_653776707">
            <w:r>
              <w:rPr>
                <w:webHidden/>
                <w:rStyle w:val="IndexLink"/>
                <w:rtl w:val="true"/>
              </w:rPr>
              <w:t xml:space="preserve">فصل </w:t>
            </w:r>
            <w:r>
              <w:rPr>
                <w:rStyle w:val="IndexLink"/>
                <w:rtl w:val="true"/>
              </w:rPr>
              <w:t xml:space="preserve">: [ </w:t>
            </w:r>
            <w:r>
              <w:rPr>
                <w:rStyle w:val="IndexLink"/>
                <w:rtl w:val="true"/>
              </w:rPr>
              <w:t xml:space="preserve">من حقوق المعلّم على المتعلّم </w:t>
            </w:r>
            <w:r>
              <w:rPr>
                <w:rStyle w:val="IndexLink"/>
                <w:rtl w:val="true"/>
              </w:rPr>
              <w:t>]</w:t>
              <w:tab/>
            </w:r>
            <w:r>
              <w:rPr>
                <w:rStyle w:val="IndexLink"/>
              </w:rPr>
              <w:t>91</w:t>
            </w:r>
          </w:hyperlink>
        </w:p>
        <w:p>
          <w:pPr>
            <w:pStyle w:val="Contents4"/>
            <w:tabs>
              <w:tab w:val="clear" w:pos="8176"/>
              <w:tab w:val="right" w:pos="9026" w:leader="dot"/>
            </w:tabs>
            <w:rPr/>
          </w:pPr>
          <w:hyperlink w:anchor="__RefHeading___Toc3139921_653776707">
            <w:r>
              <w:rPr>
                <w:webHidden/>
                <w:rStyle w:val="IndexLink"/>
                <w:rtl w:val="true"/>
              </w:rPr>
              <w:t xml:space="preserve">فصل </w:t>
            </w:r>
            <w:r>
              <w:rPr>
                <w:rStyle w:val="IndexLink"/>
                <w:rtl w:val="true"/>
              </w:rPr>
              <w:t xml:space="preserve">: [ </w:t>
            </w:r>
            <w:r>
              <w:rPr>
                <w:rStyle w:val="IndexLink"/>
                <w:rtl w:val="true"/>
              </w:rPr>
              <w:t xml:space="preserve">وجوب العمل على العالم </w:t>
            </w:r>
            <w:r>
              <w:rPr>
                <w:rStyle w:val="IndexLink"/>
                <w:rtl w:val="true"/>
              </w:rPr>
              <w:t>]</w:t>
              <w:tab/>
            </w:r>
            <w:r>
              <w:rPr>
                <w:rStyle w:val="IndexLink"/>
              </w:rPr>
              <w:t>93</w:t>
            </w:r>
          </w:hyperlink>
        </w:p>
        <w:p>
          <w:pPr>
            <w:pStyle w:val="Contents4"/>
            <w:tabs>
              <w:tab w:val="clear" w:pos="8176"/>
              <w:tab w:val="right" w:pos="9026" w:leader="dot"/>
            </w:tabs>
            <w:rPr/>
          </w:pPr>
          <w:hyperlink w:anchor="__RefHeading___Toc3139923_653776707">
            <w:r>
              <w:rPr>
                <w:webHidden/>
                <w:rStyle w:val="IndexLink"/>
                <w:rtl w:val="true"/>
              </w:rPr>
              <w:t xml:space="preserve">فصل </w:t>
            </w:r>
            <w:r>
              <w:rPr>
                <w:rStyle w:val="IndexLink"/>
                <w:rtl w:val="true"/>
              </w:rPr>
              <w:t xml:space="preserve">: [ </w:t>
            </w:r>
            <w:r>
              <w:rPr>
                <w:rStyle w:val="IndexLink"/>
                <w:rtl w:val="true"/>
              </w:rPr>
              <w:t xml:space="preserve">ما ينبغي مع طلب العلم </w:t>
            </w:r>
            <w:r>
              <w:rPr>
                <w:rStyle w:val="IndexLink"/>
                <w:rtl w:val="true"/>
              </w:rPr>
              <w:t>]</w:t>
              <w:tab/>
            </w:r>
            <w:r>
              <w:rPr>
                <w:rStyle w:val="IndexLink"/>
              </w:rPr>
              <w:t>96</w:t>
            </w:r>
          </w:hyperlink>
        </w:p>
        <w:p>
          <w:pPr>
            <w:pStyle w:val="Contents4"/>
            <w:tabs>
              <w:tab w:val="clear" w:pos="8176"/>
              <w:tab w:val="right" w:pos="9026" w:leader="dot"/>
            </w:tabs>
            <w:rPr/>
          </w:pPr>
          <w:hyperlink w:anchor="__RefHeading___Toc3139925_653776707">
            <w:r>
              <w:rPr>
                <w:webHidden/>
                <w:rStyle w:val="IndexLink"/>
                <w:rtl w:val="true"/>
              </w:rPr>
              <w:t xml:space="preserve">فصل </w:t>
            </w:r>
            <w:r>
              <w:rPr>
                <w:rStyle w:val="IndexLink"/>
                <w:rtl w:val="true"/>
              </w:rPr>
              <w:t xml:space="preserve">: [ </w:t>
            </w:r>
            <w:r>
              <w:rPr>
                <w:rStyle w:val="IndexLink"/>
                <w:rtl w:val="true"/>
              </w:rPr>
              <w:t xml:space="preserve">شرف علم الفقه </w:t>
            </w:r>
            <w:r>
              <w:rPr>
                <w:rStyle w:val="IndexLink"/>
                <w:rtl w:val="true"/>
              </w:rPr>
              <w:t>]</w:t>
              <w:tab/>
            </w:r>
            <w:r>
              <w:rPr>
                <w:rStyle w:val="IndexLink"/>
              </w:rPr>
              <w:t>99</w:t>
            </w:r>
          </w:hyperlink>
        </w:p>
        <w:p>
          <w:pPr>
            <w:pStyle w:val="Contents4"/>
            <w:tabs>
              <w:tab w:val="clear" w:pos="8176"/>
              <w:tab w:val="right" w:pos="9026" w:leader="dot"/>
            </w:tabs>
            <w:rPr/>
          </w:pPr>
          <w:hyperlink w:anchor="__RefHeading___Toc3139927_653776707">
            <w:r>
              <w:rPr>
                <w:webHidden/>
                <w:rStyle w:val="IndexLink"/>
                <w:rtl w:val="true"/>
              </w:rPr>
              <w:t xml:space="preserve">فصل </w:t>
            </w:r>
            <w:r>
              <w:rPr>
                <w:rStyle w:val="IndexLink"/>
                <w:rtl w:val="true"/>
              </w:rPr>
              <w:t xml:space="preserve">: [ </w:t>
            </w:r>
            <w:r>
              <w:rPr>
                <w:rStyle w:val="IndexLink"/>
                <w:rtl w:val="true"/>
              </w:rPr>
              <w:t xml:space="preserve">وجه الحاجة إلى الفقه </w:t>
            </w:r>
            <w:r>
              <w:rPr>
                <w:rStyle w:val="IndexLink"/>
                <w:rtl w:val="true"/>
              </w:rPr>
              <w:t>]</w:t>
              <w:tab/>
            </w:r>
            <w:r>
              <w:rPr>
                <w:rStyle w:val="IndexLink"/>
              </w:rPr>
              <w:t>102</w:t>
            </w:r>
          </w:hyperlink>
        </w:p>
        <w:p>
          <w:pPr>
            <w:pStyle w:val="Contents4"/>
            <w:tabs>
              <w:tab w:val="clear" w:pos="8176"/>
              <w:tab w:val="right" w:pos="9026" w:leader="dot"/>
            </w:tabs>
            <w:rPr/>
          </w:pPr>
          <w:hyperlink w:anchor="__RefHeading___Toc3139929_653776707">
            <w:r>
              <w:rPr>
                <w:webHidden/>
                <w:rStyle w:val="IndexLink"/>
                <w:rtl w:val="true"/>
              </w:rPr>
              <w:t xml:space="preserve">فصل </w:t>
            </w:r>
            <w:r>
              <w:rPr>
                <w:rStyle w:val="IndexLink"/>
                <w:rtl w:val="true"/>
              </w:rPr>
              <w:t xml:space="preserve">: [ </w:t>
            </w:r>
            <w:r>
              <w:rPr>
                <w:rStyle w:val="IndexLink"/>
                <w:rtl w:val="true"/>
              </w:rPr>
              <w:t xml:space="preserve">حدّ الفقه </w:t>
            </w:r>
            <w:r>
              <w:rPr>
                <w:rStyle w:val="IndexLink"/>
                <w:rtl w:val="true"/>
              </w:rPr>
              <w:t>]</w:t>
              <w:tab/>
            </w:r>
            <w:r>
              <w:rPr>
                <w:rStyle w:val="IndexLink"/>
              </w:rPr>
              <w:t>105</w:t>
            </w:r>
          </w:hyperlink>
        </w:p>
        <w:p>
          <w:pPr>
            <w:pStyle w:val="Contents4"/>
            <w:tabs>
              <w:tab w:val="clear" w:pos="8176"/>
              <w:tab w:val="right" w:pos="9026" w:leader="dot"/>
            </w:tabs>
            <w:rPr/>
          </w:pPr>
          <w:hyperlink w:anchor="__RefHeading___Toc3139931_653776707">
            <w:r>
              <w:rPr>
                <w:webHidden/>
                <w:rStyle w:val="IndexLink"/>
                <w:rtl w:val="true"/>
              </w:rPr>
              <w:t xml:space="preserve">فصل </w:t>
            </w:r>
            <w:r>
              <w:rPr>
                <w:rStyle w:val="IndexLink"/>
                <w:rtl w:val="true"/>
              </w:rPr>
              <w:t xml:space="preserve">: [ </w:t>
            </w:r>
            <w:r>
              <w:rPr>
                <w:rStyle w:val="IndexLink"/>
                <w:rtl w:val="true"/>
              </w:rPr>
              <w:t xml:space="preserve">مرتبة علم الفقه </w:t>
            </w:r>
            <w:r>
              <w:rPr>
                <w:rStyle w:val="IndexLink"/>
                <w:rtl w:val="true"/>
              </w:rPr>
              <w:t>]</w:t>
              <w:tab/>
            </w:r>
            <w:r>
              <w:rPr>
                <w:rStyle w:val="IndexLink"/>
              </w:rPr>
              <w:t>108</w:t>
            </w:r>
          </w:hyperlink>
        </w:p>
        <w:p>
          <w:pPr>
            <w:pStyle w:val="Contents4"/>
            <w:tabs>
              <w:tab w:val="clear" w:pos="8176"/>
              <w:tab w:val="right" w:pos="9026" w:leader="dot"/>
            </w:tabs>
            <w:rPr/>
          </w:pPr>
          <w:hyperlink w:anchor="__RefHeading___Toc3139933_653776707">
            <w:r>
              <w:rPr>
                <w:webHidden/>
                <w:rStyle w:val="IndexLink"/>
                <w:rtl w:val="true"/>
              </w:rPr>
              <w:t xml:space="preserve">فصل </w:t>
            </w:r>
            <w:r>
              <w:rPr>
                <w:rStyle w:val="IndexLink"/>
                <w:rtl w:val="true"/>
              </w:rPr>
              <w:t xml:space="preserve">: [ </w:t>
            </w:r>
            <w:r>
              <w:rPr>
                <w:rStyle w:val="IndexLink"/>
                <w:rtl w:val="true"/>
              </w:rPr>
              <w:t xml:space="preserve">موضوع علم الفقه ومسائله </w:t>
            </w:r>
            <w:r>
              <w:rPr>
                <w:rStyle w:val="IndexLink"/>
                <w:rtl w:val="true"/>
              </w:rPr>
              <w:t>]</w:t>
              <w:tab/>
            </w:r>
            <w:r>
              <w:rPr>
                <w:rStyle w:val="IndexLink"/>
              </w:rPr>
              <w:t>109</w:t>
            </w:r>
          </w:hyperlink>
        </w:p>
        <w:p>
          <w:pPr>
            <w:pStyle w:val="Contents3"/>
            <w:tabs>
              <w:tab w:val="clear" w:pos="8459"/>
              <w:tab w:val="right" w:pos="9026" w:leader="dot"/>
            </w:tabs>
            <w:rPr/>
          </w:pPr>
          <w:hyperlink w:anchor="__RefHeading___Toc3139935_653776707">
            <w:r>
              <w:rPr>
                <w:webHidden/>
                <w:rStyle w:val="IndexLink"/>
                <w:rtl w:val="true"/>
              </w:rPr>
              <w:t xml:space="preserve">المقصد الثاني </w:t>
            </w:r>
            <w:r>
              <w:rPr>
                <w:rStyle w:val="IndexLink"/>
                <w:rtl w:val="true"/>
              </w:rPr>
              <w:t xml:space="preserve">: </w:t>
            </w:r>
            <w:r>
              <w:rPr>
                <w:rStyle w:val="IndexLink"/>
                <w:rtl w:val="true"/>
              </w:rPr>
              <w:t>في تحقيق مهمات المباحث الاصولية</w:t>
            </w:r>
            <w:r>
              <w:rPr>
                <w:rStyle w:val="IndexLink"/>
                <w:rtl w:val="true"/>
              </w:rPr>
              <w:tab/>
            </w:r>
            <w:r>
              <w:rPr>
                <w:rStyle w:val="IndexLink"/>
              </w:rPr>
              <w:t>110</w:t>
            </w:r>
          </w:hyperlink>
        </w:p>
        <w:p>
          <w:pPr>
            <w:pStyle w:val="Contents4"/>
            <w:tabs>
              <w:tab w:val="clear" w:pos="8176"/>
              <w:tab w:val="right" w:pos="9026" w:leader="dot"/>
            </w:tabs>
            <w:rPr/>
          </w:pPr>
          <w:hyperlink w:anchor="__RefHeading___Toc3139937_65377670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139939_653776707">
            <w:r>
              <w:rPr>
                <w:webHidden/>
                <w:rStyle w:val="IndexLink"/>
                <w:rtl w:val="true"/>
              </w:rPr>
              <w:t xml:space="preserve">المطلب الأوّل </w:t>
            </w:r>
            <w:r>
              <w:rPr>
                <w:rStyle w:val="IndexLink"/>
                <w:rtl w:val="true"/>
              </w:rPr>
              <w:t xml:space="preserve">: </w:t>
            </w:r>
            <w:r>
              <w:rPr>
                <w:rStyle w:val="IndexLink"/>
                <w:rtl w:val="true"/>
              </w:rPr>
              <w:t>في نبذة من مباحث الألفاظ</w:t>
            </w:r>
            <w:r>
              <w:rPr>
                <w:rStyle w:val="IndexLink"/>
                <w:rtl w:val="true"/>
              </w:rPr>
              <w:t>.</w:t>
              <w:tab/>
            </w:r>
            <w:r>
              <w:rPr>
                <w:rStyle w:val="IndexLink"/>
              </w:rPr>
              <w:t>112</w:t>
            </w:r>
          </w:hyperlink>
        </w:p>
        <w:p>
          <w:pPr>
            <w:pStyle w:val="Contents4"/>
            <w:tabs>
              <w:tab w:val="clear" w:pos="8176"/>
              <w:tab w:val="right" w:pos="9026" w:leader="dot"/>
            </w:tabs>
            <w:rPr/>
          </w:pPr>
          <w:hyperlink w:anchor="__RefHeading___Toc3139941_653776707">
            <w:r>
              <w:rPr>
                <w:webHidden/>
                <w:rStyle w:val="IndexLink"/>
                <w:rtl w:val="true"/>
              </w:rPr>
              <w:t xml:space="preserve">المطلب الثاني </w:t>
            </w:r>
            <w:r>
              <w:rPr>
                <w:rStyle w:val="IndexLink"/>
                <w:rtl w:val="true"/>
              </w:rPr>
              <w:t xml:space="preserve">: </w:t>
            </w:r>
            <w:r>
              <w:rPr>
                <w:rStyle w:val="IndexLink"/>
                <w:rtl w:val="true"/>
              </w:rPr>
              <w:t>في الأوامر والنواهي ، وجعله في بحثين</w:t>
            </w:r>
            <w:r>
              <w:rPr>
                <w:rStyle w:val="IndexLink"/>
                <w:rtl w:val="true"/>
              </w:rPr>
              <w:t>.</w:t>
              <w:tab/>
            </w:r>
            <w:r>
              <w:rPr>
                <w:rStyle w:val="IndexLink"/>
              </w:rPr>
              <w:t>112</w:t>
            </w:r>
          </w:hyperlink>
        </w:p>
        <w:p>
          <w:pPr>
            <w:pStyle w:val="Contents4"/>
            <w:tabs>
              <w:tab w:val="clear" w:pos="8176"/>
              <w:tab w:val="right" w:pos="9026" w:leader="dot"/>
            </w:tabs>
            <w:rPr/>
          </w:pPr>
          <w:hyperlink w:anchor="__RefHeading___Toc3139943_653776707">
            <w:r>
              <w:rPr>
                <w:webHidden/>
                <w:rStyle w:val="IndexLink"/>
                <w:rtl w:val="true"/>
              </w:rPr>
              <w:t xml:space="preserve">المطلب الثالث </w:t>
            </w:r>
            <w:r>
              <w:rPr>
                <w:rStyle w:val="IndexLink"/>
                <w:rtl w:val="true"/>
              </w:rPr>
              <w:t xml:space="preserve">: </w:t>
            </w:r>
            <w:r>
              <w:rPr>
                <w:rStyle w:val="IndexLink"/>
                <w:rtl w:val="true"/>
              </w:rPr>
              <w:t xml:space="preserve">في العموم والخصوص ، وفيه </w:t>
            </w:r>
            <w:r>
              <w:rPr>
                <w:rStyle w:val="IndexLink"/>
                <w:rtl w:val="true"/>
              </w:rPr>
              <w:t>(</w:t>
            </w:r>
            <w:r>
              <w:rPr>
                <w:rStyle w:val="IndexLink"/>
              </w:rPr>
              <w:t>3</w:t>
            </w:r>
            <w:r>
              <w:rPr>
                <w:rStyle w:val="IndexLink"/>
                <w:rtl w:val="true"/>
              </w:rPr>
              <w:t xml:space="preserve">) </w:t>
            </w:r>
            <w:r>
              <w:rPr>
                <w:rStyle w:val="IndexLink"/>
                <w:rtl w:val="true"/>
              </w:rPr>
              <w:t>فصول</w:t>
            </w:r>
            <w:r>
              <w:rPr>
                <w:rStyle w:val="IndexLink"/>
                <w:rtl w:val="true"/>
              </w:rPr>
              <w:t>.</w:t>
              <w:tab/>
            </w:r>
            <w:r>
              <w:rPr>
                <w:rStyle w:val="IndexLink"/>
              </w:rPr>
              <w:t>115</w:t>
            </w:r>
          </w:hyperlink>
        </w:p>
        <w:p>
          <w:pPr>
            <w:pStyle w:val="Contents4"/>
            <w:tabs>
              <w:tab w:val="clear" w:pos="8176"/>
              <w:tab w:val="right" w:pos="9026" w:leader="dot"/>
            </w:tabs>
            <w:rPr/>
          </w:pPr>
          <w:hyperlink w:anchor="__RefHeading___Toc3139945_653776707">
            <w:r>
              <w:rPr>
                <w:webHidden/>
                <w:rStyle w:val="IndexLink"/>
                <w:rtl w:val="true"/>
              </w:rPr>
              <w:t xml:space="preserve">المطلب الرابع </w:t>
            </w:r>
            <w:r>
              <w:rPr>
                <w:rStyle w:val="IndexLink"/>
                <w:rtl w:val="true"/>
              </w:rPr>
              <w:t xml:space="preserve">: </w:t>
            </w:r>
            <w:r>
              <w:rPr>
                <w:rStyle w:val="IndexLink"/>
                <w:rtl w:val="true"/>
              </w:rPr>
              <w:t xml:space="preserve">في المطلق والمقيّد والمجمل والمبيّن ، وفيه </w:t>
            </w:r>
            <w:r>
              <w:rPr>
                <w:rStyle w:val="IndexLink"/>
                <w:rtl w:val="true"/>
              </w:rPr>
              <w:t>(</w:t>
            </w:r>
            <w:r>
              <w:rPr>
                <w:rStyle w:val="IndexLink"/>
              </w:rPr>
              <w:t>3</w:t>
            </w:r>
            <w:r>
              <w:rPr>
                <w:rStyle w:val="IndexLink"/>
                <w:rtl w:val="true"/>
              </w:rPr>
              <w:t xml:space="preserve">) </w:t>
            </w:r>
            <w:r>
              <w:rPr>
                <w:rStyle w:val="IndexLink"/>
                <w:rtl w:val="true"/>
              </w:rPr>
              <w:t>اصول</w:t>
            </w:r>
            <w:r>
              <w:rPr>
                <w:rStyle w:val="IndexLink"/>
                <w:rtl w:val="true"/>
              </w:rPr>
              <w:t>.</w:t>
              <w:tab/>
            </w:r>
            <w:r>
              <w:rPr>
                <w:rStyle w:val="IndexLink"/>
              </w:rPr>
              <w:t>117</w:t>
            </w:r>
          </w:hyperlink>
        </w:p>
        <w:p>
          <w:pPr>
            <w:pStyle w:val="Contents4"/>
            <w:tabs>
              <w:tab w:val="clear" w:pos="8176"/>
              <w:tab w:val="right" w:pos="9026" w:leader="dot"/>
            </w:tabs>
            <w:rPr/>
          </w:pPr>
          <w:hyperlink w:anchor="__RefHeading___Toc3139947_653776707">
            <w:r>
              <w:rPr>
                <w:webHidden/>
                <w:rStyle w:val="IndexLink"/>
                <w:rtl w:val="true"/>
              </w:rPr>
              <w:t xml:space="preserve">المطلب الخامس </w:t>
            </w:r>
            <w:r>
              <w:rPr>
                <w:rStyle w:val="IndexLink"/>
                <w:rtl w:val="true"/>
              </w:rPr>
              <w:t xml:space="preserve">: </w:t>
            </w:r>
            <w:r>
              <w:rPr>
                <w:rStyle w:val="IndexLink"/>
                <w:rtl w:val="true"/>
              </w:rPr>
              <w:t xml:space="preserve">في الإجماع ، وفيه </w:t>
            </w:r>
            <w:r>
              <w:rPr>
                <w:rStyle w:val="IndexLink"/>
                <w:rtl w:val="true"/>
              </w:rPr>
              <w:t>(</w:t>
            </w:r>
            <w:r>
              <w:rPr>
                <w:rStyle w:val="IndexLink"/>
              </w:rPr>
              <w:t>5</w:t>
            </w:r>
            <w:r>
              <w:rPr>
                <w:rStyle w:val="IndexLink"/>
                <w:rtl w:val="true"/>
              </w:rPr>
              <w:t xml:space="preserve">) </w:t>
            </w:r>
            <w:r>
              <w:rPr>
                <w:rStyle w:val="IndexLink"/>
                <w:rtl w:val="true"/>
              </w:rPr>
              <w:t>اصول</w:t>
            </w:r>
            <w:r>
              <w:rPr>
                <w:rStyle w:val="IndexLink"/>
                <w:rtl w:val="true"/>
              </w:rPr>
              <w:t>.</w:t>
              <w:tab/>
            </w:r>
            <w:r>
              <w:rPr>
                <w:rStyle w:val="IndexLink"/>
              </w:rPr>
              <w:t>117</w:t>
            </w:r>
          </w:hyperlink>
        </w:p>
        <w:p>
          <w:pPr>
            <w:pStyle w:val="Contents4"/>
            <w:tabs>
              <w:tab w:val="clear" w:pos="8176"/>
              <w:tab w:val="right" w:pos="9026" w:leader="dot"/>
            </w:tabs>
            <w:rPr/>
          </w:pPr>
          <w:hyperlink w:anchor="__RefHeading___Toc3139949_653776707">
            <w:r>
              <w:rPr>
                <w:webHidden/>
                <w:rStyle w:val="IndexLink"/>
                <w:rtl w:val="true"/>
              </w:rPr>
              <w:t xml:space="preserve">المطلب السادس </w:t>
            </w:r>
            <w:r>
              <w:rPr>
                <w:rStyle w:val="IndexLink"/>
                <w:rtl w:val="true"/>
              </w:rPr>
              <w:t xml:space="preserve">: </w:t>
            </w:r>
            <w:r>
              <w:rPr>
                <w:rStyle w:val="IndexLink"/>
                <w:rtl w:val="true"/>
              </w:rPr>
              <w:t xml:space="preserve">في الأخبار ، وفيه </w:t>
            </w:r>
            <w:r>
              <w:rPr>
                <w:rStyle w:val="IndexLink"/>
                <w:rtl w:val="true"/>
              </w:rPr>
              <w:t>(</w:t>
            </w:r>
            <w:r>
              <w:rPr>
                <w:rStyle w:val="IndexLink"/>
              </w:rPr>
              <w:t>10</w:t>
            </w:r>
            <w:r>
              <w:rPr>
                <w:rStyle w:val="IndexLink"/>
                <w:rtl w:val="true"/>
              </w:rPr>
              <w:t xml:space="preserve">) </w:t>
            </w:r>
            <w:r>
              <w:rPr>
                <w:rStyle w:val="IndexLink"/>
                <w:rtl w:val="true"/>
              </w:rPr>
              <w:t>اصول</w:t>
            </w:r>
            <w:r>
              <w:rPr>
                <w:rStyle w:val="IndexLink"/>
                <w:rtl w:val="true"/>
              </w:rPr>
              <w:t>.</w:t>
              <w:tab/>
            </w:r>
            <w:r>
              <w:rPr>
                <w:rStyle w:val="IndexLink"/>
              </w:rPr>
              <w:t>119</w:t>
            </w:r>
          </w:hyperlink>
        </w:p>
        <w:p>
          <w:pPr>
            <w:pStyle w:val="Contents4"/>
            <w:tabs>
              <w:tab w:val="clear" w:pos="8176"/>
              <w:tab w:val="right" w:pos="9026" w:leader="dot"/>
            </w:tabs>
            <w:rPr/>
          </w:pPr>
          <w:hyperlink w:anchor="__RefHeading___Toc3139951_653776707">
            <w:r>
              <w:rPr>
                <w:webHidden/>
                <w:rStyle w:val="IndexLink"/>
                <w:rtl w:val="true"/>
              </w:rPr>
              <w:t xml:space="preserve">المطلب السابع </w:t>
            </w:r>
            <w:r>
              <w:rPr>
                <w:rStyle w:val="IndexLink"/>
                <w:rtl w:val="true"/>
              </w:rPr>
              <w:t xml:space="preserve">: </w:t>
            </w:r>
            <w:r>
              <w:rPr>
                <w:rStyle w:val="IndexLink"/>
                <w:rtl w:val="true"/>
              </w:rPr>
              <w:t>في النسخ ،وفيه أصلان</w:t>
            </w:r>
            <w:r>
              <w:rPr>
                <w:rStyle w:val="IndexLink"/>
                <w:rtl w:val="true"/>
              </w:rPr>
              <w:t>.</w:t>
              <w:tab/>
            </w:r>
            <w:r>
              <w:rPr>
                <w:rStyle w:val="IndexLink"/>
              </w:rPr>
              <w:t>121</w:t>
            </w:r>
          </w:hyperlink>
        </w:p>
        <w:p>
          <w:pPr>
            <w:pStyle w:val="Contents4"/>
            <w:tabs>
              <w:tab w:val="clear" w:pos="8176"/>
              <w:tab w:val="right" w:pos="9026" w:leader="dot"/>
            </w:tabs>
            <w:rPr/>
          </w:pPr>
          <w:hyperlink w:anchor="__RefHeading___Toc3139953_653776707">
            <w:r>
              <w:rPr>
                <w:webHidden/>
                <w:rStyle w:val="IndexLink"/>
                <w:rtl w:val="true"/>
              </w:rPr>
              <w:t xml:space="preserve">المطلب الثامن </w:t>
            </w:r>
            <w:r>
              <w:rPr>
                <w:rStyle w:val="IndexLink"/>
                <w:rtl w:val="true"/>
              </w:rPr>
              <w:t xml:space="preserve">: </w:t>
            </w:r>
            <w:r>
              <w:rPr>
                <w:rStyle w:val="IndexLink"/>
                <w:rtl w:val="true"/>
              </w:rPr>
              <w:t xml:space="preserve">في القياس والاستصحاب ، وفيه </w:t>
            </w:r>
            <w:r>
              <w:rPr>
                <w:rStyle w:val="IndexLink"/>
                <w:rtl w:val="true"/>
              </w:rPr>
              <w:t>(</w:t>
            </w:r>
            <w:r>
              <w:rPr>
                <w:rStyle w:val="IndexLink"/>
              </w:rPr>
              <w:t>3</w:t>
            </w:r>
            <w:r>
              <w:rPr>
                <w:rStyle w:val="IndexLink"/>
                <w:rtl w:val="true"/>
              </w:rPr>
              <w:t xml:space="preserve">) </w:t>
            </w:r>
            <w:r>
              <w:rPr>
                <w:rStyle w:val="IndexLink"/>
                <w:rtl w:val="true"/>
              </w:rPr>
              <w:t>اصول</w:t>
            </w:r>
            <w:r>
              <w:rPr>
                <w:rStyle w:val="IndexLink"/>
                <w:rtl w:val="true"/>
              </w:rPr>
              <w:t>.</w:t>
              <w:tab/>
            </w:r>
            <w:r>
              <w:rPr>
                <w:rStyle w:val="IndexLink"/>
              </w:rPr>
              <w:t>122</w:t>
            </w:r>
          </w:hyperlink>
        </w:p>
        <w:p>
          <w:pPr>
            <w:pStyle w:val="Contents4"/>
            <w:tabs>
              <w:tab w:val="clear" w:pos="8176"/>
              <w:tab w:val="right" w:pos="9026" w:leader="dot"/>
            </w:tabs>
            <w:rPr/>
          </w:pPr>
          <w:hyperlink w:anchor="__RefHeading___Toc3139955_653776707">
            <w:r>
              <w:rPr>
                <w:webHidden/>
                <w:rStyle w:val="IndexLink"/>
                <w:rtl w:val="true"/>
              </w:rPr>
              <w:t xml:space="preserve">المطلب التاسع </w:t>
            </w:r>
            <w:r>
              <w:rPr>
                <w:rStyle w:val="IndexLink"/>
                <w:rtl w:val="true"/>
              </w:rPr>
              <w:t xml:space="preserve">: </w:t>
            </w:r>
            <w:r>
              <w:rPr>
                <w:rStyle w:val="IndexLink"/>
                <w:rtl w:val="true"/>
              </w:rPr>
              <w:t xml:space="preserve">في الاجتهاد والتقليد ، وفيه </w:t>
            </w:r>
            <w:r>
              <w:rPr>
                <w:rStyle w:val="IndexLink"/>
                <w:rtl w:val="true"/>
              </w:rPr>
              <w:t>(</w:t>
            </w:r>
            <w:r>
              <w:rPr>
                <w:rStyle w:val="IndexLink"/>
              </w:rPr>
              <w:t>8</w:t>
            </w:r>
            <w:r>
              <w:rPr>
                <w:rStyle w:val="IndexLink"/>
                <w:rtl w:val="true"/>
              </w:rPr>
              <w:t xml:space="preserve">) </w:t>
            </w:r>
            <w:r>
              <w:rPr>
                <w:rStyle w:val="IndexLink"/>
                <w:rtl w:val="true"/>
              </w:rPr>
              <w:t>اصول</w:t>
            </w:r>
            <w:r>
              <w:rPr>
                <w:rStyle w:val="IndexLink"/>
                <w:rtl w:val="true"/>
              </w:rPr>
              <w:t>.</w:t>
              <w:tab/>
            </w:r>
            <w:r>
              <w:rPr>
                <w:rStyle w:val="IndexLink"/>
              </w:rPr>
              <w:t>123</w:t>
            </w:r>
          </w:hyperlink>
        </w:p>
        <w:p>
          <w:pPr>
            <w:pStyle w:val="Contents4"/>
            <w:tabs>
              <w:tab w:val="clear" w:pos="8176"/>
              <w:tab w:val="right" w:pos="9026" w:leader="dot"/>
            </w:tabs>
            <w:rPr/>
          </w:pPr>
          <w:hyperlink w:anchor="__RefHeading___Toc3139957_653776707">
            <w:r>
              <w:rPr>
                <w:webHidden/>
                <w:rStyle w:val="IndexLink"/>
                <w:rtl w:val="true"/>
              </w:rPr>
              <w:t xml:space="preserve">الخاتمة </w:t>
            </w:r>
            <w:r>
              <w:rPr>
                <w:rStyle w:val="IndexLink"/>
                <w:rtl w:val="true"/>
              </w:rPr>
              <w:t xml:space="preserve">: </w:t>
            </w:r>
            <w:r>
              <w:rPr>
                <w:rStyle w:val="IndexLink"/>
                <w:rtl w:val="true"/>
              </w:rPr>
              <w:t>في التعادل والتراجيح</w:t>
            </w:r>
            <w:r>
              <w:rPr>
                <w:rStyle w:val="IndexLink"/>
                <w:rtl w:val="true"/>
              </w:rPr>
              <w:tab/>
            </w:r>
            <w:r>
              <w:rPr>
                <w:rStyle w:val="IndexLink"/>
              </w:rPr>
              <w:t>126</w:t>
            </w:r>
          </w:hyperlink>
        </w:p>
        <w:p>
          <w:pPr>
            <w:pStyle w:val="Contents3"/>
            <w:tabs>
              <w:tab w:val="clear" w:pos="8459"/>
              <w:tab w:val="right" w:pos="9026" w:leader="dot"/>
            </w:tabs>
            <w:rPr/>
          </w:pPr>
          <w:hyperlink w:anchor="__RefHeading___Toc3139959_653776707">
            <w:r>
              <w:rPr>
                <w:webHidden/>
                <w:rStyle w:val="IndexLink"/>
                <w:rtl w:val="true"/>
              </w:rPr>
              <w:t>بداية قسم الفقه من معالم الدين وملاذ المجتهدين</w:t>
            </w:r>
            <w:r>
              <w:rPr>
                <w:rStyle w:val="IndexLink"/>
                <w:rtl w:val="true"/>
              </w:rPr>
              <w:tab/>
            </w:r>
            <w:r>
              <w:rPr>
                <w:rStyle w:val="IndexLink"/>
              </w:rPr>
              <w:t>128</w:t>
            </w:r>
          </w:hyperlink>
        </w:p>
        <w:p>
          <w:pPr>
            <w:pStyle w:val="Contents4"/>
            <w:tabs>
              <w:tab w:val="clear" w:pos="8176"/>
              <w:tab w:val="right" w:pos="9026" w:leader="dot"/>
            </w:tabs>
            <w:rPr/>
          </w:pPr>
          <w:hyperlink w:anchor="__RefHeading___Toc3139961_65377670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139963_653776707">
            <w:r>
              <w:rPr>
                <w:webHidden/>
                <w:rStyle w:val="IndexLink"/>
                <w:rtl w:val="true"/>
              </w:rPr>
              <w:t xml:space="preserve">المطلب الأوّل </w:t>
            </w:r>
            <w:r>
              <w:rPr>
                <w:rStyle w:val="IndexLink"/>
                <w:rtl w:val="true"/>
              </w:rPr>
              <w:t xml:space="preserve">: </w:t>
            </w:r>
            <w:r>
              <w:rPr>
                <w:rStyle w:val="IndexLink"/>
                <w:rtl w:val="true"/>
              </w:rPr>
              <w:t>في المياه</w:t>
            </w:r>
            <w:r>
              <w:rPr>
                <w:rStyle w:val="IndexLink"/>
                <w:rtl w:val="true"/>
              </w:rPr>
              <w:tab/>
            </w:r>
            <w:r>
              <w:rPr>
                <w:rStyle w:val="IndexLink"/>
              </w:rPr>
              <w:t>132</w:t>
            </w:r>
          </w:hyperlink>
        </w:p>
        <w:p>
          <w:pPr>
            <w:pStyle w:val="Contents5"/>
            <w:tabs>
              <w:tab w:val="clear" w:pos="7892"/>
              <w:tab w:val="right" w:pos="9026" w:leader="dot"/>
            </w:tabs>
            <w:rPr/>
          </w:pPr>
          <w:hyperlink w:anchor="__RefHeading___Toc3139965_65377670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139967_653776707">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المطلق</w:t>
            </w:r>
            <w:r>
              <w:rPr>
                <w:rStyle w:val="IndexLink"/>
                <w:rtl w:val="true"/>
              </w:rPr>
              <w:tab/>
            </w:r>
            <w:r>
              <w:rPr>
                <w:rStyle w:val="IndexLink"/>
              </w:rPr>
              <w:t>134</w:t>
            </w:r>
          </w:hyperlink>
        </w:p>
        <w:p>
          <w:pPr>
            <w:pStyle w:val="Contents6"/>
            <w:tabs>
              <w:tab w:val="clear" w:pos="7609"/>
              <w:tab w:val="right" w:pos="9026" w:leader="dot"/>
            </w:tabs>
            <w:rPr/>
          </w:pPr>
          <w:hyperlink w:anchor="__RefHeading___Toc3139969_65377670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139971_653776707">
            <w:r>
              <w:rPr>
                <w:webHidden/>
                <w:rStyle w:val="IndexLink"/>
                <w:rtl w:val="true"/>
              </w:rPr>
              <w:t xml:space="preserve">البحث الأوّل </w:t>
            </w:r>
            <w:r>
              <w:rPr>
                <w:rStyle w:val="IndexLink"/>
                <w:rtl w:val="true"/>
              </w:rPr>
              <w:t xml:space="preserve">: </w:t>
            </w:r>
            <w:r>
              <w:rPr>
                <w:rStyle w:val="IndexLink"/>
                <w:rtl w:val="true"/>
              </w:rPr>
              <w:t>في الواقف</w:t>
            </w:r>
            <w:r>
              <w:rPr>
                <w:rStyle w:val="IndexLink"/>
                <w:rtl w:val="true"/>
              </w:rPr>
              <w:tab/>
            </w:r>
            <w:r>
              <w:rPr>
                <w:rStyle w:val="IndexLink"/>
              </w:rPr>
              <w:t>140</w:t>
            </w:r>
          </w:hyperlink>
        </w:p>
        <w:p>
          <w:pPr>
            <w:pStyle w:val="Contents6"/>
            <w:tabs>
              <w:tab w:val="clear" w:pos="7609"/>
              <w:tab w:val="right" w:pos="9026" w:leader="dot"/>
            </w:tabs>
            <w:rPr/>
          </w:pPr>
          <w:hyperlink w:anchor="__RefHeading___Toc3139973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140</w:t>
            </w:r>
          </w:hyperlink>
        </w:p>
        <w:p>
          <w:pPr>
            <w:pStyle w:val="Contents6"/>
            <w:tabs>
              <w:tab w:val="clear" w:pos="7609"/>
              <w:tab w:val="right" w:pos="9026" w:leader="dot"/>
            </w:tabs>
            <w:rPr/>
          </w:pPr>
          <w:hyperlink w:anchor="__RefHeading___Toc3139975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142</w:t>
            </w:r>
          </w:hyperlink>
        </w:p>
        <w:p>
          <w:pPr>
            <w:pStyle w:val="Contents6"/>
            <w:tabs>
              <w:tab w:val="clear" w:pos="7609"/>
              <w:tab w:val="right" w:pos="9026" w:leader="dot"/>
            </w:tabs>
            <w:rPr/>
          </w:pPr>
          <w:hyperlink w:anchor="__RefHeading___Toc3139977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143</w:t>
            </w:r>
          </w:hyperlink>
        </w:p>
        <w:p>
          <w:pPr>
            <w:pStyle w:val="Contents6"/>
            <w:tabs>
              <w:tab w:val="clear" w:pos="7609"/>
              <w:tab w:val="right" w:pos="9026" w:leader="dot"/>
            </w:tabs>
            <w:rPr/>
          </w:pPr>
          <w:hyperlink w:anchor="__RefHeading___Toc3139979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144</w:t>
            </w:r>
          </w:hyperlink>
        </w:p>
        <w:p>
          <w:pPr>
            <w:pStyle w:val="Contents6"/>
            <w:tabs>
              <w:tab w:val="clear" w:pos="7609"/>
              <w:tab w:val="right" w:pos="9026" w:leader="dot"/>
            </w:tabs>
            <w:rPr/>
          </w:pPr>
          <w:hyperlink w:anchor="__RefHeading___Toc3139981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150</w:t>
            </w:r>
          </w:hyperlink>
        </w:p>
        <w:p>
          <w:pPr>
            <w:pStyle w:val="Contents6"/>
            <w:tabs>
              <w:tab w:val="clear" w:pos="7609"/>
              <w:tab w:val="right" w:pos="9026" w:leader="dot"/>
            </w:tabs>
            <w:rPr/>
          </w:pPr>
          <w:hyperlink w:anchor="__RefHeading___Toc3139983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152</w:t>
            </w:r>
          </w:hyperlink>
        </w:p>
        <w:p>
          <w:pPr>
            <w:pStyle w:val="Contents6"/>
            <w:tabs>
              <w:tab w:val="clear" w:pos="7609"/>
              <w:tab w:val="right" w:pos="9026" w:leader="dot"/>
            </w:tabs>
            <w:rPr/>
          </w:pPr>
          <w:hyperlink w:anchor="__RefHeading___Toc3139985_65377670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139987_653776707">
            <w:r>
              <w:rPr>
                <w:webHidden/>
                <w:rStyle w:val="IndexLink"/>
                <w:rtl w:val="true"/>
              </w:rPr>
              <w:t xml:space="preserve">فرع </w:t>
            </w:r>
            <w:r>
              <w:rPr>
                <w:rStyle w:val="IndexLink"/>
                <w:rtl w:val="true"/>
              </w:rPr>
              <w:t>:</w:t>
              <w:tab/>
            </w:r>
            <w:r>
              <w:rPr>
                <w:rStyle w:val="IndexLink"/>
              </w:rPr>
              <w:t>158</w:t>
            </w:r>
          </w:hyperlink>
        </w:p>
        <w:p>
          <w:pPr>
            <w:pStyle w:val="Contents6"/>
            <w:tabs>
              <w:tab w:val="clear" w:pos="7609"/>
              <w:tab w:val="right" w:pos="9026" w:leader="dot"/>
            </w:tabs>
            <w:rPr/>
          </w:pPr>
          <w:hyperlink w:anchor="__RefHeading___Toc3139989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160</w:t>
            </w:r>
          </w:hyperlink>
        </w:p>
        <w:p>
          <w:pPr>
            <w:pStyle w:val="Contents6"/>
            <w:tabs>
              <w:tab w:val="clear" w:pos="7609"/>
              <w:tab w:val="right" w:pos="9026" w:leader="dot"/>
            </w:tabs>
            <w:rPr/>
          </w:pPr>
          <w:hyperlink w:anchor="__RefHeading___Toc3139991_65377670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139993_653776707">
            <w:r>
              <w:rPr>
                <w:webHidden/>
                <w:rStyle w:val="IndexLink"/>
                <w:rtl w:val="true"/>
              </w:rPr>
              <w:t xml:space="preserve">فروع </w:t>
            </w:r>
            <w:r>
              <w:rPr>
                <w:rStyle w:val="IndexLink"/>
                <w:rtl w:val="true"/>
              </w:rPr>
              <w:t>:</w:t>
              <w:tab/>
            </w:r>
            <w:r>
              <w:rPr>
                <w:rStyle w:val="IndexLink"/>
              </w:rPr>
              <w:t>162</w:t>
            </w:r>
          </w:hyperlink>
        </w:p>
        <w:p>
          <w:pPr>
            <w:pStyle w:val="Contents6"/>
            <w:tabs>
              <w:tab w:val="clear" w:pos="7609"/>
              <w:tab w:val="right" w:pos="9026" w:leader="dot"/>
            </w:tabs>
            <w:rPr/>
          </w:pPr>
          <w:hyperlink w:anchor="__RefHeading___Toc313999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162</w:t>
            </w:r>
          </w:hyperlink>
        </w:p>
        <w:p>
          <w:pPr>
            <w:pStyle w:val="Contents6"/>
            <w:tabs>
              <w:tab w:val="clear" w:pos="7609"/>
              <w:tab w:val="right" w:pos="9026" w:leader="dot"/>
            </w:tabs>
            <w:rPr/>
          </w:pPr>
          <w:hyperlink w:anchor="__RefHeading___Toc313999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162</w:t>
            </w:r>
          </w:hyperlink>
        </w:p>
        <w:p>
          <w:pPr>
            <w:pStyle w:val="Contents6"/>
            <w:tabs>
              <w:tab w:val="clear" w:pos="7609"/>
              <w:tab w:val="right" w:pos="9026" w:leader="dot"/>
            </w:tabs>
            <w:rPr/>
          </w:pPr>
          <w:hyperlink w:anchor="__RefHeading___Toc31399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163</w:t>
            </w:r>
          </w:hyperlink>
        </w:p>
        <w:p>
          <w:pPr>
            <w:pStyle w:val="Contents6"/>
            <w:tabs>
              <w:tab w:val="clear" w:pos="7609"/>
              <w:tab w:val="right" w:pos="9026" w:leader="dot"/>
            </w:tabs>
            <w:rPr/>
          </w:pPr>
          <w:hyperlink w:anchor="__RefHeading___Toc314000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163</w:t>
            </w:r>
          </w:hyperlink>
        </w:p>
        <w:p>
          <w:pPr>
            <w:pStyle w:val="Contents6"/>
            <w:tabs>
              <w:tab w:val="clear" w:pos="7609"/>
              <w:tab w:val="right" w:pos="9026" w:leader="dot"/>
            </w:tabs>
            <w:rPr/>
          </w:pPr>
          <w:hyperlink w:anchor="__RefHeading___Toc314000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163</w:t>
            </w:r>
          </w:hyperlink>
        </w:p>
        <w:p>
          <w:pPr>
            <w:pStyle w:val="Contents6"/>
            <w:tabs>
              <w:tab w:val="clear" w:pos="7609"/>
              <w:tab w:val="right" w:pos="9026" w:leader="dot"/>
            </w:tabs>
            <w:rPr/>
          </w:pPr>
          <w:hyperlink w:anchor="__RefHeading___Toc3140005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164</w:t>
            </w:r>
          </w:hyperlink>
        </w:p>
        <w:p>
          <w:pPr>
            <w:pStyle w:val="Contents6"/>
            <w:tabs>
              <w:tab w:val="clear" w:pos="7609"/>
              <w:tab w:val="right" w:pos="9026" w:leader="dot"/>
            </w:tabs>
            <w:rPr/>
          </w:pPr>
          <w:hyperlink w:anchor="__RefHeading___Toc3140007_653776707">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140009_653776707">
            <w:r>
              <w:rPr>
                <w:webHidden/>
                <w:rStyle w:val="IndexLink"/>
                <w:rtl w:val="true"/>
              </w:rPr>
              <w:t>[</w:t>
            </w:r>
            <w:r>
              <w:rPr>
                <w:rStyle w:val="IndexLink"/>
              </w:rPr>
              <w:t>1</w:t>
            </w:r>
            <w:r>
              <w:rPr>
                <w:rStyle w:val="IndexLink"/>
                <w:rtl w:val="true"/>
              </w:rPr>
              <w:t xml:space="preserve">] - </w:t>
            </w:r>
            <w:r>
              <w:rPr>
                <w:rStyle w:val="IndexLink"/>
                <w:rtl w:val="true"/>
              </w:rPr>
              <w:t>إلقاء الكرّ عليه</w:t>
            </w:r>
            <w:r>
              <w:rPr>
                <w:rStyle w:val="IndexLink"/>
                <w:rtl w:val="true"/>
              </w:rPr>
              <w:t>.</w:t>
              <w:tab/>
            </w:r>
            <w:r>
              <w:rPr>
                <w:rStyle w:val="IndexLink"/>
              </w:rPr>
              <w:t>169</w:t>
            </w:r>
          </w:hyperlink>
        </w:p>
        <w:p>
          <w:pPr>
            <w:pStyle w:val="Contents6"/>
            <w:tabs>
              <w:tab w:val="clear" w:pos="7609"/>
              <w:tab w:val="right" w:pos="9026" w:leader="dot"/>
            </w:tabs>
            <w:rPr/>
          </w:pPr>
          <w:hyperlink w:anchor="__RefHeading___Toc3140011_653776707">
            <w:r>
              <w:rPr>
                <w:webHidden/>
                <w:rStyle w:val="IndexLink"/>
                <w:rtl w:val="true"/>
              </w:rPr>
              <w:t>[</w:t>
            </w:r>
            <w:r>
              <w:rPr>
                <w:rStyle w:val="IndexLink"/>
              </w:rPr>
              <w:t>2</w:t>
            </w:r>
            <w:r>
              <w:rPr>
                <w:rStyle w:val="IndexLink"/>
                <w:rtl w:val="true"/>
              </w:rPr>
              <w:t xml:space="preserve">] - </w:t>
            </w:r>
            <w:r>
              <w:rPr>
                <w:rStyle w:val="IndexLink"/>
                <w:rtl w:val="true"/>
              </w:rPr>
              <w:t>إلقاؤه في الكرّ</w:t>
            </w:r>
            <w:r>
              <w:rPr>
                <w:rStyle w:val="IndexLink"/>
                <w:rtl w:val="true"/>
              </w:rPr>
              <w:t>.</w:t>
              <w:tab/>
            </w:r>
            <w:r>
              <w:rPr>
                <w:rStyle w:val="IndexLink"/>
              </w:rPr>
              <w:t>173</w:t>
            </w:r>
          </w:hyperlink>
        </w:p>
        <w:p>
          <w:pPr>
            <w:pStyle w:val="Contents6"/>
            <w:tabs>
              <w:tab w:val="clear" w:pos="7609"/>
              <w:tab w:val="right" w:pos="9026" w:leader="dot"/>
            </w:tabs>
            <w:rPr/>
          </w:pPr>
          <w:hyperlink w:anchor="__RefHeading___Toc3140013_653776707">
            <w:r>
              <w:rPr>
                <w:webHidden/>
                <w:rStyle w:val="IndexLink"/>
                <w:rtl w:val="true"/>
              </w:rPr>
              <w:t>[</w:t>
            </w:r>
            <w:r>
              <w:rPr>
                <w:rStyle w:val="IndexLink"/>
              </w:rPr>
              <w:t>3</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اتصاله بالنابع المساوي له أو الأعلى منه</w:t>
            </w:r>
            <w:r>
              <w:rPr>
                <w:rStyle w:val="IndexLink"/>
                <w:rtl w:val="true"/>
              </w:rPr>
              <w:t>.</w:t>
              <w:tab/>
            </w:r>
            <w:r>
              <w:rPr>
                <w:rStyle w:val="IndexLink"/>
              </w:rPr>
              <w:t>173</w:t>
            </w:r>
          </w:hyperlink>
        </w:p>
        <w:p>
          <w:pPr>
            <w:pStyle w:val="Contents6"/>
            <w:tabs>
              <w:tab w:val="clear" w:pos="7609"/>
              <w:tab w:val="right" w:pos="9026" w:leader="dot"/>
            </w:tabs>
            <w:rPr/>
          </w:pPr>
          <w:hyperlink w:anchor="__RefHeading___Toc3140015_653776707">
            <w:r>
              <w:rPr>
                <w:webHidden/>
                <w:rStyle w:val="IndexLink"/>
                <w:rtl w:val="true"/>
              </w:rPr>
              <w:t>[</w:t>
            </w:r>
            <w:r>
              <w:rPr>
                <w:rStyle w:val="IndexLink"/>
              </w:rPr>
              <w:t>4</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نزول ماء الغيث عليه</w:t>
            </w:r>
            <w:r>
              <w:rPr>
                <w:rStyle w:val="IndexLink"/>
                <w:rtl w:val="true"/>
              </w:rPr>
              <w:t>.</w:t>
              <w:tab/>
            </w:r>
            <w:r>
              <w:rPr>
                <w:rStyle w:val="IndexLink"/>
              </w:rPr>
              <w:t>173</w:t>
            </w:r>
          </w:hyperlink>
        </w:p>
        <w:p>
          <w:pPr>
            <w:pStyle w:val="Contents6"/>
            <w:tabs>
              <w:tab w:val="clear" w:pos="7609"/>
              <w:tab w:val="right" w:pos="9026" w:leader="dot"/>
            </w:tabs>
            <w:rPr/>
          </w:pPr>
          <w:hyperlink w:anchor="__RefHeading___Toc3140017_653776707">
            <w:r>
              <w:rPr>
                <w:webHidden/>
                <w:rStyle w:val="IndexLink"/>
                <w:rtl w:val="true"/>
              </w:rPr>
              <w:t xml:space="preserve">فروع </w:t>
            </w:r>
            <w:r>
              <w:rPr>
                <w:rStyle w:val="IndexLink"/>
                <w:rtl w:val="true"/>
              </w:rPr>
              <w:t>:</w:t>
              <w:tab/>
            </w:r>
            <w:r>
              <w:rPr>
                <w:rStyle w:val="IndexLink"/>
              </w:rPr>
              <w:t>174</w:t>
            </w:r>
          </w:hyperlink>
        </w:p>
        <w:p>
          <w:pPr>
            <w:pStyle w:val="Contents6"/>
            <w:tabs>
              <w:tab w:val="clear" w:pos="7609"/>
              <w:tab w:val="right" w:pos="9026" w:leader="dot"/>
            </w:tabs>
            <w:rPr/>
          </w:pPr>
          <w:hyperlink w:anchor="__RefHeading___Toc314001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174</w:t>
            </w:r>
          </w:hyperlink>
        </w:p>
        <w:p>
          <w:pPr>
            <w:pStyle w:val="Contents6"/>
            <w:tabs>
              <w:tab w:val="clear" w:pos="7609"/>
              <w:tab w:val="right" w:pos="9026" w:leader="dot"/>
            </w:tabs>
            <w:rPr/>
          </w:pPr>
          <w:hyperlink w:anchor="__RefHeading___Toc314002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174</w:t>
            </w:r>
          </w:hyperlink>
        </w:p>
        <w:p>
          <w:pPr>
            <w:pStyle w:val="Contents6"/>
            <w:tabs>
              <w:tab w:val="clear" w:pos="7609"/>
              <w:tab w:val="right" w:pos="9026" w:leader="dot"/>
            </w:tabs>
            <w:rPr/>
          </w:pPr>
          <w:hyperlink w:anchor="__RefHeading___Toc314002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176</w:t>
            </w:r>
          </w:hyperlink>
        </w:p>
        <w:p>
          <w:pPr>
            <w:pStyle w:val="Contents6"/>
            <w:tabs>
              <w:tab w:val="clear" w:pos="7609"/>
              <w:tab w:val="right" w:pos="9026" w:leader="dot"/>
            </w:tabs>
            <w:rPr/>
          </w:pPr>
          <w:hyperlink w:anchor="__RefHeading___Toc3140025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177</w:t>
            </w:r>
          </w:hyperlink>
        </w:p>
        <w:p>
          <w:pPr>
            <w:pStyle w:val="Contents6"/>
            <w:tabs>
              <w:tab w:val="clear" w:pos="7609"/>
              <w:tab w:val="right" w:pos="9026" w:leader="dot"/>
            </w:tabs>
            <w:rPr/>
          </w:pPr>
          <w:hyperlink w:anchor="__RefHeading___Toc3140027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182</w:t>
            </w:r>
          </w:hyperlink>
        </w:p>
        <w:p>
          <w:pPr>
            <w:pStyle w:val="Contents6"/>
            <w:tabs>
              <w:tab w:val="clear" w:pos="7609"/>
              <w:tab w:val="right" w:pos="9026" w:leader="dot"/>
            </w:tabs>
            <w:rPr/>
          </w:pPr>
          <w:hyperlink w:anchor="__RefHeading___Toc3140029_65377670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3140031_653776707">
            <w:r>
              <w:rPr>
                <w:webHidden/>
                <w:rStyle w:val="IndexLink"/>
                <w:rtl w:val="true"/>
              </w:rPr>
              <w:t xml:space="preserve">فروع </w:t>
            </w:r>
            <w:r>
              <w:rPr>
                <w:rStyle w:val="IndexLink"/>
                <w:rtl w:val="true"/>
              </w:rPr>
              <w:t>:</w:t>
              <w:tab/>
            </w:r>
            <w:r>
              <w:rPr>
                <w:rStyle w:val="IndexLink"/>
              </w:rPr>
              <w:t>183</w:t>
            </w:r>
          </w:hyperlink>
        </w:p>
        <w:p>
          <w:pPr>
            <w:pStyle w:val="Contents6"/>
            <w:tabs>
              <w:tab w:val="clear" w:pos="7609"/>
              <w:tab w:val="right" w:pos="9026" w:leader="dot"/>
            </w:tabs>
            <w:rPr/>
          </w:pPr>
          <w:hyperlink w:anchor="__RefHeading___Toc314003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183</w:t>
            </w:r>
          </w:hyperlink>
        </w:p>
        <w:p>
          <w:pPr>
            <w:pStyle w:val="Contents6"/>
            <w:tabs>
              <w:tab w:val="clear" w:pos="7609"/>
              <w:tab w:val="right" w:pos="9026" w:leader="dot"/>
            </w:tabs>
            <w:rPr/>
          </w:pPr>
          <w:hyperlink w:anchor="__RefHeading___Toc314003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183</w:t>
            </w:r>
          </w:hyperlink>
        </w:p>
        <w:p>
          <w:pPr>
            <w:pStyle w:val="Contents6"/>
            <w:tabs>
              <w:tab w:val="clear" w:pos="7609"/>
              <w:tab w:val="right" w:pos="9026" w:leader="dot"/>
            </w:tabs>
            <w:rPr/>
          </w:pPr>
          <w:hyperlink w:anchor="__RefHeading___Toc314003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184</w:t>
            </w:r>
          </w:hyperlink>
        </w:p>
        <w:p>
          <w:pPr>
            <w:pStyle w:val="Contents6"/>
            <w:tabs>
              <w:tab w:val="clear" w:pos="7609"/>
              <w:tab w:val="right" w:pos="9026" w:leader="dot"/>
            </w:tabs>
            <w:rPr/>
          </w:pPr>
          <w:hyperlink w:anchor="__RefHeading___Toc314003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185</w:t>
            </w:r>
          </w:hyperlink>
        </w:p>
        <w:p>
          <w:pPr>
            <w:pStyle w:val="Contents6"/>
            <w:tabs>
              <w:tab w:val="clear" w:pos="7609"/>
              <w:tab w:val="right" w:pos="9026" w:leader="dot"/>
            </w:tabs>
            <w:rPr/>
          </w:pPr>
          <w:hyperlink w:anchor="__RefHeading___Toc314004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185</w:t>
            </w:r>
          </w:hyperlink>
        </w:p>
        <w:p>
          <w:pPr>
            <w:pStyle w:val="Contents6"/>
            <w:tabs>
              <w:tab w:val="clear" w:pos="7609"/>
              <w:tab w:val="right" w:pos="9026" w:leader="dot"/>
            </w:tabs>
            <w:rPr/>
          </w:pPr>
          <w:hyperlink w:anchor="__RefHeading___Toc3140043_653776707">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ماء البئر</w:t>
            </w:r>
            <w:r>
              <w:rPr>
                <w:rStyle w:val="IndexLink"/>
                <w:rtl w:val="true"/>
              </w:rPr>
              <w:tab/>
            </w:r>
            <w:r>
              <w:rPr>
                <w:rStyle w:val="IndexLink"/>
              </w:rPr>
              <w:t>186</w:t>
            </w:r>
          </w:hyperlink>
        </w:p>
        <w:p>
          <w:pPr>
            <w:pStyle w:val="Contents6"/>
            <w:tabs>
              <w:tab w:val="clear" w:pos="7609"/>
              <w:tab w:val="right" w:pos="9026" w:leader="dot"/>
            </w:tabs>
            <w:rPr/>
          </w:pPr>
          <w:hyperlink w:anchor="__RefHeading___Toc3140045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186</w:t>
            </w:r>
          </w:hyperlink>
        </w:p>
        <w:p>
          <w:pPr>
            <w:pStyle w:val="Contents6"/>
            <w:tabs>
              <w:tab w:val="clear" w:pos="7609"/>
              <w:tab w:val="right" w:pos="9026" w:leader="dot"/>
            </w:tabs>
            <w:rPr/>
          </w:pPr>
          <w:hyperlink w:anchor="__RefHeading___Toc3140047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192</w:t>
            </w:r>
          </w:hyperlink>
        </w:p>
        <w:p>
          <w:pPr>
            <w:pStyle w:val="Contents6"/>
            <w:tabs>
              <w:tab w:val="clear" w:pos="7609"/>
              <w:tab w:val="right" w:pos="9026" w:leader="dot"/>
            </w:tabs>
            <w:rPr/>
          </w:pPr>
          <w:hyperlink w:anchor="__RefHeading___Toc3140049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193</w:t>
            </w:r>
          </w:hyperlink>
        </w:p>
        <w:p>
          <w:pPr>
            <w:pStyle w:val="Contents6"/>
            <w:tabs>
              <w:tab w:val="clear" w:pos="7609"/>
              <w:tab w:val="right" w:pos="9026" w:leader="dot"/>
            </w:tabs>
            <w:rPr/>
          </w:pPr>
          <w:hyperlink w:anchor="__RefHeading___Toc3140051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195</w:t>
            </w:r>
          </w:hyperlink>
        </w:p>
        <w:p>
          <w:pPr>
            <w:pStyle w:val="Contents6"/>
            <w:tabs>
              <w:tab w:val="clear" w:pos="7609"/>
              <w:tab w:val="right" w:pos="9026" w:leader="dot"/>
            </w:tabs>
            <w:rPr/>
          </w:pPr>
          <w:hyperlink w:anchor="__RefHeading___Toc3140053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196</w:t>
            </w:r>
          </w:hyperlink>
        </w:p>
        <w:p>
          <w:pPr>
            <w:pStyle w:val="Contents6"/>
            <w:tabs>
              <w:tab w:val="clear" w:pos="7609"/>
              <w:tab w:val="right" w:pos="9026" w:leader="dot"/>
            </w:tabs>
            <w:rPr/>
          </w:pPr>
          <w:hyperlink w:anchor="__RefHeading___Toc3140055_653776707">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140057_653776707">
            <w:r>
              <w:rPr>
                <w:webHidden/>
                <w:rStyle w:val="IndexLink"/>
                <w:rtl w:val="true"/>
              </w:rPr>
              <w:t xml:space="preserve">فرع </w:t>
            </w:r>
            <w:r>
              <w:rPr>
                <w:rStyle w:val="IndexLink"/>
                <w:rtl w:val="true"/>
              </w:rPr>
              <w:t>:</w:t>
              <w:tab/>
            </w:r>
            <w:r>
              <w:rPr>
                <w:rStyle w:val="IndexLink"/>
              </w:rPr>
              <w:t>199</w:t>
            </w:r>
          </w:hyperlink>
        </w:p>
        <w:p>
          <w:pPr>
            <w:pStyle w:val="Contents6"/>
            <w:tabs>
              <w:tab w:val="clear" w:pos="7609"/>
              <w:tab w:val="right" w:pos="9026" w:leader="dot"/>
            </w:tabs>
            <w:rPr/>
          </w:pPr>
          <w:hyperlink w:anchor="__RefHeading___Toc3140059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199</w:t>
            </w:r>
          </w:hyperlink>
        </w:p>
        <w:p>
          <w:pPr>
            <w:pStyle w:val="Contents6"/>
            <w:tabs>
              <w:tab w:val="clear" w:pos="7609"/>
              <w:tab w:val="right" w:pos="9026" w:leader="dot"/>
            </w:tabs>
            <w:rPr/>
          </w:pPr>
          <w:hyperlink w:anchor="__RefHeading___Toc3140061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200</w:t>
            </w:r>
          </w:hyperlink>
        </w:p>
        <w:p>
          <w:pPr>
            <w:pStyle w:val="Contents6"/>
            <w:tabs>
              <w:tab w:val="clear" w:pos="7609"/>
              <w:tab w:val="right" w:pos="9026" w:leader="dot"/>
            </w:tabs>
            <w:rPr/>
          </w:pPr>
          <w:hyperlink w:anchor="__RefHeading___Toc3140063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201</w:t>
            </w:r>
          </w:hyperlink>
        </w:p>
        <w:p>
          <w:pPr>
            <w:pStyle w:val="Contents6"/>
            <w:tabs>
              <w:tab w:val="clear" w:pos="7609"/>
              <w:tab w:val="right" w:pos="9026" w:leader="dot"/>
            </w:tabs>
            <w:rPr/>
          </w:pPr>
          <w:hyperlink w:anchor="__RefHeading___Toc3140065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202</w:t>
            </w:r>
          </w:hyperlink>
        </w:p>
        <w:p>
          <w:pPr>
            <w:pStyle w:val="Contents6"/>
            <w:tabs>
              <w:tab w:val="clear" w:pos="7609"/>
              <w:tab w:val="right" w:pos="9026" w:leader="dot"/>
            </w:tabs>
            <w:rPr/>
          </w:pPr>
          <w:hyperlink w:anchor="__RefHeading___Toc3140067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203</w:t>
            </w:r>
          </w:hyperlink>
        </w:p>
        <w:p>
          <w:pPr>
            <w:pStyle w:val="Contents6"/>
            <w:tabs>
              <w:tab w:val="clear" w:pos="7609"/>
              <w:tab w:val="right" w:pos="9026" w:leader="dot"/>
            </w:tabs>
            <w:rPr/>
          </w:pPr>
          <w:hyperlink w:anchor="__RefHeading___Toc3140069_653776707">
            <w:r>
              <w:rPr>
                <w:webHidden/>
                <w:rStyle w:val="IndexLink"/>
                <w:rtl w:val="true"/>
              </w:rPr>
              <w:t xml:space="preserve">مسألة </w:t>
            </w:r>
            <w:r>
              <w:rPr>
                <w:rStyle w:val="IndexLink"/>
                <w:rtl w:val="true"/>
              </w:rPr>
              <w:t>[</w:t>
            </w:r>
            <w:r>
              <w:rPr>
                <w:rStyle w:val="IndexLink"/>
              </w:rPr>
              <w:t>11</w:t>
            </w:r>
            <w:r>
              <w:rPr>
                <w:rStyle w:val="IndexLink"/>
                <w:rtl w:val="true"/>
              </w:rPr>
              <w:t>] :</w:t>
              <w:tab/>
            </w:r>
            <w:r>
              <w:rPr>
                <w:rStyle w:val="IndexLink"/>
              </w:rPr>
              <w:t>204</w:t>
            </w:r>
          </w:hyperlink>
        </w:p>
        <w:p>
          <w:pPr>
            <w:pStyle w:val="Contents6"/>
            <w:tabs>
              <w:tab w:val="clear" w:pos="7609"/>
              <w:tab w:val="right" w:pos="9026" w:leader="dot"/>
            </w:tabs>
            <w:rPr/>
          </w:pPr>
          <w:hyperlink w:anchor="__RefHeading___Toc3140071_653776707">
            <w:r>
              <w:rPr>
                <w:webHidden/>
                <w:rStyle w:val="IndexLink"/>
                <w:rtl w:val="true"/>
              </w:rPr>
              <w:t xml:space="preserve">مسألة </w:t>
            </w:r>
            <w:r>
              <w:rPr>
                <w:rStyle w:val="IndexLink"/>
                <w:rtl w:val="true"/>
              </w:rPr>
              <w:t>[</w:t>
            </w:r>
            <w:r>
              <w:rPr>
                <w:rStyle w:val="IndexLink"/>
              </w:rPr>
              <w:t>12</w:t>
            </w:r>
            <w:r>
              <w:rPr>
                <w:rStyle w:val="IndexLink"/>
                <w:rtl w:val="true"/>
              </w:rPr>
              <w:t>] :</w:t>
              <w:tab/>
            </w:r>
            <w:r>
              <w:rPr>
                <w:rStyle w:val="IndexLink"/>
              </w:rPr>
              <w:t>206</w:t>
            </w:r>
          </w:hyperlink>
        </w:p>
        <w:p>
          <w:pPr>
            <w:pStyle w:val="Contents6"/>
            <w:tabs>
              <w:tab w:val="clear" w:pos="7609"/>
              <w:tab w:val="right" w:pos="9026" w:leader="dot"/>
            </w:tabs>
            <w:rPr/>
          </w:pPr>
          <w:hyperlink w:anchor="__RefHeading___Toc3140073_653776707">
            <w:r>
              <w:rPr>
                <w:webHidden/>
                <w:rStyle w:val="IndexLink"/>
                <w:rtl w:val="true"/>
              </w:rPr>
              <w:t xml:space="preserve">مسألة </w:t>
            </w:r>
            <w:r>
              <w:rPr>
                <w:rStyle w:val="IndexLink"/>
                <w:rtl w:val="true"/>
              </w:rPr>
              <w:t>[</w:t>
            </w:r>
            <w:r>
              <w:rPr>
                <w:rStyle w:val="IndexLink"/>
              </w:rPr>
              <w:t>13</w:t>
            </w:r>
            <w:r>
              <w:rPr>
                <w:rStyle w:val="IndexLink"/>
                <w:rtl w:val="true"/>
              </w:rPr>
              <w:t>] :</w:t>
              <w:tab/>
            </w:r>
            <w:r>
              <w:rPr>
                <w:rStyle w:val="IndexLink"/>
              </w:rPr>
              <w:t>209</w:t>
            </w:r>
          </w:hyperlink>
        </w:p>
        <w:p>
          <w:pPr>
            <w:pStyle w:val="Contents6"/>
            <w:tabs>
              <w:tab w:val="clear" w:pos="7609"/>
              <w:tab w:val="right" w:pos="9026" w:leader="dot"/>
            </w:tabs>
            <w:rPr/>
          </w:pPr>
          <w:hyperlink w:anchor="__RefHeading___Toc3140075_653776707">
            <w:r>
              <w:rPr>
                <w:webHidden/>
                <w:rStyle w:val="IndexLink"/>
                <w:rtl w:val="true"/>
              </w:rPr>
              <w:t xml:space="preserve">مسألة </w:t>
            </w:r>
            <w:r>
              <w:rPr>
                <w:rStyle w:val="IndexLink"/>
                <w:rtl w:val="true"/>
              </w:rPr>
              <w:t>[</w:t>
            </w:r>
            <w:r>
              <w:rPr>
                <w:rStyle w:val="IndexLink"/>
              </w:rPr>
              <w:t>14</w:t>
            </w:r>
            <w:r>
              <w:rPr>
                <w:rStyle w:val="IndexLink"/>
                <w:rtl w:val="true"/>
              </w:rPr>
              <w:t>] :</w:t>
              <w:tab/>
            </w:r>
            <w:r>
              <w:rPr>
                <w:rStyle w:val="IndexLink"/>
              </w:rPr>
              <w:t>216</w:t>
            </w:r>
          </w:hyperlink>
        </w:p>
        <w:p>
          <w:pPr>
            <w:pStyle w:val="Contents6"/>
            <w:tabs>
              <w:tab w:val="clear" w:pos="7609"/>
              <w:tab w:val="right" w:pos="9026" w:leader="dot"/>
            </w:tabs>
            <w:rPr/>
          </w:pPr>
          <w:hyperlink w:anchor="__RefHeading___Toc3140077_653776707">
            <w:r>
              <w:rPr>
                <w:webHidden/>
                <w:rStyle w:val="IndexLink"/>
                <w:rtl w:val="true"/>
              </w:rPr>
              <w:t xml:space="preserve">مسألة </w:t>
            </w:r>
            <w:r>
              <w:rPr>
                <w:rStyle w:val="IndexLink"/>
                <w:rtl w:val="true"/>
              </w:rPr>
              <w:t>[</w:t>
            </w:r>
            <w:r>
              <w:rPr>
                <w:rStyle w:val="IndexLink"/>
              </w:rPr>
              <w:t>15</w:t>
            </w:r>
            <w:r>
              <w:rPr>
                <w:rStyle w:val="IndexLink"/>
                <w:rtl w:val="true"/>
              </w:rPr>
              <w:t>] :</w:t>
              <w:tab/>
            </w:r>
            <w:r>
              <w:rPr>
                <w:rStyle w:val="IndexLink"/>
              </w:rPr>
              <w:t>219</w:t>
            </w:r>
          </w:hyperlink>
        </w:p>
        <w:p>
          <w:pPr>
            <w:pStyle w:val="Contents6"/>
            <w:tabs>
              <w:tab w:val="clear" w:pos="7609"/>
              <w:tab w:val="right" w:pos="9026" w:leader="dot"/>
            </w:tabs>
            <w:rPr/>
          </w:pPr>
          <w:hyperlink w:anchor="__RefHeading___Toc3140079_653776707">
            <w:r>
              <w:rPr>
                <w:webHidden/>
                <w:rStyle w:val="IndexLink"/>
                <w:rtl w:val="true"/>
              </w:rPr>
              <w:t xml:space="preserve">مسألة </w:t>
            </w:r>
            <w:r>
              <w:rPr>
                <w:rStyle w:val="IndexLink"/>
                <w:rtl w:val="true"/>
              </w:rPr>
              <w:t>[</w:t>
            </w:r>
            <w:r>
              <w:rPr>
                <w:rStyle w:val="IndexLink"/>
              </w:rPr>
              <w:t>16</w:t>
            </w:r>
            <w:r>
              <w:rPr>
                <w:rStyle w:val="IndexLink"/>
                <w:rtl w:val="true"/>
              </w:rPr>
              <w:t>] :</w:t>
              <w:tab/>
            </w:r>
            <w:r>
              <w:rPr>
                <w:rStyle w:val="IndexLink"/>
              </w:rPr>
              <w:t>221</w:t>
            </w:r>
          </w:hyperlink>
        </w:p>
        <w:p>
          <w:pPr>
            <w:pStyle w:val="Contents6"/>
            <w:tabs>
              <w:tab w:val="clear" w:pos="7609"/>
              <w:tab w:val="right" w:pos="9026" w:leader="dot"/>
            </w:tabs>
            <w:rPr/>
          </w:pPr>
          <w:hyperlink w:anchor="__RefHeading___Toc3140081_65377670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140083_653776707">
            <w:r>
              <w:rPr>
                <w:webHidden/>
                <w:rStyle w:val="IndexLink"/>
                <w:rtl w:val="true"/>
              </w:rPr>
              <w:t xml:space="preserve">فرعان </w:t>
            </w:r>
            <w:r>
              <w:rPr>
                <w:rStyle w:val="IndexLink"/>
                <w:rtl w:val="true"/>
              </w:rPr>
              <w:t>:</w:t>
              <w:tab/>
            </w:r>
            <w:r>
              <w:rPr>
                <w:rStyle w:val="IndexLink"/>
              </w:rPr>
              <w:t>223</w:t>
            </w:r>
          </w:hyperlink>
        </w:p>
        <w:p>
          <w:pPr>
            <w:pStyle w:val="Contents6"/>
            <w:tabs>
              <w:tab w:val="clear" w:pos="7609"/>
              <w:tab w:val="right" w:pos="9026" w:leader="dot"/>
            </w:tabs>
            <w:rPr/>
          </w:pPr>
          <w:hyperlink w:anchor="__RefHeading___Toc314008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223</w:t>
            </w:r>
          </w:hyperlink>
        </w:p>
        <w:p>
          <w:pPr>
            <w:pStyle w:val="Contents6"/>
            <w:tabs>
              <w:tab w:val="clear" w:pos="7609"/>
              <w:tab w:val="right" w:pos="9026" w:leader="dot"/>
            </w:tabs>
            <w:rPr/>
          </w:pPr>
          <w:hyperlink w:anchor="__RefHeading___Toc314008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224</w:t>
            </w:r>
          </w:hyperlink>
        </w:p>
        <w:p>
          <w:pPr>
            <w:pStyle w:val="Contents6"/>
            <w:tabs>
              <w:tab w:val="clear" w:pos="7609"/>
              <w:tab w:val="right" w:pos="9026" w:leader="dot"/>
            </w:tabs>
            <w:rPr/>
          </w:pPr>
          <w:hyperlink w:anchor="__RefHeading___Toc3140089_653776707">
            <w:r>
              <w:rPr>
                <w:webHidden/>
                <w:rStyle w:val="IndexLink"/>
                <w:rtl w:val="true"/>
              </w:rPr>
              <w:t xml:space="preserve">مسألة </w:t>
            </w:r>
            <w:r>
              <w:rPr>
                <w:rStyle w:val="IndexLink"/>
                <w:rtl w:val="true"/>
              </w:rPr>
              <w:t>[</w:t>
            </w:r>
            <w:r>
              <w:rPr>
                <w:rStyle w:val="IndexLink"/>
              </w:rPr>
              <w:t>17</w:t>
            </w:r>
            <w:r>
              <w:rPr>
                <w:rStyle w:val="IndexLink"/>
                <w:rtl w:val="true"/>
              </w:rPr>
              <w:t>] :</w:t>
              <w:tab/>
            </w:r>
            <w:r>
              <w:rPr>
                <w:rStyle w:val="IndexLink"/>
              </w:rPr>
              <w:t>225</w:t>
            </w:r>
          </w:hyperlink>
        </w:p>
        <w:p>
          <w:pPr>
            <w:pStyle w:val="Contents6"/>
            <w:tabs>
              <w:tab w:val="clear" w:pos="7609"/>
              <w:tab w:val="right" w:pos="9026" w:leader="dot"/>
            </w:tabs>
            <w:rPr/>
          </w:pPr>
          <w:hyperlink w:anchor="__RefHeading___Toc3140091_653776707">
            <w:r>
              <w:rPr>
                <w:webHidden/>
                <w:rStyle w:val="IndexLink"/>
                <w:rtl w:val="true"/>
              </w:rPr>
              <w:t xml:space="preserve">مسألة </w:t>
            </w:r>
            <w:r>
              <w:rPr>
                <w:rStyle w:val="IndexLink"/>
                <w:rtl w:val="true"/>
              </w:rPr>
              <w:t>[</w:t>
            </w:r>
            <w:r>
              <w:rPr>
                <w:rStyle w:val="IndexLink"/>
              </w:rPr>
              <w:t>18</w:t>
            </w:r>
            <w:r>
              <w:rPr>
                <w:rStyle w:val="IndexLink"/>
                <w:rtl w:val="true"/>
              </w:rPr>
              <w:t>] :</w:t>
              <w:tab/>
            </w:r>
            <w:r>
              <w:rPr>
                <w:rStyle w:val="IndexLink"/>
              </w:rPr>
              <w:t>230</w:t>
            </w:r>
          </w:hyperlink>
        </w:p>
        <w:p>
          <w:pPr>
            <w:pStyle w:val="Contents6"/>
            <w:tabs>
              <w:tab w:val="clear" w:pos="7609"/>
              <w:tab w:val="right" w:pos="9026" w:leader="dot"/>
            </w:tabs>
            <w:rPr/>
          </w:pPr>
          <w:hyperlink w:anchor="__RefHeading___Toc3140093_653776707">
            <w:r>
              <w:rPr>
                <w:webHidden/>
                <w:rStyle w:val="IndexLink"/>
                <w:rtl w:val="true"/>
              </w:rPr>
              <w:t xml:space="preserve">مسألة </w:t>
            </w:r>
            <w:r>
              <w:rPr>
                <w:rStyle w:val="IndexLink"/>
                <w:rtl w:val="true"/>
              </w:rPr>
              <w:t>[</w:t>
            </w:r>
            <w:r>
              <w:rPr>
                <w:rStyle w:val="IndexLink"/>
              </w:rPr>
              <w:t>19</w:t>
            </w:r>
            <w:r>
              <w:rPr>
                <w:rStyle w:val="IndexLink"/>
                <w:rtl w:val="true"/>
              </w:rPr>
              <w:t>] :</w:t>
              <w:tab/>
            </w:r>
            <w:r>
              <w:rPr>
                <w:rStyle w:val="IndexLink"/>
              </w:rPr>
              <w:t>232</w:t>
            </w:r>
          </w:hyperlink>
        </w:p>
        <w:p>
          <w:pPr>
            <w:pStyle w:val="Contents6"/>
            <w:tabs>
              <w:tab w:val="clear" w:pos="7609"/>
              <w:tab w:val="right" w:pos="9026" w:leader="dot"/>
            </w:tabs>
            <w:rPr/>
          </w:pPr>
          <w:hyperlink w:anchor="__RefHeading___Toc3140095_653776707">
            <w:r>
              <w:rPr>
                <w:webHidden/>
                <w:rStyle w:val="IndexLink"/>
                <w:rtl w:val="true"/>
              </w:rPr>
              <w:t xml:space="preserve">مسألة </w:t>
            </w:r>
            <w:r>
              <w:rPr>
                <w:rStyle w:val="IndexLink"/>
                <w:rtl w:val="true"/>
              </w:rPr>
              <w:t>[</w:t>
            </w:r>
            <w:r>
              <w:rPr>
                <w:rStyle w:val="IndexLink"/>
              </w:rPr>
              <w:t>20</w:t>
            </w:r>
            <w:r>
              <w:rPr>
                <w:rStyle w:val="IndexLink"/>
                <w:rtl w:val="true"/>
              </w:rPr>
              <w:t>] :</w:t>
              <w:tab/>
            </w:r>
            <w:r>
              <w:rPr>
                <w:rStyle w:val="IndexLink"/>
              </w:rPr>
              <w:t>233</w:t>
            </w:r>
          </w:hyperlink>
        </w:p>
        <w:p>
          <w:pPr>
            <w:pStyle w:val="Contents6"/>
            <w:tabs>
              <w:tab w:val="clear" w:pos="7609"/>
              <w:tab w:val="right" w:pos="9026" w:leader="dot"/>
            </w:tabs>
            <w:rPr/>
          </w:pPr>
          <w:hyperlink w:anchor="__RefHeading___Toc3140097_653776707">
            <w:r>
              <w:rPr>
                <w:webHidden/>
                <w:rStyle w:val="IndexLink"/>
                <w:rtl w:val="true"/>
              </w:rPr>
              <w:t xml:space="preserve">مسألة </w:t>
            </w:r>
            <w:r>
              <w:rPr>
                <w:rStyle w:val="IndexLink"/>
                <w:rtl w:val="true"/>
              </w:rPr>
              <w:t>[</w:t>
            </w:r>
            <w:r>
              <w:rPr>
                <w:rStyle w:val="IndexLink"/>
              </w:rPr>
              <w:t>21</w:t>
            </w:r>
            <w:r>
              <w:rPr>
                <w:rStyle w:val="IndexLink"/>
                <w:rtl w:val="true"/>
              </w:rPr>
              <w:t>] :</w:t>
              <w:tab/>
            </w:r>
            <w:r>
              <w:rPr>
                <w:rStyle w:val="IndexLink"/>
              </w:rPr>
              <w:t>235</w:t>
            </w:r>
          </w:hyperlink>
        </w:p>
        <w:p>
          <w:pPr>
            <w:pStyle w:val="Contents6"/>
            <w:tabs>
              <w:tab w:val="clear" w:pos="7609"/>
              <w:tab w:val="right" w:pos="9026" w:leader="dot"/>
            </w:tabs>
            <w:rPr/>
          </w:pPr>
          <w:hyperlink w:anchor="__RefHeading___Toc3140099_653776707">
            <w:r>
              <w:rPr>
                <w:webHidden/>
                <w:rStyle w:val="IndexLink"/>
                <w:rtl w:val="true"/>
              </w:rPr>
              <w:t xml:space="preserve">مسألة </w:t>
            </w:r>
            <w:r>
              <w:rPr>
                <w:rStyle w:val="IndexLink"/>
                <w:rtl w:val="true"/>
              </w:rPr>
              <w:t>[</w:t>
            </w:r>
            <w:r>
              <w:rPr>
                <w:rStyle w:val="IndexLink"/>
              </w:rPr>
              <w:t>22</w:t>
            </w:r>
            <w:r>
              <w:rPr>
                <w:rStyle w:val="IndexLink"/>
                <w:rtl w:val="true"/>
              </w:rPr>
              <w:t>] :</w:t>
              <w:tab/>
            </w:r>
            <w:r>
              <w:rPr>
                <w:rStyle w:val="IndexLink"/>
              </w:rPr>
              <w:t>235</w:t>
            </w:r>
          </w:hyperlink>
        </w:p>
        <w:p>
          <w:pPr>
            <w:pStyle w:val="Contents6"/>
            <w:tabs>
              <w:tab w:val="clear" w:pos="7609"/>
              <w:tab w:val="right" w:pos="9026" w:leader="dot"/>
            </w:tabs>
            <w:rPr/>
          </w:pPr>
          <w:hyperlink w:anchor="__RefHeading___Toc3140101_653776707">
            <w:r>
              <w:rPr>
                <w:webHidden/>
                <w:rStyle w:val="IndexLink"/>
                <w:rtl w:val="true"/>
              </w:rPr>
              <w:t xml:space="preserve">مسألة </w:t>
            </w:r>
            <w:r>
              <w:rPr>
                <w:rStyle w:val="IndexLink"/>
                <w:rtl w:val="true"/>
              </w:rPr>
              <w:t>[</w:t>
            </w:r>
            <w:r>
              <w:rPr>
                <w:rStyle w:val="IndexLink"/>
              </w:rPr>
              <w:t>23</w:t>
            </w:r>
            <w:r>
              <w:rPr>
                <w:rStyle w:val="IndexLink"/>
                <w:rtl w:val="true"/>
              </w:rPr>
              <w:t>] :</w:t>
              <w:tab/>
            </w:r>
            <w:r>
              <w:rPr>
                <w:rStyle w:val="IndexLink"/>
              </w:rPr>
              <w:t>237</w:t>
            </w:r>
          </w:hyperlink>
        </w:p>
        <w:p>
          <w:pPr>
            <w:pStyle w:val="Contents6"/>
            <w:tabs>
              <w:tab w:val="clear" w:pos="7609"/>
              <w:tab w:val="right" w:pos="9026" w:leader="dot"/>
            </w:tabs>
            <w:rPr/>
          </w:pPr>
          <w:hyperlink w:anchor="__RefHeading___Toc3140103_653776707">
            <w:r>
              <w:rPr>
                <w:webHidden/>
                <w:rStyle w:val="IndexLink"/>
                <w:rtl w:val="true"/>
              </w:rPr>
              <w:t xml:space="preserve">مسألة </w:t>
            </w:r>
            <w:r>
              <w:rPr>
                <w:rStyle w:val="IndexLink"/>
                <w:rtl w:val="true"/>
              </w:rPr>
              <w:t>[</w:t>
            </w:r>
            <w:r>
              <w:rPr>
                <w:rStyle w:val="IndexLink"/>
              </w:rPr>
              <w:t>24</w:t>
            </w:r>
            <w:r>
              <w:rPr>
                <w:rStyle w:val="IndexLink"/>
                <w:rtl w:val="true"/>
              </w:rPr>
              <w:t>] :</w:t>
              <w:tab/>
            </w:r>
            <w:r>
              <w:rPr>
                <w:rStyle w:val="IndexLink"/>
              </w:rPr>
              <w:t>240</w:t>
            </w:r>
          </w:hyperlink>
        </w:p>
        <w:p>
          <w:pPr>
            <w:pStyle w:val="Contents6"/>
            <w:tabs>
              <w:tab w:val="clear" w:pos="7609"/>
              <w:tab w:val="right" w:pos="9026" w:leader="dot"/>
            </w:tabs>
            <w:rPr/>
          </w:pPr>
          <w:hyperlink w:anchor="__RefHeading___Toc3140105_653776707">
            <w:r>
              <w:rPr>
                <w:webHidden/>
                <w:rStyle w:val="IndexLink"/>
                <w:rtl w:val="true"/>
              </w:rPr>
              <w:t xml:space="preserve">مسألة </w:t>
            </w:r>
            <w:r>
              <w:rPr>
                <w:rStyle w:val="IndexLink"/>
                <w:rtl w:val="true"/>
              </w:rPr>
              <w:t>[</w:t>
            </w:r>
            <w:r>
              <w:rPr>
                <w:rStyle w:val="IndexLink"/>
              </w:rPr>
              <w:t>25</w:t>
            </w:r>
            <w:r>
              <w:rPr>
                <w:rStyle w:val="IndexLink"/>
                <w:rtl w:val="true"/>
              </w:rPr>
              <w:t>] :</w:t>
              <w:tab/>
            </w:r>
            <w:r>
              <w:rPr>
                <w:rStyle w:val="IndexLink"/>
              </w:rPr>
              <w:t>241</w:t>
            </w:r>
          </w:hyperlink>
        </w:p>
        <w:p>
          <w:pPr>
            <w:pStyle w:val="Contents6"/>
            <w:tabs>
              <w:tab w:val="clear" w:pos="7609"/>
              <w:tab w:val="right" w:pos="9026" w:leader="dot"/>
            </w:tabs>
            <w:rPr/>
          </w:pPr>
          <w:hyperlink w:anchor="__RefHeading___Toc3140107_653776707">
            <w:r>
              <w:rPr>
                <w:webHidden/>
                <w:rStyle w:val="IndexLink"/>
                <w:rtl w:val="true"/>
              </w:rPr>
              <w:t xml:space="preserve">مسألة </w:t>
            </w:r>
            <w:r>
              <w:rPr>
                <w:rStyle w:val="IndexLink"/>
                <w:rtl w:val="true"/>
              </w:rPr>
              <w:t>[</w:t>
            </w:r>
            <w:r>
              <w:rPr>
                <w:rStyle w:val="IndexLink"/>
              </w:rPr>
              <w:t>26</w:t>
            </w:r>
            <w:r>
              <w:rPr>
                <w:rStyle w:val="IndexLink"/>
                <w:rtl w:val="true"/>
              </w:rPr>
              <w:t>] :</w:t>
              <w:tab/>
            </w:r>
            <w:r>
              <w:rPr>
                <w:rStyle w:val="IndexLink"/>
              </w:rPr>
              <w:t>245</w:t>
            </w:r>
          </w:hyperlink>
        </w:p>
        <w:p>
          <w:pPr>
            <w:pStyle w:val="Contents6"/>
            <w:tabs>
              <w:tab w:val="clear" w:pos="7609"/>
              <w:tab w:val="right" w:pos="9026" w:leader="dot"/>
            </w:tabs>
            <w:rPr/>
          </w:pPr>
          <w:hyperlink w:anchor="__RefHeading___Toc3140109_653776707">
            <w:r>
              <w:rPr>
                <w:webHidden/>
                <w:rStyle w:val="IndexLink"/>
                <w:rtl w:val="true"/>
              </w:rPr>
              <w:t xml:space="preserve">مسألة </w:t>
            </w:r>
            <w:r>
              <w:rPr>
                <w:rStyle w:val="IndexLink"/>
                <w:rtl w:val="true"/>
              </w:rPr>
              <w:t>[</w:t>
            </w:r>
            <w:r>
              <w:rPr>
                <w:rStyle w:val="IndexLink"/>
              </w:rPr>
              <w:t>27</w:t>
            </w:r>
            <w:r>
              <w:rPr>
                <w:rStyle w:val="IndexLink"/>
                <w:rtl w:val="true"/>
              </w:rPr>
              <w:t>] :</w:t>
              <w:tab/>
            </w:r>
            <w:r>
              <w:rPr>
                <w:rStyle w:val="IndexLink"/>
              </w:rPr>
              <w:t>250</w:t>
            </w:r>
          </w:hyperlink>
        </w:p>
        <w:p>
          <w:pPr>
            <w:pStyle w:val="Contents6"/>
            <w:tabs>
              <w:tab w:val="clear" w:pos="7609"/>
              <w:tab w:val="right" w:pos="9026" w:leader="dot"/>
            </w:tabs>
            <w:rPr/>
          </w:pPr>
          <w:hyperlink w:anchor="__RefHeading___Toc3140111_653776707">
            <w:r>
              <w:rPr>
                <w:webHidden/>
                <w:rStyle w:val="IndexLink"/>
                <w:rtl w:val="true"/>
              </w:rPr>
              <w:t xml:space="preserve">مسألة </w:t>
            </w:r>
            <w:r>
              <w:rPr>
                <w:rStyle w:val="IndexLink"/>
                <w:rtl w:val="true"/>
              </w:rPr>
              <w:t>[</w:t>
            </w:r>
            <w:r>
              <w:rPr>
                <w:rStyle w:val="IndexLink"/>
              </w:rPr>
              <w:t>28</w:t>
            </w:r>
            <w:r>
              <w:rPr>
                <w:rStyle w:val="IndexLink"/>
                <w:rtl w:val="true"/>
              </w:rPr>
              <w:t>] :</w:t>
              <w:tab/>
            </w:r>
            <w:r>
              <w:rPr>
                <w:rStyle w:val="IndexLink"/>
              </w:rPr>
              <w:t>252</w:t>
            </w:r>
          </w:hyperlink>
        </w:p>
        <w:p>
          <w:pPr>
            <w:pStyle w:val="Contents6"/>
            <w:tabs>
              <w:tab w:val="clear" w:pos="7609"/>
              <w:tab w:val="right" w:pos="9026" w:leader="dot"/>
            </w:tabs>
            <w:rPr/>
          </w:pPr>
          <w:hyperlink w:anchor="__RefHeading___Toc3140113_653776707">
            <w:r>
              <w:rPr>
                <w:webHidden/>
                <w:rStyle w:val="IndexLink"/>
                <w:rtl w:val="true"/>
              </w:rPr>
              <w:t xml:space="preserve">مسألة </w:t>
            </w:r>
            <w:r>
              <w:rPr>
                <w:rStyle w:val="IndexLink"/>
                <w:rtl w:val="true"/>
              </w:rPr>
              <w:t>[</w:t>
            </w:r>
            <w:r>
              <w:rPr>
                <w:rStyle w:val="IndexLink"/>
              </w:rPr>
              <w:t>29</w:t>
            </w:r>
            <w:r>
              <w:rPr>
                <w:rStyle w:val="IndexLink"/>
                <w:rtl w:val="true"/>
              </w:rPr>
              <w:t>] :</w:t>
              <w:tab/>
            </w:r>
            <w:r>
              <w:rPr>
                <w:rStyle w:val="IndexLink"/>
              </w:rPr>
              <w:t>254</w:t>
            </w:r>
          </w:hyperlink>
        </w:p>
        <w:p>
          <w:pPr>
            <w:pStyle w:val="Contents6"/>
            <w:tabs>
              <w:tab w:val="clear" w:pos="7609"/>
              <w:tab w:val="right" w:pos="9026" w:leader="dot"/>
            </w:tabs>
            <w:rPr/>
          </w:pPr>
          <w:hyperlink w:anchor="__RefHeading___Toc3140115_653776707">
            <w:r>
              <w:rPr>
                <w:webHidden/>
                <w:rStyle w:val="IndexLink"/>
                <w:rtl w:val="true"/>
              </w:rPr>
              <w:t xml:space="preserve">مسألة </w:t>
            </w:r>
            <w:r>
              <w:rPr>
                <w:rStyle w:val="IndexLink"/>
                <w:rtl w:val="true"/>
              </w:rPr>
              <w:t>[</w:t>
            </w:r>
            <w:r>
              <w:rPr>
                <w:rStyle w:val="IndexLink"/>
              </w:rPr>
              <w:t>30</w:t>
            </w:r>
            <w:r>
              <w:rPr>
                <w:rStyle w:val="IndexLink"/>
                <w:rtl w:val="true"/>
              </w:rPr>
              <w:t>] :</w:t>
              <w:tab/>
            </w:r>
            <w:r>
              <w:rPr>
                <w:rStyle w:val="IndexLink"/>
              </w:rPr>
              <w:t>255</w:t>
            </w:r>
          </w:hyperlink>
        </w:p>
        <w:p>
          <w:pPr>
            <w:pStyle w:val="Contents6"/>
            <w:tabs>
              <w:tab w:val="clear" w:pos="7609"/>
              <w:tab w:val="right" w:pos="9026" w:leader="dot"/>
            </w:tabs>
            <w:rPr/>
          </w:pPr>
          <w:hyperlink w:anchor="__RefHeading___Toc3140117_653776707">
            <w:r>
              <w:rPr>
                <w:webHidden/>
                <w:rStyle w:val="IndexLink"/>
                <w:rtl w:val="true"/>
              </w:rPr>
              <w:t xml:space="preserve">مسألة </w:t>
            </w:r>
            <w:r>
              <w:rPr>
                <w:rStyle w:val="IndexLink"/>
                <w:rtl w:val="true"/>
              </w:rPr>
              <w:t>[</w:t>
            </w:r>
            <w:r>
              <w:rPr>
                <w:rStyle w:val="IndexLink"/>
              </w:rPr>
              <w:t>31</w:t>
            </w:r>
            <w:r>
              <w:rPr>
                <w:rStyle w:val="IndexLink"/>
                <w:rtl w:val="true"/>
              </w:rPr>
              <w:t>] :</w:t>
              <w:tab/>
            </w:r>
            <w:r>
              <w:rPr>
                <w:rStyle w:val="IndexLink"/>
              </w:rPr>
              <w:t>258</w:t>
            </w:r>
          </w:hyperlink>
        </w:p>
        <w:p>
          <w:pPr>
            <w:pStyle w:val="Contents6"/>
            <w:tabs>
              <w:tab w:val="clear" w:pos="7609"/>
              <w:tab w:val="right" w:pos="9026" w:leader="dot"/>
            </w:tabs>
            <w:rPr/>
          </w:pPr>
          <w:hyperlink w:anchor="__RefHeading___Toc3140119_653776707">
            <w:r>
              <w:rPr>
                <w:webHidden/>
                <w:rStyle w:val="IndexLink"/>
                <w:rtl w:val="true"/>
              </w:rPr>
              <w:t xml:space="preserve">مسألة </w:t>
            </w:r>
            <w:r>
              <w:rPr>
                <w:rStyle w:val="IndexLink"/>
                <w:rtl w:val="true"/>
              </w:rPr>
              <w:t>[</w:t>
            </w:r>
            <w:r>
              <w:rPr>
                <w:rStyle w:val="IndexLink"/>
              </w:rPr>
              <w:t>32</w:t>
            </w:r>
            <w:r>
              <w:rPr>
                <w:rStyle w:val="IndexLink"/>
                <w:rtl w:val="true"/>
              </w:rPr>
              <w:t>] :</w:t>
              <w:tab/>
            </w:r>
            <w:r>
              <w:rPr>
                <w:rStyle w:val="IndexLink"/>
              </w:rPr>
              <w:t>261</w:t>
            </w:r>
          </w:hyperlink>
        </w:p>
        <w:p>
          <w:pPr>
            <w:pStyle w:val="Contents6"/>
            <w:tabs>
              <w:tab w:val="clear" w:pos="7609"/>
              <w:tab w:val="right" w:pos="9026" w:leader="dot"/>
            </w:tabs>
            <w:rPr/>
          </w:pPr>
          <w:hyperlink w:anchor="__RefHeading___Toc3140121_653776707">
            <w:r>
              <w:rPr>
                <w:webHidden/>
                <w:rStyle w:val="IndexLink"/>
                <w:rtl w:val="true"/>
              </w:rPr>
              <w:t xml:space="preserve">مسألة </w:t>
            </w:r>
            <w:r>
              <w:rPr>
                <w:rStyle w:val="IndexLink"/>
                <w:rtl w:val="true"/>
              </w:rPr>
              <w:t>[</w:t>
            </w:r>
            <w:r>
              <w:rPr>
                <w:rStyle w:val="IndexLink"/>
              </w:rPr>
              <w:t>33</w:t>
            </w:r>
            <w:r>
              <w:rPr>
                <w:rStyle w:val="IndexLink"/>
                <w:rtl w:val="true"/>
              </w:rPr>
              <w:t>] :</w:t>
              <w:tab/>
            </w:r>
            <w:r>
              <w:rPr>
                <w:rStyle w:val="IndexLink"/>
              </w:rPr>
              <w:t>264</w:t>
            </w:r>
          </w:hyperlink>
        </w:p>
        <w:p>
          <w:pPr>
            <w:pStyle w:val="Contents6"/>
            <w:tabs>
              <w:tab w:val="clear" w:pos="7609"/>
              <w:tab w:val="right" w:pos="9026" w:leader="dot"/>
            </w:tabs>
            <w:rPr/>
          </w:pPr>
          <w:hyperlink w:anchor="__RefHeading___Toc3140123_65377670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140125_653776707">
            <w:r>
              <w:rPr>
                <w:webHidden/>
                <w:rStyle w:val="IndexLink"/>
                <w:rtl w:val="true"/>
              </w:rPr>
              <w:t xml:space="preserve">فرع </w:t>
            </w:r>
            <w:r>
              <w:rPr>
                <w:rStyle w:val="IndexLink"/>
                <w:rtl w:val="true"/>
              </w:rPr>
              <w:t>:</w:t>
              <w:tab/>
            </w:r>
            <w:r>
              <w:rPr>
                <w:rStyle w:val="IndexLink"/>
              </w:rPr>
              <w:t>266</w:t>
            </w:r>
          </w:hyperlink>
        </w:p>
        <w:p>
          <w:pPr>
            <w:pStyle w:val="Contents6"/>
            <w:tabs>
              <w:tab w:val="clear" w:pos="7609"/>
              <w:tab w:val="right" w:pos="9026" w:leader="dot"/>
            </w:tabs>
            <w:rPr/>
          </w:pPr>
          <w:hyperlink w:anchor="__RefHeading___Toc3140127_653776707">
            <w:r>
              <w:rPr>
                <w:webHidden/>
                <w:rStyle w:val="IndexLink"/>
                <w:rtl w:val="true"/>
              </w:rPr>
              <w:t xml:space="preserve">مسألة </w:t>
            </w:r>
            <w:r>
              <w:rPr>
                <w:rStyle w:val="IndexLink"/>
                <w:rtl w:val="true"/>
              </w:rPr>
              <w:t>[</w:t>
            </w:r>
            <w:r>
              <w:rPr>
                <w:rStyle w:val="IndexLink"/>
              </w:rPr>
              <w:t>34</w:t>
            </w:r>
            <w:r>
              <w:rPr>
                <w:rStyle w:val="IndexLink"/>
                <w:rtl w:val="true"/>
              </w:rPr>
              <w:t>] :</w:t>
              <w:tab/>
            </w:r>
            <w:r>
              <w:rPr>
                <w:rStyle w:val="IndexLink"/>
              </w:rPr>
              <w:t>267</w:t>
            </w:r>
          </w:hyperlink>
        </w:p>
        <w:p>
          <w:pPr>
            <w:pStyle w:val="Contents6"/>
            <w:tabs>
              <w:tab w:val="clear" w:pos="7609"/>
              <w:tab w:val="right" w:pos="9026" w:leader="dot"/>
            </w:tabs>
            <w:rPr/>
          </w:pPr>
          <w:hyperlink w:anchor="__RefHeading___Toc3140129_65377670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140131_653776707">
            <w:r>
              <w:rPr>
                <w:webHidden/>
                <w:rStyle w:val="IndexLink"/>
                <w:rtl w:val="true"/>
              </w:rPr>
              <w:t xml:space="preserve">فرع </w:t>
            </w:r>
            <w:r>
              <w:rPr>
                <w:rStyle w:val="IndexLink"/>
                <w:rtl w:val="true"/>
              </w:rPr>
              <w:t>:</w:t>
              <w:tab/>
            </w:r>
            <w:r>
              <w:rPr>
                <w:rStyle w:val="IndexLink"/>
              </w:rPr>
              <w:t>268</w:t>
            </w:r>
          </w:hyperlink>
        </w:p>
        <w:p>
          <w:pPr>
            <w:pStyle w:val="Contents6"/>
            <w:tabs>
              <w:tab w:val="clear" w:pos="7609"/>
              <w:tab w:val="right" w:pos="9026" w:leader="dot"/>
            </w:tabs>
            <w:rPr/>
          </w:pPr>
          <w:hyperlink w:anchor="__RefHeading___Toc3140133_653776707">
            <w:r>
              <w:rPr>
                <w:webHidden/>
                <w:rStyle w:val="IndexLink"/>
                <w:rtl w:val="true"/>
              </w:rPr>
              <w:t xml:space="preserve">تتمّة تشتمل على مسائل </w:t>
            </w:r>
            <w:r>
              <w:rPr>
                <w:rStyle w:val="IndexLink"/>
                <w:rtl w:val="true"/>
              </w:rPr>
              <w:t>:</w:t>
              <w:tab/>
            </w:r>
            <w:r>
              <w:rPr>
                <w:rStyle w:val="IndexLink"/>
              </w:rPr>
              <w:t>269</w:t>
            </w:r>
          </w:hyperlink>
        </w:p>
        <w:p>
          <w:pPr>
            <w:pStyle w:val="Contents6"/>
            <w:tabs>
              <w:tab w:val="clear" w:pos="7609"/>
              <w:tab w:val="right" w:pos="9026" w:leader="dot"/>
            </w:tabs>
            <w:rPr/>
          </w:pPr>
          <w:hyperlink w:anchor="__RefHeading___Toc3140135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الاولى </w:t>
            </w:r>
            <w:r>
              <w:rPr>
                <w:rStyle w:val="IndexLink"/>
                <w:rtl w:val="true"/>
              </w:rPr>
              <w:t>:</w:t>
              <w:tab/>
            </w:r>
            <w:r>
              <w:rPr>
                <w:rStyle w:val="IndexLink"/>
              </w:rPr>
              <w:t>269</w:t>
            </w:r>
          </w:hyperlink>
        </w:p>
        <w:p>
          <w:pPr>
            <w:pStyle w:val="Contents6"/>
            <w:tabs>
              <w:tab w:val="clear" w:pos="7609"/>
              <w:tab w:val="right" w:pos="9026" w:leader="dot"/>
            </w:tabs>
            <w:rPr/>
          </w:pPr>
          <w:hyperlink w:anchor="__RefHeading___Toc314013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الثانية </w:t>
            </w:r>
            <w:r>
              <w:rPr>
                <w:rStyle w:val="IndexLink"/>
                <w:rtl w:val="true"/>
              </w:rPr>
              <w:t>:</w:t>
              <w:tab/>
            </w:r>
            <w:r>
              <w:rPr>
                <w:rStyle w:val="IndexLink"/>
              </w:rPr>
              <w:t>271</w:t>
            </w:r>
          </w:hyperlink>
        </w:p>
        <w:p>
          <w:pPr>
            <w:pStyle w:val="Contents6"/>
            <w:tabs>
              <w:tab w:val="clear" w:pos="7609"/>
              <w:tab w:val="right" w:pos="9026" w:leader="dot"/>
            </w:tabs>
            <w:rPr/>
          </w:pPr>
          <w:hyperlink w:anchor="__RefHeading___Toc3140139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الثالثة </w:t>
            </w:r>
            <w:r>
              <w:rPr>
                <w:rStyle w:val="IndexLink"/>
                <w:rtl w:val="true"/>
              </w:rPr>
              <w:t>:</w:t>
              <w:tab/>
            </w:r>
            <w:r>
              <w:rPr>
                <w:rStyle w:val="IndexLink"/>
              </w:rPr>
              <w:t>277</w:t>
            </w:r>
          </w:hyperlink>
        </w:p>
        <w:p>
          <w:pPr>
            <w:pStyle w:val="Contents6"/>
            <w:tabs>
              <w:tab w:val="clear" w:pos="7609"/>
              <w:tab w:val="right" w:pos="9026" w:leader="dot"/>
            </w:tabs>
            <w:rPr/>
          </w:pPr>
          <w:hyperlink w:anchor="__RefHeading___Toc3140141_653776707">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140143_653776707">
            <w:r>
              <w:rPr>
                <w:webHidden/>
                <w:rStyle w:val="IndexLink"/>
                <w:rtl w:val="true"/>
              </w:rPr>
              <w:t xml:space="preserve">حجّة الموجبين لنزح الجميع مطلقا </w:t>
            </w:r>
            <w:r>
              <w:rPr>
                <w:rStyle w:val="IndexLink"/>
                <w:rtl w:val="true"/>
              </w:rPr>
              <w:t>:</w:t>
              <w:tab/>
            </w:r>
            <w:r>
              <w:rPr>
                <w:rStyle w:val="IndexLink"/>
              </w:rPr>
              <w:t>280</w:t>
            </w:r>
          </w:hyperlink>
        </w:p>
        <w:p>
          <w:pPr>
            <w:pStyle w:val="Contents6"/>
            <w:tabs>
              <w:tab w:val="clear" w:pos="7609"/>
              <w:tab w:val="right" w:pos="9026" w:leader="dot"/>
            </w:tabs>
            <w:rPr/>
          </w:pPr>
          <w:hyperlink w:anchor="__RefHeading___Toc3140145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الرابعة </w:t>
            </w:r>
            <w:r>
              <w:rPr>
                <w:rStyle w:val="IndexLink"/>
                <w:rtl w:val="true"/>
              </w:rPr>
              <w:t>:</w:t>
              <w:tab/>
            </w:r>
            <w:r>
              <w:rPr>
                <w:rStyle w:val="IndexLink"/>
              </w:rPr>
              <w:t>285</w:t>
            </w:r>
          </w:hyperlink>
        </w:p>
        <w:p>
          <w:pPr>
            <w:pStyle w:val="Contents6"/>
            <w:tabs>
              <w:tab w:val="clear" w:pos="7609"/>
              <w:tab w:val="right" w:pos="9026" w:leader="dot"/>
            </w:tabs>
            <w:rPr/>
          </w:pPr>
          <w:hyperlink w:anchor="__RefHeading___Toc314014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الخامسة </w:t>
            </w:r>
            <w:r>
              <w:rPr>
                <w:rStyle w:val="IndexLink"/>
                <w:rtl w:val="true"/>
              </w:rPr>
              <w:t>:</w:t>
              <w:tab/>
            </w:r>
            <w:r>
              <w:rPr>
                <w:rStyle w:val="IndexLink"/>
              </w:rPr>
              <w:t>289</w:t>
            </w:r>
          </w:hyperlink>
        </w:p>
        <w:p>
          <w:pPr>
            <w:pStyle w:val="Contents6"/>
            <w:tabs>
              <w:tab w:val="clear" w:pos="7609"/>
              <w:tab w:val="right" w:pos="9026" w:leader="dot"/>
            </w:tabs>
            <w:rPr/>
          </w:pPr>
          <w:hyperlink w:anchor="__RefHeading___Toc3140149_65377670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140151_653776707">
            <w:r>
              <w:rPr>
                <w:webHidden/>
                <w:rStyle w:val="IndexLink"/>
                <w:rtl w:val="true"/>
              </w:rPr>
              <w:t xml:space="preserve">فرع </w:t>
            </w:r>
            <w:r>
              <w:rPr>
                <w:rStyle w:val="IndexLink"/>
                <w:rtl w:val="true"/>
              </w:rPr>
              <w:t>:</w:t>
              <w:tab/>
            </w:r>
            <w:r>
              <w:rPr>
                <w:rStyle w:val="IndexLink"/>
              </w:rPr>
              <w:t>291</w:t>
            </w:r>
          </w:hyperlink>
        </w:p>
        <w:p>
          <w:pPr>
            <w:pStyle w:val="Contents6"/>
            <w:tabs>
              <w:tab w:val="clear" w:pos="7609"/>
              <w:tab w:val="right" w:pos="9026" w:leader="dot"/>
            </w:tabs>
            <w:rPr/>
          </w:pPr>
          <w:hyperlink w:anchor="__RefHeading___Toc3140153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السادسة </w:t>
            </w:r>
            <w:r>
              <w:rPr>
                <w:rStyle w:val="IndexLink"/>
                <w:rtl w:val="true"/>
              </w:rPr>
              <w:t>:</w:t>
              <w:tab/>
            </w:r>
            <w:r>
              <w:rPr>
                <w:rStyle w:val="IndexLink"/>
              </w:rPr>
              <w:t>292</w:t>
            </w:r>
          </w:hyperlink>
        </w:p>
        <w:p>
          <w:pPr>
            <w:pStyle w:val="Contents6"/>
            <w:tabs>
              <w:tab w:val="clear" w:pos="7609"/>
              <w:tab w:val="right" w:pos="9026" w:leader="dot"/>
            </w:tabs>
            <w:rPr/>
          </w:pPr>
          <w:hyperlink w:anchor="__RefHeading___Toc3140155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السابعة </w:t>
            </w:r>
            <w:r>
              <w:rPr>
                <w:rStyle w:val="IndexLink"/>
                <w:rtl w:val="true"/>
              </w:rPr>
              <w:t>:</w:t>
              <w:tab/>
            </w:r>
            <w:r>
              <w:rPr>
                <w:rStyle w:val="IndexLink"/>
              </w:rPr>
              <w:t>293</w:t>
            </w:r>
          </w:hyperlink>
        </w:p>
        <w:p>
          <w:pPr>
            <w:pStyle w:val="Contents6"/>
            <w:tabs>
              <w:tab w:val="clear" w:pos="7609"/>
              <w:tab w:val="right" w:pos="9026" w:leader="dot"/>
            </w:tabs>
            <w:rPr/>
          </w:pPr>
          <w:hyperlink w:anchor="__RefHeading___Toc314015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الثامنة </w:t>
            </w:r>
            <w:r>
              <w:rPr>
                <w:rStyle w:val="IndexLink"/>
                <w:rtl w:val="true"/>
              </w:rPr>
              <w:t>:</w:t>
              <w:tab/>
            </w:r>
            <w:r>
              <w:rPr>
                <w:rStyle w:val="IndexLink"/>
              </w:rPr>
              <w:t>295</w:t>
            </w:r>
          </w:hyperlink>
        </w:p>
        <w:p>
          <w:pPr>
            <w:pStyle w:val="Contents6"/>
            <w:tabs>
              <w:tab w:val="clear" w:pos="7609"/>
              <w:tab w:val="right" w:pos="9026" w:leader="dot"/>
            </w:tabs>
            <w:rPr/>
          </w:pPr>
          <w:hyperlink w:anchor="__RefHeading___Toc3140159_653776707">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3140161_653776707">
            <w:r>
              <w:rPr>
                <w:webHidden/>
                <w:rStyle w:val="IndexLink"/>
                <w:rtl w:val="true"/>
              </w:rPr>
              <w:t xml:space="preserve">فرعان </w:t>
            </w:r>
            <w:r>
              <w:rPr>
                <w:rStyle w:val="IndexLink"/>
                <w:rtl w:val="true"/>
              </w:rPr>
              <w:t>:</w:t>
              <w:tab/>
            </w:r>
            <w:r>
              <w:rPr>
                <w:rStyle w:val="IndexLink"/>
              </w:rPr>
              <w:t>296</w:t>
            </w:r>
          </w:hyperlink>
        </w:p>
        <w:p>
          <w:pPr>
            <w:pStyle w:val="Contents6"/>
            <w:tabs>
              <w:tab w:val="clear" w:pos="7609"/>
              <w:tab w:val="right" w:pos="9026" w:leader="dot"/>
            </w:tabs>
            <w:rPr/>
          </w:pPr>
          <w:hyperlink w:anchor="__RefHeading___Toc314016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296</w:t>
            </w:r>
          </w:hyperlink>
        </w:p>
        <w:p>
          <w:pPr>
            <w:pStyle w:val="Contents6"/>
            <w:tabs>
              <w:tab w:val="clear" w:pos="7609"/>
              <w:tab w:val="right" w:pos="9026" w:leader="dot"/>
            </w:tabs>
            <w:rPr/>
          </w:pPr>
          <w:hyperlink w:anchor="__RefHeading___Toc314016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297</w:t>
            </w:r>
          </w:hyperlink>
        </w:p>
        <w:p>
          <w:pPr>
            <w:pStyle w:val="Contents6"/>
            <w:tabs>
              <w:tab w:val="clear" w:pos="7609"/>
              <w:tab w:val="right" w:pos="9026" w:leader="dot"/>
            </w:tabs>
            <w:rPr/>
          </w:pPr>
          <w:hyperlink w:anchor="__RefHeading___Toc314016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التاسعة </w:t>
            </w:r>
            <w:r>
              <w:rPr>
                <w:rStyle w:val="IndexLink"/>
                <w:rtl w:val="true"/>
              </w:rPr>
              <w:t>:</w:t>
              <w:tab/>
            </w:r>
            <w:r>
              <w:rPr>
                <w:rStyle w:val="IndexLink"/>
              </w:rPr>
              <w:t>298</w:t>
            </w:r>
          </w:hyperlink>
        </w:p>
        <w:p>
          <w:pPr>
            <w:pStyle w:val="Contents6"/>
            <w:tabs>
              <w:tab w:val="clear" w:pos="7609"/>
              <w:tab w:val="right" w:pos="9026" w:leader="dot"/>
            </w:tabs>
            <w:rPr/>
          </w:pPr>
          <w:hyperlink w:anchor="__RefHeading___Toc3140169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العاشرة </w:t>
            </w:r>
            <w:r>
              <w:rPr>
                <w:rStyle w:val="IndexLink"/>
                <w:rtl w:val="true"/>
              </w:rPr>
              <w:t>:</w:t>
              <w:tab/>
            </w:r>
            <w:r>
              <w:rPr>
                <w:rStyle w:val="IndexLink"/>
              </w:rPr>
              <w:t>299</w:t>
            </w:r>
          </w:hyperlink>
        </w:p>
        <w:p>
          <w:pPr>
            <w:pStyle w:val="Contents6"/>
            <w:tabs>
              <w:tab w:val="clear" w:pos="7609"/>
              <w:tab w:val="right" w:pos="9026" w:leader="dot"/>
            </w:tabs>
            <w:rPr/>
          </w:pPr>
          <w:hyperlink w:anchor="__RefHeading___Toc3140171_65377670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140173_653776707">
            <w:r>
              <w:rPr>
                <w:webHidden/>
                <w:rStyle w:val="IndexLink"/>
                <w:rtl w:val="true"/>
              </w:rPr>
              <w:t xml:space="preserve">فرع </w:t>
            </w:r>
            <w:r>
              <w:rPr>
                <w:rStyle w:val="IndexLink"/>
                <w:rtl w:val="true"/>
              </w:rPr>
              <w:t>:</w:t>
              <w:tab/>
            </w:r>
            <w:r>
              <w:rPr>
                <w:rStyle w:val="IndexLink"/>
              </w:rPr>
              <w:t>299</w:t>
            </w:r>
          </w:hyperlink>
        </w:p>
        <w:p>
          <w:pPr>
            <w:pStyle w:val="Contents6"/>
            <w:tabs>
              <w:tab w:val="clear" w:pos="7609"/>
              <w:tab w:val="right" w:pos="9026" w:leader="dot"/>
            </w:tabs>
            <w:rPr/>
          </w:pPr>
          <w:hyperlink w:anchor="__RefHeading___Toc3140175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الحادية عشرة </w:t>
            </w:r>
            <w:r>
              <w:rPr>
                <w:rStyle w:val="IndexLink"/>
                <w:rtl w:val="true"/>
              </w:rPr>
              <w:t>:</w:t>
              <w:tab/>
            </w:r>
            <w:r>
              <w:rPr>
                <w:rStyle w:val="IndexLink"/>
              </w:rPr>
              <w:t>300</w:t>
            </w:r>
          </w:hyperlink>
        </w:p>
        <w:p>
          <w:pPr>
            <w:pStyle w:val="Contents6"/>
            <w:tabs>
              <w:tab w:val="clear" w:pos="7609"/>
              <w:tab w:val="right" w:pos="9026" w:leader="dot"/>
            </w:tabs>
            <w:rPr/>
          </w:pPr>
          <w:hyperlink w:anchor="__RefHeading___Toc314017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الثانية عشرة </w:t>
            </w:r>
            <w:r>
              <w:rPr>
                <w:rStyle w:val="IndexLink"/>
                <w:rtl w:val="true"/>
              </w:rPr>
              <w:t>:</w:t>
              <w:tab/>
            </w:r>
            <w:r>
              <w:rPr>
                <w:rStyle w:val="IndexLink"/>
              </w:rPr>
              <w:t>301</w:t>
            </w:r>
          </w:hyperlink>
        </w:p>
        <w:p>
          <w:pPr>
            <w:pStyle w:val="Contents6"/>
            <w:tabs>
              <w:tab w:val="clear" w:pos="7609"/>
              <w:tab w:val="right" w:pos="9026" w:leader="dot"/>
            </w:tabs>
            <w:rPr/>
          </w:pPr>
          <w:hyperlink w:anchor="__RefHeading___Toc3140179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الثالثة عشرة </w:t>
            </w:r>
            <w:r>
              <w:rPr>
                <w:rStyle w:val="IndexLink"/>
                <w:rtl w:val="true"/>
              </w:rPr>
              <w:t>:</w:t>
              <w:tab/>
            </w:r>
            <w:r>
              <w:rPr>
                <w:rStyle w:val="IndexLink"/>
              </w:rPr>
              <w:t>302</w:t>
            </w:r>
          </w:hyperlink>
        </w:p>
        <w:p>
          <w:pPr>
            <w:pStyle w:val="Contents6"/>
            <w:tabs>
              <w:tab w:val="clear" w:pos="7609"/>
              <w:tab w:val="right" w:pos="9026" w:leader="dot"/>
            </w:tabs>
            <w:rPr/>
          </w:pPr>
          <w:hyperlink w:anchor="__RefHeading___Toc3140181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الرابعة عشرة </w:t>
            </w:r>
            <w:r>
              <w:rPr>
                <w:rStyle w:val="IndexLink"/>
                <w:rtl w:val="true"/>
              </w:rPr>
              <w:t>:</w:t>
              <w:tab/>
            </w:r>
            <w:r>
              <w:rPr>
                <w:rStyle w:val="IndexLink"/>
              </w:rPr>
              <w:t>304</w:t>
            </w:r>
          </w:hyperlink>
        </w:p>
        <w:p>
          <w:pPr>
            <w:pStyle w:val="Contents6"/>
            <w:tabs>
              <w:tab w:val="clear" w:pos="7609"/>
              <w:tab w:val="right" w:pos="9026" w:leader="dot"/>
            </w:tabs>
            <w:rPr/>
          </w:pPr>
          <w:hyperlink w:anchor="__RefHeading___Toc3140183_653776707">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140185_653776707">
            <w:r>
              <w:rPr>
                <w:webHidden/>
                <w:rStyle w:val="IndexLink"/>
                <w:rtl w:val="true"/>
              </w:rPr>
              <w:t xml:space="preserve">فرع </w:t>
            </w:r>
            <w:r>
              <w:rPr>
                <w:rStyle w:val="IndexLink"/>
                <w:rtl w:val="true"/>
              </w:rPr>
              <w:t>:</w:t>
              <w:tab/>
            </w:r>
            <w:r>
              <w:rPr>
                <w:rStyle w:val="IndexLink"/>
              </w:rPr>
              <w:t>306</w:t>
            </w:r>
          </w:hyperlink>
        </w:p>
        <w:p>
          <w:pPr>
            <w:pStyle w:val="Contents6"/>
            <w:tabs>
              <w:tab w:val="clear" w:pos="7609"/>
              <w:tab w:val="right" w:pos="9026" w:leader="dot"/>
            </w:tabs>
            <w:rPr/>
          </w:pPr>
          <w:hyperlink w:anchor="__RefHeading___Toc3140187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الخامسة عشرة </w:t>
            </w:r>
            <w:r>
              <w:rPr>
                <w:rStyle w:val="IndexLink"/>
                <w:rtl w:val="true"/>
              </w:rPr>
              <w:t>:</w:t>
              <w:tab/>
            </w:r>
            <w:r>
              <w:rPr>
                <w:rStyle w:val="IndexLink"/>
              </w:rPr>
              <w:t>307</w:t>
            </w:r>
          </w:hyperlink>
        </w:p>
        <w:p>
          <w:pPr>
            <w:pStyle w:val="Contents6"/>
            <w:tabs>
              <w:tab w:val="clear" w:pos="7609"/>
              <w:tab w:val="right" w:pos="9026" w:leader="dot"/>
            </w:tabs>
            <w:rPr/>
          </w:pPr>
          <w:hyperlink w:anchor="__RefHeading___Toc3140189_653776707">
            <w:r>
              <w:rPr>
                <w:webHidden/>
                <w:rStyle w:val="IndexLink"/>
                <w:rtl w:val="true"/>
              </w:rPr>
              <w:t xml:space="preserve">البحث الثالث </w:t>
            </w:r>
            <w:r>
              <w:rPr>
                <w:rStyle w:val="IndexLink"/>
                <w:rtl w:val="true"/>
              </w:rPr>
              <w:t xml:space="preserve">: </w:t>
            </w:r>
            <w:r>
              <w:rPr>
                <w:rStyle w:val="IndexLink"/>
                <w:rtl w:val="true"/>
              </w:rPr>
              <w:t>في الجاري والغيث</w:t>
            </w:r>
            <w:r>
              <w:rPr>
                <w:rStyle w:val="IndexLink"/>
                <w:rtl w:val="true"/>
              </w:rPr>
              <w:tab/>
            </w:r>
            <w:r>
              <w:rPr>
                <w:rStyle w:val="IndexLink"/>
              </w:rPr>
              <w:t>312</w:t>
            </w:r>
          </w:hyperlink>
        </w:p>
        <w:p>
          <w:pPr>
            <w:pStyle w:val="Contents6"/>
            <w:tabs>
              <w:tab w:val="clear" w:pos="7609"/>
              <w:tab w:val="right" w:pos="9026" w:leader="dot"/>
            </w:tabs>
            <w:rPr/>
          </w:pPr>
          <w:hyperlink w:anchor="__RefHeading___Toc314019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312</w:t>
            </w:r>
          </w:hyperlink>
        </w:p>
        <w:p>
          <w:pPr>
            <w:pStyle w:val="Contents6"/>
            <w:tabs>
              <w:tab w:val="clear" w:pos="7609"/>
              <w:tab w:val="right" w:pos="9026" w:leader="dot"/>
            </w:tabs>
            <w:rPr/>
          </w:pPr>
          <w:hyperlink w:anchor="__RefHeading___Toc3140193_65377670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140195_653776707">
            <w:r>
              <w:rPr>
                <w:webHidden/>
                <w:rStyle w:val="IndexLink"/>
                <w:rtl w:val="true"/>
              </w:rPr>
              <w:t xml:space="preserve">فرع </w:t>
            </w:r>
            <w:r>
              <w:rPr>
                <w:rStyle w:val="IndexLink"/>
                <w:rtl w:val="true"/>
              </w:rPr>
              <w:t>:</w:t>
              <w:tab/>
            </w:r>
            <w:r>
              <w:rPr>
                <w:rStyle w:val="IndexLink"/>
              </w:rPr>
              <w:t>314</w:t>
            </w:r>
          </w:hyperlink>
        </w:p>
        <w:p>
          <w:pPr>
            <w:pStyle w:val="Contents6"/>
            <w:tabs>
              <w:tab w:val="clear" w:pos="7609"/>
              <w:tab w:val="right" w:pos="9026" w:leader="dot"/>
            </w:tabs>
            <w:rPr/>
          </w:pPr>
          <w:hyperlink w:anchor="__RefHeading___Toc3140197_653776707">
            <w:r>
              <w:rPr>
                <w:webHidden/>
                <w:rStyle w:val="IndexLink"/>
                <w:rtl w:val="true"/>
              </w:rPr>
              <w:t xml:space="preserve">[ </w:t>
            </w:r>
            <w:r>
              <w:rPr>
                <w:rStyle w:val="IndexLink"/>
                <w:rtl w:val="true"/>
              </w:rPr>
              <w:t xml:space="preserve">فرع </w:t>
            </w:r>
            <w:r>
              <w:rPr>
                <w:rStyle w:val="IndexLink"/>
                <w:rtl w:val="true"/>
              </w:rPr>
              <w:t xml:space="preserve">] </w:t>
            </w:r>
            <w:r>
              <w:rPr>
                <w:rStyle w:val="IndexLink"/>
                <w:rtl w:val="true"/>
              </w:rPr>
              <w:t xml:space="preserve">آخر </w:t>
            </w:r>
            <w:r>
              <w:rPr>
                <w:rStyle w:val="IndexLink"/>
                <w:rtl w:val="true"/>
              </w:rPr>
              <w:t>:</w:t>
              <w:tab/>
            </w:r>
            <w:r>
              <w:rPr>
                <w:rStyle w:val="IndexLink"/>
              </w:rPr>
              <w:t>315</w:t>
            </w:r>
          </w:hyperlink>
        </w:p>
        <w:p>
          <w:pPr>
            <w:pStyle w:val="Contents6"/>
            <w:tabs>
              <w:tab w:val="clear" w:pos="7609"/>
              <w:tab w:val="right" w:pos="9026" w:leader="dot"/>
            </w:tabs>
            <w:rPr/>
          </w:pPr>
          <w:hyperlink w:anchor="__RefHeading___Toc3140199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316</w:t>
            </w:r>
          </w:hyperlink>
        </w:p>
        <w:p>
          <w:pPr>
            <w:pStyle w:val="Contents6"/>
            <w:tabs>
              <w:tab w:val="clear" w:pos="7609"/>
              <w:tab w:val="right" w:pos="9026" w:leader="dot"/>
            </w:tabs>
            <w:rPr/>
          </w:pPr>
          <w:hyperlink w:anchor="__RefHeading___Toc3140201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318</w:t>
            </w:r>
          </w:hyperlink>
        </w:p>
        <w:p>
          <w:pPr>
            <w:pStyle w:val="Contents6"/>
            <w:tabs>
              <w:tab w:val="clear" w:pos="7609"/>
              <w:tab w:val="right" w:pos="9026" w:leader="dot"/>
            </w:tabs>
            <w:rPr/>
          </w:pPr>
          <w:hyperlink w:anchor="__RefHeading___Toc3140203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319</w:t>
            </w:r>
          </w:hyperlink>
        </w:p>
        <w:p>
          <w:pPr>
            <w:pStyle w:val="Contents6"/>
            <w:tabs>
              <w:tab w:val="clear" w:pos="7609"/>
              <w:tab w:val="right" w:pos="9026" w:leader="dot"/>
            </w:tabs>
            <w:rPr/>
          </w:pPr>
          <w:hyperlink w:anchor="__RefHeading___Toc3140205_65377670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140207_653776707">
            <w:r>
              <w:rPr>
                <w:webHidden/>
                <w:rStyle w:val="IndexLink"/>
                <w:rtl w:val="true"/>
              </w:rPr>
              <w:t xml:space="preserve">فروع </w:t>
            </w:r>
            <w:r>
              <w:rPr>
                <w:rStyle w:val="IndexLink"/>
                <w:rtl w:val="true"/>
              </w:rPr>
              <w:t>:</w:t>
              <w:tab/>
            </w:r>
            <w:r>
              <w:rPr>
                <w:rStyle w:val="IndexLink"/>
              </w:rPr>
              <w:t>320</w:t>
            </w:r>
          </w:hyperlink>
        </w:p>
        <w:p>
          <w:pPr>
            <w:pStyle w:val="Contents6"/>
            <w:tabs>
              <w:tab w:val="clear" w:pos="7609"/>
              <w:tab w:val="right" w:pos="9026" w:leader="dot"/>
            </w:tabs>
            <w:rPr/>
          </w:pPr>
          <w:hyperlink w:anchor="__RefHeading___Toc314020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320</w:t>
            </w:r>
          </w:hyperlink>
        </w:p>
        <w:p>
          <w:pPr>
            <w:pStyle w:val="Contents6"/>
            <w:tabs>
              <w:tab w:val="clear" w:pos="7609"/>
              <w:tab w:val="right" w:pos="9026" w:leader="dot"/>
            </w:tabs>
            <w:rPr/>
          </w:pPr>
          <w:hyperlink w:anchor="__RefHeading___Toc314021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320</w:t>
            </w:r>
          </w:hyperlink>
        </w:p>
        <w:p>
          <w:pPr>
            <w:pStyle w:val="Contents6"/>
            <w:tabs>
              <w:tab w:val="clear" w:pos="7609"/>
              <w:tab w:val="right" w:pos="9026" w:leader="dot"/>
            </w:tabs>
            <w:rPr/>
          </w:pPr>
          <w:hyperlink w:anchor="__RefHeading___Toc314021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324</w:t>
            </w:r>
          </w:hyperlink>
        </w:p>
        <w:p>
          <w:pPr>
            <w:pStyle w:val="Contents6"/>
            <w:tabs>
              <w:tab w:val="clear" w:pos="7609"/>
              <w:tab w:val="right" w:pos="9026" w:leader="dot"/>
            </w:tabs>
            <w:rPr/>
          </w:pPr>
          <w:hyperlink w:anchor="__RefHeading___Toc3140215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326</w:t>
            </w:r>
          </w:hyperlink>
        </w:p>
        <w:p>
          <w:pPr>
            <w:pStyle w:val="Contents6"/>
            <w:tabs>
              <w:tab w:val="clear" w:pos="7609"/>
              <w:tab w:val="right" w:pos="9026" w:leader="dot"/>
            </w:tabs>
            <w:rPr/>
          </w:pPr>
          <w:hyperlink w:anchor="__RefHeading___Toc3140217_65377670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14021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328</w:t>
            </w:r>
          </w:hyperlink>
        </w:p>
        <w:p>
          <w:pPr>
            <w:pStyle w:val="Contents6"/>
            <w:tabs>
              <w:tab w:val="clear" w:pos="7609"/>
              <w:tab w:val="right" w:pos="9026" w:leader="dot"/>
            </w:tabs>
            <w:rPr/>
          </w:pPr>
          <w:hyperlink w:anchor="__RefHeading___Toc314022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329</w:t>
            </w:r>
          </w:hyperlink>
        </w:p>
        <w:p>
          <w:pPr>
            <w:pStyle w:val="Contents6"/>
            <w:tabs>
              <w:tab w:val="clear" w:pos="7609"/>
              <w:tab w:val="right" w:pos="9026" w:leader="dot"/>
            </w:tabs>
            <w:rPr/>
          </w:pPr>
          <w:hyperlink w:anchor="__RefHeading___Toc314022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329</w:t>
            </w:r>
          </w:hyperlink>
        </w:p>
        <w:p>
          <w:pPr>
            <w:pStyle w:val="Contents6"/>
            <w:tabs>
              <w:tab w:val="clear" w:pos="7609"/>
              <w:tab w:val="right" w:pos="9026" w:leader="dot"/>
            </w:tabs>
            <w:rPr/>
          </w:pPr>
          <w:hyperlink w:anchor="__RefHeading___Toc314022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330</w:t>
            </w:r>
          </w:hyperlink>
        </w:p>
        <w:p>
          <w:pPr>
            <w:pStyle w:val="Contents6"/>
            <w:tabs>
              <w:tab w:val="clear" w:pos="7609"/>
              <w:tab w:val="right" w:pos="9026" w:leader="dot"/>
            </w:tabs>
            <w:rPr/>
          </w:pPr>
          <w:hyperlink w:anchor="__RefHeading___Toc314022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331</w:t>
            </w:r>
          </w:hyperlink>
        </w:p>
        <w:p>
          <w:pPr>
            <w:pStyle w:val="Contents6"/>
            <w:tabs>
              <w:tab w:val="clear" w:pos="7609"/>
              <w:tab w:val="right" w:pos="9026" w:leader="dot"/>
            </w:tabs>
            <w:rPr/>
          </w:pPr>
          <w:hyperlink w:anchor="__RefHeading___Toc3140229_653776707">
            <w:r>
              <w:rPr>
                <w:webHidden/>
                <w:rStyle w:val="IndexLink"/>
                <w:rtl w:val="true"/>
              </w:rPr>
              <w:t xml:space="preserve">البحث الرابع </w:t>
            </w:r>
            <w:r>
              <w:rPr>
                <w:rStyle w:val="IndexLink"/>
                <w:rtl w:val="true"/>
              </w:rPr>
              <w:t xml:space="preserve">: </w:t>
            </w:r>
            <w:r>
              <w:rPr>
                <w:rStyle w:val="IndexLink"/>
                <w:rtl w:val="true"/>
              </w:rPr>
              <w:t>في المستعمل</w:t>
            </w:r>
            <w:r>
              <w:rPr>
                <w:rStyle w:val="IndexLink"/>
                <w:rtl w:val="true"/>
              </w:rPr>
              <w:tab/>
            </w:r>
            <w:r>
              <w:rPr>
                <w:rStyle w:val="IndexLink"/>
              </w:rPr>
              <w:t>332</w:t>
            </w:r>
          </w:hyperlink>
        </w:p>
        <w:p>
          <w:pPr>
            <w:pStyle w:val="Contents6"/>
            <w:tabs>
              <w:tab w:val="clear" w:pos="7609"/>
              <w:tab w:val="right" w:pos="9026" w:leader="dot"/>
            </w:tabs>
            <w:rPr/>
          </w:pPr>
          <w:hyperlink w:anchor="__RefHeading___Toc314023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332</w:t>
            </w:r>
          </w:hyperlink>
        </w:p>
        <w:p>
          <w:pPr>
            <w:pStyle w:val="Contents6"/>
            <w:tabs>
              <w:tab w:val="clear" w:pos="7609"/>
              <w:tab w:val="right" w:pos="9026" w:leader="dot"/>
            </w:tabs>
            <w:rPr/>
          </w:pPr>
          <w:hyperlink w:anchor="__RefHeading___Toc3140233_65377670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140235_653776707">
            <w:r>
              <w:rPr>
                <w:webHidden/>
                <w:rStyle w:val="IndexLink"/>
                <w:rtl w:val="true"/>
              </w:rPr>
              <w:t xml:space="preserve">فروع </w:t>
            </w:r>
            <w:r>
              <w:rPr>
                <w:rStyle w:val="IndexLink"/>
                <w:rtl w:val="true"/>
              </w:rPr>
              <w:t>:</w:t>
              <w:tab/>
            </w:r>
            <w:r>
              <w:rPr>
                <w:rStyle w:val="IndexLink"/>
              </w:rPr>
              <w:t>337</w:t>
            </w:r>
          </w:hyperlink>
        </w:p>
        <w:p>
          <w:pPr>
            <w:pStyle w:val="Contents6"/>
            <w:tabs>
              <w:tab w:val="clear" w:pos="7609"/>
              <w:tab w:val="right" w:pos="9026" w:leader="dot"/>
            </w:tabs>
            <w:rPr/>
          </w:pPr>
          <w:hyperlink w:anchor="__RefHeading___Toc314023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337</w:t>
            </w:r>
          </w:hyperlink>
        </w:p>
        <w:p>
          <w:pPr>
            <w:pStyle w:val="Contents6"/>
            <w:tabs>
              <w:tab w:val="clear" w:pos="7609"/>
              <w:tab w:val="right" w:pos="9026" w:leader="dot"/>
            </w:tabs>
            <w:rPr/>
          </w:pPr>
          <w:hyperlink w:anchor="__RefHeading___Toc314023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338</w:t>
            </w:r>
          </w:hyperlink>
        </w:p>
        <w:p>
          <w:pPr>
            <w:pStyle w:val="Contents6"/>
            <w:tabs>
              <w:tab w:val="clear" w:pos="7609"/>
              <w:tab w:val="right" w:pos="9026" w:leader="dot"/>
            </w:tabs>
            <w:rPr/>
          </w:pPr>
          <w:hyperlink w:anchor="__RefHeading___Toc314024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338</w:t>
            </w:r>
          </w:hyperlink>
        </w:p>
        <w:p>
          <w:pPr>
            <w:pStyle w:val="Contents6"/>
            <w:tabs>
              <w:tab w:val="clear" w:pos="7609"/>
              <w:tab w:val="right" w:pos="9026" w:leader="dot"/>
            </w:tabs>
            <w:rPr/>
          </w:pPr>
          <w:hyperlink w:anchor="__RefHeading___Toc314024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339</w:t>
            </w:r>
          </w:hyperlink>
        </w:p>
        <w:p>
          <w:pPr>
            <w:pStyle w:val="Contents6"/>
            <w:tabs>
              <w:tab w:val="clear" w:pos="7609"/>
              <w:tab w:val="right" w:pos="9026" w:leader="dot"/>
            </w:tabs>
            <w:rPr/>
          </w:pPr>
          <w:hyperlink w:anchor="__RefHeading___Toc314024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340</w:t>
            </w:r>
          </w:hyperlink>
        </w:p>
        <w:p>
          <w:pPr>
            <w:pStyle w:val="Contents6"/>
            <w:tabs>
              <w:tab w:val="clear" w:pos="7609"/>
              <w:tab w:val="right" w:pos="9026" w:leader="dot"/>
            </w:tabs>
            <w:rPr/>
          </w:pPr>
          <w:hyperlink w:anchor="__RefHeading___Toc3140247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341</w:t>
            </w:r>
          </w:hyperlink>
        </w:p>
        <w:p>
          <w:pPr>
            <w:pStyle w:val="Contents6"/>
            <w:tabs>
              <w:tab w:val="clear" w:pos="7609"/>
              <w:tab w:val="right" w:pos="9026" w:leader="dot"/>
            </w:tabs>
            <w:rPr/>
          </w:pPr>
          <w:hyperlink w:anchor="__RefHeading___Toc3140249_65377670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140251_653776707">
            <w:r>
              <w:rPr>
                <w:webHidden/>
                <w:rStyle w:val="IndexLink"/>
                <w:rtl w:val="true"/>
              </w:rPr>
              <w:t xml:space="preserve">فروع </w:t>
            </w:r>
            <w:r>
              <w:rPr>
                <w:rStyle w:val="IndexLink"/>
                <w:rtl w:val="true"/>
              </w:rPr>
              <w:t>:</w:t>
              <w:tab/>
            </w:r>
            <w:r>
              <w:rPr>
                <w:rStyle w:val="IndexLink"/>
              </w:rPr>
              <w:t>343</w:t>
            </w:r>
          </w:hyperlink>
        </w:p>
        <w:p>
          <w:pPr>
            <w:pStyle w:val="Contents6"/>
            <w:tabs>
              <w:tab w:val="clear" w:pos="7609"/>
              <w:tab w:val="right" w:pos="9026" w:leader="dot"/>
            </w:tabs>
            <w:rPr/>
          </w:pPr>
          <w:hyperlink w:anchor="__RefHeading___Toc314025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343</w:t>
            </w:r>
          </w:hyperlink>
        </w:p>
        <w:p>
          <w:pPr>
            <w:pStyle w:val="Contents6"/>
            <w:tabs>
              <w:tab w:val="clear" w:pos="7609"/>
              <w:tab w:val="right" w:pos="9026" w:leader="dot"/>
            </w:tabs>
            <w:rPr/>
          </w:pPr>
          <w:hyperlink w:anchor="__RefHeading___Toc314025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343</w:t>
            </w:r>
          </w:hyperlink>
        </w:p>
        <w:p>
          <w:pPr>
            <w:pStyle w:val="Contents6"/>
            <w:tabs>
              <w:tab w:val="clear" w:pos="7609"/>
              <w:tab w:val="right" w:pos="9026" w:leader="dot"/>
            </w:tabs>
            <w:rPr/>
          </w:pPr>
          <w:hyperlink w:anchor="__RefHeading___Toc314025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344</w:t>
            </w:r>
          </w:hyperlink>
        </w:p>
        <w:p>
          <w:pPr>
            <w:pStyle w:val="Contents6"/>
            <w:tabs>
              <w:tab w:val="clear" w:pos="7609"/>
              <w:tab w:val="right" w:pos="9026" w:leader="dot"/>
            </w:tabs>
            <w:rPr/>
          </w:pPr>
          <w:hyperlink w:anchor="__RefHeading___Toc3140259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345</w:t>
            </w:r>
          </w:hyperlink>
        </w:p>
        <w:p>
          <w:pPr>
            <w:pStyle w:val="Contents6"/>
            <w:tabs>
              <w:tab w:val="clear" w:pos="7609"/>
              <w:tab w:val="right" w:pos="9026" w:leader="dot"/>
            </w:tabs>
            <w:rPr/>
          </w:pPr>
          <w:hyperlink w:anchor="__RefHeading___Toc3140261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346</w:t>
            </w:r>
          </w:hyperlink>
        </w:p>
        <w:p>
          <w:pPr>
            <w:pStyle w:val="Contents6"/>
            <w:tabs>
              <w:tab w:val="clear" w:pos="7609"/>
              <w:tab w:val="right" w:pos="9026" w:leader="dot"/>
            </w:tabs>
            <w:rPr/>
          </w:pPr>
          <w:hyperlink w:anchor="__RefHeading___Toc3140263_653776707">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3140265_653776707">
            <w:r>
              <w:rPr>
                <w:webHidden/>
                <w:rStyle w:val="IndexLink"/>
                <w:rtl w:val="true"/>
              </w:rPr>
              <w:t xml:space="preserve">فروع </w:t>
            </w:r>
            <w:r>
              <w:rPr>
                <w:rStyle w:val="IndexLink"/>
                <w:rtl w:val="true"/>
              </w:rPr>
              <w:t>:</w:t>
              <w:tab/>
            </w:r>
            <w:r>
              <w:rPr>
                <w:rStyle w:val="IndexLink"/>
              </w:rPr>
              <w:t>350</w:t>
            </w:r>
          </w:hyperlink>
        </w:p>
        <w:p>
          <w:pPr>
            <w:pStyle w:val="Contents6"/>
            <w:tabs>
              <w:tab w:val="clear" w:pos="7609"/>
              <w:tab w:val="right" w:pos="9026" w:leader="dot"/>
            </w:tabs>
            <w:rPr/>
          </w:pPr>
          <w:hyperlink w:anchor="__RefHeading___Toc314026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350</w:t>
            </w:r>
          </w:hyperlink>
        </w:p>
        <w:p>
          <w:pPr>
            <w:pStyle w:val="Contents6"/>
            <w:tabs>
              <w:tab w:val="clear" w:pos="7609"/>
              <w:tab w:val="right" w:pos="9026" w:leader="dot"/>
            </w:tabs>
            <w:rPr/>
          </w:pPr>
          <w:hyperlink w:anchor="__RefHeading___Toc314026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350</w:t>
            </w:r>
          </w:hyperlink>
        </w:p>
        <w:p>
          <w:pPr>
            <w:pStyle w:val="Contents6"/>
            <w:tabs>
              <w:tab w:val="clear" w:pos="7609"/>
              <w:tab w:val="right" w:pos="9026" w:leader="dot"/>
            </w:tabs>
            <w:rPr/>
          </w:pPr>
          <w:hyperlink w:anchor="__RefHeading___Toc314027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352</w:t>
            </w:r>
          </w:hyperlink>
        </w:p>
        <w:p>
          <w:pPr>
            <w:pStyle w:val="Contents6"/>
            <w:tabs>
              <w:tab w:val="clear" w:pos="7609"/>
              <w:tab w:val="right" w:pos="9026" w:leader="dot"/>
            </w:tabs>
            <w:rPr/>
          </w:pPr>
          <w:hyperlink w:anchor="__RefHeading___Toc314027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352</w:t>
            </w:r>
          </w:hyperlink>
        </w:p>
        <w:p>
          <w:pPr>
            <w:pStyle w:val="Contents6"/>
            <w:tabs>
              <w:tab w:val="clear" w:pos="7609"/>
              <w:tab w:val="right" w:pos="9026" w:leader="dot"/>
            </w:tabs>
            <w:rPr/>
          </w:pPr>
          <w:hyperlink w:anchor="__RefHeading___Toc314027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352</w:t>
            </w:r>
          </w:hyperlink>
        </w:p>
        <w:p>
          <w:pPr>
            <w:pStyle w:val="Contents6"/>
            <w:tabs>
              <w:tab w:val="clear" w:pos="7609"/>
              <w:tab w:val="right" w:pos="9026" w:leader="dot"/>
            </w:tabs>
            <w:rPr/>
          </w:pPr>
          <w:hyperlink w:anchor="__RefHeading___Toc314027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w:t>
            </w:r>
            <w:r>
              <w:rPr>
                <w:rStyle w:val="IndexLink"/>
                <w:rtl w:val="true"/>
              </w:rPr>
              <w:t>:</w:t>
              <w:tab/>
            </w:r>
            <w:r>
              <w:rPr>
                <w:rStyle w:val="IndexLink"/>
              </w:rPr>
              <w:t>355</w:t>
            </w:r>
          </w:hyperlink>
        </w:p>
        <w:p>
          <w:pPr>
            <w:pStyle w:val="Contents6"/>
            <w:tabs>
              <w:tab w:val="clear" w:pos="7609"/>
              <w:tab w:val="right" w:pos="9026" w:leader="dot"/>
            </w:tabs>
            <w:rPr/>
          </w:pPr>
          <w:hyperlink w:anchor="__RefHeading___Toc314027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السابع </w:t>
            </w:r>
            <w:r>
              <w:rPr>
                <w:rStyle w:val="IndexLink"/>
                <w:rtl w:val="true"/>
              </w:rPr>
              <w:t>:</w:t>
              <w:tab/>
            </w:r>
            <w:r>
              <w:rPr>
                <w:rStyle w:val="IndexLink"/>
              </w:rPr>
              <w:t>355</w:t>
            </w:r>
          </w:hyperlink>
        </w:p>
        <w:p>
          <w:pPr>
            <w:pStyle w:val="Contents6"/>
            <w:tabs>
              <w:tab w:val="clear" w:pos="7609"/>
              <w:tab w:val="right" w:pos="9026" w:leader="dot"/>
            </w:tabs>
            <w:rPr/>
          </w:pPr>
          <w:hyperlink w:anchor="__RefHeading___Toc314028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الثامن </w:t>
            </w:r>
            <w:r>
              <w:rPr>
                <w:rStyle w:val="IndexLink"/>
                <w:rtl w:val="true"/>
              </w:rPr>
              <w:t>:</w:t>
              <w:tab/>
            </w:r>
            <w:r>
              <w:rPr>
                <w:rStyle w:val="IndexLink"/>
              </w:rPr>
              <w:t>356</w:t>
            </w:r>
          </w:hyperlink>
        </w:p>
        <w:p>
          <w:pPr>
            <w:pStyle w:val="Contents6"/>
            <w:tabs>
              <w:tab w:val="clear" w:pos="7609"/>
              <w:tab w:val="right" w:pos="9026" w:leader="dot"/>
            </w:tabs>
            <w:rPr/>
          </w:pPr>
          <w:hyperlink w:anchor="__RefHeading___Toc314028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التاسع </w:t>
            </w:r>
            <w:r>
              <w:rPr>
                <w:rStyle w:val="IndexLink"/>
                <w:rtl w:val="true"/>
              </w:rPr>
              <w:t>:</w:t>
              <w:tab/>
            </w:r>
            <w:r>
              <w:rPr>
                <w:rStyle w:val="IndexLink"/>
              </w:rPr>
              <w:t>357</w:t>
            </w:r>
          </w:hyperlink>
        </w:p>
        <w:p>
          <w:pPr>
            <w:pStyle w:val="Contents6"/>
            <w:tabs>
              <w:tab w:val="clear" w:pos="7609"/>
              <w:tab w:val="right" w:pos="9026" w:leader="dot"/>
            </w:tabs>
            <w:rPr/>
          </w:pPr>
          <w:hyperlink w:anchor="__RefHeading___Toc314028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العاشر </w:t>
            </w:r>
            <w:r>
              <w:rPr>
                <w:rStyle w:val="IndexLink"/>
                <w:rtl w:val="true"/>
              </w:rPr>
              <w:t>:</w:t>
              <w:tab/>
            </w:r>
            <w:r>
              <w:rPr>
                <w:rStyle w:val="IndexLink"/>
              </w:rPr>
              <w:t>359</w:t>
            </w:r>
          </w:hyperlink>
        </w:p>
        <w:p>
          <w:pPr>
            <w:pStyle w:val="Contents6"/>
            <w:tabs>
              <w:tab w:val="clear" w:pos="7609"/>
              <w:tab w:val="right" w:pos="9026" w:leader="dot"/>
            </w:tabs>
            <w:rPr/>
          </w:pPr>
          <w:hyperlink w:anchor="__RefHeading___Toc3140287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365</w:t>
            </w:r>
          </w:hyperlink>
        </w:p>
        <w:p>
          <w:pPr>
            <w:pStyle w:val="Contents6"/>
            <w:tabs>
              <w:tab w:val="clear" w:pos="7609"/>
              <w:tab w:val="right" w:pos="9026" w:leader="dot"/>
            </w:tabs>
            <w:rPr/>
          </w:pPr>
          <w:hyperlink w:anchor="__RefHeading___Toc3140289_653776707">
            <w:r>
              <w:rPr>
                <w:webHidden/>
                <w:rStyle w:val="IndexLink"/>
                <w:rtl w:val="true"/>
              </w:rPr>
              <w:t xml:space="preserve">البحث الخامس </w:t>
            </w:r>
            <w:r>
              <w:rPr>
                <w:rStyle w:val="IndexLink"/>
                <w:rtl w:val="true"/>
              </w:rPr>
              <w:t xml:space="preserve">: </w:t>
            </w:r>
            <w:r>
              <w:rPr>
                <w:rStyle w:val="IndexLink"/>
                <w:rtl w:val="true"/>
              </w:rPr>
              <w:t>في الأسآر</w:t>
            </w:r>
            <w:r>
              <w:rPr>
                <w:rStyle w:val="IndexLink"/>
                <w:rtl w:val="true"/>
              </w:rPr>
              <w:tab/>
            </w:r>
            <w:r>
              <w:rPr>
                <w:rStyle w:val="IndexLink"/>
              </w:rPr>
              <w:t>370</w:t>
            </w:r>
          </w:hyperlink>
        </w:p>
        <w:p>
          <w:pPr>
            <w:pStyle w:val="Contents6"/>
            <w:tabs>
              <w:tab w:val="clear" w:pos="7609"/>
              <w:tab w:val="right" w:pos="9026" w:leader="dot"/>
            </w:tabs>
            <w:rPr/>
          </w:pPr>
          <w:hyperlink w:anchor="__RefHeading___Toc314029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370</w:t>
            </w:r>
          </w:hyperlink>
        </w:p>
        <w:p>
          <w:pPr>
            <w:pStyle w:val="Contents6"/>
            <w:tabs>
              <w:tab w:val="clear" w:pos="7609"/>
              <w:tab w:val="right" w:pos="9026" w:leader="dot"/>
            </w:tabs>
            <w:rPr/>
          </w:pPr>
          <w:hyperlink w:anchor="__RefHeading___Toc3140293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374</w:t>
            </w:r>
          </w:hyperlink>
        </w:p>
        <w:p>
          <w:pPr>
            <w:pStyle w:val="Contents6"/>
            <w:tabs>
              <w:tab w:val="clear" w:pos="7609"/>
              <w:tab w:val="right" w:pos="9026" w:leader="dot"/>
            </w:tabs>
            <w:rPr/>
          </w:pPr>
          <w:hyperlink w:anchor="__RefHeading___Toc3140295_65377670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140297_653776707">
            <w:r>
              <w:rPr>
                <w:webHidden/>
                <w:rStyle w:val="IndexLink"/>
                <w:rtl w:val="true"/>
              </w:rPr>
              <w:t xml:space="preserve">فروع </w:t>
            </w:r>
            <w:r>
              <w:rPr>
                <w:rStyle w:val="IndexLink"/>
                <w:rtl w:val="true"/>
              </w:rPr>
              <w:t>:</w:t>
              <w:tab/>
            </w:r>
            <w:r>
              <w:rPr>
                <w:rStyle w:val="IndexLink"/>
              </w:rPr>
              <w:t>380</w:t>
            </w:r>
          </w:hyperlink>
        </w:p>
        <w:p>
          <w:pPr>
            <w:pStyle w:val="Contents6"/>
            <w:tabs>
              <w:tab w:val="clear" w:pos="7609"/>
              <w:tab w:val="right" w:pos="9026" w:leader="dot"/>
            </w:tabs>
            <w:rPr/>
          </w:pPr>
          <w:hyperlink w:anchor="__RefHeading___Toc31402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380</w:t>
            </w:r>
          </w:hyperlink>
        </w:p>
        <w:p>
          <w:pPr>
            <w:pStyle w:val="Contents6"/>
            <w:tabs>
              <w:tab w:val="clear" w:pos="7609"/>
              <w:tab w:val="right" w:pos="9026" w:leader="dot"/>
            </w:tabs>
            <w:rPr/>
          </w:pPr>
          <w:hyperlink w:anchor="__RefHeading___Toc314030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381</w:t>
            </w:r>
          </w:hyperlink>
        </w:p>
        <w:p>
          <w:pPr>
            <w:pStyle w:val="Contents6"/>
            <w:tabs>
              <w:tab w:val="clear" w:pos="7609"/>
              <w:tab w:val="right" w:pos="9026" w:leader="dot"/>
            </w:tabs>
            <w:rPr/>
          </w:pPr>
          <w:hyperlink w:anchor="__RefHeading___Toc314030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382</w:t>
            </w:r>
          </w:hyperlink>
        </w:p>
        <w:p>
          <w:pPr>
            <w:pStyle w:val="Contents6"/>
            <w:tabs>
              <w:tab w:val="clear" w:pos="7609"/>
              <w:tab w:val="right" w:pos="9026" w:leader="dot"/>
            </w:tabs>
            <w:rPr/>
          </w:pPr>
          <w:hyperlink w:anchor="__RefHeading___Toc314030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384</w:t>
            </w:r>
          </w:hyperlink>
        </w:p>
        <w:p>
          <w:pPr>
            <w:pStyle w:val="Contents6"/>
            <w:tabs>
              <w:tab w:val="clear" w:pos="7609"/>
              <w:tab w:val="right" w:pos="9026" w:leader="dot"/>
            </w:tabs>
            <w:rPr/>
          </w:pPr>
          <w:hyperlink w:anchor="__RefHeading___Toc314030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384</w:t>
            </w:r>
          </w:hyperlink>
        </w:p>
        <w:p>
          <w:pPr>
            <w:pStyle w:val="Contents6"/>
            <w:tabs>
              <w:tab w:val="clear" w:pos="7609"/>
              <w:tab w:val="right" w:pos="9026" w:leader="dot"/>
            </w:tabs>
            <w:rPr/>
          </w:pPr>
          <w:hyperlink w:anchor="__RefHeading___Toc314030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w:t>
            </w:r>
            <w:r>
              <w:rPr>
                <w:rStyle w:val="IndexLink"/>
                <w:rtl w:val="true"/>
              </w:rPr>
              <w:t>:</w:t>
              <w:tab/>
            </w:r>
            <w:r>
              <w:rPr>
                <w:rStyle w:val="IndexLink"/>
              </w:rPr>
              <w:t>385</w:t>
            </w:r>
          </w:hyperlink>
        </w:p>
        <w:p>
          <w:pPr>
            <w:pStyle w:val="Contents6"/>
            <w:tabs>
              <w:tab w:val="clear" w:pos="7609"/>
              <w:tab w:val="right" w:pos="9026" w:leader="dot"/>
            </w:tabs>
            <w:rPr/>
          </w:pPr>
          <w:hyperlink w:anchor="__RefHeading___Toc3140311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385</w:t>
            </w:r>
          </w:hyperlink>
        </w:p>
        <w:p>
          <w:pPr>
            <w:pStyle w:val="Contents6"/>
            <w:tabs>
              <w:tab w:val="clear" w:pos="7609"/>
              <w:tab w:val="right" w:pos="9026" w:leader="dot"/>
            </w:tabs>
            <w:rPr/>
          </w:pPr>
          <w:hyperlink w:anchor="__RefHeading___Toc3140313_65377670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3140315_653776707">
            <w:r>
              <w:rPr>
                <w:webHidden/>
                <w:rStyle w:val="IndexLink"/>
                <w:rtl w:val="true"/>
              </w:rPr>
              <w:t xml:space="preserve">فرع </w:t>
            </w:r>
            <w:r>
              <w:rPr>
                <w:rStyle w:val="IndexLink"/>
                <w:rtl w:val="true"/>
              </w:rPr>
              <w:t>:</w:t>
              <w:tab/>
            </w:r>
            <w:r>
              <w:rPr>
                <w:rStyle w:val="IndexLink"/>
              </w:rPr>
              <w:t>388</w:t>
            </w:r>
          </w:hyperlink>
        </w:p>
        <w:p>
          <w:pPr>
            <w:pStyle w:val="Contents6"/>
            <w:tabs>
              <w:tab w:val="clear" w:pos="7609"/>
              <w:tab w:val="right" w:pos="9026" w:leader="dot"/>
            </w:tabs>
            <w:rPr/>
          </w:pPr>
          <w:hyperlink w:anchor="__RefHeading___Toc3140317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388</w:t>
            </w:r>
          </w:hyperlink>
        </w:p>
        <w:p>
          <w:pPr>
            <w:pStyle w:val="Contents6"/>
            <w:tabs>
              <w:tab w:val="clear" w:pos="7609"/>
              <w:tab w:val="right" w:pos="9026" w:leader="dot"/>
            </w:tabs>
            <w:rPr/>
          </w:pPr>
          <w:hyperlink w:anchor="__RefHeading___Toc3140319_653776707">
            <w:r>
              <w:rPr>
                <w:webHidden/>
                <w:rStyle w:val="IndexLink"/>
                <w:rtl w:val="true"/>
              </w:rPr>
              <w:t xml:space="preserve">البحث السادس </w:t>
            </w:r>
            <w:r>
              <w:rPr>
                <w:rStyle w:val="IndexLink"/>
                <w:rtl w:val="true"/>
              </w:rPr>
              <w:t xml:space="preserve">: </w:t>
            </w:r>
            <w:r>
              <w:rPr>
                <w:rStyle w:val="IndexLink"/>
                <w:rtl w:val="true"/>
              </w:rPr>
              <w:t>في المشتبه</w:t>
            </w:r>
            <w:r>
              <w:rPr>
                <w:rStyle w:val="IndexLink"/>
                <w:rtl w:val="true"/>
              </w:rPr>
              <w:tab/>
            </w:r>
            <w:r>
              <w:rPr>
                <w:rStyle w:val="IndexLink"/>
              </w:rPr>
              <w:t>392</w:t>
            </w:r>
          </w:hyperlink>
        </w:p>
        <w:p>
          <w:pPr>
            <w:pStyle w:val="Contents6"/>
            <w:tabs>
              <w:tab w:val="clear" w:pos="7609"/>
              <w:tab w:val="right" w:pos="9026" w:leader="dot"/>
            </w:tabs>
            <w:rPr/>
          </w:pPr>
          <w:hyperlink w:anchor="__RefHeading___Toc314032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392</w:t>
            </w:r>
          </w:hyperlink>
        </w:p>
        <w:p>
          <w:pPr>
            <w:pStyle w:val="Contents6"/>
            <w:tabs>
              <w:tab w:val="clear" w:pos="7609"/>
              <w:tab w:val="right" w:pos="9026" w:leader="dot"/>
            </w:tabs>
            <w:rPr/>
          </w:pPr>
          <w:hyperlink w:anchor="__RefHeading___Toc3140323_653776707">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3140325_653776707">
            <w:r>
              <w:rPr>
                <w:webHidden/>
                <w:rStyle w:val="IndexLink"/>
                <w:rtl w:val="true"/>
              </w:rPr>
              <w:t xml:space="preserve">فروع </w:t>
            </w:r>
            <w:r>
              <w:rPr>
                <w:rStyle w:val="IndexLink"/>
                <w:rtl w:val="true"/>
              </w:rPr>
              <w:t>:</w:t>
              <w:tab/>
            </w:r>
            <w:r>
              <w:rPr>
                <w:rStyle w:val="IndexLink"/>
              </w:rPr>
              <w:t>393</w:t>
            </w:r>
          </w:hyperlink>
        </w:p>
        <w:p>
          <w:pPr>
            <w:pStyle w:val="Contents6"/>
            <w:tabs>
              <w:tab w:val="clear" w:pos="7609"/>
              <w:tab w:val="right" w:pos="9026" w:leader="dot"/>
            </w:tabs>
            <w:rPr/>
          </w:pPr>
          <w:hyperlink w:anchor="__RefHeading___Toc314032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393</w:t>
            </w:r>
          </w:hyperlink>
        </w:p>
        <w:p>
          <w:pPr>
            <w:pStyle w:val="Contents6"/>
            <w:tabs>
              <w:tab w:val="clear" w:pos="7609"/>
              <w:tab w:val="right" w:pos="9026" w:leader="dot"/>
            </w:tabs>
            <w:rPr/>
          </w:pPr>
          <w:hyperlink w:anchor="__RefHeading___Toc314032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395</w:t>
            </w:r>
          </w:hyperlink>
        </w:p>
        <w:p>
          <w:pPr>
            <w:pStyle w:val="Contents6"/>
            <w:tabs>
              <w:tab w:val="clear" w:pos="7609"/>
              <w:tab w:val="right" w:pos="9026" w:leader="dot"/>
            </w:tabs>
            <w:rPr/>
          </w:pPr>
          <w:hyperlink w:anchor="__RefHeading___Toc314033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396</w:t>
            </w:r>
          </w:hyperlink>
        </w:p>
        <w:p>
          <w:pPr>
            <w:pStyle w:val="Contents6"/>
            <w:tabs>
              <w:tab w:val="clear" w:pos="7609"/>
              <w:tab w:val="right" w:pos="9026" w:leader="dot"/>
            </w:tabs>
            <w:rPr/>
          </w:pPr>
          <w:hyperlink w:anchor="__RefHeading___Toc3140333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396</w:t>
            </w:r>
          </w:hyperlink>
        </w:p>
        <w:p>
          <w:pPr>
            <w:pStyle w:val="Contents6"/>
            <w:tabs>
              <w:tab w:val="clear" w:pos="7609"/>
              <w:tab w:val="right" w:pos="9026" w:leader="dot"/>
            </w:tabs>
            <w:rPr/>
          </w:pPr>
          <w:hyperlink w:anchor="__RefHeading___Toc3140335_65377670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3140337_653776707">
            <w:r>
              <w:rPr>
                <w:webHidden/>
                <w:rStyle w:val="IndexLink"/>
                <w:rtl w:val="true"/>
              </w:rPr>
              <w:t xml:space="preserve">[ </w:t>
            </w:r>
            <w:r>
              <w:rPr>
                <w:rStyle w:val="IndexLink"/>
                <w:rtl w:val="true"/>
              </w:rPr>
              <w:t xml:space="preserve">الصورة </w:t>
            </w:r>
            <w:r>
              <w:rPr>
                <w:rStyle w:val="IndexLink"/>
                <w:rtl w:val="true"/>
              </w:rPr>
              <w:t xml:space="preserve">] </w:t>
            </w:r>
            <w:r>
              <w:rPr>
                <w:rStyle w:val="IndexLink"/>
                <w:rtl w:val="true"/>
              </w:rPr>
              <w:t xml:space="preserve">الاولى </w:t>
            </w:r>
            <w:r>
              <w:rPr>
                <w:rStyle w:val="IndexLink"/>
                <w:rtl w:val="true"/>
              </w:rPr>
              <w:t>:</w:t>
              <w:tab/>
            </w:r>
            <w:r>
              <w:rPr>
                <w:rStyle w:val="IndexLink"/>
              </w:rPr>
              <w:t>399</w:t>
            </w:r>
          </w:hyperlink>
        </w:p>
        <w:p>
          <w:pPr>
            <w:pStyle w:val="Contents6"/>
            <w:tabs>
              <w:tab w:val="clear" w:pos="7609"/>
              <w:tab w:val="right" w:pos="9026" w:leader="dot"/>
            </w:tabs>
            <w:rPr/>
          </w:pPr>
          <w:hyperlink w:anchor="__RefHeading___Toc3140339_653776707">
            <w:r>
              <w:rPr>
                <w:webHidden/>
                <w:rStyle w:val="IndexLink"/>
                <w:rtl w:val="true"/>
              </w:rPr>
              <w:t xml:space="preserve">[ </w:t>
            </w:r>
            <w:r>
              <w:rPr>
                <w:rStyle w:val="IndexLink"/>
                <w:rtl w:val="true"/>
              </w:rPr>
              <w:t xml:space="preserve">الصورة </w:t>
            </w:r>
            <w:r>
              <w:rPr>
                <w:rStyle w:val="IndexLink"/>
                <w:rtl w:val="true"/>
              </w:rPr>
              <w:t xml:space="preserve">] </w:t>
            </w:r>
            <w:r>
              <w:rPr>
                <w:rStyle w:val="IndexLink"/>
                <w:rtl w:val="true"/>
              </w:rPr>
              <w:t xml:space="preserve">الثانية </w:t>
            </w:r>
            <w:r>
              <w:rPr>
                <w:rStyle w:val="IndexLink"/>
                <w:rtl w:val="true"/>
              </w:rPr>
              <w:t>:</w:t>
              <w:tab/>
            </w:r>
            <w:r>
              <w:rPr>
                <w:rStyle w:val="IndexLink"/>
              </w:rPr>
              <w:t>400</w:t>
            </w:r>
          </w:hyperlink>
        </w:p>
        <w:p>
          <w:pPr>
            <w:pStyle w:val="Contents6"/>
            <w:tabs>
              <w:tab w:val="clear" w:pos="7609"/>
              <w:tab w:val="right" w:pos="9026" w:leader="dot"/>
            </w:tabs>
            <w:rPr/>
          </w:pPr>
          <w:hyperlink w:anchor="__RefHeading___Toc3140341_653776707">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3140343_653776707">
            <w:r>
              <w:rPr>
                <w:webHidden/>
                <w:rStyle w:val="IndexLink"/>
                <w:rtl w:val="true"/>
              </w:rPr>
              <w:t xml:space="preserve">فرع </w:t>
            </w:r>
            <w:r>
              <w:rPr>
                <w:rStyle w:val="IndexLink"/>
                <w:rtl w:val="true"/>
              </w:rPr>
              <w:t>:</w:t>
              <w:tab/>
            </w:r>
            <w:r>
              <w:rPr>
                <w:rStyle w:val="IndexLink"/>
              </w:rPr>
              <w:t>406</w:t>
            </w:r>
          </w:hyperlink>
        </w:p>
        <w:p>
          <w:pPr>
            <w:pStyle w:val="Contents6"/>
            <w:tabs>
              <w:tab w:val="clear" w:pos="7609"/>
              <w:tab w:val="right" w:pos="9026" w:leader="dot"/>
            </w:tabs>
            <w:rPr/>
          </w:pPr>
          <w:hyperlink w:anchor="__RefHeading___Toc3140345_653776707">
            <w:r>
              <w:rPr>
                <w:webHidden/>
                <w:rStyle w:val="IndexLink"/>
                <w:rtl w:val="true"/>
              </w:rPr>
              <w:t xml:space="preserve">[ </w:t>
            </w:r>
            <w:r>
              <w:rPr>
                <w:rStyle w:val="IndexLink"/>
                <w:rtl w:val="true"/>
              </w:rPr>
              <w:t xml:space="preserve">فرع </w:t>
            </w:r>
            <w:r>
              <w:rPr>
                <w:rStyle w:val="IndexLink"/>
                <w:rtl w:val="true"/>
              </w:rPr>
              <w:t xml:space="preserve">] </w:t>
            </w:r>
            <w:r>
              <w:rPr>
                <w:rStyle w:val="IndexLink"/>
                <w:rtl w:val="true"/>
              </w:rPr>
              <w:t xml:space="preserve">آخر </w:t>
            </w:r>
            <w:r>
              <w:rPr>
                <w:rStyle w:val="IndexLink"/>
                <w:rtl w:val="true"/>
              </w:rPr>
              <w:t>:</w:t>
              <w:tab/>
            </w:r>
            <w:r>
              <w:rPr>
                <w:rStyle w:val="IndexLink"/>
              </w:rPr>
              <w:t>407</w:t>
            </w:r>
          </w:hyperlink>
        </w:p>
        <w:p>
          <w:pPr>
            <w:pStyle w:val="Contents6"/>
            <w:tabs>
              <w:tab w:val="clear" w:pos="7609"/>
              <w:tab w:val="right" w:pos="9026" w:leader="dot"/>
            </w:tabs>
            <w:rPr/>
          </w:pPr>
          <w:hyperlink w:anchor="__RefHeading___Toc3140347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407</w:t>
            </w:r>
          </w:hyperlink>
        </w:p>
        <w:p>
          <w:pPr>
            <w:pStyle w:val="Contents6"/>
            <w:tabs>
              <w:tab w:val="clear" w:pos="7609"/>
              <w:tab w:val="right" w:pos="9026" w:leader="dot"/>
            </w:tabs>
            <w:rPr/>
          </w:pPr>
          <w:hyperlink w:anchor="__RefHeading___Toc3140349_653776707">
            <w:r>
              <w:rPr>
                <w:webHidden/>
                <w:rStyle w:val="IndexLink"/>
                <w:rtl w:val="true"/>
              </w:rPr>
              <w:t xml:space="preserve">البحث السابع </w:t>
            </w:r>
            <w:r>
              <w:rPr>
                <w:rStyle w:val="IndexLink"/>
                <w:rtl w:val="true"/>
              </w:rPr>
              <w:t xml:space="preserve">: </w:t>
            </w:r>
            <w:r>
              <w:rPr>
                <w:rStyle w:val="IndexLink"/>
                <w:rtl w:val="true"/>
              </w:rPr>
              <w:t>في بقايا مسائل متفرّقة من أحكام المطلق</w:t>
            </w:r>
            <w:r>
              <w:rPr>
                <w:rStyle w:val="IndexLink"/>
                <w:rtl w:val="true"/>
              </w:rPr>
              <w:tab/>
            </w:r>
            <w:r>
              <w:rPr>
                <w:rStyle w:val="IndexLink"/>
              </w:rPr>
              <w:t>410</w:t>
            </w:r>
          </w:hyperlink>
        </w:p>
        <w:p>
          <w:pPr>
            <w:pStyle w:val="Contents6"/>
            <w:tabs>
              <w:tab w:val="clear" w:pos="7609"/>
              <w:tab w:val="right" w:pos="9026" w:leader="dot"/>
            </w:tabs>
            <w:rPr/>
          </w:pPr>
          <w:hyperlink w:anchor="__RefHeading___Toc314035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410</w:t>
            </w:r>
          </w:hyperlink>
        </w:p>
        <w:p>
          <w:pPr>
            <w:pStyle w:val="Contents6"/>
            <w:tabs>
              <w:tab w:val="clear" w:pos="7609"/>
              <w:tab w:val="right" w:pos="9026" w:leader="dot"/>
            </w:tabs>
            <w:rPr/>
          </w:pPr>
          <w:hyperlink w:anchor="__RefHeading___Toc3140353_653776707">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3140355_653776707">
            <w:r>
              <w:rPr>
                <w:webHidden/>
                <w:rStyle w:val="IndexLink"/>
                <w:rtl w:val="true"/>
              </w:rPr>
              <w:t xml:space="preserve">فروع </w:t>
            </w:r>
            <w:r>
              <w:rPr>
                <w:rStyle w:val="IndexLink"/>
                <w:rtl w:val="true"/>
              </w:rPr>
              <w:t>:</w:t>
              <w:tab/>
            </w:r>
            <w:r>
              <w:rPr>
                <w:rStyle w:val="IndexLink"/>
              </w:rPr>
              <w:t>412</w:t>
            </w:r>
          </w:hyperlink>
        </w:p>
        <w:p>
          <w:pPr>
            <w:pStyle w:val="Contents6"/>
            <w:tabs>
              <w:tab w:val="clear" w:pos="7609"/>
              <w:tab w:val="right" w:pos="9026" w:leader="dot"/>
            </w:tabs>
            <w:rPr/>
          </w:pPr>
          <w:hyperlink w:anchor="__RefHeading___Toc314035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412</w:t>
            </w:r>
          </w:hyperlink>
        </w:p>
        <w:p>
          <w:pPr>
            <w:pStyle w:val="Contents6"/>
            <w:tabs>
              <w:tab w:val="clear" w:pos="7609"/>
              <w:tab w:val="right" w:pos="9026" w:leader="dot"/>
            </w:tabs>
            <w:rPr/>
          </w:pPr>
          <w:hyperlink w:anchor="__RefHeading___Toc314035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413</w:t>
            </w:r>
          </w:hyperlink>
        </w:p>
        <w:p>
          <w:pPr>
            <w:pStyle w:val="Contents6"/>
            <w:tabs>
              <w:tab w:val="clear" w:pos="7609"/>
              <w:tab w:val="right" w:pos="9026" w:leader="dot"/>
            </w:tabs>
            <w:rPr/>
          </w:pPr>
          <w:hyperlink w:anchor="__RefHeading___Toc314036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413</w:t>
            </w:r>
          </w:hyperlink>
        </w:p>
        <w:p>
          <w:pPr>
            <w:pStyle w:val="Contents6"/>
            <w:tabs>
              <w:tab w:val="clear" w:pos="7609"/>
              <w:tab w:val="right" w:pos="9026" w:leader="dot"/>
            </w:tabs>
            <w:rPr/>
          </w:pPr>
          <w:hyperlink w:anchor="__RefHeading___Toc314036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414</w:t>
            </w:r>
          </w:hyperlink>
        </w:p>
        <w:p>
          <w:pPr>
            <w:pStyle w:val="Contents6"/>
            <w:tabs>
              <w:tab w:val="clear" w:pos="7609"/>
              <w:tab w:val="right" w:pos="9026" w:leader="dot"/>
            </w:tabs>
            <w:rPr/>
          </w:pPr>
          <w:hyperlink w:anchor="__RefHeading___Toc314036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414</w:t>
            </w:r>
          </w:hyperlink>
        </w:p>
        <w:p>
          <w:pPr>
            <w:pStyle w:val="Contents6"/>
            <w:tabs>
              <w:tab w:val="clear" w:pos="7609"/>
              <w:tab w:val="right" w:pos="9026" w:leader="dot"/>
            </w:tabs>
            <w:rPr/>
          </w:pPr>
          <w:hyperlink w:anchor="__RefHeading___Toc314036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w:t>
            </w:r>
            <w:r>
              <w:rPr>
                <w:rStyle w:val="IndexLink"/>
                <w:rtl w:val="true"/>
              </w:rPr>
              <w:t>:</w:t>
              <w:tab/>
            </w:r>
            <w:r>
              <w:rPr>
                <w:rStyle w:val="IndexLink"/>
              </w:rPr>
              <w:t>414</w:t>
            </w:r>
          </w:hyperlink>
        </w:p>
        <w:p>
          <w:pPr>
            <w:pStyle w:val="Contents6"/>
            <w:tabs>
              <w:tab w:val="clear" w:pos="7609"/>
              <w:tab w:val="right" w:pos="9026" w:leader="dot"/>
            </w:tabs>
            <w:rPr/>
          </w:pPr>
          <w:hyperlink w:anchor="__RefHeading___Toc3140369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415</w:t>
            </w:r>
          </w:hyperlink>
        </w:p>
        <w:p>
          <w:pPr>
            <w:pStyle w:val="Contents6"/>
            <w:tabs>
              <w:tab w:val="clear" w:pos="7609"/>
              <w:tab w:val="right" w:pos="9026" w:leader="dot"/>
            </w:tabs>
            <w:rPr/>
          </w:pPr>
          <w:hyperlink w:anchor="__RefHeading___Toc3140371_65377670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3140373_653776707">
            <w:r>
              <w:rPr>
                <w:webHidden/>
                <w:rStyle w:val="IndexLink"/>
                <w:rtl w:val="true"/>
              </w:rPr>
              <w:t xml:space="preserve">فرعان </w:t>
            </w:r>
            <w:r>
              <w:rPr>
                <w:rStyle w:val="IndexLink"/>
                <w:rtl w:val="true"/>
              </w:rPr>
              <w:t>:</w:t>
              <w:tab/>
            </w:r>
            <w:r>
              <w:rPr>
                <w:rStyle w:val="IndexLink"/>
              </w:rPr>
              <w:t>416</w:t>
            </w:r>
          </w:hyperlink>
        </w:p>
        <w:p>
          <w:pPr>
            <w:pStyle w:val="Contents6"/>
            <w:tabs>
              <w:tab w:val="clear" w:pos="7609"/>
              <w:tab w:val="right" w:pos="9026" w:leader="dot"/>
            </w:tabs>
            <w:rPr/>
          </w:pPr>
          <w:hyperlink w:anchor="__RefHeading___Toc314037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416</w:t>
            </w:r>
          </w:hyperlink>
        </w:p>
        <w:p>
          <w:pPr>
            <w:pStyle w:val="Contents6"/>
            <w:tabs>
              <w:tab w:val="clear" w:pos="7609"/>
              <w:tab w:val="right" w:pos="9026" w:leader="dot"/>
            </w:tabs>
            <w:rPr/>
          </w:pPr>
          <w:hyperlink w:anchor="__RefHeading___Toc314037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416</w:t>
            </w:r>
          </w:hyperlink>
        </w:p>
        <w:p>
          <w:pPr>
            <w:pStyle w:val="Contents6"/>
            <w:tabs>
              <w:tab w:val="clear" w:pos="7609"/>
              <w:tab w:val="right" w:pos="9026" w:leader="dot"/>
            </w:tabs>
            <w:rPr/>
          </w:pPr>
          <w:hyperlink w:anchor="__RefHeading___Toc3140379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417</w:t>
            </w:r>
          </w:hyperlink>
        </w:p>
        <w:p>
          <w:pPr>
            <w:pStyle w:val="Contents6"/>
            <w:tabs>
              <w:tab w:val="clear" w:pos="7609"/>
              <w:tab w:val="right" w:pos="9026" w:leader="dot"/>
            </w:tabs>
            <w:rPr/>
          </w:pPr>
          <w:hyperlink w:anchor="__RefHeading___Toc3140381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418</w:t>
            </w:r>
          </w:hyperlink>
        </w:p>
        <w:p>
          <w:pPr>
            <w:pStyle w:val="Contents6"/>
            <w:tabs>
              <w:tab w:val="clear" w:pos="7609"/>
              <w:tab w:val="right" w:pos="9026" w:leader="dot"/>
            </w:tabs>
            <w:rPr/>
          </w:pPr>
          <w:hyperlink w:anchor="__RefHeading___Toc3140383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419</w:t>
            </w:r>
          </w:hyperlink>
        </w:p>
        <w:p>
          <w:pPr>
            <w:pStyle w:val="Contents6"/>
            <w:tabs>
              <w:tab w:val="clear" w:pos="7609"/>
              <w:tab w:val="right" w:pos="9026" w:leader="dot"/>
            </w:tabs>
            <w:rPr/>
          </w:pPr>
          <w:hyperlink w:anchor="__RefHeading___Toc3140385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420</w:t>
            </w:r>
          </w:hyperlink>
        </w:p>
        <w:p>
          <w:pPr>
            <w:pStyle w:val="Contents6"/>
            <w:tabs>
              <w:tab w:val="clear" w:pos="7609"/>
              <w:tab w:val="right" w:pos="9026" w:leader="dot"/>
            </w:tabs>
            <w:rPr/>
          </w:pPr>
          <w:hyperlink w:anchor="__RefHeading___Toc3140387_653776707">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140389_653776707">
            <w:r>
              <w:rPr>
                <w:webHidden/>
                <w:rStyle w:val="IndexLink"/>
                <w:rtl w:val="true"/>
              </w:rPr>
              <w:t xml:space="preserve">فرع </w:t>
            </w:r>
            <w:r>
              <w:rPr>
                <w:rStyle w:val="IndexLink"/>
                <w:rtl w:val="true"/>
              </w:rPr>
              <w:t>:</w:t>
              <w:tab/>
            </w:r>
            <w:r>
              <w:rPr>
                <w:rStyle w:val="IndexLink"/>
              </w:rPr>
              <w:t>422</w:t>
            </w:r>
          </w:hyperlink>
        </w:p>
        <w:p>
          <w:pPr>
            <w:pStyle w:val="Contents6"/>
            <w:tabs>
              <w:tab w:val="clear" w:pos="7609"/>
              <w:tab w:val="right" w:pos="9026" w:leader="dot"/>
            </w:tabs>
            <w:rPr/>
          </w:pPr>
          <w:hyperlink w:anchor="__RefHeading___Toc3140391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423</w:t>
            </w:r>
          </w:hyperlink>
        </w:p>
        <w:p>
          <w:pPr>
            <w:pStyle w:val="Contents6"/>
            <w:tabs>
              <w:tab w:val="clear" w:pos="7609"/>
              <w:tab w:val="right" w:pos="9026" w:leader="dot"/>
            </w:tabs>
            <w:rPr/>
          </w:pPr>
          <w:hyperlink w:anchor="__RefHeading___Toc3140393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424</w:t>
            </w:r>
          </w:hyperlink>
        </w:p>
        <w:p>
          <w:pPr>
            <w:pStyle w:val="Contents5"/>
            <w:tabs>
              <w:tab w:val="clear" w:pos="7892"/>
              <w:tab w:val="right" w:pos="9026" w:leader="dot"/>
            </w:tabs>
            <w:rPr/>
          </w:pPr>
          <w:hyperlink w:anchor="__RefHeading___Toc3140395_653776707">
            <w:r>
              <w:rPr>
                <w:webHidden/>
                <w:rStyle w:val="IndexLink"/>
                <w:rtl w:val="true"/>
              </w:rPr>
              <w:t xml:space="preserve">المقام الثاني </w:t>
            </w:r>
            <w:r>
              <w:rPr>
                <w:rStyle w:val="IndexLink"/>
                <w:rtl w:val="true"/>
              </w:rPr>
              <w:t xml:space="preserve">: </w:t>
            </w:r>
            <w:r>
              <w:rPr>
                <w:rStyle w:val="IndexLink"/>
                <w:rtl w:val="true"/>
              </w:rPr>
              <w:t>في المضاف</w:t>
            </w:r>
            <w:r>
              <w:rPr>
                <w:rStyle w:val="IndexLink"/>
                <w:rtl w:val="true"/>
              </w:rPr>
              <w:tab/>
            </w:r>
            <w:r>
              <w:rPr>
                <w:rStyle w:val="IndexLink"/>
              </w:rPr>
              <w:t>426</w:t>
            </w:r>
          </w:hyperlink>
        </w:p>
        <w:p>
          <w:pPr>
            <w:pStyle w:val="Contents6"/>
            <w:tabs>
              <w:tab w:val="clear" w:pos="7609"/>
              <w:tab w:val="right" w:pos="9026" w:leader="dot"/>
            </w:tabs>
            <w:rPr/>
          </w:pPr>
          <w:hyperlink w:anchor="__RefHeading___Toc3140397_653776707">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140399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428</w:t>
            </w:r>
          </w:hyperlink>
        </w:p>
        <w:p>
          <w:pPr>
            <w:pStyle w:val="Contents6"/>
            <w:tabs>
              <w:tab w:val="clear" w:pos="7609"/>
              <w:tab w:val="right" w:pos="9026" w:leader="dot"/>
            </w:tabs>
            <w:rPr/>
          </w:pPr>
          <w:hyperlink w:anchor="__RefHeading___Toc3140401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430</w:t>
            </w:r>
          </w:hyperlink>
        </w:p>
        <w:p>
          <w:pPr>
            <w:pStyle w:val="Contents6"/>
            <w:tabs>
              <w:tab w:val="clear" w:pos="7609"/>
              <w:tab w:val="right" w:pos="9026" w:leader="dot"/>
            </w:tabs>
            <w:rPr/>
          </w:pPr>
          <w:hyperlink w:anchor="__RefHeading___Toc3140403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434</w:t>
            </w:r>
          </w:hyperlink>
        </w:p>
        <w:p>
          <w:pPr>
            <w:pStyle w:val="Contents6"/>
            <w:tabs>
              <w:tab w:val="clear" w:pos="7609"/>
              <w:tab w:val="right" w:pos="9026" w:leader="dot"/>
            </w:tabs>
            <w:rPr/>
          </w:pPr>
          <w:hyperlink w:anchor="__RefHeading___Toc3140405_65377670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3140407_653776707">
            <w:r>
              <w:rPr>
                <w:webHidden/>
                <w:rStyle w:val="IndexLink"/>
                <w:rtl w:val="true"/>
              </w:rPr>
              <w:t xml:space="preserve">احتجّوا للأوّل بوجوه </w:t>
            </w:r>
            <w:r>
              <w:rPr>
                <w:rStyle w:val="IndexLink"/>
                <w:rtl w:val="true"/>
              </w:rPr>
              <w:t>:</w:t>
              <w:tab/>
            </w:r>
            <w:r>
              <w:rPr>
                <w:rStyle w:val="IndexLink"/>
              </w:rPr>
              <w:t>435</w:t>
            </w:r>
          </w:hyperlink>
        </w:p>
        <w:p>
          <w:pPr>
            <w:pStyle w:val="Contents6"/>
            <w:tabs>
              <w:tab w:val="clear" w:pos="7609"/>
              <w:tab w:val="right" w:pos="9026" w:leader="dot"/>
            </w:tabs>
            <w:rPr/>
          </w:pPr>
          <w:hyperlink w:anchor="__RefHeading___Toc3140409_653776707">
            <w:r>
              <w:rPr>
                <w:webHidden/>
                <w:rStyle w:val="IndexLink"/>
                <w:rtl w:val="true"/>
              </w:rPr>
              <w:t xml:space="preserve">حجّة القول الثاني </w:t>
            </w:r>
            <w:r>
              <w:rPr>
                <w:rStyle w:val="IndexLink"/>
                <w:rtl w:val="true"/>
              </w:rPr>
              <w:t xml:space="preserve">: </w:t>
            </w:r>
            <w:r>
              <w:rPr>
                <w:rStyle w:val="IndexLink"/>
                <w:rtl w:val="true"/>
              </w:rPr>
              <w:t xml:space="preserve">وجوه </w:t>
            </w:r>
            <w:r>
              <w:rPr>
                <w:rStyle w:val="IndexLink"/>
                <w:rtl w:val="true"/>
              </w:rPr>
              <w:t>:</w:t>
              <w:tab/>
            </w:r>
            <w:r>
              <w:rPr>
                <w:rStyle w:val="IndexLink"/>
              </w:rPr>
              <w:t>439</w:t>
            </w:r>
          </w:hyperlink>
        </w:p>
        <w:p>
          <w:pPr>
            <w:pStyle w:val="Contents6"/>
            <w:tabs>
              <w:tab w:val="clear" w:pos="7609"/>
              <w:tab w:val="right" w:pos="9026" w:leader="dot"/>
            </w:tabs>
            <w:rPr/>
          </w:pPr>
          <w:hyperlink w:anchor="__RefHeading___Toc3140411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444</w:t>
            </w:r>
          </w:hyperlink>
        </w:p>
        <w:p>
          <w:pPr>
            <w:pStyle w:val="Contents6"/>
            <w:tabs>
              <w:tab w:val="clear" w:pos="7609"/>
              <w:tab w:val="right" w:pos="9026" w:leader="dot"/>
            </w:tabs>
            <w:rPr/>
          </w:pPr>
          <w:hyperlink w:anchor="__RefHeading___Toc3140413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447</w:t>
            </w:r>
          </w:hyperlink>
        </w:p>
        <w:p>
          <w:pPr>
            <w:pStyle w:val="Contents3"/>
            <w:tabs>
              <w:tab w:val="clear" w:pos="8459"/>
              <w:tab w:val="right" w:pos="9026" w:leader="dot"/>
            </w:tabs>
            <w:rPr/>
          </w:pPr>
          <w:hyperlink w:anchor="__RefHeading___Toc3140415_653776707">
            <w:r>
              <w:rPr>
                <w:webHidden/>
                <w:rStyle w:val="IndexLink"/>
                <w:rtl w:val="true"/>
              </w:rPr>
              <w:t>الفهرس التفصيلي</w:t>
            </w:r>
            <w:r>
              <w:rPr>
                <w:rStyle w:val="IndexLink"/>
                <w:rtl w:val="true"/>
              </w:rPr>
              <w:tab/>
            </w:r>
            <w:r>
              <w:rPr>
                <w:rStyle w:val="IndexLink"/>
              </w:rPr>
              <w:t>450</w:t>
            </w:r>
          </w:hyperlink>
        </w:p>
        <w:p>
          <w:pPr>
            <w:pStyle w:val="Contents2"/>
            <w:tabs>
              <w:tab w:val="clear" w:pos="8743"/>
              <w:tab w:val="right" w:pos="9026" w:leader="dot"/>
            </w:tabs>
            <w:rPr/>
          </w:pPr>
          <w:hyperlink w:anchor="__RefHeading___Toc3140417_653776707">
            <w:r>
              <w:rPr>
                <w:webHidden/>
                <w:rStyle w:val="IndexLink"/>
                <w:rtl w:val="true"/>
              </w:rPr>
              <w:t xml:space="preserve">المجلد </w:t>
            </w:r>
            <w:r>
              <w:rPr>
                <w:rStyle w:val="IndexLink"/>
              </w:rPr>
              <w:t>2</w:t>
            </w:r>
            <w:r>
              <w:rPr>
                <w:rStyle w:val="IndexLink"/>
                <w:rtl w:val="true"/>
              </w:rPr>
              <w:tab/>
            </w:r>
            <w:r>
              <w:rPr>
                <w:rStyle w:val="IndexLink"/>
              </w:rPr>
              <w:t>454</w:t>
            </w:r>
          </w:hyperlink>
        </w:p>
        <w:p>
          <w:pPr>
            <w:pStyle w:val="Contents3"/>
            <w:tabs>
              <w:tab w:val="clear" w:pos="8459"/>
              <w:tab w:val="right" w:pos="9026" w:leader="dot"/>
            </w:tabs>
            <w:rPr/>
          </w:pPr>
          <w:hyperlink w:anchor="__RefHeading___Toc3140419_653776707">
            <w:r>
              <w:rPr>
                <w:webHidden/>
                <w:rStyle w:val="IndexLink"/>
                <w:rtl w:val="true"/>
              </w:rPr>
              <w:t xml:space="preserve">المطلب الثاني </w:t>
            </w:r>
            <w:r>
              <w:rPr>
                <w:rStyle w:val="IndexLink"/>
                <w:rtl w:val="true"/>
              </w:rPr>
              <w:t xml:space="preserve">: </w:t>
            </w:r>
            <w:r>
              <w:rPr>
                <w:rStyle w:val="IndexLink"/>
                <w:rtl w:val="true"/>
              </w:rPr>
              <w:t>في الطهارة من النجاسات وما يتعلّق بها</w:t>
            </w:r>
            <w:r>
              <w:rPr>
                <w:rStyle w:val="IndexLink"/>
                <w:rtl w:val="true"/>
              </w:rPr>
              <w:tab/>
            </w:r>
            <w:r>
              <w:rPr>
                <w:rStyle w:val="IndexLink"/>
              </w:rPr>
              <w:t>454</w:t>
            </w:r>
          </w:hyperlink>
        </w:p>
        <w:p>
          <w:pPr>
            <w:pStyle w:val="Contents4"/>
            <w:tabs>
              <w:tab w:val="clear" w:pos="8176"/>
              <w:tab w:val="right" w:pos="9026" w:leader="dot"/>
            </w:tabs>
            <w:rPr/>
          </w:pPr>
          <w:hyperlink w:anchor="__RefHeading___Toc3140421_653776707">
            <w:r>
              <w:rPr>
                <w:webHidden/>
                <w:rStyle w:val="IndexLink"/>
                <w:rtl w:val="true"/>
              </w:rPr>
              <w:t xml:space="preserve">الفصل الأوّل </w:t>
            </w:r>
            <w:r>
              <w:rPr>
                <w:rStyle w:val="IndexLink"/>
                <w:rtl w:val="true"/>
              </w:rPr>
              <w:t xml:space="preserve">: </w:t>
            </w:r>
            <w:r>
              <w:rPr>
                <w:rStyle w:val="IndexLink"/>
                <w:rtl w:val="true"/>
              </w:rPr>
              <w:t>في أصناف النجاسات</w:t>
            </w:r>
            <w:r>
              <w:rPr>
                <w:rStyle w:val="IndexLink"/>
                <w:rtl w:val="true"/>
              </w:rPr>
              <w:tab/>
            </w:r>
            <w:r>
              <w:rPr>
                <w:rStyle w:val="IndexLink"/>
              </w:rPr>
              <w:t>454</w:t>
            </w:r>
          </w:hyperlink>
        </w:p>
        <w:p>
          <w:pPr>
            <w:pStyle w:val="Contents5"/>
            <w:tabs>
              <w:tab w:val="clear" w:pos="7892"/>
              <w:tab w:val="right" w:pos="9026" w:leader="dot"/>
            </w:tabs>
            <w:rPr/>
          </w:pPr>
          <w:hyperlink w:anchor="__RefHeading___Toc3140423_65377670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140425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454</w:t>
            </w:r>
          </w:hyperlink>
        </w:p>
        <w:p>
          <w:pPr>
            <w:pStyle w:val="Contents5"/>
            <w:tabs>
              <w:tab w:val="clear" w:pos="7892"/>
              <w:tab w:val="right" w:pos="9026" w:leader="dot"/>
            </w:tabs>
            <w:rPr/>
          </w:pPr>
          <w:hyperlink w:anchor="__RefHeading___Toc3140427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457</w:t>
            </w:r>
          </w:hyperlink>
        </w:p>
        <w:p>
          <w:pPr>
            <w:pStyle w:val="Contents6"/>
            <w:tabs>
              <w:tab w:val="clear" w:pos="7609"/>
              <w:tab w:val="right" w:pos="9026" w:leader="dot"/>
            </w:tabs>
            <w:rPr/>
          </w:pPr>
          <w:hyperlink w:anchor="__RefHeading___Toc3140429_653776707">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3140431_653776707">
            <w:r>
              <w:rPr>
                <w:webHidden/>
                <w:rStyle w:val="IndexLink"/>
                <w:rtl w:val="true"/>
              </w:rPr>
              <w:t xml:space="preserve">فروع </w:t>
            </w:r>
            <w:r>
              <w:rPr>
                <w:rStyle w:val="IndexLink"/>
                <w:rtl w:val="true"/>
              </w:rPr>
              <w:t>:</w:t>
              <w:tab/>
            </w:r>
            <w:r>
              <w:rPr>
                <w:rStyle w:val="IndexLink"/>
              </w:rPr>
              <w:t>460</w:t>
            </w:r>
          </w:hyperlink>
        </w:p>
        <w:p>
          <w:pPr>
            <w:pStyle w:val="Contents6"/>
            <w:tabs>
              <w:tab w:val="clear" w:pos="7609"/>
              <w:tab w:val="right" w:pos="9026" w:leader="dot"/>
            </w:tabs>
            <w:rPr/>
          </w:pPr>
          <w:hyperlink w:anchor="__RefHeading___Toc314043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460</w:t>
            </w:r>
          </w:hyperlink>
        </w:p>
        <w:p>
          <w:pPr>
            <w:pStyle w:val="Contents6"/>
            <w:tabs>
              <w:tab w:val="clear" w:pos="7609"/>
              <w:tab w:val="right" w:pos="9026" w:leader="dot"/>
            </w:tabs>
            <w:rPr/>
          </w:pPr>
          <w:hyperlink w:anchor="__RefHeading___Toc314043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460</w:t>
            </w:r>
          </w:hyperlink>
        </w:p>
        <w:p>
          <w:pPr>
            <w:pStyle w:val="Contents6"/>
            <w:tabs>
              <w:tab w:val="clear" w:pos="7609"/>
              <w:tab w:val="right" w:pos="9026" w:leader="dot"/>
            </w:tabs>
            <w:rPr/>
          </w:pPr>
          <w:hyperlink w:anchor="__RefHeading___Toc314043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461</w:t>
            </w:r>
          </w:hyperlink>
        </w:p>
        <w:p>
          <w:pPr>
            <w:pStyle w:val="Contents5"/>
            <w:tabs>
              <w:tab w:val="clear" w:pos="7892"/>
              <w:tab w:val="right" w:pos="9026" w:leader="dot"/>
            </w:tabs>
            <w:rPr/>
          </w:pPr>
          <w:hyperlink w:anchor="__RefHeading___Toc3140439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462</w:t>
            </w:r>
          </w:hyperlink>
        </w:p>
        <w:p>
          <w:pPr>
            <w:pStyle w:val="Contents5"/>
            <w:tabs>
              <w:tab w:val="clear" w:pos="7892"/>
              <w:tab w:val="right" w:pos="9026" w:leader="dot"/>
            </w:tabs>
            <w:rPr/>
          </w:pPr>
          <w:hyperlink w:anchor="__RefHeading___Toc3140441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473</w:t>
            </w:r>
          </w:hyperlink>
        </w:p>
        <w:p>
          <w:pPr>
            <w:pStyle w:val="Contents5"/>
            <w:tabs>
              <w:tab w:val="clear" w:pos="7892"/>
              <w:tab w:val="right" w:pos="9026" w:leader="dot"/>
            </w:tabs>
            <w:rPr/>
          </w:pPr>
          <w:hyperlink w:anchor="__RefHeading___Toc3140443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476</w:t>
            </w:r>
          </w:hyperlink>
        </w:p>
        <w:p>
          <w:pPr>
            <w:pStyle w:val="Contents6"/>
            <w:tabs>
              <w:tab w:val="clear" w:pos="7609"/>
              <w:tab w:val="right" w:pos="9026" w:leader="dot"/>
            </w:tabs>
            <w:rPr/>
          </w:pPr>
          <w:hyperlink w:anchor="__RefHeading___Toc3140445_653776707">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3140447_653776707">
            <w:r>
              <w:rPr>
                <w:webHidden/>
                <w:rStyle w:val="IndexLink"/>
                <w:rtl w:val="true"/>
              </w:rPr>
              <w:t xml:space="preserve">تذنيب </w:t>
            </w:r>
            <w:r>
              <w:rPr>
                <w:rStyle w:val="IndexLink"/>
                <w:rtl w:val="true"/>
              </w:rPr>
              <w:t>:</w:t>
              <w:tab/>
            </w:r>
            <w:r>
              <w:rPr>
                <w:rStyle w:val="IndexLink"/>
              </w:rPr>
              <w:t>479</w:t>
            </w:r>
          </w:hyperlink>
        </w:p>
        <w:p>
          <w:pPr>
            <w:pStyle w:val="Contents5"/>
            <w:tabs>
              <w:tab w:val="clear" w:pos="7892"/>
              <w:tab w:val="right" w:pos="9026" w:leader="dot"/>
            </w:tabs>
            <w:rPr/>
          </w:pPr>
          <w:hyperlink w:anchor="__RefHeading___Toc3140449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480</w:t>
            </w:r>
          </w:hyperlink>
        </w:p>
        <w:p>
          <w:pPr>
            <w:pStyle w:val="Contents6"/>
            <w:tabs>
              <w:tab w:val="clear" w:pos="7609"/>
              <w:tab w:val="right" w:pos="9026" w:leader="dot"/>
            </w:tabs>
            <w:rPr/>
          </w:pPr>
          <w:hyperlink w:anchor="__RefHeading___Toc3140451_653776707">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3140453_653776707">
            <w:r>
              <w:rPr>
                <w:webHidden/>
                <w:rStyle w:val="IndexLink"/>
                <w:rtl w:val="true"/>
              </w:rPr>
              <w:t xml:space="preserve">فرعان </w:t>
            </w:r>
            <w:r>
              <w:rPr>
                <w:rStyle w:val="IndexLink"/>
                <w:rtl w:val="true"/>
              </w:rPr>
              <w:t>:</w:t>
              <w:tab/>
            </w:r>
            <w:r>
              <w:rPr>
                <w:rStyle w:val="IndexLink"/>
              </w:rPr>
              <w:t>494</w:t>
            </w:r>
          </w:hyperlink>
        </w:p>
        <w:p>
          <w:pPr>
            <w:pStyle w:val="Contents6"/>
            <w:tabs>
              <w:tab w:val="clear" w:pos="7609"/>
              <w:tab w:val="right" w:pos="9026" w:leader="dot"/>
            </w:tabs>
            <w:rPr/>
          </w:pPr>
          <w:hyperlink w:anchor="__RefHeading___Toc314045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494</w:t>
            </w:r>
          </w:hyperlink>
        </w:p>
        <w:p>
          <w:pPr>
            <w:pStyle w:val="Contents6"/>
            <w:tabs>
              <w:tab w:val="clear" w:pos="7609"/>
              <w:tab w:val="right" w:pos="9026" w:leader="dot"/>
            </w:tabs>
            <w:rPr/>
          </w:pPr>
          <w:hyperlink w:anchor="__RefHeading___Toc314045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495</w:t>
            </w:r>
          </w:hyperlink>
        </w:p>
        <w:p>
          <w:pPr>
            <w:pStyle w:val="Contents5"/>
            <w:tabs>
              <w:tab w:val="clear" w:pos="7892"/>
              <w:tab w:val="right" w:pos="9026" w:leader="dot"/>
            </w:tabs>
            <w:rPr/>
          </w:pPr>
          <w:hyperlink w:anchor="__RefHeading___Toc3140459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496</w:t>
            </w:r>
          </w:hyperlink>
        </w:p>
        <w:p>
          <w:pPr>
            <w:pStyle w:val="Contents6"/>
            <w:tabs>
              <w:tab w:val="clear" w:pos="7609"/>
              <w:tab w:val="right" w:pos="9026" w:leader="dot"/>
            </w:tabs>
            <w:rPr/>
          </w:pPr>
          <w:hyperlink w:anchor="__RefHeading___Toc3140461_653776707">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3140463_653776707">
            <w:r>
              <w:rPr>
                <w:webHidden/>
                <w:rStyle w:val="IndexLink"/>
                <w:rtl w:val="true"/>
              </w:rPr>
              <w:t xml:space="preserve">فروع </w:t>
            </w:r>
            <w:r>
              <w:rPr>
                <w:rStyle w:val="IndexLink"/>
                <w:rtl w:val="true"/>
              </w:rPr>
              <w:t>:</w:t>
              <w:tab/>
            </w:r>
            <w:r>
              <w:rPr>
                <w:rStyle w:val="IndexLink"/>
              </w:rPr>
              <w:t>497</w:t>
            </w:r>
          </w:hyperlink>
        </w:p>
        <w:p>
          <w:pPr>
            <w:pStyle w:val="Contents6"/>
            <w:tabs>
              <w:tab w:val="clear" w:pos="7609"/>
              <w:tab w:val="right" w:pos="9026" w:leader="dot"/>
            </w:tabs>
            <w:rPr/>
          </w:pPr>
          <w:hyperlink w:anchor="__RefHeading___Toc314046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497</w:t>
            </w:r>
          </w:hyperlink>
        </w:p>
        <w:p>
          <w:pPr>
            <w:pStyle w:val="Contents6"/>
            <w:tabs>
              <w:tab w:val="clear" w:pos="7609"/>
              <w:tab w:val="right" w:pos="9026" w:leader="dot"/>
            </w:tabs>
            <w:rPr/>
          </w:pPr>
          <w:hyperlink w:anchor="__RefHeading___Toc3140467_653776707">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3140469_653776707">
            <w:r>
              <w:rPr>
                <w:webHidden/>
                <w:rStyle w:val="IndexLink"/>
                <w:rtl w:val="true"/>
              </w:rPr>
              <w:t xml:space="preserve">تذنيب </w:t>
            </w:r>
            <w:r>
              <w:rPr>
                <w:rStyle w:val="IndexLink"/>
                <w:rtl w:val="true"/>
              </w:rPr>
              <w:t>:</w:t>
              <w:tab/>
            </w:r>
            <w:r>
              <w:rPr>
                <w:rStyle w:val="IndexLink"/>
              </w:rPr>
              <w:t>498</w:t>
            </w:r>
          </w:hyperlink>
        </w:p>
        <w:p>
          <w:pPr>
            <w:pStyle w:val="Contents6"/>
            <w:tabs>
              <w:tab w:val="clear" w:pos="7609"/>
              <w:tab w:val="right" w:pos="9026" w:leader="dot"/>
            </w:tabs>
            <w:rPr/>
          </w:pPr>
          <w:hyperlink w:anchor="__RefHeading___Toc3140471_653776707">
            <w:r>
              <w:rPr>
                <w:webHidden/>
                <w:rStyle w:val="IndexLink"/>
                <w:rtl w:val="true"/>
              </w:rPr>
              <w:t xml:space="preserve">[ </w:t>
            </w:r>
            <w:r>
              <w:rPr>
                <w:rStyle w:val="IndexLink"/>
                <w:rtl w:val="true"/>
              </w:rPr>
              <w:t xml:space="preserve">تذنيب </w:t>
            </w:r>
            <w:r>
              <w:rPr>
                <w:rStyle w:val="IndexLink"/>
                <w:rtl w:val="true"/>
              </w:rPr>
              <w:t xml:space="preserve">] </w:t>
            </w:r>
            <w:r>
              <w:rPr>
                <w:rStyle w:val="IndexLink"/>
                <w:rtl w:val="true"/>
              </w:rPr>
              <w:t xml:space="preserve">آخر </w:t>
            </w:r>
            <w:r>
              <w:rPr>
                <w:rStyle w:val="IndexLink"/>
                <w:rtl w:val="true"/>
              </w:rPr>
              <w:t>:</w:t>
              <w:tab/>
            </w:r>
            <w:r>
              <w:rPr>
                <w:rStyle w:val="IndexLink"/>
              </w:rPr>
              <w:t>500</w:t>
            </w:r>
          </w:hyperlink>
        </w:p>
        <w:p>
          <w:pPr>
            <w:pStyle w:val="Contents6"/>
            <w:tabs>
              <w:tab w:val="clear" w:pos="7609"/>
              <w:tab w:val="right" w:pos="9026" w:leader="dot"/>
            </w:tabs>
            <w:rPr/>
          </w:pPr>
          <w:hyperlink w:anchor="__RefHeading___Toc314047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501</w:t>
            </w:r>
          </w:hyperlink>
        </w:p>
        <w:p>
          <w:pPr>
            <w:pStyle w:val="Contents6"/>
            <w:tabs>
              <w:tab w:val="clear" w:pos="7609"/>
              <w:tab w:val="right" w:pos="9026" w:leader="dot"/>
            </w:tabs>
            <w:rPr/>
          </w:pPr>
          <w:hyperlink w:anchor="__RefHeading___Toc3140475_653776707">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3140477_653776707">
            <w:r>
              <w:rPr>
                <w:webHidden/>
                <w:rStyle w:val="IndexLink"/>
                <w:rtl w:val="true"/>
              </w:rPr>
              <w:t xml:space="preserve">أحدها </w:t>
            </w:r>
            <w:r>
              <w:rPr>
                <w:rStyle w:val="IndexLink"/>
                <w:rtl w:val="true"/>
              </w:rPr>
              <w:t>:</w:t>
              <w:tab/>
            </w:r>
            <w:r>
              <w:rPr>
                <w:rStyle w:val="IndexLink"/>
              </w:rPr>
              <w:t>503</w:t>
            </w:r>
          </w:hyperlink>
        </w:p>
        <w:p>
          <w:pPr>
            <w:pStyle w:val="Contents6"/>
            <w:tabs>
              <w:tab w:val="clear" w:pos="7609"/>
              <w:tab w:val="right" w:pos="9026" w:leader="dot"/>
            </w:tabs>
            <w:rPr/>
          </w:pPr>
          <w:hyperlink w:anchor="__RefHeading___Toc3140479_653776707">
            <w:r>
              <w:rPr>
                <w:webHidden/>
                <w:rStyle w:val="IndexLink"/>
                <w:rtl w:val="true"/>
              </w:rPr>
              <w:t xml:space="preserve">ثانيها </w:t>
            </w:r>
            <w:r>
              <w:rPr>
                <w:rStyle w:val="IndexLink"/>
                <w:rtl w:val="true"/>
              </w:rPr>
              <w:t>:</w:t>
              <w:tab/>
            </w:r>
            <w:r>
              <w:rPr>
                <w:rStyle w:val="IndexLink"/>
              </w:rPr>
              <w:t>504</w:t>
            </w:r>
          </w:hyperlink>
        </w:p>
        <w:p>
          <w:pPr>
            <w:pStyle w:val="Contents6"/>
            <w:tabs>
              <w:tab w:val="clear" w:pos="7609"/>
              <w:tab w:val="right" w:pos="9026" w:leader="dot"/>
            </w:tabs>
            <w:rPr/>
          </w:pPr>
          <w:hyperlink w:anchor="__RefHeading___Toc3140481_653776707">
            <w:r>
              <w:rPr>
                <w:webHidden/>
                <w:rStyle w:val="IndexLink"/>
                <w:rtl w:val="true"/>
              </w:rPr>
              <w:t xml:space="preserve">وثالثها </w:t>
            </w:r>
            <w:r>
              <w:rPr>
                <w:rStyle w:val="IndexLink"/>
                <w:rtl w:val="true"/>
              </w:rPr>
              <w:t>:</w:t>
              <w:tab/>
            </w:r>
            <w:r>
              <w:rPr>
                <w:rStyle w:val="IndexLink"/>
              </w:rPr>
              <w:t>505</w:t>
            </w:r>
          </w:hyperlink>
        </w:p>
        <w:p>
          <w:pPr>
            <w:pStyle w:val="Contents6"/>
            <w:tabs>
              <w:tab w:val="clear" w:pos="7609"/>
              <w:tab w:val="right" w:pos="9026" w:leader="dot"/>
            </w:tabs>
            <w:rPr/>
          </w:pPr>
          <w:hyperlink w:anchor="__RefHeading___Toc3140483_653776707">
            <w:r>
              <w:rPr>
                <w:webHidden/>
                <w:rStyle w:val="IndexLink"/>
                <w:rtl w:val="true"/>
              </w:rPr>
              <w:t xml:space="preserve">ورابعها </w:t>
            </w:r>
            <w:r>
              <w:rPr>
                <w:rStyle w:val="IndexLink"/>
                <w:rtl w:val="true"/>
              </w:rPr>
              <w:t>:</w:t>
              <w:tab/>
            </w:r>
            <w:r>
              <w:rPr>
                <w:rStyle w:val="IndexLink"/>
              </w:rPr>
              <w:t>505</w:t>
            </w:r>
          </w:hyperlink>
        </w:p>
        <w:p>
          <w:pPr>
            <w:pStyle w:val="Contents6"/>
            <w:tabs>
              <w:tab w:val="clear" w:pos="7609"/>
              <w:tab w:val="right" w:pos="9026" w:leader="dot"/>
            </w:tabs>
            <w:rPr/>
          </w:pPr>
          <w:hyperlink w:anchor="__RefHeading___Toc3140485_653776707">
            <w:r>
              <w:rPr>
                <w:webHidden/>
                <w:rStyle w:val="IndexLink"/>
                <w:rtl w:val="true"/>
              </w:rPr>
              <w:t xml:space="preserve">وخامسها </w:t>
            </w:r>
            <w:r>
              <w:rPr>
                <w:rStyle w:val="IndexLink"/>
                <w:rtl w:val="true"/>
              </w:rPr>
              <w:t>:</w:t>
              <w:tab/>
            </w:r>
            <w:r>
              <w:rPr>
                <w:rStyle w:val="IndexLink"/>
              </w:rPr>
              <w:t>506</w:t>
            </w:r>
          </w:hyperlink>
        </w:p>
        <w:p>
          <w:pPr>
            <w:pStyle w:val="Contents6"/>
            <w:tabs>
              <w:tab w:val="clear" w:pos="7609"/>
              <w:tab w:val="right" w:pos="9026" w:leader="dot"/>
            </w:tabs>
            <w:rPr/>
          </w:pPr>
          <w:hyperlink w:anchor="__RefHeading___Toc314048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511</w:t>
            </w:r>
          </w:hyperlink>
        </w:p>
        <w:p>
          <w:pPr>
            <w:pStyle w:val="Contents5"/>
            <w:tabs>
              <w:tab w:val="clear" w:pos="7892"/>
              <w:tab w:val="right" w:pos="9026" w:leader="dot"/>
            </w:tabs>
            <w:rPr/>
          </w:pPr>
          <w:hyperlink w:anchor="__RefHeading___Toc3140489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514</w:t>
            </w:r>
          </w:hyperlink>
        </w:p>
        <w:p>
          <w:pPr>
            <w:pStyle w:val="Contents6"/>
            <w:tabs>
              <w:tab w:val="clear" w:pos="7609"/>
              <w:tab w:val="right" w:pos="9026" w:leader="dot"/>
            </w:tabs>
            <w:rPr/>
          </w:pPr>
          <w:hyperlink w:anchor="__RefHeading___Toc3140491_653776707">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3140493_653776707">
            <w:r>
              <w:rPr>
                <w:webHidden/>
                <w:rStyle w:val="IndexLink"/>
                <w:rtl w:val="true"/>
              </w:rPr>
              <w:t xml:space="preserve">فروع </w:t>
            </w:r>
            <w:r>
              <w:rPr>
                <w:rStyle w:val="IndexLink"/>
                <w:rtl w:val="true"/>
              </w:rPr>
              <w:t>:</w:t>
              <w:tab/>
            </w:r>
            <w:r>
              <w:rPr>
                <w:rStyle w:val="IndexLink"/>
              </w:rPr>
              <w:t>522</w:t>
            </w:r>
          </w:hyperlink>
        </w:p>
        <w:p>
          <w:pPr>
            <w:pStyle w:val="Contents6"/>
            <w:tabs>
              <w:tab w:val="clear" w:pos="7609"/>
              <w:tab w:val="right" w:pos="9026" w:leader="dot"/>
            </w:tabs>
            <w:rPr/>
          </w:pPr>
          <w:hyperlink w:anchor="__RefHeading___Toc314049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522</w:t>
            </w:r>
          </w:hyperlink>
        </w:p>
        <w:p>
          <w:pPr>
            <w:pStyle w:val="Contents6"/>
            <w:tabs>
              <w:tab w:val="clear" w:pos="7609"/>
              <w:tab w:val="right" w:pos="9026" w:leader="dot"/>
            </w:tabs>
            <w:rPr/>
          </w:pPr>
          <w:hyperlink w:anchor="__RefHeading___Toc314049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الثاني</w:t>
            </w:r>
            <w:r>
              <w:rPr>
                <w:rStyle w:val="IndexLink"/>
                <w:rtl w:val="true"/>
              </w:rPr>
              <w:tab/>
            </w:r>
            <w:r>
              <w:rPr>
                <w:rStyle w:val="IndexLink"/>
              </w:rPr>
              <w:t>524</w:t>
            </w:r>
          </w:hyperlink>
        </w:p>
        <w:p>
          <w:pPr>
            <w:pStyle w:val="Contents6"/>
            <w:tabs>
              <w:tab w:val="clear" w:pos="7609"/>
              <w:tab w:val="right" w:pos="9026" w:leader="dot"/>
            </w:tabs>
            <w:rPr/>
          </w:pPr>
          <w:hyperlink w:anchor="__RefHeading___Toc31404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527</w:t>
            </w:r>
          </w:hyperlink>
        </w:p>
        <w:p>
          <w:pPr>
            <w:pStyle w:val="Contents5"/>
            <w:tabs>
              <w:tab w:val="clear" w:pos="7892"/>
              <w:tab w:val="right" w:pos="9026" w:leader="dot"/>
            </w:tabs>
            <w:rPr/>
          </w:pPr>
          <w:hyperlink w:anchor="__RefHeading___Toc3140501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529</w:t>
            </w:r>
          </w:hyperlink>
        </w:p>
        <w:p>
          <w:pPr>
            <w:pStyle w:val="Contents6"/>
            <w:tabs>
              <w:tab w:val="clear" w:pos="7609"/>
              <w:tab w:val="right" w:pos="9026" w:leader="dot"/>
            </w:tabs>
            <w:rPr/>
          </w:pPr>
          <w:hyperlink w:anchor="__RefHeading___Toc3140503_653776707">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3140505_653776707">
            <w:r>
              <w:rPr>
                <w:webHidden/>
                <w:rStyle w:val="IndexLink"/>
                <w:rtl w:val="true"/>
              </w:rPr>
              <w:t xml:space="preserve">فروع </w:t>
            </w:r>
            <w:r>
              <w:rPr>
                <w:rStyle w:val="IndexLink"/>
                <w:rtl w:val="true"/>
              </w:rPr>
              <w:t>:</w:t>
              <w:tab/>
            </w:r>
            <w:r>
              <w:rPr>
                <w:rStyle w:val="IndexLink"/>
              </w:rPr>
              <w:t>532</w:t>
            </w:r>
          </w:hyperlink>
        </w:p>
        <w:p>
          <w:pPr>
            <w:pStyle w:val="Contents6"/>
            <w:tabs>
              <w:tab w:val="clear" w:pos="7609"/>
              <w:tab w:val="right" w:pos="9026" w:leader="dot"/>
            </w:tabs>
            <w:rPr/>
          </w:pPr>
          <w:hyperlink w:anchor="__RefHeading___Toc314050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532</w:t>
            </w:r>
          </w:hyperlink>
        </w:p>
        <w:p>
          <w:pPr>
            <w:pStyle w:val="Contents6"/>
            <w:tabs>
              <w:tab w:val="clear" w:pos="7609"/>
              <w:tab w:val="right" w:pos="9026" w:leader="dot"/>
            </w:tabs>
            <w:rPr/>
          </w:pPr>
          <w:hyperlink w:anchor="__RefHeading___Toc314050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535</w:t>
            </w:r>
          </w:hyperlink>
        </w:p>
        <w:p>
          <w:pPr>
            <w:pStyle w:val="Contents6"/>
            <w:tabs>
              <w:tab w:val="clear" w:pos="7609"/>
              <w:tab w:val="right" w:pos="9026" w:leader="dot"/>
            </w:tabs>
            <w:rPr/>
          </w:pPr>
          <w:hyperlink w:anchor="__RefHeading___Toc314051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536</w:t>
            </w:r>
          </w:hyperlink>
        </w:p>
        <w:p>
          <w:pPr>
            <w:pStyle w:val="Contents6"/>
            <w:tabs>
              <w:tab w:val="clear" w:pos="7609"/>
              <w:tab w:val="right" w:pos="9026" w:leader="dot"/>
            </w:tabs>
            <w:rPr/>
          </w:pPr>
          <w:hyperlink w:anchor="__RefHeading___Toc314051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537</w:t>
            </w:r>
          </w:hyperlink>
        </w:p>
        <w:p>
          <w:pPr>
            <w:pStyle w:val="Contents5"/>
            <w:tabs>
              <w:tab w:val="clear" w:pos="7892"/>
              <w:tab w:val="right" w:pos="9026" w:leader="dot"/>
            </w:tabs>
            <w:rPr/>
          </w:pPr>
          <w:hyperlink w:anchor="__RefHeading___Toc3140515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538</w:t>
            </w:r>
          </w:hyperlink>
        </w:p>
        <w:p>
          <w:pPr>
            <w:pStyle w:val="Contents6"/>
            <w:tabs>
              <w:tab w:val="clear" w:pos="7609"/>
              <w:tab w:val="right" w:pos="9026" w:leader="dot"/>
            </w:tabs>
            <w:rPr/>
          </w:pPr>
          <w:hyperlink w:anchor="__RefHeading___Toc3140517_653776707">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3140519_653776707">
            <w:r>
              <w:rPr>
                <w:webHidden/>
                <w:rStyle w:val="IndexLink"/>
                <w:rtl w:val="true"/>
              </w:rPr>
              <w:t xml:space="preserve">فروع </w:t>
            </w:r>
            <w:r>
              <w:rPr>
                <w:rStyle w:val="IndexLink"/>
                <w:rtl w:val="true"/>
              </w:rPr>
              <w:t>:</w:t>
              <w:tab/>
            </w:r>
            <w:r>
              <w:rPr>
                <w:rStyle w:val="IndexLink"/>
              </w:rPr>
              <w:t>554</w:t>
            </w:r>
          </w:hyperlink>
        </w:p>
        <w:p>
          <w:pPr>
            <w:pStyle w:val="Contents6"/>
            <w:tabs>
              <w:tab w:val="clear" w:pos="7609"/>
              <w:tab w:val="right" w:pos="9026" w:leader="dot"/>
            </w:tabs>
            <w:rPr/>
          </w:pPr>
          <w:hyperlink w:anchor="__RefHeading___Toc314052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554</w:t>
            </w:r>
          </w:hyperlink>
        </w:p>
        <w:p>
          <w:pPr>
            <w:pStyle w:val="Contents6"/>
            <w:tabs>
              <w:tab w:val="clear" w:pos="7609"/>
              <w:tab w:val="right" w:pos="9026" w:leader="dot"/>
            </w:tabs>
            <w:rPr/>
          </w:pPr>
          <w:hyperlink w:anchor="__RefHeading___Toc314052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556</w:t>
            </w:r>
          </w:hyperlink>
        </w:p>
        <w:p>
          <w:pPr>
            <w:pStyle w:val="Contents6"/>
            <w:tabs>
              <w:tab w:val="clear" w:pos="7609"/>
              <w:tab w:val="right" w:pos="9026" w:leader="dot"/>
            </w:tabs>
            <w:rPr/>
          </w:pPr>
          <w:hyperlink w:anchor="__RefHeading___Toc314052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557</w:t>
            </w:r>
          </w:hyperlink>
        </w:p>
        <w:p>
          <w:pPr>
            <w:pStyle w:val="Contents6"/>
            <w:tabs>
              <w:tab w:val="clear" w:pos="7609"/>
              <w:tab w:val="right" w:pos="9026" w:leader="dot"/>
            </w:tabs>
            <w:rPr/>
          </w:pPr>
          <w:hyperlink w:anchor="__RefHeading___Toc314052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560</w:t>
            </w:r>
          </w:hyperlink>
        </w:p>
        <w:p>
          <w:pPr>
            <w:pStyle w:val="Contents6"/>
            <w:tabs>
              <w:tab w:val="clear" w:pos="7609"/>
              <w:tab w:val="right" w:pos="9026" w:leader="dot"/>
            </w:tabs>
            <w:rPr/>
          </w:pPr>
          <w:hyperlink w:anchor="__RefHeading___Toc314052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561</w:t>
            </w:r>
          </w:hyperlink>
        </w:p>
        <w:p>
          <w:pPr>
            <w:pStyle w:val="Contents5"/>
            <w:tabs>
              <w:tab w:val="clear" w:pos="7892"/>
              <w:tab w:val="right" w:pos="9026" w:leader="dot"/>
            </w:tabs>
            <w:rPr/>
          </w:pPr>
          <w:hyperlink w:anchor="__RefHeading___Toc3140531_653776707">
            <w:r>
              <w:rPr>
                <w:webHidden/>
                <w:rStyle w:val="IndexLink"/>
                <w:rtl w:val="true"/>
              </w:rPr>
              <w:t xml:space="preserve">مسألة </w:t>
            </w:r>
            <w:r>
              <w:rPr>
                <w:rStyle w:val="IndexLink"/>
                <w:rtl w:val="true"/>
              </w:rPr>
              <w:t>[</w:t>
            </w:r>
            <w:r>
              <w:rPr>
                <w:rStyle w:val="IndexLink"/>
              </w:rPr>
              <w:t>11</w:t>
            </w:r>
            <w:r>
              <w:rPr>
                <w:rStyle w:val="IndexLink"/>
                <w:rtl w:val="true"/>
              </w:rPr>
              <w:t>] :</w:t>
              <w:tab/>
            </w:r>
            <w:r>
              <w:rPr>
                <w:rStyle w:val="IndexLink"/>
              </w:rPr>
              <w:t>562</w:t>
            </w:r>
          </w:hyperlink>
        </w:p>
        <w:p>
          <w:pPr>
            <w:pStyle w:val="Contents5"/>
            <w:tabs>
              <w:tab w:val="clear" w:pos="7892"/>
              <w:tab w:val="right" w:pos="9026" w:leader="dot"/>
            </w:tabs>
            <w:rPr/>
          </w:pPr>
          <w:hyperlink w:anchor="__RefHeading___Toc3140533_653776707">
            <w:r>
              <w:rPr>
                <w:webHidden/>
                <w:rStyle w:val="IndexLink"/>
                <w:rtl w:val="true"/>
              </w:rPr>
              <w:t xml:space="preserve">مسألة </w:t>
            </w:r>
            <w:r>
              <w:rPr>
                <w:rStyle w:val="IndexLink"/>
                <w:rtl w:val="true"/>
              </w:rPr>
              <w:t>[</w:t>
            </w:r>
            <w:r>
              <w:rPr>
                <w:rStyle w:val="IndexLink"/>
              </w:rPr>
              <w:t>12</w:t>
            </w:r>
            <w:r>
              <w:rPr>
                <w:rStyle w:val="IndexLink"/>
                <w:rtl w:val="true"/>
              </w:rPr>
              <w:t>] :</w:t>
              <w:tab/>
            </w:r>
            <w:r>
              <w:rPr>
                <w:rStyle w:val="IndexLink"/>
              </w:rPr>
              <w:t>565</w:t>
            </w:r>
          </w:hyperlink>
        </w:p>
        <w:p>
          <w:pPr>
            <w:pStyle w:val="Contents5"/>
            <w:tabs>
              <w:tab w:val="clear" w:pos="7892"/>
              <w:tab w:val="right" w:pos="9026" w:leader="dot"/>
            </w:tabs>
            <w:rPr/>
          </w:pPr>
          <w:hyperlink w:anchor="__RefHeading___Toc3140535_653776707">
            <w:r>
              <w:rPr>
                <w:webHidden/>
                <w:rStyle w:val="IndexLink"/>
                <w:rtl w:val="true"/>
              </w:rPr>
              <w:t xml:space="preserve">مسألة </w:t>
            </w:r>
            <w:r>
              <w:rPr>
                <w:rStyle w:val="IndexLink"/>
                <w:rtl w:val="true"/>
              </w:rPr>
              <w:t>[</w:t>
            </w:r>
            <w:r>
              <w:rPr>
                <w:rStyle w:val="IndexLink"/>
              </w:rPr>
              <w:t>13</w:t>
            </w:r>
            <w:r>
              <w:rPr>
                <w:rStyle w:val="IndexLink"/>
                <w:rtl w:val="true"/>
              </w:rPr>
              <w:t>] :</w:t>
              <w:tab/>
            </w:r>
            <w:r>
              <w:rPr>
                <w:rStyle w:val="IndexLink"/>
              </w:rPr>
              <w:t>569</w:t>
            </w:r>
          </w:hyperlink>
        </w:p>
        <w:p>
          <w:pPr>
            <w:pStyle w:val="Contents5"/>
            <w:tabs>
              <w:tab w:val="clear" w:pos="7892"/>
              <w:tab w:val="right" w:pos="9026" w:leader="dot"/>
            </w:tabs>
            <w:rPr/>
          </w:pPr>
          <w:hyperlink w:anchor="__RefHeading___Toc3140537_653776707">
            <w:r>
              <w:rPr>
                <w:webHidden/>
                <w:rStyle w:val="IndexLink"/>
                <w:rtl w:val="true"/>
              </w:rPr>
              <w:t xml:space="preserve">مسألة </w:t>
            </w:r>
            <w:r>
              <w:rPr>
                <w:rStyle w:val="IndexLink"/>
                <w:rtl w:val="true"/>
              </w:rPr>
              <w:t>[</w:t>
            </w:r>
            <w:r>
              <w:rPr>
                <w:rStyle w:val="IndexLink"/>
              </w:rPr>
              <w:t>14</w:t>
            </w:r>
            <w:r>
              <w:rPr>
                <w:rStyle w:val="IndexLink"/>
                <w:rtl w:val="true"/>
              </w:rPr>
              <w:t>] :</w:t>
              <w:tab/>
            </w:r>
            <w:r>
              <w:rPr>
                <w:rStyle w:val="IndexLink"/>
              </w:rPr>
              <w:t>571</w:t>
            </w:r>
          </w:hyperlink>
        </w:p>
        <w:p>
          <w:pPr>
            <w:pStyle w:val="Contents6"/>
            <w:tabs>
              <w:tab w:val="clear" w:pos="7609"/>
              <w:tab w:val="right" w:pos="9026" w:leader="dot"/>
            </w:tabs>
            <w:rPr/>
          </w:pPr>
          <w:hyperlink w:anchor="__RefHeading___Toc3140539_653776707">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3140541_653776707">
            <w:r>
              <w:rPr>
                <w:webHidden/>
                <w:rStyle w:val="IndexLink"/>
                <w:rtl w:val="true"/>
              </w:rPr>
              <w:t xml:space="preserve">فروع </w:t>
            </w:r>
            <w:r>
              <w:rPr>
                <w:rStyle w:val="IndexLink"/>
                <w:rtl w:val="true"/>
              </w:rPr>
              <w:t>:</w:t>
              <w:tab/>
            </w:r>
            <w:r>
              <w:rPr>
                <w:rStyle w:val="IndexLink"/>
              </w:rPr>
              <w:t>576</w:t>
            </w:r>
          </w:hyperlink>
        </w:p>
        <w:p>
          <w:pPr>
            <w:pStyle w:val="Contents6"/>
            <w:tabs>
              <w:tab w:val="clear" w:pos="7609"/>
              <w:tab w:val="right" w:pos="9026" w:leader="dot"/>
            </w:tabs>
            <w:rPr/>
          </w:pPr>
          <w:hyperlink w:anchor="__RefHeading___Toc314054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576</w:t>
            </w:r>
          </w:hyperlink>
        </w:p>
        <w:p>
          <w:pPr>
            <w:pStyle w:val="Contents6"/>
            <w:tabs>
              <w:tab w:val="clear" w:pos="7609"/>
              <w:tab w:val="right" w:pos="9026" w:leader="dot"/>
            </w:tabs>
            <w:rPr/>
          </w:pPr>
          <w:hyperlink w:anchor="__RefHeading___Toc314054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577</w:t>
            </w:r>
          </w:hyperlink>
        </w:p>
        <w:p>
          <w:pPr>
            <w:pStyle w:val="Contents6"/>
            <w:tabs>
              <w:tab w:val="clear" w:pos="7609"/>
              <w:tab w:val="right" w:pos="9026" w:leader="dot"/>
            </w:tabs>
            <w:rPr/>
          </w:pPr>
          <w:hyperlink w:anchor="__RefHeading___Toc314054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577</w:t>
            </w:r>
          </w:hyperlink>
        </w:p>
        <w:p>
          <w:pPr>
            <w:pStyle w:val="Contents5"/>
            <w:tabs>
              <w:tab w:val="clear" w:pos="7892"/>
              <w:tab w:val="right" w:pos="9026" w:leader="dot"/>
            </w:tabs>
            <w:rPr/>
          </w:pPr>
          <w:hyperlink w:anchor="__RefHeading___Toc3140549_653776707">
            <w:r>
              <w:rPr>
                <w:webHidden/>
                <w:rStyle w:val="IndexLink"/>
                <w:rtl w:val="true"/>
              </w:rPr>
              <w:t xml:space="preserve">مسألة </w:t>
            </w:r>
            <w:r>
              <w:rPr>
                <w:rStyle w:val="IndexLink"/>
                <w:rtl w:val="true"/>
              </w:rPr>
              <w:t>[</w:t>
            </w:r>
            <w:r>
              <w:rPr>
                <w:rStyle w:val="IndexLink"/>
              </w:rPr>
              <w:t>15</w:t>
            </w:r>
            <w:r>
              <w:rPr>
                <w:rStyle w:val="IndexLink"/>
                <w:rtl w:val="true"/>
              </w:rPr>
              <w:t>] :</w:t>
              <w:tab/>
            </w:r>
            <w:r>
              <w:rPr>
                <w:rStyle w:val="IndexLink"/>
              </w:rPr>
              <w:t>578</w:t>
            </w:r>
          </w:hyperlink>
        </w:p>
        <w:p>
          <w:pPr>
            <w:pStyle w:val="Contents5"/>
            <w:tabs>
              <w:tab w:val="clear" w:pos="7892"/>
              <w:tab w:val="right" w:pos="9026" w:leader="dot"/>
            </w:tabs>
            <w:rPr/>
          </w:pPr>
          <w:hyperlink w:anchor="__RefHeading___Toc3140551_653776707">
            <w:r>
              <w:rPr>
                <w:webHidden/>
                <w:rStyle w:val="IndexLink"/>
                <w:rtl w:val="true"/>
              </w:rPr>
              <w:t xml:space="preserve">مسألة </w:t>
            </w:r>
            <w:r>
              <w:rPr>
                <w:rStyle w:val="IndexLink"/>
                <w:rtl w:val="true"/>
              </w:rPr>
              <w:t>[</w:t>
            </w:r>
            <w:r>
              <w:rPr>
                <w:rStyle w:val="IndexLink"/>
              </w:rPr>
              <w:t>16</w:t>
            </w:r>
            <w:r>
              <w:rPr>
                <w:rStyle w:val="IndexLink"/>
                <w:rtl w:val="true"/>
              </w:rPr>
              <w:t>] :</w:t>
              <w:tab/>
            </w:r>
            <w:r>
              <w:rPr>
                <w:rStyle w:val="IndexLink"/>
              </w:rPr>
              <w:t>579</w:t>
            </w:r>
          </w:hyperlink>
        </w:p>
        <w:p>
          <w:pPr>
            <w:pStyle w:val="Contents5"/>
            <w:tabs>
              <w:tab w:val="clear" w:pos="7892"/>
              <w:tab w:val="right" w:pos="9026" w:leader="dot"/>
            </w:tabs>
            <w:rPr/>
          </w:pPr>
          <w:hyperlink w:anchor="__RefHeading___Toc3140553_653776707">
            <w:r>
              <w:rPr>
                <w:webHidden/>
                <w:rStyle w:val="IndexLink"/>
                <w:rtl w:val="true"/>
              </w:rPr>
              <w:t xml:space="preserve">مسألة </w:t>
            </w:r>
            <w:r>
              <w:rPr>
                <w:rStyle w:val="IndexLink"/>
                <w:rtl w:val="true"/>
              </w:rPr>
              <w:t>[</w:t>
            </w:r>
            <w:r>
              <w:rPr>
                <w:rStyle w:val="IndexLink"/>
              </w:rPr>
              <w:t>17</w:t>
            </w:r>
            <w:r>
              <w:rPr>
                <w:rStyle w:val="IndexLink"/>
                <w:rtl w:val="true"/>
              </w:rPr>
              <w:t>] :</w:t>
              <w:tab/>
            </w:r>
            <w:r>
              <w:rPr>
                <w:rStyle w:val="IndexLink"/>
              </w:rPr>
              <w:t>580</w:t>
            </w:r>
          </w:hyperlink>
        </w:p>
        <w:p>
          <w:pPr>
            <w:pStyle w:val="Contents4"/>
            <w:tabs>
              <w:tab w:val="clear" w:pos="8176"/>
              <w:tab w:val="right" w:pos="9026" w:leader="dot"/>
            </w:tabs>
            <w:rPr/>
          </w:pPr>
          <w:hyperlink w:anchor="__RefHeading___Toc3140555_653776707">
            <w:r>
              <w:rPr>
                <w:webHidden/>
                <w:rStyle w:val="IndexLink"/>
                <w:rtl w:val="true"/>
              </w:rPr>
              <w:t xml:space="preserve">الفصل الثاني </w:t>
            </w:r>
            <w:r>
              <w:rPr>
                <w:rStyle w:val="IndexLink"/>
                <w:rtl w:val="true"/>
              </w:rPr>
              <w:t xml:space="preserve">: </w:t>
            </w:r>
            <w:r>
              <w:rPr>
                <w:rStyle w:val="IndexLink"/>
                <w:rtl w:val="true"/>
              </w:rPr>
              <w:t>في أحكام النجاسات</w:t>
            </w:r>
            <w:r>
              <w:rPr>
                <w:rStyle w:val="IndexLink"/>
                <w:rtl w:val="true"/>
              </w:rPr>
              <w:tab/>
            </w:r>
            <w:r>
              <w:rPr>
                <w:rStyle w:val="IndexLink"/>
              </w:rPr>
              <w:t>582</w:t>
            </w:r>
          </w:hyperlink>
        </w:p>
        <w:p>
          <w:pPr>
            <w:pStyle w:val="Contents5"/>
            <w:tabs>
              <w:tab w:val="clear" w:pos="7892"/>
              <w:tab w:val="right" w:pos="9026" w:leader="dot"/>
            </w:tabs>
            <w:rPr/>
          </w:pPr>
          <w:hyperlink w:anchor="__RefHeading___Toc3140557_65377670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3140559_653776707">
            <w:r>
              <w:rPr>
                <w:webHidden/>
                <w:rStyle w:val="IndexLink"/>
                <w:rtl w:val="true"/>
              </w:rPr>
              <w:t xml:space="preserve">البحث الأوّل </w:t>
            </w:r>
            <w:r>
              <w:rPr>
                <w:rStyle w:val="IndexLink"/>
                <w:rtl w:val="true"/>
              </w:rPr>
              <w:t xml:space="preserve">: </w:t>
            </w:r>
            <w:r>
              <w:rPr>
                <w:rStyle w:val="IndexLink"/>
                <w:rtl w:val="true"/>
              </w:rPr>
              <w:t>في بيان ما يتحقّق معه التنجيس بها شرعا وما يجب إزالته منها عن الثياب والبدن للصلاة وما يعفى عنه</w:t>
            </w:r>
            <w:r>
              <w:rPr>
                <w:rStyle w:val="IndexLink"/>
                <w:rtl w:val="true"/>
              </w:rPr>
              <w:tab/>
            </w:r>
            <w:r>
              <w:rPr>
                <w:rStyle w:val="IndexLink"/>
              </w:rPr>
              <w:t>584</w:t>
            </w:r>
          </w:hyperlink>
        </w:p>
        <w:p>
          <w:pPr>
            <w:pStyle w:val="Contents6"/>
            <w:tabs>
              <w:tab w:val="clear" w:pos="7609"/>
              <w:tab w:val="right" w:pos="9026" w:leader="dot"/>
            </w:tabs>
            <w:rPr/>
          </w:pPr>
          <w:hyperlink w:anchor="__RefHeading___Toc314056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584</w:t>
            </w:r>
          </w:hyperlink>
        </w:p>
        <w:p>
          <w:pPr>
            <w:pStyle w:val="Contents6"/>
            <w:tabs>
              <w:tab w:val="clear" w:pos="7609"/>
              <w:tab w:val="right" w:pos="9026" w:leader="dot"/>
            </w:tabs>
            <w:rPr/>
          </w:pPr>
          <w:hyperlink w:anchor="__RefHeading___Toc3140563_653776707">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3140565_653776707">
            <w:r>
              <w:rPr>
                <w:webHidden/>
                <w:rStyle w:val="IndexLink"/>
                <w:rtl w:val="true"/>
              </w:rPr>
              <w:t xml:space="preserve">تذنيب </w:t>
            </w:r>
            <w:r>
              <w:rPr>
                <w:rStyle w:val="IndexLink"/>
                <w:rtl w:val="true"/>
              </w:rPr>
              <w:t>:</w:t>
              <w:tab/>
            </w:r>
            <w:r>
              <w:rPr>
                <w:rStyle w:val="IndexLink"/>
              </w:rPr>
              <w:t>587</w:t>
            </w:r>
          </w:hyperlink>
        </w:p>
        <w:p>
          <w:pPr>
            <w:pStyle w:val="Contents6"/>
            <w:tabs>
              <w:tab w:val="clear" w:pos="7609"/>
              <w:tab w:val="right" w:pos="9026" w:leader="dot"/>
            </w:tabs>
            <w:rPr/>
          </w:pPr>
          <w:hyperlink w:anchor="__RefHeading___Toc3140567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587</w:t>
            </w:r>
          </w:hyperlink>
        </w:p>
        <w:p>
          <w:pPr>
            <w:pStyle w:val="Contents6"/>
            <w:tabs>
              <w:tab w:val="clear" w:pos="7609"/>
              <w:tab w:val="right" w:pos="9026" w:leader="dot"/>
            </w:tabs>
            <w:rPr/>
          </w:pPr>
          <w:hyperlink w:anchor="__RefHeading___Toc3140569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591</w:t>
            </w:r>
          </w:hyperlink>
        </w:p>
        <w:p>
          <w:pPr>
            <w:pStyle w:val="Contents6"/>
            <w:tabs>
              <w:tab w:val="clear" w:pos="7609"/>
              <w:tab w:val="right" w:pos="9026" w:leader="dot"/>
            </w:tabs>
            <w:rPr/>
          </w:pPr>
          <w:hyperlink w:anchor="__RefHeading___Toc3140571_653776707">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3140573_653776707">
            <w:r>
              <w:rPr>
                <w:webHidden/>
                <w:rStyle w:val="IndexLink"/>
                <w:rtl w:val="true"/>
              </w:rPr>
              <w:t xml:space="preserve">فرع </w:t>
            </w:r>
            <w:r>
              <w:rPr>
                <w:rStyle w:val="IndexLink"/>
                <w:rtl w:val="true"/>
              </w:rPr>
              <w:t>:</w:t>
              <w:tab/>
            </w:r>
            <w:r>
              <w:rPr>
                <w:rStyle w:val="IndexLink"/>
              </w:rPr>
              <w:t>592</w:t>
            </w:r>
          </w:hyperlink>
        </w:p>
        <w:p>
          <w:pPr>
            <w:pStyle w:val="Contents6"/>
            <w:tabs>
              <w:tab w:val="clear" w:pos="7609"/>
              <w:tab w:val="right" w:pos="9026" w:leader="dot"/>
            </w:tabs>
            <w:rPr/>
          </w:pPr>
          <w:hyperlink w:anchor="__RefHeading___Toc3140575_653776707">
            <w:r>
              <w:rPr>
                <w:webHidden/>
                <w:rStyle w:val="IndexLink"/>
                <w:rtl w:val="true"/>
              </w:rPr>
              <w:t xml:space="preserve">[ </w:t>
            </w:r>
            <w:r>
              <w:rPr>
                <w:rStyle w:val="IndexLink"/>
                <w:rtl w:val="true"/>
              </w:rPr>
              <w:t xml:space="preserve">فرع </w:t>
            </w:r>
            <w:r>
              <w:rPr>
                <w:rStyle w:val="IndexLink"/>
                <w:rtl w:val="true"/>
              </w:rPr>
              <w:t xml:space="preserve">] </w:t>
            </w:r>
            <w:r>
              <w:rPr>
                <w:rStyle w:val="IndexLink"/>
                <w:rtl w:val="true"/>
              </w:rPr>
              <w:t xml:space="preserve">آخر </w:t>
            </w:r>
            <w:r>
              <w:rPr>
                <w:rStyle w:val="IndexLink"/>
                <w:rtl w:val="true"/>
              </w:rPr>
              <w:t>:</w:t>
              <w:tab/>
            </w:r>
            <w:r>
              <w:rPr>
                <w:rStyle w:val="IndexLink"/>
              </w:rPr>
              <w:t>594</w:t>
            </w:r>
          </w:hyperlink>
        </w:p>
        <w:p>
          <w:pPr>
            <w:pStyle w:val="Contents6"/>
            <w:tabs>
              <w:tab w:val="clear" w:pos="7609"/>
              <w:tab w:val="right" w:pos="9026" w:leader="dot"/>
            </w:tabs>
            <w:rPr/>
          </w:pPr>
          <w:hyperlink w:anchor="__RefHeading___Toc3140577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594</w:t>
            </w:r>
          </w:hyperlink>
        </w:p>
        <w:p>
          <w:pPr>
            <w:pStyle w:val="Contents6"/>
            <w:tabs>
              <w:tab w:val="clear" w:pos="7609"/>
              <w:tab w:val="right" w:pos="9026" w:leader="dot"/>
            </w:tabs>
            <w:rPr/>
          </w:pPr>
          <w:hyperlink w:anchor="__RefHeading___Toc3140579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598</w:t>
            </w:r>
          </w:hyperlink>
        </w:p>
        <w:p>
          <w:pPr>
            <w:pStyle w:val="Contents6"/>
            <w:tabs>
              <w:tab w:val="clear" w:pos="7609"/>
              <w:tab w:val="right" w:pos="9026" w:leader="dot"/>
            </w:tabs>
            <w:rPr/>
          </w:pPr>
          <w:hyperlink w:anchor="__RefHeading___Toc3140581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599</w:t>
            </w:r>
          </w:hyperlink>
        </w:p>
        <w:p>
          <w:pPr>
            <w:pStyle w:val="Contents6"/>
            <w:tabs>
              <w:tab w:val="clear" w:pos="7609"/>
              <w:tab w:val="right" w:pos="9026" w:leader="dot"/>
            </w:tabs>
            <w:rPr/>
          </w:pPr>
          <w:hyperlink w:anchor="__RefHeading___Toc3140583_653776707">
            <w:r>
              <w:rPr>
                <w:webHidden/>
                <w:rStyle w:val="IndexLink"/>
                <w:rtl w:val="true"/>
              </w:rPr>
              <w:t>اشارة</w:t>
            </w:r>
            <w:r>
              <w:rPr>
                <w:rStyle w:val="IndexLink"/>
                <w:rtl w:val="true"/>
              </w:rPr>
              <w:tab/>
            </w:r>
            <w:r>
              <w:rPr>
                <w:rStyle w:val="IndexLink"/>
              </w:rPr>
              <w:t>599</w:t>
            </w:r>
          </w:hyperlink>
        </w:p>
        <w:p>
          <w:pPr>
            <w:pStyle w:val="Contents6"/>
            <w:tabs>
              <w:tab w:val="clear" w:pos="7609"/>
              <w:tab w:val="right" w:pos="9026" w:leader="dot"/>
            </w:tabs>
            <w:rPr/>
          </w:pPr>
          <w:hyperlink w:anchor="__RefHeading___Toc3140585_653776707">
            <w:r>
              <w:rPr>
                <w:webHidden/>
                <w:rStyle w:val="IndexLink"/>
                <w:rtl w:val="true"/>
              </w:rPr>
              <w:t xml:space="preserve">فروع </w:t>
            </w:r>
            <w:r>
              <w:rPr>
                <w:rStyle w:val="IndexLink"/>
                <w:rtl w:val="true"/>
              </w:rPr>
              <w:t>:</w:t>
              <w:tab/>
            </w:r>
            <w:r>
              <w:rPr>
                <w:rStyle w:val="IndexLink"/>
              </w:rPr>
              <w:t>608</w:t>
            </w:r>
          </w:hyperlink>
        </w:p>
        <w:p>
          <w:pPr>
            <w:pStyle w:val="Contents6"/>
            <w:tabs>
              <w:tab w:val="clear" w:pos="7609"/>
              <w:tab w:val="right" w:pos="9026" w:leader="dot"/>
            </w:tabs>
            <w:rPr/>
          </w:pPr>
          <w:hyperlink w:anchor="__RefHeading___Toc3140587_653776707">
            <w:r>
              <w:rPr>
                <w:webHidden/>
                <w:rStyle w:val="IndexLink"/>
                <w:rtl w:val="true"/>
              </w:rPr>
              <w:t xml:space="preserve">[ </w:t>
            </w:r>
            <w:r>
              <w:rPr>
                <w:rStyle w:val="IndexLink"/>
                <w:rtl w:val="true"/>
              </w:rPr>
              <w:t xml:space="preserve">الفرع الأوّل </w:t>
            </w:r>
            <w:r>
              <w:rPr>
                <w:rStyle w:val="IndexLink"/>
                <w:rtl w:val="true"/>
              </w:rPr>
              <w:t>] :</w:t>
              <w:tab/>
            </w:r>
            <w:r>
              <w:rPr>
                <w:rStyle w:val="IndexLink"/>
              </w:rPr>
              <w:t>608</w:t>
            </w:r>
          </w:hyperlink>
        </w:p>
        <w:p>
          <w:pPr>
            <w:pStyle w:val="Contents6"/>
            <w:tabs>
              <w:tab w:val="clear" w:pos="7609"/>
              <w:tab w:val="right" w:pos="9026" w:leader="dot"/>
            </w:tabs>
            <w:rPr/>
          </w:pPr>
          <w:hyperlink w:anchor="__RefHeading___Toc314058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608</w:t>
            </w:r>
          </w:hyperlink>
        </w:p>
        <w:p>
          <w:pPr>
            <w:pStyle w:val="Contents6"/>
            <w:tabs>
              <w:tab w:val="clear" w:pos="7609"/>
              <w:tab w:val="right" w:pos="9026" w:leader="dot"/>
            </w:tabs>
            <w:rPr/>
          </w:pPr>
          <w:hyperlink w:anchor="__RefHeading___Toc314059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609</w:t>
            </w:r>
          </w:hyperlink>
        </w:p>
        <w:p>
          <w:pPr>
            <w:pStyle w:val="Contents6"/>
            <w:tabs>
              <w:tab w:val="clear" w:pos="7609"/>
              <w:tab w:val="right" w:pos="9026" w:leader="dot"/>
            </w:tabs>
            <w:rPr/>
          </w:pPr>
          <w:hyperlink w:anchor="__RefHeading___Toc3140593_653776707">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3140595_653776707">
            <w:r>
              <w:rPr>
                <w:webHidden/>
                <w:rStyle w:val="IndexLink"/>
                <w:rtl w:val="true"/>
              </w:rPr>
              <w:t xml:space="preserve">تذنيب </w:t>
            </w:r>
            <w:r>
              <w:rPr>
                <w:rStyle w:val="IndexLink"/>
                <w:rtl w:val="true"/>
              </w:rPr>
              <w:t>:</w:t>
              <w:tab/>
            </w:r>
            <w:r>
              <w:rPr>
                <w:rStyle w:val="IndexLink"/>
              </w:rPr>
              <w:t>620</w:t>
            </w:r>
          </w:hyperlink>
        </w:p>
        <w:p>
          <w:pPr>
            <w:pStyle w:val="Contents6"/>
            <w:tabs>
              <w:tab w:val="clear" w:pos="7609"/>
              <w:tab w:val="right" w:pos="9026" w:leader="dot"/>
            </w:tabs>
            <w:rPr/>
          </w:pPr>
          <w:hyperlink w:anchor="__RefHeading___Toc3140597_653776707">
            <w:r>
              <w:rPr>
                <w:webHidden/>
                <w:rStyle w:val="IndexLink"/>
                <w:rtl w:val="true"/>
              </w:rPr>
              <w:t xml:space="preserve">فروع </w:t>
            </w:r>
            <w:r>
              <w:rPr>
                <w:rStyle w:val="IndexLink"/>
                <w:rtl w:val="true"/>
              </w:rPr>
              <w:t>:</w:t>
              <w:tab/>
            </w:r>
            <w:r>
              <w:rPr>
                <w:rStyle w:val="IndexLink"/>
              </w:rPr>
              <w:t>624</w:t>
            </w:r>
          </w:hyperlink>
        </w:p>
        <w:p>
          <w:pPr>
            <w:pStyle w:val="Contents6"/>
            <w:tabs>
              <w:tab w:val="clear" w:pos="7609"/>
              <w:tab w:val="right" w:pos="9026" w:leader="dot"/>
            </w:tabs>
            <w:rPr/>
          </w:pPr>
          <w:hyperlink w:anchor="__RefHeading___Toc31405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624</w:t>
            </w:r>
          </w:hyperlink>
        </w:p>
        <w:p>
          <w:pPr>
            <w:pStyle w:val="Contents6"/>
            <w:tabs>
              <w:tab w:val="clear" w:pos="7609"/>
              <w:tab w:val="right" w:pos="9026" w:leader="dot"/>
            </w:tabs>
            <w:rPr/>
          </w:pPr>
          <w:hyperlink w:anchor="__RefHeading___Toc314060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625</w:t>
            </w:r>
          </w:hyperlink>
        </w:p>
        <w:p>
          <w:pPr>
            <w:pStyle w:val="Contents6"/>
            <w:tabs>
              <w:tab w:val="clear" w:pos="7609"/>
              <w:tab w:val="right" w:pos="9026" w:leader="dot"/>
            </w:tabs>
            <w:rPr/>
          </w:pPr>
          <w:hyperlink w:anchor="__RefHeading___Toc314060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625</w:t>
            </w:r>
          </w:hyperlink>
        </w:p>
        <w:p>
          <w:pPr>
            <w:pStyle w:val="Contents6"/>
            <w:tabs>
              <w:tab w:val="clear" w:pos="7609"/>
              <w:tab w:val="right" w:pos="9026" w:leader="dot"/>
            </w:tabs>
            <w:rPr/>
          </w:pPr>
          <w:hyperlink w:anchor="__RefHeading___Toc314060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626</w:t>
            </w:r>
          </w:hyperlink>
        </w:p>
        <w:p>
          <w:pPr>
            <w:pStyle w:val="Contents6"/>
            <w:tabs>
              <w:tab w:val="clear" w:pos="7609"/>
              <w:tab w:val="right" w:pos="9026" w:leader="dot"/>
            </w:tabs>
            <w:rPr/>
          </w:pPr>
          <w:hyperlink w:anchor="__RefHeading___Toc3140607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627</w:t>
            </w:r>
          </w:hyperlink>
        </w:p>
        <w:p>
          <w:pPr>
            <w:pStyle w:val="Contents6"/>
            <w:tabs>
              <w:tab w:val="clear" w:pos="7609"/>
              <w:tab w:val="right" w:pos="9026" w:leader="dot"/>
            </w:tabs>
            <w:rPr/>
          </w:pPr>
          <w:hyperlink w:anchor="__RefHeading___Toc3140609_653776707">
            <w:r>
              <w:rPr>
                <w:webHidden/>
                <w:rStyle w:val="IndexLink"/>
                <w:rtl w:val="true"/>
              </w:rPr>
              <w:t>اشارة</w:t>
            </w:r>
            <w:r>
              <w:rPr>
                <w:rStyle w:val="IndexLink"/>
                <w:rtl w:val="true"/>
              </w:rPr>
              <w:tab/>
            </w:r>
            <w:r>
              <w:rPr>
                <w:rStyle w:val="IndexLink"/>
              </w:rPr>
              <w:t>627</w:t>
            </w:r>
          </w:hyperlink>
        </w:p>
        <w:p>
          <w:pPr>
            <w:pStyle w:val="Contents6"/>
            <w:tabs>
              <w:tab w:val="clear" w:pos="7609"/>
              <w:tab w:val="right" w:pos="9026" w:leader="dot"/>
            </w:tabs>
            <w:rPr/>
          </w:pPr>
          <w:hyperlink w:anchor="__RefHeading___Toc3140611_653776707">
            <w:r>
              <w:rPr>
                <w:webHidden/>
                <w:rStyle w:val="IndexLink"/>
                <w:rtl w:val="true"/>
              </w:rPr>
              <w:t xml:space="preserve">فروع </w:t>
            </w:r>
            <w:r>
              <w:rPr>
                <w:rStyle w:val="IndexLink"/>
                <w:rtl w:val="true"/>
              </w:rPr>
              <w:t>:</w:t>
              <w:tab/>
            </w:r>
            <w:r>
              <w:rPr>
                <w:rStyle w:val="IndexLink"/>
              </w:rPr>
              <w:t>631</w:t>
            </w:r>
          </w:hyperlink>
        </w:p>
        <w:p>
          <w:pPr>
            <w:pStyle w:val="Contents6"/>
            <w:tabs>
              <w:tab w:val="clear" w:pos="7609"/>
              <w:tab w:val="right" w:pos="9026" w:leader="dot"/>
            </w:tabs>
            <w:rPr/>
          </w:pPr>
          <w:hyperlink w:anchor="__RefHeading___Toc314061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631</w:t>
            </w:r>
          </w:hyperlink>
        </w:p>
        <w:p>
          <w:pPr>
            <w:pStyle w:val="Contents6"/>
            <w:tabs>
              <w:tab w:val="clear" w:pos="7609"/>
              <w:tab w:val="right" w:pos="9026" w:leader="dot"/>
            </w:tabs>
            <w:rPr/>
          </w:pPr>
          <w:hyperlink w:anchor="__RefHeading___Toc314061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631</w:t>
            </w:r>
          </w:hyperlink>
        </w:p>
        <w:p>
          <w:pPr>
            <w:pStyle w:val="Contents6"/>
            <w:tabs>
              <w:tab w:val="clear" w:pos="7609"/>
              <w:tab w:val="right" w:pos="9026" w:leader="dot"/>
            </w:tabs>
            <w:rPr/>
          </w:pPr>
          <w:hyperlink w:anchor="__RefHeading___Toc314061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634</w:t>
            </w:r>
          </w:hyperlink>
        </w:p>
        <w:p>
          <w:pPr>
            <w:pStyle w:val="Contents6"/>
            <w:tabs>
              <w:tab w:val="clear" w:pos="7609"/>
              <w:tab w:val="right" w:pos="9026" w:leader="dot"/>
            </w:tabs>
            <w:rPr/>
          </w:pPr>
          <w:hyperlink w:anchor="__RefHeading___Toc3140619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635</w:t>
            </w:r>
          </w:hyperlink>
        </w:p>
        <w:p>
          <w:pPr>
            <w:pStyle w:val="Contents6"/>
            <w:tabs>
              <w:tab w:val="clear" w:pos="7609"/>
              <w:tab w:val="right" w:pos="9026" w:leader="dot"/>
            </w:tabs>
            <w:rPr/>
          </w:pPr>
          <w:hyperlink w:anchor="__RefHeading___Toc3140621_653776707">
            <w:r>
              <w:rPr>
                <w:webHidden/>
                <w:rStyle w:val="IndexLink"/>
                <w:rtl w:val="true"/>
              </w:rPr>
              <w:t>اشارة</w:t>
            </w:r>
            <w:r>
              <w:rPr>
                <w:rStyle w:val="IndexLink"/>
                <w:rtl w:val="true"/>
              </w:rPr>
              <w:tab/>
            </w:r>
            <w:r>
              <w:rPr>
                <w:rStyle w:val="IndexLink"/>
              </w:rPr>
              <w:t>635</w:t>
            </w:r>
          </w:hyperlink>
        </w:p>
        <w:p>
          <w:pPr>
            <w:pStyle w:val="Contents6"/>
            <w:tabs>
              <w:tab w:val="clear" w:pos="7609"/>
              <w:tab w:val="right" w:pos="9026" w:leader="dot"/>
            </w:tabs>
            <w:rPr/>
          </w:pPr>
          <w:hyperlink w:anchor="__RefHeading___Toc3140623_653776707">
            <w:r>
              <w:rPr>
                <w:webHidden/>
                <w:rStyle w:val="IndexLink"/>
                <w:rtl w:val="true"/>
              </w:rPr>
              <w:t xml:space="preserve">فروع </w:t>
            </w:r>
            <w:r>
              <w:rPr>
                <w:rStyle w:val="IndexLink"/>
                <w:rtl w:val="true"/>
              </w:rPr>
              <w:t>:</w:t>
              <w:tab/>
            </w:r>
            <w:r>
              <w:rPr>
                <w:rStyle w:val="IndexLink"/>
              </w:rPr>
              <w:t>637</w:t>
            </w:r>
          </w:hyperlink>
        </w:p>
        <w:p>
          <w:pPr>
            <w:pStyle w:val="Contents6"/>
            <w:tabs>
              <w:tab w:val="clear" w:pos="7609"/>
              <w:tab w:val="right" w:pos="9026" w:leader="dot"/>
            </w:tabs>
            <w:rPr/>
          </w:pPr>
          <w:hyperlink w:anchor="__RefHeading___Toc314062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637</w:t>
            </w:r>
          </w:hyperlink>
        </w:p>
        <w:p>
          <w:pPr>
            <w:pStyle w:val="Contents6"/>
            <w:tabs>
              <w:tab w:val="clear" w:pos="7609"/>
              <w:tab w:val="right" w:pos="9026" w:leader="dot"/>
            </w:tabs>
            <w:rPr/>
          </w:pPr>
          <w:hyperlink w:anchor="__RefHeading___Toc314062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637</w:t>
            </w:r>
          </w:hyperlink>
        </w:p>
        <w:p>
          <w:pPr>
            <w:pStyle w:val="Contents6"/>
            <w:tabs>
              <w:tab w:val="clear" w:pos="7609"/>
              <w:tab w:val="right" w:pos="9026" w:leader="dot"/>
            </w:tabs>
            <w:rPr/>
          </w:pPr>
          <w:hyperlink w:anchor="__RefHeading___Toc314062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638</w:t>
            </w:r>
          </w:hyperlink>
        </w:p>
        <w:p>
          <w:pPr>
            <w:pStyle w:val="Contents6"/>
            <w:tabs>
              <w:tab w:val="clear" w:pos="7609"/>
              <w:tab w:val="right" w:pos="9026" w:leader="dot"/>
            </w:tabs>
            <w:rPr/>
          </w:pPr>
          <w:hyperlink w:anchor="__RefHeading___Toc314063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638</w:t>
            </w:r>
          </w:hyperlink>
        </w:p>
        <w:p>
          <w:pPr>
            <w:pStyle w:val="Contents6"/>
            <w:tabs>
              <w:tab w:val="clear" w:pos="7609"/>
              <w:tab w:val="right" w:pos="9026" w:leader="dot"/>
            </w:tabs>
            <w:rPr/>
          </w:pPr>
          <w:hyperlink w:anchor="__RefHeading___Toc314063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638</w:t>
            </w:r>
          </w:hyperlink>
        </w:p>
        <w:p>
          <w:pPr>
            <w:pStyle w:val="Contents6"/>
            <w:tabs>
              <w:tab w:val="clear" w:pos="7609"/>
              <w:tab w:val="right" w:pos="9026" w:leader="dot"/>
            </w:tabs>
            <w:rPr/>
          </w:pPr>
          <w:hyperlink w:anchor="__RefHeading___Toc314063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w:t>
            </w:r>
            <w:r>
              <w:rPr>
                <w:rStyle w:val="IndexLink"/>
                <w:rtl w:val="true"/>
              </w:rPr>
              <w:t>:</w:t>
              <w:tab/>
            </w:r>
            <w:r>
              <w:rPr>
                <w:rStyle w:val="IndexLink"/>
              </w:rPr>
              <w:t>639</w:t>
            </w:r>
          </w:hyperlink>
        </w:p>
        <w:p>
          <w:pPr>
            <w:pStyle w:val="Contents6"/>
            <w:tabs>
              <w:tab w:val="clear" w:pos="7609"/>
              <w:tab w:val="right" w:pos="9026" w:leader="dot"/>
            </w:tabs>
            <w:rPr/>
          </w:pPr>
          <w:hyperlink w:anchor="__RefHeading___Toc3140637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639</w:t>
            </w:r>
          </w:hyperlink>
        </w:p>
        <w:p>
          <w:pPr>
            <w:pStyle w:val="Contents6"/>
            <w:tabs>
              <w:tab w:val="clear" w:pos="7609"/>
              <w:tab w:val="right" w:pos="9026" w:leader="dot"/>
            </w:tabs>
            <w:rPr/>
          </w:pPr>
          <w:hyperlink w:anchor="__RefHeading___Toc3140639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641</w:t>
            </w:r>
          </w:hyperlink>
        </w:p>
        <w:p>
          <w:pPr>
            <w:pStyle w:val="Contents6"/>
            <w:tabs>
              <w:tab w:val="clear" w:pos="7609"/>
              <w:tab w:val="right" w:pos="9026" w:leader="dot"/>
            </w:tabs>
            <w:rPr/>
          </w:pPr>
          <w:hyperlink w:anchor="__RefHeading___Toc3140641_653776707">
            <w:r>
              <w:rPr>
                <w:webHidden/>
                <w:rStyle w:val="IndexLink"/>
                <w:rtl w:val="true"/>
              </w:rPr>
              <w:t>اشارة</w:t>
            </w:r>
            <w:r>
              <w:rPr>
                <w:rStyle w:val="IndexLink"/>
                <w:rtl w:val="true"/>
              </w:rPr>
              <w:tab/>
            </w:r>
            <w:r>
              <w:rPr>
                <w:rStyle w:val="IndexLink"/>
              </w:rPr>
              <w:t>641</w:t>
            </w:r>
          </w:hyperlink>
        </w:p>
        <w:p>
          <w:pPr>
            <w:pStyle w:val="Contents6"/>
            <w:tabs>
              <w:tab w:val="clear" w:pos="7609"/>
              <w:tab w:val="right" w:pos="9026" w:leader="dot"/>
            </w:tabs>
            <w:rPr/>
          </w:pPr>
          <w:hyperlink w:anchor="__RefHeading___Toc3140643_653776707">
            <w:r>
              <w:rPr>
                <w:webHidden/>
                <w:rStyle w:val="IndexLink"/>
                <w:rtl w:val="true"/>
              </w:rPr>
              <w:t xml:space="preserve">تذنيبان </w:t>
            </w:r>
            <w:r>
              <w:rPr>
                <w:rStyle w:val="IndexLink"/>
                <w:rtl w:val="true"/>
              </w:rPr>
              <w:t>:</w:t>
              <w:tab/>
            </w:r>
            <w:r>
              <w:rPr>
                <w:rStyle w:val="IndexLink"/>
              </w:rPr>
              <w:t>646</w:t>
            </w:r>
          </w:hyperlink>
        </w:p>
        <w:p>
          <w:pPr>
            <w:pStyle w:val="Contents6"/>
            <w:tabs>
              <w:tab w:val="clear" w:pos="7609"/>
              <w:tab w:val="right" w:pos="9026" w:leader="dot"/>
            </w:tabs>
            <w:rPr/>
          </w:pPr>
          <w:hyperlink w:anchor="__RefHeading___Toc3140645_653776707">
            <w:r>
              <w:rPr>
                <w:webHidden/>
                <w:rStyle w:val="IndexLink"/>
                <w:rtl w:val="true"/>
              </w:rPr>
              <w:t xml:space="preserve">فرع </w:t>
            </w:r>
            <w:r>
              <w:rPr>
                <w:rStyle w:val="IndexLink"/>
                <w:rtl w:val="true"/>
              </w:rPr>
              <w:t>:</w:t>
              <w:tab/>
            </w:r>
            <w:r>
              <w:rPr>
                <w:rStyle w:val="IndexLink"/>
              </w:rPr>
              <w:t>647</w:t>
            </w:r>
          </w:hyperlink>
        </w:p>
        <w:p>
          <w:pPr>
            <w:pStyle w:val="Contents6"/>
            <w:tabs>
              <w:tab w:val="clear" w:pos="7609"/>
              <w:tab w:val="right" w:pos="9026" w:leader="dot"/>
            </w:tabs>
            <w:rPr/>
          </w:pPr>
          <w:hyperlink w:anchor="__RefHeading___Toc3140647_653776707">
            <w:r>
              <w:rPr>
                <w:webHidden/>
                <w:rStyle w:val="IndexLink"/>
                <w:rtl w:val="true"/>
              </w:rPr>
              <w:t>اشارة</w:t>
            </w:r>
            <w:r>
              <w:rPr>
                <w:rStyle w:val="IndexLink"/>
                <w:rtl w:val="true"/>
              </w:rPr>
              <w:tab/>
            </w:r>
            <w:r>
              <w:rPr>
                <w:rStyle w:val="IndexLink"/>
              </w:rPr>
              <w:t>647</w:t>
            </w:r>
          </w:hyperlink>
        </w:p>
        <w:p>
          <w:pPr>
            <w:pStyle w:val="Contents6"/>
            <w:tabs>
              <w:tab w:val="clear" w:pos="7609"/>
              <w:tab w:val="right" w:pos="9026" w:leader="dot"/>
            </w:tabs>
            <w:rPr/>
          </w:pPr>
          <w:hyperlink w:anchor="__RefHeading___Toc3140649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الاولى </w:t>
            </w:r>
            <w:r>
              <w:rPr>
                <w:rStyle w:val="IndexLink"/>
                <w:rtl w:val="true"/>
              </w:rPr>
              <w:t>:</w:t>
              <w:tab/>
            </w:r>
            <w:r>
              <w:rPr>
                <w:rStyle w:val="IndexLink"/>
              </w:rPr>
              <w:t>648</w:t>
            </w:r>
          </w:hyperlink>
        </w:p>
        <w:p>
          <w:pPr>
            <w:pStyle w:val="Contents6"/>
            <w:tabs>
              <w:tab w:val="clear" w:pos="7609"/>
              <w:tab w:val="right" w:pos="9026" w:leader="dot"/>
            </w:tabs>
            <w:rPr/>
          </w:pPr>
          <w:hyperlink w:anchor="__RefHeading___Toc3140651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الثانية </w:t>
            </w:r>
            <w:r>
              <w:rPr>
                <w:rStyle w:val="IndexLink"/>
                <w:rtl w:val="true"/>
              </w:rPr>
              <w:t>:</w:t>
              <w:tab/>
            </w:r>
            <w:r>
              <w:rPr>
                <w:rStyle w:val="IndexLink"/>
              </w:rPr>
              <w:t>648</w:t>
            </w:r>
          </w:hyperlink>
        </w:p>
        <w:p>
          <w:pPr>
            <w:pStyle w:val="Contents6"/>
            <w:tabs>
              <w:tab w:val="clear" w:pos="7609"/>
              <w:tab w:val="right" w:pos="9026" w:leader="dot"/>
            </w:tabs>
            <w:rPr/>
          </w:pPr>
          <w:hyperlink w:anchor="__RefHeading___Toc3140653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الثالثة </w:t>
            </w:r>
            <w:r>
              <w:rPr>
                <w:rStyle w:val="IndexLink"/>
                <w:rtl w:val="true"/>
              </w:rPr>
              <w:t>:</w:t>
              <w:tab/>
            </w:r>
            <w:r>
              <w:rPr>
                <w:rStyle w:val="IndexLink"/>
              </w:rPr>
              <w:t>649</w:t>
            </w:r>
          </w:hyperlink>
        </w:p>
        <w:p>
          <w:pPr>
            <w:pStyle w:val="Contents6"/>
            <w:tabs>
              <w:tab w:val="clear" w:pos="7609"/>
              <w:tab w:val="right" w:pos="9026" w:leader="dot"/>
            </w:tabs>
            <w:rPr/>
          </w:pPr>
          <w:hyperlink w:anchor="__RefHeading___Toc3140655_653776707">
            <w:r>
              <w:rPr>
                <w:webHidden/>
                <w:rStyle w:val="IndexLink"/>
                <w:rtl w:val="true"/>
              </w:rPr>
              <w:t>اشارة</w:t>
            </w:r>
            <w:r>
              <w:rPr>
                <w:rStyle w:val="IndexLink"/>
                <w:rtl w:val="true"/>
              </w:rPr>
              <w:tab/>
            </w:r>
            <w:r>
              <w:rPr>
                <w:rStyle w:val="IndexLink"/>
              </w:rPr>
              <w:t>649</w:t>
            </w:r>
          </w:hyperlink>
        </w:p>
        <w:p>
          <w:pPr>
            <w:pStyle w:val="Contents6"/>
            <w:tabs>
              <w:tab w:val="clear" w:pos="7609"/>
              <w:tab w:val="right" w:pos="9026" w:leader="dot"/>
            </w:tabs>
            <w:rPr/>
          </w:pPr>
          <w:hyperlink w:anchor="__RefHeading___Toc3140657_653776707">
            <w:r>
              <w:rPr>
                <w:webHidden/>
                <w:rStyle w:val="IndexLink"/>
                <w:rtl w:val="true"/>
              </w:rPr>
              <w:t xml:space="preserve">تذنيب </w:t>
            </w:r>
            <w:r>
              <w:rPr>
                <w:rStyle w:val="IndexLink"/>
                <w:rtl w:val="true"/>
              </w:rPr>
              <w:t>:</w:t>
              <w:tab/>
            </w:r>
            <w:r>
              <w:rPr>
                <w:rStyle w:val="IndexLink"/>
              </w:rPr>
              <w:t>651</w:t>
            </w:r>
          </w:hyperlink>
        </w:p>
        <w:p>
          <w:pPr>
            <w:pStyle w:val="Contents6"/>
            <w:tabs>
              <w:tab w:val="clear" w:pos="7609"/>
              <w:tab w:val="right" w:pos="9026" w:leader="dot"/>
            </w:tabs>
            <w:rPr/>
          </w:pPr>
          <w:hyperlink w:anchor="__RefHeading___Toc3140659_653776707">
            <w:r>
              <w:rPr>
                <w:webHidden/>
                <w:rStyle w:val="IndexLink"/>
                <w:rtl w:val="true"/>
              </w:rPr>
              <w:t xml:space="preserve">[ </w:t>
            </w:r>
            <w:r>
              <w:rPr>
                <w:rStyle w:val="IndexLink"/>
                <w:rtl w:val="true"/>
              </w:rPr>
              <w:t xml:space="preserve">المسألة </w:t>
            </w:r>
            <w:r>
              <w:rPr>
                <w:rStyle w:val="IndexLink"/>
                <w:rtl w:val="true"/>
              </w:rPr>
              <w:t xml:space="preserve">] </w:t>
            </w:r>
            <w:r>
              <w:rPr>
                <w:rStyle w:val="IndexLink"/>
                <w:rtl w:val="true"/>
              </w:rPr>
              <w:t xml:space="preserve">الرابعة </w:t>
            </w:r>
            <w:r>
              <w:rPr>
                <w:rStyle w:val="IndexLink"/>
                <w:rtl w:val="true"/>
              </w:rPr>
              <w:t>:</w:t>
              <w:tab/>
            </w:r>
            <w:r>
              <w:rPr>
                <w:rStyle w:val="IndexLink"/>
              </w:rPr>
              <w:t>652</w:t>
            </w:r>
          </w:hyperlink>
        </w:p>
        <w:p>
          <w:pPr>
            <w:pStyle w:val="Contents5"/>
            <w:tabs>
              <w:tab w:val="clear" w:pos="7892"/>
              <w:tab w:val="right" w:pos="9026" w:leader="dot"/>
            </w:tabs>
            <w:rPr/>
          </w:pPr>
          <w:hyperlink w:anchor="__RefHeading___Toc3140661_653776707">
            <w:r>
              <w:rPr>
                <w:webHidden/>
                <w:rStyle w:val="IndexLink"/>
                <w:rtl w:val="true"/>
              </w:rPr>
              <w:t xml:space="preserve">البحث الثاني </w:t>
            </w:r>
            <w:r>
              <w:rPr>
                <w:rStyle w:val="IndexLink"/>
                <w:rtl w:val="true"/>
              </w:rPr>
              <w:t xml:space="preserve">: </w:t>
            </w:r>
            <w:r>
              <w:rPr>
                <w:rStyle w:val="IndexLink"/>
                <w:rtl w:val="true"/>
              </w:rPr>
              <w:t>في ما تزول به النجاسات وبيان كيفية الإزالة وشرائطها</w:t>
            </w:r>
            <w:r>
              <w:rPr>
                <w:rStyle w:val="IndexLink"/>
                <w:rtl w:val="true"/>
              </w:rPr>
              <w:tab/>
            </w:r>
            <w:r>
              <w:rPr>
                <w:rStyle w:val="IndexLink"/>
              </w:rPr>
              <w:t>654</w:t>
            </w:r>
          </w:hyperlink>
        </w:p>
        <w:p>
          <w:pPr>
            <w:pStyle w:val="Contents6"/>
            <w:tabs>
              <w:tab w:val="clear" w:pos="7609"/>
              <w:tab w:val="right" w:pos="9026" w:leader="dot"/>
            </w:tabs>
            <w:rPr/>
          </w:pPr>
          <w:hyperlink w:anchor="__RefHeading___Toc3140663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654</w:t>
            </w:r>
          </w:hyperlink>
        </w:p>
        <w:p>
          <w:pPr>
            <w:pStyle w:val="Contents6"/>
            <w:tabs>
              <w:tab w:val="clear" w:pos="7609"/>
              <w:tab w:val="right" w:pos="9026" w:leader="dot"/>
            </w:tabs>
            <w:rPr/>
          </w:pPr>
          <w:hyperlink w:anchor="__RefHeading___Toc3140665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655</w:t>
            </w:r>
          </w:hyperlink>
        </w:p>
        <w:p>
          <w:pPr>
            <w:pStyle w:val="Contents6"/>
            <w:tabs>
              <w:tab w:val="clear" w:pos="7609"/>
              <w:tab w:val="right" w:pos="9026" w:leader="dot"/>
            </w:tabs>
            <w:rPr/>
          </w:pPr>
          <w:hyperlink w:anchor="__RefHeading___Toc3140667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659</w:t>
            </w:r>
          </w:hyperlink>
        </w:p>
        <w:p>
          <w:pPr>
            <w:pStyle w:val="Contents6"/>
            <w:tabs>
              <w:tab w:val="clear" w:pos="7609"/>
              <w:tab w:val="right" w:pos="9026" w:leader="dot"/>
            </w:tabs>
            <w:rPr/>
          </w:pPr>
          <w:hyperlink w:anchor="__RefHeading___Toc3140669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664</w:t>
            </w:r>
          </w:hyperlink>
        </w:p>
        <w:p>
          <w:pPr>
            <w:pStyle w:val="Contents6"/>
            <w:tabs>
              <w:tab w:val="clear" w:pos="7609"/>
              <w:tab w:val="right" w:pos="9026" w:leader="dot"/>
            </w:tabs>
            <w:rPr/>
          </w:pPr>
          <w:hyperlink w:anchor="__RefHeading___Toc3140671_653776707">
            <w:r>
              <w:rPr>
                <w:webHidden/>
                <w:rStyle w:val="IndexLink"/>
                <w:rtl w:val="true"/>
              </w:rPr>
              <w:t>اشارة</w:t>
            </w:r>
            <w:r>
              <w:rPr>
                <w:rStyle w:val="IndexLink"/>
                <w:rtl w:val="true"/>
              </w:rPr>
              <w:tab/>
            </w:r>
            <w:r>
              <w:rPr>
                <w:rStyle w:val="IndexLink"/>
              </w:rPr>
              <w:t>664</w:t>
            </w:r>
          </w:hyperlink>
        </w:p>
        <w:p>
          <w:pPr>
            <w:pStyle w:val="Contents6"/>
            <w:tabs>
              <w:tab w:val="clear" w:pos="7609"/>
              <w:tab w:val="right" w:pos="9026" w:leader="dot"/>
            </w:tabs>
            <w:rPr/>
          </w:pPr>
          <w:hyperlink w:anchor="__RefHeading___Toc3140673_653776707">
            <w:r>
              <w:rPr>
                <w:webHidden/>
                <w:rStyle w:val="IndexLink"/>
                <w:rtl w:val="true"/>
              </w:rPr>
              <w:t xml:space="preserve">فرع </w:t>
            </w:r>
            <w:r>
              <w:rPr>
                <w:rStyle w:val="IndexLink"/>
                <w:rtl w:val="true"/>
              </w:rPr>
              <w:t>:</w:t>
              <w:tab/>
            </w:r>
            <w:r>
              <w:rPr>
                <w:rStyle w:val="IndexLink"/>
              </w:rPr>
              <w:t>665</w:t>
            </w:r>
          </w:hyperlink>
        </w:p>
        <w:p>
          <w:pPr>
            <w:pStyle w:val="Contents6"/>
            <w:tabs>
              <w:tab w:val="clear" w:pos="7609"/>
              <w:tab w:val="right" w:pos="9026" w:leader="dot"/>
            </w:tabs>
            <w:rPr/>
          </w:pPr>
          <w:hyperlink w:anchor="__RefHeading___Toc3140675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666</w:t>
            </w:r>
          </w:hyperlink>
        </w:p>
        <w:p>
          <w:pPr>
            <w:pStyle w:val="Contents6"/>
            <w:tabs>
              <w:tab w:val="clear" w:pos="7609"/>
              <w:tab w:val="right" w:pos="9026" w:leader="dot"/>
            </w:tabs>
            <w:rPr/>
          </w:pPr>
          <w:hyperlink w:anchor="__RefHeading___Toc3140677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668</w:t>
            </w:r>
          </w:hyperlink>
        </w:p>
        <w:p>
          <w:pPr>
            <w:pStyle w:val="Contents6"/>
            <w:tabs>
              <w:tab w:val="clear" w:pos="7609"/>
              <w:tab w:val="right" w:pos="9026" w:leader="dot"/>
            </w:tabs>
            <w:rPr/>
          </w:pPr>
          <w:hyperlink w:anchor="__RefHeading___Toc3140679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669</w:t>
            </w:r>
          </w:hyperlink>
        </w:p>
        <w:p>
          <w:pPr>
            <w:pStyle w:val="Contents6"/>
            <w:tabs>
              <w:tab w:val="clear" w:pos="7609"/>
              <w:tab w:val="right" w:pos="9026" w:leader="dot"/>
            </w:tabs>
            <w:rPr/>
          </w:pPr>
          <w:hyperlink w:anchor="__RefHeading___Toc3140681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671</w:t>
            </w:r>
          </w:hyperlink>
        </w:p>
        <w:p>
          <w:pPr>
            <w:pStyle w:val="Contents6"/>
            <w:tabs>
              <w:tab w:val="clear" w:pos="7609"/>
              <w:tab w:val="right" w:pos="9026" w:leader="dot"/>
            </w:tabs>
            <w:rPr/>
          </w:pPr>
          <w:hyperlink w:anchor="__RefHeading___Toc3140683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673</w:t>
            </w:r>
          </w:hyperlink>
        </w:p>
        <w:p>
          <w:pPr>
            <w:pStyle w:val="Contents6"/>
            <w:tabs>
              <w:tab w:val="clear" w:pos="7609"/>
              <w:tab w:val="right" w:pos="9026" w:leader="dot"/>
            </w:tabs>
            <w:rPr/>
          </w:pPr>
          <w:hyperlink w:anchor="__RefHeading___Toc3140685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676</w:t>
            </w:r>
          </w:hyperlink>
        </w:p>
        <w:p>
          <w:pPr>
            <w:pStyle w:val="Contents6"/>
            <w:tabs>
              <w:tab w:val="clear" w:pos="7609"/>
              <w:tab w:val="right" w:pos="9026" w:leader="dot"/>
            </w:tabs>
            <w:rPr/>
          </w:pPr>
          <w:hyperlink w:anchor="__RefHeading___Toc3140687_653776707">
            <w:r>
              <w:rPr>
                <w:webHidden/>
                <w:rStyle w:val="IndexLink"/>
                <w:rtl w:val="true"/>
              </w:rPr>
              <w:t xml:space="preserve">مسألة </w:t>
            </w:r>
            <w:r>
              <w:rPr>
                <w:rStyle w:val="IndexLink"/>
                <w:rtl w:val="true"/>
              </w:rPr>
              <w:t>[</w:t>
            </w:r>
            <w:r>
              <w:rPr>
                <w:rStyle w:val="IndexLink"/>
              </w:rPr>
              <w:t>11</w:t>
            </w:r>
            <w:r>
              <w:rPr>
                <w:rStyle w:val="IndexLink"/>
                <w:rtl w:val="true"/>
              </w:rPr>
              <w:t>] :</w:t>
              <w:tab/>
            </w:r>
            <w:r>
              <w:rPr>
                <w:rStyle w:val="IndexLink"/>
              </w:rPr>
              <w:t>680</w:t>
            </w:r>
          </w:hyperlink>
        </w:p>
        <w:p>
          <w:pPr>
            <w:pStyle w:val="Contents6"/>
            <w:tabs>
              <w:tab w:val="clear" w:pos="7609"/>
              <w:tab w:val="right" w:pos="9026" w:leader="dot"/>
            </w:tabs>
            <w:rPr/>
          </w:pPr>
          <w:hyperlink w:anchor="__RefHeading___Toc3140689_653776707">
            <w:r>
              <w:rPr>
                <w:webHidden/>
                <w:rStyle w:val="IndexLink"/>
                <w:rtl w:val="true"/>
              </w:rPr>
              <w:t>اشارة</w:t>
            </w:r>
            <w:r>
              <w:rPr>
                <w:rStyle w:val="IndexLink"/>
                <w:rtl w:val="true"/>
              </w:rPr>
              <w:tab/>
            </w:r>
            <w:r>
              <w:rPr>
                <w:rStyle w:val="IndexLink"/>
              </w:rPr>
              <w:t>680</w:t>
            </w:r>
          </w:hyperlink>
        </w:p>
        <w:p>
          <w:pPr>
            <w:pStyle w:val="Contents6"/>
            <w:tabs>
              <w:tab w:val="clear" w:pos="7609"/>
              <w:tab w:val="right" w:pos="9026" w:leader="dot"/>
            </w:tabs>
            <w:rPr/>
          </w:pPr>
          <w:hyperlink w:anchor="__RefHeading___Toc3140691_653776707">
            <w:r>
              <w:rPr>
                <w:webHidden/>
                <w:rStyle w:val="IndexLink"/>
                <w:rtl w:val="true"/>
              </w:rPr>
              <w:t xml:space="preserve">فروع </w:t>
            </w:r>
            <w:r>
              <w:rPr>
                <w:rStyle w:val="IndexLink"/>
                <w:rtl w:val="true"/>
              </w:rPr>
              <w:t>:</w:t>
              <w:tab/>
            </w:r>
            <w:r>
              <w:rPr>
                <w:rStyle w:val="IndexLink"/>
              </w:rPr>
              <w:t>683</w:t>
            </w:r>
          </w:hyperlink>
        </w:p>
        <w:p>
          <w:pPr>
            <w:pStyle w:val="Contents6"/>
            <w:tabs>
              <w:tab w:val="clear" w:pos="7609"/>
              <w:tab w:val="right" w:pos="9026" w:leader="dot"/>
            </w:tabs>
            <w:rPr/>
          </w:pPr>
          <w:hyperlink w:anchor="__RefHeading___Toc314069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683</w:t>
            </w:r>
          </w:hyperlink>
        </w:p>
        <w:p>
          <w:pPr>
            <w:pStyle w:val="Contents6"/>
            <w:tabs>
              <w:tab w:val="clear" w:pos="7609"/>
              <w:tab w:val="right" w:pos="9026" w:leader="dot"/>
            </w:tabs>
            <w:rPr/>
          </w:pPr>
          <w:hyperlink w:anchor="__RefHeading___Toc314069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683</w:t>
            </w:r>
          </w:hyperlink>
        </w:p>
        <w:p>
          <w:pPr>
            <w:pStyle w:val="Contents6"/>
            <w:tabs>
              <w:tab w:val="clear" w:pos="7609"/>
              <w:tab w:val="right" w:pos="9026" w:leader="dot"/>
            </w:tabs>
            <w:rPr/>
          </w:pPr>
          <w:hyperlink w:anchor="__RefHeading___Toc314069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685</w:t>
            </w:r>
          </w:hyperlink>
        </w:p>
        <w:p>
          <w:pPr>
            <w:pStyle w:val="Contents6"/>
            <w:tabs>
              <w:tab w:val="clear" w:pos="7609"/>
              <w:tab w:val="right" w:pos="9026" w:leader="dot"/>
            </w:tabs>
            <w:rPr/>
          </w:pPr>
          <w:hyperlink w:anchor="__RefHeading___Toc31406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685</w:t>
            </w:r>
          </w:hyperlink>
        </w:p>
        <w:p>
          <w:pPr>
            <w:pStyle w:val="Contents6"/>
            <w:tabs>
              <w:tab w:val="clear" w:pos="7609"/>
              <w:tab w:val="right" w:pos="9026" w:leader="dot"/>
            </w:tabs>
            <w:rPr/>
          </w:pPr>
          <w:hyperlink w:anchor="__RefHeading___Toc3140701_653776707">
            <w:r>
              <w:rPr>
                <w:webHidden/>
                <w:rStyle w:val="IndexLink"/>
                <w:rtl w:val="true"/>
              </w:rPr>
              <w:t>اشارة</w:t>
            </w:r>
            <w:r>
              <w:rPr>
                <w:rStyle w:val="IndexLink"/>
                <w:rtl w:val="true"/>
              </w:rPr>
              <w:tab/>
            </w:r>
            <w:r>
              <w:rPr>
                <w:rStyle w:val="IndexLink"/>
              </w:rPr>
              <w:t>685</w:t>
            </w:r>
          </w:hyperlink>
        </w:p>
        <w:p>
          <w:pPr>
            <w:pStyle w:val="Contents6"/>
            <w:tabs>
              <w:tab w:val="clear" w:pos="7609"/>
              <w:tab w:val="right" w:pos="9026" w:leader="dot"/>
            </w:tabs>
            <w:rPr/>
          </w:pPr>
          <w:hyperlink w:anchor="__RefHeading___Toc3140703_653776707">
            <w:r>
              <w:rPr>
                <w:webHidden/>
                <w:rStyle w:val="IndexLink"/>
                <w:rtl w:val="true"/>
              </w:rPr>
              <w:t xml:space="preserve">تذنيب </w:t>
            </w:r>
            <w:r>
              <w:rPr>
                <w:rStyle w:val="IndexLink"/>
                <w:rtl w:val="true"/>
              </w:rPr>
              <w:t>:</w:t>
              <w:tab/>
            </w:r>
            <w:r>
              <w:rPr>
                <w:rStyle w:val="IndexLink"/>
              </w:rPr>
              <w:t>688</w:t>
            </w:r>
          </w:hyperlink>
        </w:p>
        <w:p>
          <w:pPr>
            <w:pStyle w:val="Contents6"/>
            <w:tabs>
              <w:tab w:val="clear" w:pos="7609"/>
              <w:tab w:val="right" w:pos="9026" w:leader="dot"/>
            </w:tabs>
            <w:rPr/>
          </w:pPr>
          <w:hyperlink w:anchor="__RefHeading___Toc314070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w:t>
            </w:r>
            <w:r>
              <w:rPr>
                <w:rStyle w:val="IndexLink"/>
                <w:rtl w:val="true"/>
              </w:rPr>
              <w:t>:</w:t>
              <w:tab/>
            </w:r>
            <w:r>
              <w:rPr>
                <w:rStyle w:val="IndexLink"/>
              </w:rPr>
              <w:t>690</w:t>
            </w:r>
          </w:hyperlink>
        </w:p>
        <w:p>
          <w:pPr>
            <w:pStyle w:val="Contents6"/>
            <w:tabs>
              <w:tab w:val="clear" w:pos="7609"/>
              <w:tab w:val="right" w:pos="9026" w:leader="dot"/>
            </w:tabs>
            <w:rPr/>
          </w:pPr>
          <w:hyperlink w:anchor="__RefHeading___Toc314070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w:t>
            </w:r>
            <w:r>
              <w:rPr>
                <w:rStyle w:val="IndexLink"/>
                <w:rtl w:val="true"/>
              </w:rPr>
              <w:t>:</w:t>
              <w:tab/>
            </w:r>
            <w:r>
              <w:rPr>
                <w:rStyle w:val="IndexLink"/>
              </w:rPr>
              <w:t>690</w:t>
            </w:r>
          </w:hyperlink>
        </w:p>
        <w:p>
          <w:pPr>
            <w:pStyle w:val="Contents6"/>
            <w:tabs>
              <w:tab w:val="clear" w:pos="7609"/>
              <w:tab w:val="right" w:pos="9026" w:leader="dot"/>
            </w:tabs>
            <w:rPr/>
          </w:pPr>
          <w:hyperlink w:anchor="__RefHeading___Toc314070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السابع </w:t>
            </w:r>
            <w:r>
              <w:rPr>
                <w:rStyle w:val="IndexLink"/>
                <w:rtl w:val="true"/>
              </w:rPr>
              <w:t>:</w:t>
              <w:tab/>
            </w:r>
            <w:r>
              <w:rPr>
                <w:rStyle w:val="IndexLink"/>
              </w:rPr>
              <w:t>691</w:t>
            </w:r>
          </w:hyperlink>
        </w:p>
        <w:p>
          <w:pPr>
            <w:pStyle w:val="Contents6"/>
            <w:tabs>
              <w:tab w:val="clear" w:pos="7609"/>
              <w:tab w:val="right" w:pos="9026" w:leader="dot"/>
            </w:tabs>
            <w:rPr/>
          </w:pPr>
          <w:hyperlink w:anchor="__RefHeading___Toc314071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الثامن </w:t>
            </w:r>
            <w:r>
              <w:rPr>
                <w:rStyle w:val="IndexLink"/>
                <w:rtl w:val="true"/>
              </w:rPr>
              <w:t>:</w:t>
              <w:tab/>
            </w:r>
            <w:r>
              <w:rPr>
                <w:rStyle w:val="IndexLink"/>
              </w:rPr>
              <w:t>692</w:t>
            </w:r>
          </w:hyperlink>
        </w:p>
        <w:p>
          <w:pPr>
            <w:pStyle w:val="Contents6"/>
            <w:tabs>
              <w:tab w:val="clear" w:pos="7609"/>
              <w:tab w:val="right" w:pos="9026" w:leader="dot"/>
            </w:tabs>
            <w:rPr/>
          </w:pPr>
          <w:hyperlink w:anchor="__RefHeading___Toc314071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التاسع </w:t>
            </w:r>
            <w:r>
              <w:rPr>
                <w:rStyle w:val="IndexLink"/>
                <w:rtl w:val="true"/>
              </w:rPr>
              <w:t>:</w:t>
              <w:tab/>
            </w:r>
            <w:r>
              <w:rPr>
                <w:rStyle w:val="IndexLink"/>
              </w:rPr>
              <w:t>695</w:t>
            </w:r>
          </w:hyperlink>
        </w:p>
        <w:p>
          <w:pPr>
            <w:pStyle w:val="Contents6"/>
            <w:tabs>
              <w:tab w:val="clear" w:pos="7609"/>
              <w:tab w:val="right" w:pos="9026" w:leader="dot"/>
            </w:tabs>
            <w:rPr/>
          </w:pPr>
          <w:hyperlink w:anchor="__RefHeading___Toc314071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العاشر </w:t>
            </w:r>
            <w:r>
              <w:rPr>
                <w:rStyle w:val="IndexLink"/>
                <w:rtl w:val="true"/>
              </w:rPr>
              <w:t>:</w:t>
              <w:tab/>
            </w:r>
            <w:r>
              <w:rPr>
                <w:rStyle w:val="IndexLink"/>
              </w:rPr>
              <w:t>696</w:t>
            </w:r>
          </w:hyperlink>
        </w:p>
        <w:p>
          <w:pPr>
            <w:pStyle w:val="Contents6"/>
            <w:tabs>
              <w:tab w:val="clear" w:pos="7609"/>
              <w:tab w:val="right" w:pos="9026" w:leader="dot"/>
            </w:tabs>
            <w:rPr/>
          </w:pPr>
          <w:hyperlink w:anchor="__RefHeading___Toc314071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الحادي عشر </w:t>
            </w:r>
            <w:r>
              <w:rPr>
                <w:rStyle w:val="IndexLink"/>
                <w:rtl w:val="true"/>
              </w:rPr>
              <w:t>:</w:t>
              <w:tab/>
            </w:r>
            <w:r>
              <w:rPr>
                <w:rStyle w:val="IndexLink"/>
              </w:rPr>
              <w:t>698</w:t>
            </w:r>
          </w:hyperlink>
        </w:p>
        <w:p>
          <w:pPr>
            <w:pStyle w:val="Contents6"/>
            <w:tabs>
              <w:tab w:val="clear" w:pos="7609"/>
              <w:tab w:val="right" w:pos="9026" w:leader="dot"/>
            </w:tabs>
            <w:rPr/>
          </w:pPr>
          <w:hyperlink w:anchor="__RefHeading___Toc314071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عشر </w:t>
            </w:r>
            <w:r>
              <w:rPr>
                <w:rStyle w:val="IndexLink"/>
                <w:rtl w:val="true"/>
              </w:rPr>
              <w:t>:</w:t>
              <w:tab/>
            </w:r>
            <w:r>
              <w:rPr>
                <w:rStyle w:val="IndexLink"/>
              </w:rPr>
              <w:t>699</w:t>
            </w:r>
          </w:hyperlink>
        </w:p>
        <w:p>
          <w:pPr>
            <w:pStyle w:val="Contents6"/>
            <w:tabs>
              <w:tab w:val="clear" w:pos="7609"/>
              <w:tab w:val="right" w:pos="9026" w:leader="dot"/>
            </w:tabs>
            <w:rPr/>
          </w:pPr>
          <w:hyperlink w:anchor="__RefHeading___Toc314072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عشر </w:t>
            </w:r>
            <w:r>
              <w:rPr>
                <w:rStyle w:val="IndexLink"/>
                <w:rtl w:val="true"/>
              </w:rPr>
              <w:t>:</w:t>
              <w:tab/>
            </w:r>
            <w:r>
              <w:rPr>
                <w:rStyle w:val="IndexLink"/>
              </w:rPr>
              <w:t>701</w:t>
            </w:r>
          </w:hyperlink>
        </w:p>
        <w:p>
          <w:pPr>
            <w:pStyle w:val="Contents6"/>
            <w:tabs>
              <w:tab w:val="clear" w:pos="7609"/>
              <w:tab w:val="right" w:pos="9026" w:leader="dot"/>
            </w:tabs>
            <w:rPr/>
          </w:pPr>
          <w:hyperlink w:anchor="__RefHeading___Toc314072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عشر </w:t>
            </w:r>
            <w:r>
              <w:rPr>
                <w:rStyle w:val="IndexLink"/>
                <w:rtl w:val="true"/>
              </w:rPr>
              <w:t>:</w:t>
              <w:tab/>
            </w:r>
            <w:r>
              <w:rPr>
                <w:rStyle w:val="IndexLink"/>
              </w:rPr>
              <w:t>702</w:t>
            </w:r>
          </w:hyperlink>
        </w:p>
        <w:p>
          <w:pPr>
            <w:pStyle w:val="Contents6"/>
            <w:tabs>
              <w:tab w:val="clear" w:pos="7609"/>
              <w:tab w:val="right" w:pos="9026" w:leader="dot"/>
            </w:tabs>
            <w:rPr/>
          </w:pPr>
          <w:hyperlink w:anchor="__RefHeading___Toc3140725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الخامس عشر </w:t>
            </w:r>
            <w:r>
              <w:rPr>
                <w:rStyle w:val="IndexLink"/>
                <w:rtl w:val="true"/>
              </w:rPr>
              <w:t>:</w:t>
              <w:tab/>
            </w:r>
            <w:r>
              <w:rPr>
                <w:rStyle w:val="IndexLink"/>
              </w:rPr>
              <w:t>705</w:t>
            </w:r>
          </w:hyperlink>
        </w:p>
        <w:p>
          <w:pPr>
            <w:pStyle w:val="Contents6"/>
            <w:tabs>
              <w:tab w:val="clear" w:pos="7609"/>
              <w:tab w:val="right" w:pos="9026" w:leader="dot"/>
            </w:tabs>
            <w:rPr/>
          </w:pPr>
          <w:hyperlink w:anchor="__RefHeading___Toc314072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السادس عشر </w:t>
            </w:r>
            <w:r>
              <w:rPr>
                <w:rStyle w:val="IndexLink"/>
                <w:rtl w:val="true"/>
              </w:rPr>
              <w:t>:</w:t>
              <w:tab/>
            </w:r>
            <w:r>
              <w:rPr>
                <w:rStyle w:val="IndexLink"/>
              </w:rPr>
              <w:t>705</w:t>
            </w:r>
          </w:hyperlink>
        </w:p>
        <w:p>
          <w:pPr>
            <w:pStyle w:val="Contents6"/>
            <w:tabs>
              <w:tab w:val="clear" w:pos="7609"/>
              <w:tab w:val="right" w:pos="9026" w:leader="dot"/>
            </w:tabs>
            <w:rPr/>
          </w:pPr>
          <w:hyperlink w:anchor="__RefHeading___Toc314072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السابع عشر </w:t>
            </w:r>
            <w:r>
              <w:rPr>
                <w:rStyle w:val="IndexLink"/>
                <w:rtl w:val="true"/>
              </w:rPr>
              <w:t>:</w:t>
              <w:tab/>
            </w:r>
            <w:r>
              <w:rPr>
                <w:rStyle w:val="IndexLink"/>
              </w:rPr>
              <w:t>705</w:t>
            </w:r>
          </w:hyperlink>
        </w:p>
        <w:p>
          <w:pPr>
            <w:pStyle w:val="Contents6"/>
            <w:tabs>
              <w:tab w:val="clear" w:pos="7609"/>
              <w:tab w:val="right" w:pos="9026" w:leader="dot"/>
            </w:tabs>
            <w:rPr/>
          </w:pPr>
          <w:hyperlink w:anchor="__RefHeading___Toc3140731_653776707">
            <w:r>
              <w:rPr>
                <w:webHidden/>
                <w:rStyle w:val="IndexLink"/>
                <w:rtl w:val="true"/>
              </w:rPr>
              <w:t xml:space="preserve">مسألة </w:t>
            </w:r>
            <w:r>
              <w:rPr>
                <w:rStyle w:val="IndexLink"/>
                <w:rtl w:val="true"/>
              </w:rPr>
              <w:t>[</w:t>
            </w:r>
            <w:r>
              <w:rPr>
                <w:rStyle w:val="IndexLink"/>
              </w:rPr>
              <w:t>12</w:t>
            </w:r>
            <w:r>
              <w:rPr>
                <w:rStyle w:val="IndexLink"/>
                <w:rtl w:val="true"/>
              </w:rPr>
              <w:t>] :</w:t>
              <w:tab/>
            </w:r>
            <w:r>
              <w:rPr>
                <w:rStyle w:val="IndexLink"/>
              </w:rPr>
              <w:t>706</w:t>
            </w:r>
          </w:hyperlink>
        </w:p>
        <w:p>
          <w:pPr>
            <w:pStyle w:val="Contents6"/>
            <w:tabs>
              <w:tab w:val="clear" w:pos="7609"/>
              <w:tab w:val="right" w:pos="9026" w:leader="dot"/>
            </w:tabs>
            <w:rPr/>
          </w:pPr>
          <w:hyperlink w:anchor="__RefHeading___Toc3140733_653776707">
            <w:r>
              <w:rPr>
                <w:webHidden/>
                <w:rStyle w:val="IndexLink"/>
                <w:rtl w:val="true"/>
              </w:rPr>
              <w:t xml:space="preserve">مسألة </w:t>
            </w:r>
            <w:r>
              <w:rPr>
                <w:rStyle w:val="IndexLink"/>
                <w:rtl w:val="true"/>
              </w:rPr>
              <w:t>[</w:t>
            </w:r>
            <w:r>
              <w:rPr>
                <w:rStyle w:val="IndexLink"/>
              </w:rPr>
              <w:t>13</w:t>
            </w:r>
            <w:r>
              <w:rPr>
                <w:rStyle w:val="IndexLink"/>
                <w:rtl w:val="true"/>
              </w:rPr>
              <w:t>] :</w:t>
              <w:tab/>
            </w:r>
            <w:r>
              <w:rPr>
                <w:rStyle w:val="IndexLink"/>
              </w:rPr>
              <w:t>708</w:t>
            </w:r>
          </w:hyperlink>
        </w:p>
        <w:p>
          <w:pPr>
            <w:pStyle w:val="Contents6"/>
            <w:tabs>
              <w:tab w:val="clear" w:pos="7609"/>
              <w:tab w:val="right" w:pos="9026" w:leader="dot"/>
            </w:tabs>
            <w:rPr/>
          </w:pPr>
          <w:hyperlink w:anchor="__RefHeading___Toc3140735_653776707">
            <w:r>
              <w:rPr>
                <w:webHidden/>
                <w:rStyle w:val="IndexLink"/>
                <w:rtl w:val="true"/>
              </w:rPr>
              <w:t>اشارة</w:t>
            </w:r>
            <w:r>
              <w:rPr>
                <w:rStyle w:val="IndexLink"/>
                <w:rtl w:val="true"/>
              </w:rPr>
              <w:tab/>
            </w:r>
            <w:r>
              <w:rPr>
                <w:rStyle w:val="IndexLink"/>
              </w:rPr>
              <w:t>708</w:t>
            </w:r>
          </w:hyperlink>
        </w:p>
        <w:p>
          <w:pPr>
            <w:pStyle w:val="Contents6"/>
            <w:tabs>
              <w:tab w:val="clear" w:pos="7609"/>
              <w:tab w:val="right" w:pos="9026" w:leader="dot"/>
            </w:tabs>
            <w:rPr/>
          </w:pPr>
          <w:hyperlink w:anchor="__RefHeading___Toc3140737_653776707">
            <w:r>
              <w:rPr>
                <w:webHidden/>
                <w:rStyle w:val="IndexLink"/>
                <w:rtl w:val="true"/>
              </w:rPr>
              <w:t xml:space="preserve">فروع </w:t>
            </w:r>
            <w:r>
              <w:rPr>
                <w:rStyle w:val="IndexLink"/>
                <w:rtl w:val="true"/>
              </w:rPr>
              <w:t>:</w:t>
              <w:tab/>
            </w:r>
            <w:r>
              <w:rPr>
                <w:rStyle w:val="IndexLink"/>
              </w:rPr>
              <w:t>710</w:t>
            </w:r>
          </w:hyperlink>
        </w:p>
        <w:p>
          <w:pPr>
            <w:pStyle w:val="Contents6"/>
            <w:tabs>
              <w:tab w:val="clear" w:pos="7609"/>
              <w:tab w:val="right" w:pos="9026" w:leader="dot"/>
            </w:tabs>
            <w:rPr/>
          </w:pPr>
          <w:hyperlink w:anchor="__RefHeading___Toc314073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710</w:t>
            </w:r>
          </w:hyperlink>
        </w:p>
        <w:p>
          <w:pPr>
            <w:pStyle w:val="Contents6"/>
            <w:tabs>
              <w:tab w:val="clear" w:pos="7609"/>
              <w:tab w:val="right" w:pos="9026" w:leader="dot"/>
            </w:tabs>
            <w:rPr/>
          </w:pPr>
          <w:hyperlink w:anchor="__RefHeading___Toc314074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710</w:t>
            </w:r>
          </w:hyperlink>
        </w:p>
        <w:p>
          <w:pPr>
            <w:pStyle w:val="Contents6"/>
            <w:tabs>
              <w:tab w:val="clear" w:pos="7609"/>
              <w:tab w:val="right" w:pos="9026" w:leader="dot"/>
            </w:tabs>
            <w:rPr/>
          </w:pPr>
          <w:hyperlink w:anchor="__RefHeading___Toc314074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710</w:t>
            </w:r>
          </w:hyperlink>
        </w:p>
        <w:p>
          <w:pPr>
            <w:pStyle w:val="Contents6"/>
            <w:tabs>
              <w:tab w:val="clear" w:pos="7609"/>
              <w:tab w:val="right" w:pos="9026" w:leader="dot"/>
            </w:tabs>
            <w:rPr/>
          </w:pPr>
          <w:hyperlink w:anchor="__RefHeading___Toc3140745_653776707">
            <w:r>
              <w:rPr>
                <w:webHidden/>
                <w:rStyle w:val="IndexLink"/>
                <w:rtl w:val="true"/>
              </w:rPr>
              <w:t xml:space="preserve">مسألة </w:t>
            </w:r>
            <w:r>
              <w:rPr>
                <w:rStyle w:val="IndexLink"/>
                <w:rtl w:val="true"/>
              </w:rPr>
              <w:t>[</w:t>
            </w:r>
            <w:r>
              <w:rPr>
                <w:rStyle w:val="IndexLink"/>
              </w:rPr>
              <w:t>14</w:t>
            </w:r>
            <w:r>
              <w:rPr>
                <w:rStyle w:val="IndexLink"/>
                <w:rtl w:val="true"/>
              </w:rPr>
              <w:t>] :</w:t>
              <w:tab/>
            </w:r>
            <w:r>
              <w:rPr>
                <w:rStyle w:val="IndexLink"/>
              </w:rPr>
              <w:t>711</w:t>
            </w:r>
          </w:hyperlink>
        </w:p>
        <w:p>
          <w:pPr>
            <w:pStyle w:val="Contents6"/>
            <w:tabs>
              <w:tab w:val="clear" w:pos="7609"/>
              <w:tab w:val="right" w:pos="9026" w:leader="dot"/>
            </w:tabs>
            <w:rPr/>
          </w:pPr>
          <w:hyperlink w:anchor="__RefHeading___Toc3140747_653776707">
            <w:r>
              <w:rPr>
                <w:webHidden/>
                <w:rStyle w:val="IndexLink"/>
                <w:rtl w:val="true"/>
              </w:rPr>
              <w:t xml:space="preserve">مسألة </w:t>
            </w:r>
            <w:r>
              <w:rPr>
                <w:rStyle w:val="IndexLink"/>
                <w:rtl w:val="true"/>
              </w:rPr>
              <w:t>[</w:t>
            </w:r>
            <w:r>
              <w:rPr>
                <w:rStyle w:val="IndexLink"/>
              </w:rPr>
              <w:t>15</w:t>
            </w:r>
            <w:r>
              <w:rPr>
                <w:rStyle w:val="IndexLink"/>
                <w:rtl w:val="true"/>
              </w:rPr>
              <w:t>] :</w:t>
              <w:tab/>
            </w:r>
            <w:r>
              <w:rPr>
                <w:rStyle w:val="IndexLink"/>
              </w:rPr>
              <w:t>713</w:t>
            </w:r>
          </w:hyperlink>
        </w:p>
        <w:p>
          <w:pPr>
            <w:pStyle w:val="Contents6"/>
            <w:tabs>
              <w:tab w:val="clear" w:pos="7609"/>
              <w:tab w:val="right" w:pos="9026" w:leader="dot"/>
            </w:tabs>
            <w:rPr/>
          </w:pPr>
          <w:hyperlink w:anchor="__RefHeading___Toc3140749_653776707">
            <w:r>
              <w:rPr>
                <w:webHidden/>
                <w:rStyle w:val="IndexLink"/>
                <w:rtl w:val="true"/>
              </w:rPr>
              <w:t xml:space="preserve">مسألة </w:t>
            </w:r>
            <w:r>
              <w:rPr>
                <w:rStyle w:val="IndexLink"/>
                <w:rtl w:val="true"/>
              </w:rPr>
              <w:t>[</w:t>
            </w:r>
            <w:r>
              <w:rPr>
                <w:rStyle w:val="IndexLink"/>
              </w:rPr>
              <w:t>16</w:t>
            </w:r>
            <w:r>
              <w:rPr>
                <w:rStyle w:val="IndexLink"/>
                <w:rtl w:val="true"/>
              </w:rPr>
              <w:t>] :</w:t>
              <w:tab/>
            </w:r>
            <w:r>
              <w:rPr>
                <w:rStyle w:val="IndexLink"/>
              </w:rPr>
              <w:t>720</w:t>
            </w:r>
          </w:hyperlink>
        </w:p>
        <w:p>
          <w:pPr>
            <w:pStyle w:val="Contents6"/>
            <w:tabs>
              <w:tab w:val="clear" w:pos="7609"/>
              <w:tab w:val="right" w:pos="9026" w:leader="dot"/>
            </w:tabs>
            <w:rPr/>
          </w:pPr>
          <w:hyperlink w:anchor="__RefHeading___Toc3140751_653776707">
            <w:r>
              <w:rPr>
                <w:webHidden/>
                <w:rStyle w:val="IndexLink"/>
                <w:rtl w:val="true"/>
              </w:rPr>
              <w:t>اشارة</w:t>
            </w:r>
            <w:r>
              <w:rPr>
                <w:rStyle w:val="IndexLink"/>
                <w:rtl w:val="true"/>
              </w:rPr>
              <w:tab/>
            </w:r>
            <w:r>
              <w:rPr>
                <w:rStyle w:val="IndexLink"/>
              </w:rPr>
              <w:t>720</w:t>
            </w:r>
          </w:hyperlink>
        </w:p>
        <w:p>
          <w:pPr>
            <w:pStyle w:val="Contents6"/>
            <w:tabs>
              <w:tab w:val="clear" w:pos="7609"/>
              <w:tab w:val="right" w:pos="9026" w:leader="dot"/>
            </w:tabs>
            <w:rPr/>
          </w:pPr>
          <w:hyperlink w:anchor="__RefHeading___Toc3140753_653776707">
            <w:r>
              <w:rPr>
                <w:webHidden/>
                <w:rStyle w:val="IndexLink"/>
                <w:rtl w:val="true"/>
              </w:rPr>
              <w:t xml:space="preserve">تذنيب </w:t>
            </w:r>
            <w:r>
              <w:rPr>
                <w:rStyle w:val="IndexLink"/>
                <w:rtl w:val="true"/>
              </w:rPr>
              <w:t>:</w:t>
              <w:tab/>
            </w:r>
            <w:r>
              <w:rPr>
                <w:rStyle w:val="IndexLink"/>
              </w:rPr>
              <w:t>723</w:t>
            </w:r>
          </w:hyperlink>
        </w:p>
        <w:p>
          <w:pPr>
            <w:pStyle w:val="Contents6"/>
            <w:tabs>
              <w:tab w:val="clear" w:pos="7609"/>
              <w:tab w:val="right" w:pos="9026" w:leader="dot"/>
            </w:tabs>
            <w:rPr/>
          </w:pPr>
          <w:hyperlink w:anchor="__RefHeading___Toc3140755_653776707">
            <w:r>
              <w:rPr>
                <w:webHidden/>
                <w:rStyle w:val="IndexLink"/>
                <w:rtl w:val="true"/>
              </w:rPr>
              <w:t xml:space="preserve">مسألة </w:t>
            </w:r>
            <w:r>
              <w:rPr>
                <w:rStyle w:val="IndexLink"/>
                <w:rtl w:val="true"/>
              </w:rPr>
              <w:t>[</w:t>
            </w:r>
            <w:r>
              <w:rPr>
                <w:rStyle w:val="IndexLink"/>
              </w:rPr>
              <w:t>17</w:t>
            </w:r>
            <w:r>
              <w:rPr>
                <w:rStyle w:val="IndexLink"/>
                <w:rtl w:val="true"/>
              </w:rPr>
              <w:t>] :</w:t>
              <w:tab/>
            </w:r>
            <w:r>
              <w:rPr>
                <w:rStyle w:val="IndexLink"/>
              </w:rPr>
              <w:t>725</w:t>
            </w:r>
          </w:hyperlink>
        </w:p>
        <w:p>
          <w:pPr>
            <w:pStyle w:val="Contents6"/>
            <w:tabs>
              <w:tab w:val="clear" w:pos="7609"/>
              <w:tab w:val="right" w:pos="9026" w:leader="dot"/>
            </w:tabs>
            <w:rPr/>
          </w:pPr>
          <w:hyperlink w:anchor="__RefHeading___Toc3140757_653776707">
            <w:r>
              <w:rPr>
                <w:webHidden/>
                <w:rStyle w:val="IndexLink"/>
                <w:rtl w:val="true"/>
              </w:rPr>
              <w:t xml:space="preserve">مسألة </w:t>
            </w:r>
            <w:r>
              <w:rPr>
                <w:rStyle w:val="IndexLink"/>
                <w:rtl w:val="true"/>
              </w:rPr>
              <w:t>[</w:t>
            </w:r>
            <w:r>
              <w:rPr>
                <w:rStyle w:val="IndexLink"/>
              </w:rPr>
              <w:t>18</w:t>
            </w:r>
            <w:r>
              <w:rPr>
                <w:rStyle w:val="IndexLink"/>
                <w:rtl w:val="true"/>
              </w:rPr>
              <w:t>] :</w:t>
              <w:tab/>
            </w:r>
            <w:r>
              <w:rPr>
                <w:rStyle w:val="IndexLink"/>
              </w:rPr>
              <w:t>726</w:t>
            </w:r>
          </w:hyperlink>
        </w:p>
        <w:p>
          <w:pPr>
            <w:pStyle w:val="Contents6"/>
            <w:tabs>
              <w:tab w:val="clear" w:pos="7609"/>
              <w:tab w:val="right" w:pos="9026" w:leader="dot"/>
            </w:tabs>
            <w:rPr/>
          </w:pPr>
          <w:hyperlink w:anchor="__RefHeading___Toc3140759_653776707">
            <w:r>
              <w:rPr>
                <w:webHidden/>
                <w:rStyle w:val="IndexLink"/>
                <w:rtl w:val="true"/>
              </w:rPr>
              <w:t xml:space="preserve">مسألة </w:t>
            </w:r>
            <w:r>
              <w:rPr>
                <w:rStyle w:val="IndexLink"/>
                <w:rtl w:val="true"/>
              </w:rPr>
              <w:t>[</w:t>
            </w:r>
            <w:r>
              <w:rPr>
                <w:rStyle w:val="IndexLink"/>
              </w:rPr>
              <w:t>19</w:t>
            </w:r>
            <w:r>
              <w:rPr>
                <w:rStyle w:val="IndexLink"/>
                <w:rtl w:val="true"/>
              </w:rPr>
              <w:t>] :</w:t>
              <w:tab/>
            </w:r>
            <w:r>
              <w:rPr>
                <w:rStyle w:val="IndexLink"/>
              </w:rPr>
              <w:t>729</w:t>
            </w:r>
          </w:hyperlink>
        </w:p>
        <w:p>
          <w:pPr>
            <w:pStyle w:val="Contents6"/>
            <w:tabs>
              <w:tab w:val="clear" w:pos="7609"/>
              <w:tab w:val="right" w:pos="9026" w:leader="dot"/>
            </w:tabs>
            <w:rPr/>
          </w:pPr>
          <w:hyperlink w:anchor="__RefHeading___Toc3140761_653776707">
            <w:r>
              <w:rPr>
                <w:webHidden/>
                <w:rStyle w:val="IndexLink"/>
                <w:rtl w:val="true"/>
              </w:rPr>
              <w:t xml:space="preserve">مسألة </w:t>
            </w:r>
            <w:r>
              <w:rPr>
                <w:rStyle w:val="IndexLink"/>
                <w:rtl w:val="true"/>
              </w:rPr>
              <w:t>[</w:t>
            </w:r>
            <w:r>
              <w:rPr>
                <w:rStyle w:val="IndexLink"/>
              </w:rPr>
              <w:t>20</w:t>
            </w:r>
            <w:r>
              <w:rPr>
                <w:rStyle w:val="IndexLink"/>
                <w:rtl w:val="true"/>
              </w:rPr>
              <w:t>] :</w:t>
              <w:tab/>
            </w:r>
            <w:r>
              <w:rPr>
                <w:rStyle w:val="IndexLink"/>
              </w:rPr>
              <w:t>731</w:t>
            </w:r>
          </w:hyperlink>
        </w:p>
        <w:p>
          <w:pPr>
            <w:pStyle w:val="Contents6"/>
            <w:tabs>
              <w:tab w:val="clear" w:pos="7609"/>
              <w:tab w:val="right" w:pos="9026" w:leader="dot"/>
            </w:tabs>
            <w:rPr/>
          </w:pPr>
          <w:hyperlink w:anchor="__RefHeading___Toc3140763_653776707">
            <w:r>
              <w:rPr>
                <w:webHidden/>
                <w:rStyle w:val="IndexLink"/>
                <w:rtl w:val="true"/>
              </w:rPr>
              <w:t xml:space="preserve">مسألة </w:t>
            </w:r>
            <w:r>
              <w:rPr>
                <w:rStyle w:val="IndexLink"/>
                <w:rtl w:val="true"/>
              </w:rPr>
              <w:t>[</w:t>
            </w:r>
            <w:r>
              <w:rPr>
                <w:rStyle w:val="IndexLink"/>
              </w:rPr>
              <w:t>21</w:t>
            </w:r>
            <w:r>
              <w:rPr>
                <w:rStyle w:val="IndexLink"/>
                <w:rtl w:val="true"/>
              </w:rPr>
              <w:t>] :</w:t>
              <w:tab/>
            </w:r>
            <w:r>
              <w:rPr>
                <w:rStyle w:val="IndexLink"/>
              </w:rPr>
              <w:t>733</w:t>
            </w:r>
          </w:hyperlink>
        </w:p>
        <w:p>
          <w:pPr>
            <w:pStyle w:val="Contents6"/>
            <w:tabs>
              <w:tab w:val="clear" w:pos="7609"/>
              <w:tab w:val="right" w:pos="9026" w:leader="dot"/>
            </w:tabs>
            <w:rPr/>
          </w:pPr>
          <w:hyperlink w:anchor="__RefHeading___Toc3140765_653776707">
            <w:r>
              <w:rPr>
                <w:webHidden/>
                <w:rStyle w:val="IndexLink"/>
                <w:rtl w:val="true"/>
              </w:rPr>
              <w:t xml:space="preserve">مسألة </w:t>
            </w:r>
            <w:r>
              <w:rPr>
                <w:rStyle w:val="IndexLink"/>
                <w:rtl w:val="true"/>
              </w:rPr>
              <w:t>[</w:t>
            </w:r>
            <w:r>
              <w:rPr>
                <w:rStyle w:val="IndexLink"/>
              </w:rPr>
              <w:t>22</w:t>
            </w:r>
            <w:r>
              <w:rPr>
                <w:rStyle w:val="IndexLink"/>
                <w:rtl w:val="true"/>
              </w:rPr>
              <w:t>] :</w:t>
              <w:tab/>
            </w:r>
            <w:r>
              <w:rPr>
                <w:rStyle w:val="IndexLink"/>
              </w:rPr>
              <w:t>734</w:t>
            </w:r>
          </w:hyperlink>
        </w:p>
        <w:p>
          <w:pPr>
            <w:pStyle w:val="Contents6"/>
            <w:tabs>
              <w:tab w:val="clear" w:pos="7609"/>
              <w:tab w:val="right" w:pos="9026" w:leader="dot"/>
            </w:tabs>
            <w:rPr/>
          </w:pPr>
          <w:hyperlink w:anchor="__RefHeading___Toc3140767_653776707">
            <w:r>
              <w:rPr>
                <w:webHidden/>
                <w:rStyle w:val="IndexLink"/>
                <w:rtl w:val="true"/>
              </w:rPr>
              <w:t xml:space="preserve">مسألة </w:t>
            </w:r>
            <w:r>
              <w:rPr>
                <w:rStyle w:val="IndexLink"/>
                <w:rtl w:val="true"/>
              </w:rPr>
              <w:t>[</w:t>
            </w:r>
            <w:r>
              <w:rPr>
                <w:rStyle w:val="IndexLink"/>
              </w:rPr>
              <w:t>23</w:t>
            </w:r>
            <w:r>
              <w:rPr>
                <w:rStyle w:val="IndexLink"/>
                <w:rtl w:val="true"/>
              </w:rPr>
              <w:t>] :</w:t>
              <w:tab/>
            </w:r>
            <w:r>
              <w:rPr>
                <w:rStyle w:val="IndexLink"/>
              </w:rPr>
              <w:t>736</w:t>
            </w:r>
          </w:hyperlink>
        </w:p>
        <w:p>
          <w:pPr>
            <w:pStyle w:val="Contents6"/>
            <w:tabs>
              <w:tab w:val="clear" w:pos="7609"/>
              <w:tab w:val="right" w:pos="9026" w:leader="dot"/>
            </w:tabs>
            <w:rPr/>
          </w:pPr>
          <w:hyperlink w:anchor="__RefHeading___Toc3140769_653776707">
            <w:r>
              <w:rPr>
                <w:webHidden/>
                <w:rStyle w:val="IndexLink"/>
                <w:rtl w:val="true"/>
              </w:rPr>
              <w:t xml:space="preserve">مسألة </w:t>
            </w:r>
            <w:r>
              <w:rPr>
                <w:rStyle w:val="IndexLink"/>
                <w:rtl w:val="true"/>
              </w:rPr>
              <w:t>[</w:t>
            </w:r>
            <w:r>
              <w:rPr>
                <w:rStyle w:val="IndexLink"/>
              </w:rPr>
              <w:t>24</w:t>
            </w:r>
            <w:r>
              <w:rPr>
                <w:rStyle w:val="IndexLink"/>
                <w:rtl w:val="true"/>
              </w:rPr>
              <w:t>] :</w:t>
              <w:tab/>
            </w:r>
            <w:r>
              <w:rPr>
                <w:rStyle w:val="IndexLink"/>
              </w:rPr>
              <w:t>739</w:t>
            </w:r>
          </w:hyperlink>
        </w:p>
        <w:p>
          <w:pPr>
            <w:pStyle w:val="Contents6"/>
            <w:tabs>
              <w:tab w:val="clear" w:pos="7609"/>
              <w:tab w:val="right" w:pos="9026" w:leader="dot"/>
            </w:tabs>
            <w:rPr/>
          </w:pPr>
          <w:hyperlink w:anchor="__RefHeading___Toc3140771_653776707">
            <w:r>
              <w:rPr>
                <w:webHidden/>
                <w:rStyle w:val="IndexLink"/>
                <w:rtl w:val="true"/>
              </w:rPr>
              <w:t xml:space="preserve">مسألة </w:t>
            </w:r>
            <w:r>
              <w:rPr>
                <w:rStyle w:val="IndexLink"/>
                <w:rtl w:val="true"/>
              </w:rPr>
              <w:t>[</w:t>
            </w:r>
            <w:r>
              <w:rPr>
                <w:rStyle w:val="IndexLink"/>
              </w:rPr>
              <w:t>25</w:t>
            </w:r>
            <w:r>
              <w:rPr>
                <w:rStyle w:val="IndexLink"/>
                <w:rtl w:val="true"/>
              </w:rPr>
              <w:t>] :</w:t>
              <w:tab/>
            </w:r>
            <w:r>
              <w:rPr>
                <w:rStyle w:val="IndexLink"/>
              </w:rPr>
              <w:t>741</w:t>
            </w:r>
          </w:hyperlink>
        </w:p>
        <w:p>
          <w:pPr>
            <w:pStyle w:val="Contents6"/>
            <w:tabs>
              <w:tab w:val="clear" w:pos="7609"/>
              <w:tab w:val="right" w:pos="9026" w:leader="dot"/>
            </w:tabs>
            <w:rPr/>
          </w:pPr>
          <w:hyperlink w:anchor="__RefHeading___Toc3140773_653776707">
            <w:r>
              <w:rPr>
                <w:webHidden/>
                <w:rStyle w:val="IndexLink"/>
                <w:rtl w:val="true"/>
              </w:rPr>
              <w:t>اشارة</w:t>
            </w:r>
            <w:r>
              <w:rPr>
                <w:rStyle w:val="IndexLink"/>
                <w:rtl w:val="true"/>
              </w:rPr>
              <w:tab/>
            </w:r>
            <w:r>
              <w:rPr>
                <w:rStyle w:val="IndexLink"/>
              </w:rPr>
              <w:t>741</w:t>
            </w:r>
          </w:hyperlink>
        </w:p>
        <w:p>
          <w:pPr>
            <w:pStyle w:val="Contents6"/>
            <w:tabs>
              <w:tab w:val="clear" w:pos="7609"/>
              <w:tab w:val="right" w:pos="9026" w:leader="dot"/>
            </w:tabs>
            <w:rPr/>
          </w:pPr>
          <w:hyperlink w:anchor="__RefHeading___Toc3140775_653776707">
            <w:r>
              <w:rPr>
                <w:webHidden/>
                <w:rStyle w:val="IndexLink"/>
                <w:rtl w:val="true"/>
              </w:rPr>
              <w:t xml:space="preserve">تذنيب </w:t>
            </w:r>
            <w:r>
              <w:rPr>
                <w:rStyle w:val="IndexLink"/>
                <w:rtl w:val="true"/>
              </w:rPr>
              <w:t>:</w:t>
              <w:tab/>
            </w:r>
            <w:r>
              <w:rPr>
                <w:rStyle w:val="IndexLink"/>
              </w:rPr>
              <w:t>746</w:t>
            </w:r>
          </w:hyperlink>
        </w:p>
        <w:p>
          <w:pPr>
            <w:pStyle w:val="Contents6"/>
            <w:tabs>
              <w:tab w:val="clear" w:pos="7609"/>
              <w:tab w:val="right" w:pos="9026" w:leader="dot"/>
            </w:tabs>
            <w:rPr/>
          </w:pPr>
          <w:hyperlink w:anchor="__RefHeading___Toc3140777_653776707">
            <w:r>
              <w:rPr>
                <w:webHidden/>
                <w:rStyle w:val="IndexLink"/>
                <w:rtl w:val="true"/>
              </w:rPr>
              <w:t xml:space="preserve">فرع </w:t>
            </w:r>
            <w:r>
              <w:rPr>
                <w:rStyle w:val="IndexLink"/>
                <w:rtl w:val="true"/>
              </w:rPr>
              <w:t>:</w:t>
              <w:tab/>
            </w:r>
            <w:r>
              <w:rPr>
                <w:rStyle w:val="IndexLink"/>
              </w:rPr>
              <w:t>747</w:t>
            </w:r>
          </w:hyperlink>
        </w:p>
        <w:p>
          <w:pPr>
            <w:pStyle w:val="Contents6"/>
            <w:tabs>
              <w:tab w:val="clear" w:pos="7609"/>
              <w:tab w:val="right" w:pos="9026" w:leader="dot"/>
            </w:tabs>
            <w:rPr/>
          </w:pPr>
          <w:hyperlink w:anchor="__RefHeading___Toc3140779_653776707">
            <w:r>
              <w:rPr>
                <w:webHidden/>
                <w:rStyle w:val="IndexLink"/>
                <w:rtl w:val="true"/>
              </w:rPr>
              <w:t xml:space="preserve">مسألة </w:t>
            </w:r>
            <w:r>
              <w:rPr>
                <w:rStyle w:val="IndexLink"/>
                <w:rtl w:val="true"/>
              </w:rPr>
              <w:t>[</w:t>
            </w:r>
            <w:r>
              <w:rPr>
                <w:rStyle w:val="IndexLink"/>
              </w:rPr>
              <w:t>26</w:t>
            </w:r>
            <w:r>
              <w:rPr>
                <w:rStyle w:val="IndexLink"/>
                <w:rtl w:val="true"/>
              </w:rPr>
              <w:t>] :</w:t>
              <w:tab/>
            </w:r>
            <w:r>
              <w:rPr>
                <w:rStyle w:val="IndexLink"/>
              </w:rPr>
              <w:t>748</w:t>
            </w:r>
          </w:hyperlink>
        </w:p>
        <w:p>
          <w:pPr>
            <w:pStyle w:val="Contents6"/>
            <w:tabs>
              <w:tab w:val="clear" w:pos="7609"/>
              <w:tab w:val="right" w:pos="9026" w:leader="dot"/>
            </w:tabs>
            <w:rPr/>
          </w:pPr>
          <w:hyperlink w:anchor="__RefHeading___Toc3140781_653776707">
            <w:r>
              <w:rPr>
                <w:webHidden/>
                <w:rStyle w:val="IndexLink"/>
                <w:rtl w:val="true"/>
              </w:rPr>
              <w:t xml:space="preserve">مسألة </w:t>
            </w:r>
            <w:r>
              <w:rPr>
                <w:rStyle w:val="IndexLink"/>
                <w:rtl w:val="true"/>
              </w:rPr>
              <w:t>[</w:t>
            </w:r>
            <w:r>
              <w:rPr>
                <w:rStyle w:val="IndexLink"/>
              </w:rPr>
              <w:t>27</w:t>
            </w:r>
            <w:r>
              <w:rPr>
                <w:rStyle w:val="IndexLink"/>
                <w:rtl w:val="true"/>
              </w:rPr>
              <w:t>] :</w:t>
              <w:tab/>
            </w:r>
            <w:r>
              <w:rPr>
                <w:rStyle w:val="IndexLink"/>
              </w:rPr>
              <w:t>751</w:t>
            </w:r>
          </w:hyperlink>
        </w:p>
        <w:p>
          <w:pPr>
            <w:pStyle w:val="Contents6"/>
            <w:tabs>
              <w:tab w:val="clear" w:pos="7609"/>
              <w:tab w:val="right" w:pos="9026" w:leader="dot"/>
            </w:tabs>
            <w:rPr/>
          </w:pPr>
          <w:hyperlink w:anchor="__RefHeading___Toc3140783_653776707">
            <w:r>
              <w:rPr>
                <w:webHidden/>
                <w:rStyle w:val="IndexLink"/>
                <w:rtl w:val="true"/>
              </w:rPr>
              <w:t>اشارة</w:t>
            </w:r>
            <w:r>
              <w:rPr>
                <w:rStyle w:val="IndexLink"/>
                <w:rtl w:val="true"/>
              </w:rPr>
              <w:tab/>
            </w:r>
            <w:r>
              <w:rPr>
                <w:rStyle w:val="IndexLink"/>
              </w:rPr>
              <w:t>751</w:t>
            </w:r>
          </w:hyperlink>
        </w:p>
        <w:p>
          <w:pPr>
            <w:pStyle w:val="Contents6"/>
            <w:tabs>
              <w:tab w:val="clear" w:pos="7609"/>
              <w:tab w:val="right" w:pos="9026" w:leader="dot"/>
            </w:tabs>
            <w:rPr/>
          </w:pPr>
          <w:hyperlink w:anchor="__RefHeading___Toc3140785_653776707">
            <w:r>
              <w:rPr>
                <w:webHidden/>
                <w:rStyle w:val="IndexLink"/>
                <w:rtl w:val="true"/>
              </w:rPr>
              <w:t xml:space="preserve">فروع </w:t>
            </w:r>
            <w:r>
              <w:rPr>
                <w:rStyle w:val="IndexLink"/>
                <w:rtl w:val="true"/>
              </w:rPr>
              <w:t>:</w:t>
              <w:tab/>
            </w:r>
            <w:r>
              <w:rPr>
                <w:rStyle w:val="IndexLink"/>
              </w:rPr>
              <w:t>755</w:t>
            </w:r>
          </w:hyperlink>
        </w:p>
        <w:p>
          <w:pPr>
            <w:pStyle w:val="Contents6"/>
            <w:tabs>
              <w:tab w:val="clear" w:pos="7609"/>
              <w:tab w:val="right" w:pos="9026" w:leader="dot"/>
            </w:tabs>
            <w:rPr/>
          </w:pPr>
          <w:hyperlink w:anchor="__RefHeading___Toc314078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755</w:t>
            </w:r>
          </w:hyperlink>
        </w:p>
        <w:p>
          <w:pPr>
            <w:pStyle w:val="Contents6"/>
            <w:tabs>
              <w:tab w:val="clear" w:pos="7609"/>
              <w:tab w:val="right" w:pos="9026" w:leader="dot"/>
            </w:tabs>
            <w:rPr/>
          </w:pPr>
          <w:hyperlink w:anchor="__RefHeading___Toc314078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756</w:t>
            </w:r>
          </w:hyperlink>
        </w:p>
        <w:p>
          <w:pPr>
            <w:pStyle w:val="Contents6"/>
            <w:tabs>
              <w:tab w:val="clear" w:pos="7609"/>
              <w:tab w:val="right" w:pos="9026" w:leader="dot"/>
            </w:tabs>
            <w:rPr/>
          </w:pPr>
          <w:hyperlink w:anchor="__RefHeading___Toc314079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759</w:t>
            </w:r>
          </w:hyperlink>
        </w:p>
        <w:p>
          <w:pPr>
            <w:pStyle w:val="Contents6"/>
            <w:tabs>
              <w:tab w:val="clear" w:pos="7609"/>
              <w:tab w:val="right" w:pos="9026" w:leader="dot"/>
            </w:tabs>
            <w:rPr/>
          </w:pPr>
          <w:hyperlink w:anchor="__RefHeading___Toc314079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759</w:t>
            </w:r>
          </w:hyperlink>
        </w:p>
        <w:p>
          <w:pPr>
            <w:pStyle w:val="Contents6"/>
            <w:tabs>
              <w:tab w:val="clear" w:pos="7609"/>
              <w:tab w:val="right" w:pos="9026" w:leader="dot"/>
            </w:tabs>
            <w:rPr/>
          </w:pPr>
          <w:hyperlink w:anchor="__RefHeading___Toc3140795_653776707">
            <w:r>
              <w:rPr>
                <w:webHidden/>
                <w:rStyle w:val="IndexLink"/>
                <w:rtl w:val="true"/>
              </w:rPr>
              <w:t xml:space="preserve">مسألة </w:t>
            </w:r>
            <w:r>
              <w:rPr>
                <w:rStyle w:val="IndexLink"/>
                <w:rtl w:val="true"/>
              </w:rPr>
              <w:t>[</w:t>
            </w:r>
            <w:r>
              <w:rPr>
                <w:rStyle w:val="IndexLink"/>
              </w:rPr>
              <w:t>28</w:t>
            </w:r>
            <w:r>
              <w:rPr>
                <w:rStyle w:val="IndexLink"/>
                <w:rtl w:val="true"/>
              </w:rPr>
              <w:t>] :</w:t>
              <w:tab/>
            </w:r>
            <w:r>
              <w:rPr>
                <w:rStyle w:val="IndexLink"/>
              </w:rPr>
              <w:t>760</w:t>
            </w:r>
          </w:hyperlink>
        </w:p>
        <w:p>
          <w:pPr>
            <w:pStyle w:val="Contents6"/>
            <w:tabs>
              <w:tab w:val="clear" w:pos="7609"/>
              <w:tab w:val="right" w:pos="9026" w:leader="dot"/>
            </w:tabs>
            <w:rPr/>
          </w:pPr>
          <w:hyperlink w:anchor="__RefHeading___Toc3140797_653776707">
            <w:r>
              <w:rPr>
                <w:webHidden/>
                <w:rStyle w:val="IndexLink"/>
                <w:rtl w:val="true"/>
              </w:rPr>
              <w:t xml:space="preserve">مسألة </w:t>
            </w:r>
            <w:r>
              <w:rPr>
                <w:rStyle w:val="IndexLink"/>
                <w:rtl w:val="true"/>
              </w:rPr>
              <w:t>[</w:t>
            </w:r>
            <w:r>
              <w:rPr>
                <w:rStyle w:val="IndexLink"/>
              </w:rPr>
              <w:t>29</w:t>
            </w:r>
            <w:r>
              <w:rPr>
                <w:rStyle w:val="IndexLink"/>
                <w:rtl w:val="true"/>
              </w:rPr>
              <w:t>] :</w:t>
              <w:tab/>
            </w:r>
            <w:r>
              <w:rPr>
                <w:rStyle w:val="IndexLink"/>
              </w:rPr>
              <w:t>767</w:t>
            </w:r>
          </w:hyperlink>
        </w:p>
        <w:p>
          <w:pPr>
            <w:pStyle w:val="Contents6"/>
            <w:tabs>
              <w:tab w:val="clear" w:pos="7609"/>
              <w:tab w:val="right" w:pos="9026" w:leader="dot"/>
            </w:tabs>
            <w:rPr/>
          </w:pPr>
          <w:hyperlink w:anchor="__RefHeading___Toc3140799_653776707">
            <w:r>
              <w:rPr>
                <w:webHidden/>
                <w:rStyle w:val="IndexLink"/>
                <w:rtl w:val="true"/>
              </w:rPr>
              <w:t>اشارة</w:t>
            </w:r>
            <w:r>
              <w:rPr>
                <w:rStyle w:val="IndexLink"/>
                <w:rtl w:val="true"/>
              </w:rPr>
              <w:tab/>
            </w:r>
            <w:r>
              <w:rPr>
                <w:rStyle w:val="IndexLink"/>
              </w:rPr>
              <w:t>767</w:t>
            </w:r>
          </w:hyperlink>
        </w:p>
        <w:p>
          <w:pPr>
            <w:pStyle w:val="Contents6"/>
            <w:tabs>
              <w:tab w:val="clear" w:pos="7609"/>
              <w:tab w:val="right" w:pos="9026" w:leader="dot"/>
            </w:tabs>
            <w:rPr/>
          </w:pPr>
          <w:hyperlink w:anchor="__RefHeading___Toc3140801_653776707">
            <w:r>
              <w:rPr>
                <w:webHidden/>
                <w:rStyle w:val="IndexLink"/>
                <w:rtl w:val="true"/>
              </w:rPr>
              <w:t xml:space="preserve">تذنيبات </w:t>
            </w:r>
            <w:r>
              <w:rPr>
                <w:rStyle w:val="IndexLink"/>
                <w:rtl w:val="true"/>
              </w:rPr>
              <w:t>:</w:t>
              <w:tab/>
            </w:r>
            <w:r>
              <w:rPr>
                <w:rStyle w:val="IndexLink"/>
              </w:rPr>
              <w:t>771</w:t>
            </w:r>
          </w:hyperlink>
        </w:p>
        <w:p>
          <w:pPr>
            <w:pStyle w:val="Contents6"/>
            <w:tabs>
              <w:tab w:val="clear" w:pos="7609"/>
              <w:tab w:val="right" w:pos="9026" w:leader="dot"/>
            </w:tabs>
            <w:rPr/>
          </w:pPr>
          <w:hyperlink w:anchor="__RefHeading___Toc3140803_653776707">
            <w:r>
              <w:rPr>
                <w:webHidden/>
                <w:rStyle w:val="IndexLink"/>
                <w:rtl w:val="true"/>
              </w:rPr>
              <w:t xml:space="preserve">[ </w:t>
            </w:r>
            <w:r>
              <w:rPr>
                <w:rStyle w:val="IndexLink"/>
                <w:rtl w:val="true"/>
              </w:rPr>
              <w:t xml:space="preserve">التذنيب </w:t>
            </w:r>
            <w:r>
              <w:rPr>
                <w:rStyle w:val="IndexLink"/>
                <w:rtl w:val="true"/>
              </w:rPr>
              <w:t xml:space="preserve">] </w:t>
            </w:r>
            <w:r>
              <w:rPr>
                <w:rStyle w:val="IndexLink"/>
                <w:rtl w:val="true"/>
              </w:rPr>
              <w:t xml:space="preserve">الأوّل </w:t>
            </w:r>
            <w:r>
              <w:rPr>
                <w:rStyle w:val="IndexLink"/>
                <w:rtl w:val="true"/>
              </w:rPr>
              <w:t>:</w:t>
              <w:tab/>
            </w:r>
            <w:r>
              <w:rPr>
                <w:rStyle w:val="IndexLink"/>
              </w:rPr>
              <w:t>771</w:t>
            </w:r>
          </w:hyperlink>
        </w:p>
        <w:p>
          <w:pPr>
            <w:pStyle w:val="Contents6"/>
            <w:tabs>
              <w:tab w:val="clear" w:pos="7609"/>
              <w:tab w:val="right" w:pos="9026" w:leader="dot"/>
            </w:tabs>
            <w:rPr/>
          </w:pPr>
          <w:hyperlink w:anchor="__RefHeading___Toc3140805_653776707">
            <w:r>
              <w:rPr>
                <w:webHidden/>
                <w:rStyle w:val="IndexLink"/>
                <w:rtl w:val="true"/>
              </w:rPr>
              <w:t xml:space="preserve">[ </w:t>
            </w:r>
            <w:r>
              <w:rPr>
                <w:rStyle w:val="IndexLink"/>
                <w:rtl w:val="true"/>
              </w:rPr>
              <w:t xml:space="preserve">التذنيب </w:t>
            </w:r>
            <w:r>
              <w:rPr>
                <w:rStyle w:val="IndexLink"/>
                <w:rtl w:val="true"/>
              </w:rPr>
              <w:t xml:space="preserve">] </w:t>
            </w:r>
            <w:r>
              <w:rPr>
                <w:rStyle w:val="IndexLink"/>
                <w:rtl w:val="true"/>
              </w:rPr>
              <w:t xml:space="preserve">الثاني </w:t>
            </w:r>
            <w:r>
              <w:rPr>
                <w:rStyle w:val="IndexLink"/>
                <w:rtl w:val="true"/>
              </w:rPr>
              <w:t>:</w:t>
              <w:tab/>
            </w:r>
            <w:r>
              <w:rPr>
                <w:rStyle w:val="IndexLink"/>
              </w:rPr>
              <w:t>772</w:t>
            </w:r>
          </w:hyperlink>
        </w:p>
        <w:p>
          <w:pPr>
            <w:pStyle w:val="Contents6"/>
            <w:tabs>
              <w:tab w:val="clear" w:pos="7609"/>
              <w:tab w:val="right" w:pos="9026" w:leader="dot"/>
            </w:tabs>
            <w:rPr/>
          </w:pPr>
          <w:hyperlink w:anchor="__RefHeading___Toc3140807_653776707">
            <w:r>
              <w:rPr>
                <w:webHidden/>
                <w:rStyle w:val="IndexLink"/>
                <w:rtl w:val="true"/>
              </w:rPr>
              <w:t xml:space="preserve">[ </w:t>
            </w:r>
            <w:r>
              <w:rPr>
                <w:rStyle w:val="IndexLink"/>
                <w:rtl w:val="true"/>
              </w:rPr>
              <w:t xml:space="preserve">التذنيب </w:t>
            </w:r>
            <w:r>
              <w:rPr>
                <w:rStyle w:val="IndexLink"/>
                <w:rtl w:val="true"/>
              </w:rPr>
              <w:t xml:space="preserve">] </w:t>
            </w:r>
            <w:r>
              <w:rPr>
                <w:rStyle w:val="IndexLink"/>
                <w:rtl w:val="true"/>
              </w:rPr>
              <w:t xml:space="preserve">الثالث </w:t>
            </w:r>
            <w:r>
              <w:rPr>
                <w:rStyle w:val="IndexLink"/>
                <w:rtl w:val="true"/>
              </w:rPr>
              <w:t>:</w:t>
              <w:tab/>
            </w:r>
            <w:r>
              <w:rPr>
                <w:rStyle w:val="IndexLink"/>
              </w:rPr>
              <w:t>772</w:t>
            </w:r>
          </w:hyperlink>
        </w:p>
        <w:p>
          <w:pPr>
            <w:pStyle w:val="Contents6"/>
            <w:tabs>
              <w:tab w:val="clear" w:pos="7609"/>
              <w:tab w:val="right" w:pos="9026" w:leader="dot"/>
            </w:tabs>
            <w:rPr/>
          </w:pPr>
          <w:hyperlink w:anchor="__RefHeading___Toc3140809_653776707">
            <w:r>
              <w:rPr>
                <w:webHidden/>
                <w:rStyle w:val="IndexLink"/>
                <w:rtl w:val="true"/>
              </w:rPr>
              <w:t xml:space="preserve">[ </w:t>
            </w:r>
            <w:r>
              <w:rPr>
                <w:rStyle w:val="IndexLink"/>
                <w:rtl w:val="true"/>
              </w:rPr>
              <w:t xml:space="preserve">التذنيب </w:t>
            </w:r>
            <w:r>
              <w:rPr>
                <w:rStyle w:val="IndexLink"/>
                <w:rtl w:val="true"/>
              </w:rPr>
              <w:t xml:space="preserve">] </w:t>
            </w:r>
            <w:r>
              <w:rPr>
                <w:rStyle w:val="IndexLink"/>
                <w:rtl w:val="true"/>
              </w:rPr>
              <w:t xml:space="preserve">الرابع </w:t>
            </w:r>
            <w:r>
              <w:rPr>
                <w:rStyle w:val="IndexLink"/>
                <w:rtl w:val="true"/>
              </w:rPr>
              <w:t>:</w:t>
              <w:tab/>
            </w:r>
            <w:r>
              <w:rPr>
                <w:rStyle w:val="IndexLink"/>
              </w:rPr>
              <w:t>773</w:t>
            </w:r>
          </w:hyperlink>
        </w:p>
        <w:p>
          <w:pPr>
            <w:pStyle w:val="Contents6"/>
            <w:tabs>
              <w:tab w:val="clear" w:pos="7609"/>
              <w:tab w:val="right" w:pos="9026" w:leader="dot"/>
            </w:tabs>
            <w:rPr/>
          </w:pPr>
          <w:hyperlink w:anchor="__RefHeading___Toc3140811_653776707">
            <w:r>
              <w:rPr>
                <w:webHidden/>
                <w:rStyle w:val="IndexLink"/>
                <w:rtl w:val="true"/>
              </w:rPr>
              <w:t xml:space="preserve">مسألة </w:t>
            </w:r>
            <w:r>
              <w:rPr>
                <w:rStyle w:val="IndexLink"/>
                <w:rtl w:val="true"/>
              </w:rPr>
              <w:t>[</w:t>
            </w:r>
            <w:r>
              <w:rPr>
                <w:rStyle w:val="IndexLink"/>
              </w:rPr>
              <w:t>30</w:t>
            </w:r>
            <w:r>
              <w:rPr>
                <w:rStyle w:val="IndexLink"/>
                <w:rtl w:val="true"/>
              </w:rPr>
              <w:t>]</w:t>
              <w:tab/>
            </w:r>
            <w:r>
              <w:rPr>
                <w:rStyle w:val="IndexLink"/>
              </w:rPr>
              <w:t>774</w:t>
            </w:r>
          </w:hyperlink>
        </w:p>
        <w:p>
          <w:pPr>
            <w:pStyle w:val="Contents6"/>
            <w:tabs>
              <w:tab w:val="clear" w:pos="7609"/>
              <w:tab w:val="right" w:pos="9026" w:leader="dot"/>
            </w:tabs>
            <w:rPr/>
          </w:pPr>
          <w:hyperlink w:anchor="__RefHeading___Toc3140813_653776707">
            <w:r>
              <w:rPr>
                <w:webHidden/>
                <w:rStyle w:val="IndexLink"/>
                <w:rtl w:val="true"/>
              </w:rPr>
              <w:t>اشارة</w:t>
            </w:r>
            <w:r>
              <w:rPr>
                <w:rStyle w:val="IndexLink"/>
                <w:rtl w:val="true"/>
              </w:rPr>
              <w:tab/>
            </w:r>
            <w:r>
              <w:rPr>
                <w:rStyle w:val="IndexLink"/>
              </w:rPr>
              <w:t>774</w:t>
            </w:r>
          </w:hyperlink>
        </w:p>
        <w:p>
          <w:pPr>
            <w:pStyle w:val="Contents6"/>
            <w:tabs>
              <w:tab w:val="clear" w:pos="7609"/>
              <w:tab w:val="right" w:pos="9026" w:leader="dot"/>
            </w:tabs>
            <w:rPr/>
          </w:pPr>
          <w:hyperlink w:anchor="__RefHeading___Toc3140815_653776707">
            <w:r>
              <w:rPr>
                <w:webHidden/>
                <w:rStyle w:val="IndexLink"/>
                <w:rtl w:val="true"/>
              </w:rPr>
              <w:t xml:space="preserve">فروع </w:t>
            </w:r>
            <w:r>
              <w:rPr>
                <w:rStyle w:val="IndexLink"/>
                <w:rtl w:val="true"/>
              </w:rPr>
              <w:t>:</w:t>
              <w:tab/>
            </w:r>
            <w:r>
              <w:rPr>
                <w:rStyle w:val="IndexLink"/>
              </w:rPr>
              <w:t>785</w:t>
            </w:r>
          </w:hyperlink>
        </w:p>
        <w:p>
          <w:pPr>
            <w:pStyle w:val="Contents6"/>
            <w:tabs>
              <w:tab w:val="clear" w:pos="7609"/>
              <w:tab w:val="right" w:pos="9026" w:leader="dot"/>
            </w:tabs>
            <w:rPr/>
          </w:pPr>
          <w:hyperlink w:anchor="__RefHeading___Toc314081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785</w:t>
            </w:r>
          </w:hyperlink>
        </w:p>
        <w:p>
          <w:pPr>
            <w:pStyle w:val="Contents6"/>
            <w:tabs>
              <w:tab w:val="clear" w:pos="7609"/>
              <w:tab w:val="right" w:pos="9026" w:leader="dot"/>
            </w:tabs>
            <w:rPr/>
          </w:pPr>
          <w:hyperlink w:anchor="__RefHeading___Toc314081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787</w:t>
            </w:r>
          </w:hyperlink>
        </w:p>
        <w:p>
          <w:pPr>
            <w:pStyle w:val="Contents6"/>
            <w:tabs>
              <w:tab w:val="clear" w:pos="7609"/>
              <w:tab w:val="right" w:pos="9026" w:leader="dot"/>
            </w:tabs>
            <w:rPr/>
          </w:pPr>
          <w:hyperlink w:anchor="__RefHeading___Toc314082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788</w:t>
            </w:r>
          </w:hyperlink>
        </w:p>
        <w:p>
          <w:pPr>
            <w:pStyle w:val="Contents6"/>
            <w:tabs>
              <w:tab w:val="clear" w:pos="7609"/>
              <w:tab w:val="right" w:pos="9026" w:leader="dot"/>
            </w:tabs>
            <w:rPr/>
          </w:pPr>
          <w:hyperlink w:anchor="__RefHeading___Toc3140823_653776707">
            <w:r>
              <w:rPr>
                <w:webHidden/>
                <w:rStyle w:val="IndexLink"/>
                <w:rtl w:val="true"/>
              </w:rPr>
              <w:t xml:space="preserve">مسألة </w:t>
            </w:r>
            <w:r>
              <w:rPr>
                <w:rStyle w:val="IndexLink"/>
                <w:rtl w:val="true"/>
              </w:rPr>
              <w:t>[</w:t>
            </w:r>
            <w:r>
              <w:rPr>
                <w:rStyle w:val="IndexLink"/>
              </w:rPr>
              <w:t>31</w:t>
            </w:r>
            <w:r>
              <w:rPr>
                <w:rStyle w:val="IndexLink"/>
                <w:rtl w:val="true"/>
              </w:rPr>
              <w:t>] :</w:t>
              <w:tab/>
            </w:r>
            <w:r>
              <w:rPr>
                <w:rStyle w:val="IndexLink"/>
              </w:rPr>
              <w:t>788</w:t>
            </w:r>
          </w:hyperlink>
        </w:p>
        <w:p>
          <w:pPr>
            <w:pStyle w:val="Contents6"/>
            <w:tabs>
              <w:tab w:val="clear" w:pos="7609"/>
              <w:tab w:val="right" w:pos="9026" w:leader="dot"/>
            </w:tabs>
            <w:rPr/>
          </w:pPr>
          <w:hyperlink w:anchor="__RefHeading___Toc3140825_653776707">
            <w:r>
              <w:rPr>
                <w:webHidden/>
                <w:rStyle w:val="IndexLink"/>
                <w:rtl w:val="true"/>
              </w:rPr>
              <w:t>اشارة</w:t>
            </w:r>
            <w:r>
              <w:rPr>
                <w:rStyle w:val="IndexLink"/>
                <w:rtl w:val="true"/>
              </w:rPr>
              <w:tab/>
            </w:r>
            <w:r>
              <w:rPr>
                <w:rStyle w:val="IndexLink"/>
              </w:rPr>
              <w:t>788</w:t>
            </w:r>
          </w:hyperlink>
        </w:p>
        <w:p>
          <w:pPr>
            <w:pStyle w:val="Contents6"/>
            <w:tabs>
              <w:tab w:val="clear" w:pos="7609"/>
              <w:tab w:val="right" w:pos="9026" w:leader="dot"/>
            </w:tabs>
            <w:rPr/>
          </w:pPr>
          <w:hyperlink w:anchor="__RefHeading___Toc3140827_653776707">
            <w:r>
              <w:rPr>
                <w:webHidden/>
                <w:rStyle w:val="IndexLink"/>
                <w:rtl w:val="true"/>
              </w:rPr>
              <w:t xml:space="preserve">فروع </w:t>
            </w:r>
            <w:r>
              <w:rPr>
                <w:rStyle w:val="IndexLink"/>
                <w:rtl w:val="true"/>
              </w:rPr>
              <w:t>:</w:t>
              <w:tab/>
            </w:r>
            <w:r>
              <w:rPr>
                <w:rStyle w:val="IndexLink"/>
              </w:rPr>
              <w:t>791</w:t>
            </w:r>
          </w:hyperlink>
        </w:p>
        <w:p>
          <w:pPr>
            <w:pStyle w:val="Contents6"/>
            <w:tabs>
              <w:tab w:val="clear" w:pos="7609"/>
              <w:tab w:val="right" w:pos="9026" w:leader="dot"/>
            </w:tabs>
            <w:rPr/>
          </w:pPr>
          <w:hyperlink w:anchor="__RefHeading___Toc314082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791</w:t>
            </w:r>
          </w:hyperlink>
        </w:p>
        <w:p>
          <w:pPr>
            <w:pStyle w:val="Contents6"/>
            <w:tabs>
              <w:tab w:val="clear" w:pos="7609"/>
              <w:tab w:val="right" w:pos="9026" w:leader="dot"/>
            </w:tabs>
            <w:rPr/>
          </w:pPr>
          <w:hyperlink w:anchor="__RefHeading___Toc314083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792</w:t>
            </w:r>
          </w:hyperlink>
        </w:p>
        <w:p>
          <w:pPr>
            <w:pStyle w:val="Contents6"/>
            <w:tabs>
              <w:tab w:val="clear" w:pos="7609"/>
              <w:tab w:val="right" w:pos="9026" w:leader="dot"/>
            </w:tabs>
            <w:rPr/>
          </w:pPr>
          <w:hyperlink w:anchor="__RefHeading___Toc314083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792</w:t>
            </w:r>
          </w:hyperlink>
        </w:p>
        <w:p>
          <w:pPr>
            <w:pStyle w:val="Contents6"/>
            <w:tabs>
              <w:tab w:val="clear" w:pos="7609"/>
              <w:tab w:val="right" w:pos="9026" w:leader="dot"/>
            </w:tabs>
            <w:rPr/>
          </w:pPr>
          <w:hyperlink w:anchor="__RefHeading___Toc3140835_653776707">
            <w:r>
              <w:rPr>
                <w:webHidden/>
                <w:rStyle w:val="IndexLink"/>
                <w:rtl w:val="true"/>
              </w:rPr>
              <w:t xml:space="preserve">مسألة </w:t>
            </w:r>
            <w:r>
              <w:rPr>
                <w:rStyle w:val="IndexLink"/>
                <w:rtl w:val="true"/>
              </w:rPr>
              <w:t>[</w:t>
            </w:r>
            <w:r>
              <w:rPr>
                <w:rStyle w:val="IndexLink"/>
              </w:rPr>
              <w:t>32</w:t>
            </w:r>
            <w:r>
              <w:rPr>
                <w:rStyle w:val="IndexLink"/>
                <w:rtl w:val="true"/>
              </w:rPr>
              <w:t>] :</w:t>
              <w:tab/>
            </w:r>
            <w:r>
              <w:rPr>
                <w:rStyle w:val="IndexLink"/>
              </w:rPr>
              <w:t>793</w:t>
            </w:r>
          </w:hyperlink>
        </w:p>
        <w:p>
          <w:pPr>
            <w:pStyle w:val="Contents6"/>
            <w:tabs>
              <w:tab w:val="clear" w:pos="7609"/>
              <w:tab w:val="right" w:pos="9026" w:leader="dot"/>
            </w:tabs>
            <w:rPr/>
          </w:pPr>
          <w:hyperlink w:anchor="__RefHeading___Toc3140837_653776707">
            <w:r>
              <w:rPr>
                <w:webHidden/>
                <w:rStyle w:val="IndexLink"/>
                <w:rtl w:val="true"/>
              </w:rPr>
              <w:t xml:space="preserve">مسألة </w:t>
            </w:r>
            <w:r>
              <w:rPr>
                <w:rStyle w:val="IndexLink"/>
                <w:rtl w:val="true"/>
              </w:rPr>
              <w:t>[</w:t>
            </w:r>
            <w:r>
              <w:rPr>
                <w:rStyle w:val="IndexLink"/>
              </w:rPr>
              <w:t>33</w:t>
            </w:r>
            <w:r>
              <w:rPr>
                <w:rStyle w:val="IndexLink"/>
                <w:rtl w:val="true"/>
              </w:rPr>
              <w:t>] :</w:t>
              <w:tab/>
            </w:r>
            <w:r>
              <w:rPr>
                <w:rStyle w:val="IndexLink"/>
              </w:rPr>
              <w:t>794</w:t>
            </w:r>
          </w:hyperlink>
        </w:p>
        <w:p>
          <w:pPr>
            <w:pStyle w:val="Contents6"/>
            <w:tabs>
              <w:tab w:val="clear" w:pos="7609"/>
              <w:tab w:val="right" w:pos="9026" w:leader="dot"/>
            </w:tabs>
            <w:rPr/>
          </w:pPr>
          <w:hyperlink w:anchor="__RefHeading___Toc3140839_653776707">
            <w:r>
              <w:rPr>
                <w:webHidden/>
                <w:rStyle w:val="IndexLink"/>
                <w:rtl w:val="true"/>
              </w:rPr>
              <w:t xml:space="preserve">مسألة </w:t>
            </w:r>
            <w:r>
              <w:rPr>
                <w:rStyle w:val="IndexLink"/>
                <w:rtl w:val="true"/>
              </w:rPr>
              <w:t>[</w:t>
            </w:r>
            <w:r>
              <w:rPr>
                <w:rStyle w:val="IndexLink"/>
              </w:rPr>
              <w:t>34</w:t>
            </w:r>
            <w:r>
              <w:rPr>
                <w:rStyle w:val="IndexLink"/>
                <w:rtl w:val="true"/>
              </w:rPr>
              <w:t>] :</w:t>
              <w:tab/>
            </w:r>
            <w:r>
              <w:rPr>
                <w:rStyle w:val="IndexLink"/>
              </w:rPr>
              <w:t>797</w:t>
            </w:r>
          </w:hyperlink>
        </w:p>
        <w:p>
          <w:pPr>
            <w:pStyle w:val="Contents6"/>
            <w:tabs>
              <w:tab w:val="clear" w:pos="7609"/>
              <w:tab w:val="right" w:pos="9026" w:leader="dot"/>
            </w:tabs>
            <w:rPr/>
          </w:pPr>
          <w:hyperlink w:anchor="__RefHeading___Toc3140841_653776707">
            <w:r>
              <w:rPr>
                <w:webHidden/>
                <w:rStyle w:val="IndexLink"/>
                <w:rtl w:val="true"/>
              </w:rPr>
              <w:t>اشارة</w:t>
            </w:r>
            <w:r>
              <w:rPr>
                <w:rStyle w:val="IndexLink"/>
                <w:rtl w:val="true"/>
              </w:rPr>
              <w:tab/>
            </w:r>
            <w:r>
              <w:rPr>
                <w:rStyle w:val="IndexLink"/>
              </w:rPr>
              <w:t>797</w:t>
            </w:r>
          </w:hyperlink>
        </w:p>
        <w:p>
          <w:pPr>
            <w:pStyle w:val="Contents6"/>
            <w:tabs>
              <w:tab w:val="clear" w:pos="7609"/>
              <w:tab w:val="right" w:pos="9026" w:leader="dot"/>
            </w:tabs>
            <w:rPr/>
          </w:pPr>
          <w:hyperlink w:anchor="__RefHeading___Toc3140843_653776707">
            <w:r>
              <w:rPr>
                <w:webHidden/>
                <w:rStyle w:val="IndexLink"/>
                <w:rtl w:val="true"/>
              </w:rPr>
              <w:t xml:space="preserve">فرع </w:t>
            </w:r>
            <w:r>
              <w:rPr>
                <w:rStyle w:val="IndexLink"/>
                <w:rtl w:val="true"/>
              </w:rPr>
              <w:t>:</w:t>
              <w:tab/>
            </w:r>
            <w:r>
              <w:rPr>
                <w:rStyle w:val="IndexLink"/>
              </w:rPr>
              <w:t>798</w:t>
            </w:r>
          </w:hyperlink>
        </w:p>
        <w:p>
          <w:pPr>
            <w:pStyle w:val="Contents6"/>
            <w:tabs>
              <w:tab w:val="clear" w:pos="7609"/>
              <w:tab w:val="right" w:pos="9026" w:leader="dot"/>
            </w:tabs>
            <w:rPr/>
          </w:pPr>
          <w:hyperlink w:anchor="__RefHeading___Toc3140845_653776707">
            <w:r>
              <w:rPr>
                <w:webHidden/>
                <w:rStyle w:val="IndexLink"/>
                <w:rtl w:val="true"/>
              </w:rPr>
              <w:t xml:space="preserve">مسألة </w:t>
            </w:r>
            <w:r>
              <w:rPr>
                <w:rStyle w:val="IndexLink"/>
                <w:rtl w:val="true"/>
              </w:rPr>
              <w:t>[</w:t>
            </w:r>
            <w:r>
              <w:rPr>
                <w:rStyle w:val="IndexLink"/>
              </w:rPr>
              <w:t>35</w:t>
            </w:r>
            <w:r>
              <w:rPr>
                <w:rStyle w:val="IndexLink"/>
                <w:rtl w:val="true"/>
              </w:rPr>
              <w:t>] :</w:t>
              <w:tab/>
            </w:r>
            <w:r>
              <w:rPr>
                <w:rStyle w:val="IndexLink"/>
              </w:rPr>
              <w:t>799</w:t>
            </w:r>
          </w:hyperlink>
        </w:p>
        <w:p>
          <w:pPr>
            <w:pStyle w:val="Contents6"/>
            <w:tabs>
              <w:tab w:val="clear" w:pos="7609"/>
              <w:tab w:val="right" w:pos="9026" w:leader="dot"/>
            </w:tabs>
            <w:rPr/>
          </w:pPr>
          <w:hyperlink w:anchor="__RefHeading___Toc3140847_653776707">
            <w:r>
              <w:rPr>
                <w:webHidden/>
                <w:rStyle w:val="IndexLink"/>
                <w:rtl w:val="true"/>
              </w:rPr>
              <w:t xml:space="preserve">مسألة </w:t>
            </w:r>
            <w:r>
              <w:rPr>
                <w:rStyle w:val="IndexLink"/>
                <w:rtl w:val="true"/>
              </w:rPr>
              <w:t>[</w:t>
            </w:r>
            <w:r>
              <w:rPr>
                <w:rStyle w:val="IndexLink"/>
              </w:rPr>
              <w:t>36</w:t>
            </w:r>
            <w:r>
              <w:rPr>
                <w:rStyle w:val="IndexLink"/>
                <w:rtl w:val="true"/>
              </w:rPr>
              <w:t>] :</w:t>
              <w:tab/>
            </w:r>
            <w:r>
              <w:rPr>
                <w:rStyle w:val="IndexLink"/>
              </w:rPr>
              <w:t>802</w:t>
            </w:r>
          </w:hyperlink>
        </w:p>
        <w:p>
          <w:pPr>
            <w:pStyle w:val="Contents6"/>
            <w:tabs>
              <w:tab w:val="clear" w:pos="7609"/>
              <w:tab w:val="right" w:pos="9026" w:leader="dot"/>
            </w:tabs>
            <w:rPr/>
          </w:pPr>
          <w:hyperlink w:anchor="__RefHeading___Toc3140849_653776707">
            <w:r>
              <w:rPr>
                <w:webHidden/>
                <w:rStyle w:val="IndexLink"/>
                <w:rtl w:val="true"/>
              </w:rPr>
              <w:t xml:space="preserve">مسألة </w:t>
            </w:r>
            <w:r>
              <w:rPr>
                <w:rStyle w:val="IndexLink"/>
                <w:rtl w:val="true"/>
              </w:rPr>
              <w:t>[</w:t>
            </w:r>
            <w:r>
              <w:rPr>
                <w:rStyle w:val="IndexLink"/>
              </w:rPr>
              <w:t>37</w:t>
            </w:r>
            <w:r>
              <w:rPr>
                <w:rStyle w:val="IndexLink"/>
                <w:rtl w:val="true"/>
              </w:rPr>
              <w:t>] :</w:t>
              <w:tab/>
            </w:r>
            <w:r>
              <w:rPr>
                <w:rStyle w:val="IndexLink"/>
              </w:rPr>
              <w:t>803</w:t>
            </w:r>
          </w:hyperlink>
        </w:p>
        <w:p>
          <w:pPr>
            <w:pStyle w:val="Contents6"/>
            <w:tabs>
              <w:tab w:val="clear" w:pos="7609"/>
              <w:tab w:val="right" w:pos="9026" w:leader="dot"/>
            </w:tabs>
            <w:rPr/>
          </w:pPr>
          <w:hyperlink w:anchor="__RefHeading___Toc3140851_653776707">
            <w:r>
              <w:rPr>
                <w:webHidden/>
                <w:rStyle w:val="IndexLink"/>
                <w:rtl w:val="true"/>
              </w:rPr>
              <w:t xml:space="preserve">مسألة </w:t>
            </w:r>
            <w:r>
              <w:rPr>
                <w:rStyle w:val="IndexLink"/>
                <w:rtl w:val="true"/>
              </w:rPr>
              <w:t>[</w:t>
            </w:r>
            <w:r>
              <w:rPr>
                <w:rStyle w:val="IndexLink"/>
              </w:rPr>
              <w:t>38</w:t>
            </w:r>
            <w:r>
              <w:rPr>
                <w:rStyle w:val="IndexLink"/>
                <w:rtl w:val="true"/>
              </w:rPr>
              <w:t>] :</w:t>
              <w:tab/>
            </w:r>
            <w:r>
              <w:rPr>
                <w:rStyle w:val="IndexLink"/>
              </w:rPr>
              <w:t>804</w:t>
            </w:r>
          </w:hyperlink>
        </w:p>
        <w:p>
          <w:pPr>
            <w:pStyle w:val="Contents6"/>
            <w:tabs>
              <w:tab w:val="clear" w:pos="7609"/>
              <w:tab w:val="right" w:pos="9026" w:leader="dot"/>
            </w:tabs>
            <w:rPr/>
          </w:pPr>
          <w:hyperlink w:anchor="__RefHeading___Toc3140853_653776707">
            <w:r>
              <w:rPr>
                <w:webHidden/>
                <w:rStyle w:val="IndexLink"/>
                <w:rtl w:val="true"/>
              </w:rPr>
              <w:t>اشارة</w:t>
            </w:r>
            <w:r>
              <w:rPr>
                <w:rStyle w:val="IndexLink"/>
                <w:rtl w:val="true"/>
              </w:rPr>
              <w:tab/>
            </w:r>
            <w:r>
              <w:rPr>
                <w:rStyle w:val="IndexLink"/>
              </w:rPr>
              <w:t>804</w:t>
            </w:r>
          </w:hyperlink>
        </w:p>
        <w:p>
          <w:pPr>
            <w:pStyle w:val="Contents6"/>
            <w:tabs>
              <w:tab w:val="clear" w:pos="7609"/>
              <w:tab w:val="right" w:pos="9026" w:leader="dot"/>
            </w:tabs>
            <w:rPr/>
          </w:pPr>
          <w:hyperlink w:anchor="__RefHeading___Toc3140855_653776707">
            <w:r>
              <w:rPr>
                <w:webHidden/>
                <w:rStyle w:val="IndexLink"/>
                <w:rtl w:val="true"/>
              </w:rPr>
              <w:t xml:space="preserve">فرع </w:t>
            </w:r>
            <w:r>
              <w:rPr>
                <w:rStyle w:val="IndexLink"/>
                <w:rtl w:val="true"/>
              </w:rPr>
              <w:t>:</w:t>
              <w:tab/>
            </w:r>
            <w:r>
              <w:rPr>
                <w:rStyle w:val="IndexLink"/>
              </w:rPr>
              <w:t>811</w:t>
            </w:r>
          </w:hyperlink>
        </w:p>
        <w:p>
          <w:pPr>
            <w:pStyle w:val="Contents6"/>
            <w:tabs>
              <w:tab w:val="clear" w:pos="7609"/>
              <w:tab w:val="right" w:pos="9026" w:leader="dot"/>
            </w:tabs>
            <w:rPr/>
          </w:pPr>
          <w:hyperlink w:anchor="__RefHeading___Toc3140857_653776707">
            <w:r>
              <w:rPr>
                <w:webHidden/>
                <w:rStyle w:val="IndexLink"/>
                <w:rtl w:val="true"/>
              </w:rPr>
              <w:t xml:space="preserve">مسألة </w:t>
            </w:r>
            <w:r>
              <w:rPr>
                <w:rStyle w:val="IndexLink"/>
                <w:rtl w:val="true"/>
              </w:rPr>
              <w:t>[</w:t>
            </w:r>
            <w:r>
              <w:rPr>
                <w:rStyle w:val="IndexLink"/>
              </w:rPr>
              <w:t>39</w:t>
            </w:r>
            <w:r>
              <w:rPr>
                <w:rStyle w:val="IndexLink"/>
                <w:rtl w:val="true"/>
              </w:rPr>
              <w:t>] :</w:t>
              <w:tab/>
            </w:r>
            <w:r>
              <w:rPr>
                <w:rStyle w:val="IndexLink"/>
              </w:rPr>
              <w:t>811</w:t>
            </w:r>
          </w:hyperlink>
        </w:p>
        <w:p>
          <w:pPr>
            <w:pStyle w:val="Contents6"/>
            <w:tabs>
              <w:tab w:val="clear" w:pos="7609"/>
              <w:tab w:val="right" w:pos="9026" w:leader="dot"/>
            </w:tabs>
            <w:rPr/>
          </w:pPr>
          <w:hyperlink w:anchor="__RefHeading___Toc3140859_653776707">
            <w:r>
              <w:rPr>
                <w:webHidden/>
                <w:rStyle w:val="IndexLink"/>
                <w:rtl w:val="true"/>
              </w:rPr>
              <w:t xml:space="preserve">مسألة </w:t>
            </w:r>
            <w:r>
              <w:rPr>
                <w:rStyle w:val="IndexLink"/>
                <w:rtl w:val="true"/>
              </w:rPr>
              <w:t>[</w:t>
            </w:r>
            <w:r>
              <w:rPr>
                <w:rStyle w:val="IndexLink"/>
              </w:rPr>
              <w:t>40</w:t>
            </w:r>
            <w:r>
              <w:rPr>
                <w:rStyle w:val="IndexLink"/>
                <w:rtl w:val="true"/>
              </w:rPr>
              <w:t>] :</w:t>
              <w:tab/>
            </w:r>
            <w:r>
              <w:rPr>
                <w:rStyle w:val="IndexLink"/>
              </w:rPr>
              <w:t>812</w:t>
            </w:r>
          </w:hyperlink>
        </w:p>
        <w:p>
          <w:pPr>
            <w:pStyle w:val="Contents6"/>
            <w:tabs>
              <w:tab w:val="clear" w:pos="7609"/>
              <w:tab w:val="right" w:pos="9026" w:leader="dot"/>
            </w:tabs>
            <w:rPr/>
          </w:pPr>
          <w:hyperlink w:anchor="__RefHeading___Toc3140861_653776707">
            <w:r>
              <w:rPr>
                <w:webHidden/>
                <w:rStyle w:val="IndexLink"/>
                <w:rtl w:val="true"/>
              </w:rPr>
              <w:t>اشارة</w:t>
            </w:r>
            <w:r>
              <w:rPr>
                <w:rStyle w:val="IndexLink"/>
                <w:rtl w:val="true"/>
              </w:rPr>
              <w:tab/>
            </w:r>
            <w:r>
              <w:rPr>
                <w:rStyle w:val="IndexLink"/>
              </w:rPr>
              <w:t>812</w:t>
            </w:r>
          </w:hyperlink>
        </w:p>
        <w:p>
          <w:pPr>
            <w:pStyle w:val="Contents6"/>
            <w:tabs>
              <w:tab w:val="clear" w:pos="7609"/>
              <w:tab w:val="right" w:pos="9026" w:leader="dot"/>
            </w:tabs>
            <w:rPr/>
          </w:pPr>
          <w:hyperlink w:anchor="__RefHeading___Toc3140863_653776707">
            <w:r>
              <w:rPr>
                <w:webHidden/>
                <w:rStyle w:val="IndexLink"/>
                <w:rtl w:val="true"/>
              </w:rPr>
              <w:t xml:space="preserve">فرع </w:t>
            </w:r>
            <w:r>
              <w:rPr>
                <w:rStyle w:val="IndexLink"/>
                <w:rtl w:val="true"/>
              </w:rPr>
              <w:t>:</w:t>
              <w:tab/>
            </w:r>
            <w:r>
              <w:rPr>
                <w:rStyle w:val="IndexLink"/>
              </w:rPr>
              <w:t>812</w:t>
            </w:r>
          </w:hyperlink>
        </w:p>
        <w:p>
          <w:pPr>
            <w:pStyle w:val="Contents6"/>
            <w:tabs>
              <w:tab w:val="clear" w:pos="7609"/>
              <w:tab w:val="right" w:pos="9026" w:leader="dot"/>
            </w:tabs>
            <w:rPr/>
          </w:pPr>
          <w:hyperlink w:anchor="__RefHeading___Toc3140865_653776707">
            <w:r>
              <w:rPr>
                <w:webHidden/>
                <w:rStyle w:val="IndexLink"/>
                <w:rtl w:val="true"/>
              </w:rPr>
              <w:t xml:space="preserve">مسألة </w:t>
            </w:r>
            <w:r>
              <w:rPr>
                <w:rStyle w:val="IndexLink"/>
                <w:rtl w:val="true"/>
              </w:rPr>
              <w:t>[</w:t>
            </w:r>
            <w:r>
              <w:rPr>
                <w:rStyle w:val="IndexLink"/>
              </w:rPr>
              <w:t>41</w:t>
            </w:r>
            <w:r>
              <w:rPr>
                <w:rStyle w:val="IndexLink"/>
                <w:rtl w:val="true"/>
              </w:rPr>
              <w:t>] :</w:t>
              <w:tab/>
            </w:r>
            <w:r>
              <w:rPr>
                <w:rStyle w:val="IndexLink"/>
              </w:rPr>
              <w:t>814</w:t>
            </w:r>
          </w:hyperlink>
        </w:p>
        <w:p>
          <w:pPr>
            <w:pStyle w:val="Contents6"/>
            <w:tabs>
              <w:tab w:val="clear" w:pos="7609"/>
              <w:tab w:val="right" w:pos="9026" w:leader="dot"/>
            </w:tabs>
            <w:rPr/>
          </w:pPr>
          <w:hyperlink w:anchor="__RefHeading___Toc3140867_653776707">
            <w:r>
              <w:rPr>
                <w:webHidden/>
                <w:rStyle w:val="IndexLink"/>
                <w:rtl w:val="true"/>
              </w:rPr>
              <w:t xml:space="preserve">مسألة </w:t>
            </w:r>
            <w:r>
              <w:rPr>
                <w:rStyle w:val="IndexLink"/>
                <w:rtl w:val="true"/>
              </w:rPr>
              <w:t>[</w:t>
            </w:r>
            <w:r>
              <w:rPr>
                <w:rStyle w:val="IndexLink"/>
              </w:rPr>
              <w:t>42</w:t>
            </w:r>
            <w:r>
              <w:rPr>
                <w:rStyle w:val="IndexLink"/>
                <w:rtl w:val="true"/>
              </w:rPr>
              <w:t>] :</w:t>
              <w:tab/>
            </w:r>
            <w:r>
              <w:rPr>
                <w:rStyle w:val="IndexLink"/>
              </w:rPr>
              <w:t>815</w:t>
            </w:r>
          </w:hyperlink>
        </w:p>
        <w:p>
          <w:pPr>
            <w:pStyle w:val="Contents5"/>
            <w:tabs>
              <w:tab w:val="clear" w:pos="7892"/>
              <w:tab w:val="right" w:pos="9026" w:leader="dot"/>
            </w:tabs>
            <w:rPr/>
          </w:pPr>
          <w:hyperlink w:anchor="__RefHeading___Toc3140869_653776707">
            <w:r>
              <w:rPr>
                <w:webHidden/>
                <w:rStyle w:val="IndexLink"/>
                <w:rtl w:val="true"/>
              </w:rPr>
              <w:t xml:space="preserve">البحث الثالث </w:t>
            </w:r>
            <w:r>
              <w:rPr>
                <w:rStyle w:val="IndexLink"/>
                <w:rtl w:val="true"/>
              </w:rPr>
              <w:t xml:space="preserve">: </w:t>
            </w:r>
            <w:r>
              <w:rPr>
                <w:rStyle w:val="IndexLink"/>
                <w:rtl w:val="true"/>
              </w:rPr>
              <w:t>في بقايا مسائل متفرّقة من أحكام النجاسات</w:t>
            </w:r>
            <w:r>
              <w:rPr>
                <w:rStyle w:val="IndexLink"/>
                <w:rtl w:val="true"/>
              </w:rPr>
              <w:tab/>
            </w:r>
            <w:r>
              <w:rPr>
                <w:rStyle w:val="IndexLink"/>
              </w:rPr>
              <w:t>818</w:t>
            </w:r>
          </w:hyperlink>
        </w:p>
        <w:p>
          <w:pPr>
            <w:pStyle w:val="Contents6"/>
            <w:tabs>
              <w:tab w:val="clear" w:pos="7609"/>
              <w:tab w:val="right" w:pos="9026" w:leader="dot"/>
            </w:tabs>
            <w:rPr/>
          </w:pPr>
          <w:hyperlink w:anchor="__RefHeading___Toc314087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818</w:t>
            </w:r>
          </w:hyperlink>
        </w:p>
        <w:p>
          <w:pPr>
            <w:pStyle w:val="Contents6"/>
            <w:tabs>
              <w:tab w:val="clear" w:pos="7609"/>
              <w:tab w:val="right" w:pos="9026" w:leader="dot"/>
            </w:tabs>
            <w:rPr/>
          </w:pPr>
          <w:hyperlink w:anchor="__RefHeading___Toc3140873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822</w:t>
            </w:r>
          </w:hyperlink>
        </w:p>
        <w:p>
          <w:pPr>
            <w:pStyle w:val="Contents6"/>
            <w:tabs>
              <w:tab w:val="clear" w:pos="7609"/>
              <w:tab w:val="right" w:pos="9026" w:leader="dot"/>
            </w:tabs>
            <w:rPr/>
          </w:pPr>
          <w:hyperlink w:anchor="__RefHeading___Toc3140875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824</w:t>
            </w:r>
          </w:hyperlink>
        </w:p>
        <w:p>
          <w:pPr>
            <w:pStyle w:val="Contents6"/>
            <w:tabs>
              <w:tab w:val="clear" w:pos="7609"/>
              <w:tab w:val="right" w:pos="9026" w:leader="dot"/>
            </w:tabs>
            <w:rPr/>
          </w:pPr>
          <w:hyperlink w:anchor="__RefHeading___Toc3140877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825</w:t>
            </w:r>
          </w:hyperlink>
        </w:p>
        <w:p>
          <w:pPr>
            <w:pStyle w:val="Contents6"/>
            <w:tabs>
              <w:tab w:val="clear" w:pos="7609"/>
              <w:tab w:val="right" w:pos="9026" w:leader="dot"/>
            </w:tabs>
            <w:rPr/>
          </w:pPr>
          <w:hyperlink w:anchor="__RefHeading___Toc3140879_653776707">
            <w:r>
              <w:rPr>
                <w:webHidden/>
                <w:rStyle w:val="IndexLink"/>
                <w:rtl w:val="true"/>
              </w:rPr>
              <w:t>اشارة</w:t>
            </w:r>
            <w:r>
              <w:rPr>
                <w:rStyle w:val="IndexLink"/>
                <w:rtl w:val="true"/>
              </w:rPr>
              <w:tab/>
            </w:r>
            <w:r>
              <w:rPr>
                <w:rStyle w:val="IndexLink"/>
              </w:rPr>
              <w:t>825</w:t>
            </w:r>
          </w:hyperlink>
        </w:p>
        <w:p>
          <w:pPr>
            <w:pStyle w:val="Contents6"/>
            <w:tabs>
              <w:tab w:val="clear" w:pos="7609"/>
              <w:tab w:val="right" w:pos="9026" w:leader="dot"/>
            </w:tabs>
            <w:rPr/>
          </w:pPr>
          <w:hyperlink w:anchor="__RefHeading___Toc3140881_653776707">
            <w:r>
              <w:rPr>
                <w:webHidden/>
                <w:rStyle w:val="IndexLink"/>
                <w:rtl w:val="true"/>
              </w:rPr>
              <w:t xml:space="preserve">حجّة القول الآخر وجهان </w:t>
            </w:r>
            <w:r>
              <w:rPr>
                <w:rStyle w:val="IndexLink"/>
                <w:rtl w:val="true"/>
              </w:rPr>
              <w:t>:</w:t>
              <w:tab/>
            </w:r>
            <w:r>
              <w:rPr>
                <w:rStyle w:val="IndexLink"/>
              </w:rPr>
              <w:t>826</w:t>
            </w:r>
          </w:hyperlink>
        </w:p>
        <w:p>
          <w:pPr>
            <w:pStyle w:val="Contents6"/>
            <w:tabs>
              <w:tab w:val="clear" w:pos="7609"/>
              <w:tab w:val="right" w:pos="9026" w:leader="dot"/>
            </w:tabs>
            <w:rPr/>
          </w:pPr>
          <w:hyperlink w:anchor="__RefHeading___Toc3140883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827</w:t>
            </w:r>
          </w:hyperlink>
        </w:p>
        <w:p>
          <w:pPr>
            <w:pStyle w:val="Contents6"/>
            <w:tabs>
              <w:tab w:val="clear" w:pos="7609"/>
              <w:tab w:val="right" w:pos="9026" w:leader="dot"/>
            </w:tabs>
            <w:rPr/>
          </w:pPr>
          <w:hyperlink w:anchor="__RefHeading___Toc3140885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828</w:t>
            </w:r>
          </w:hyperlink>
        </w:p>
        <w:p>
          <w:pPr>
            <w:pStyle w:val="Contents6"/>
            <w:tabs>
              <w:tab w:val="clear" w:pos="7609"/>
              <w:tab w:val="right" w:pos="9026" w:leader="dot"/>
            </w:tabs>
            <w:rPr/>
          </w:pPr>
          <w:hyperlink w:anchor="__RefHeading___Toc3140887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829</w:t>
            </w:r>
          </w:hyperlink>
        </w:p>
        <w:p>
          <w:pPr>
            <w:pStyle w:val="Contents6"/>
            <w:tabs>
              <w:tab w:val="clear" w:pos="7609"/>
              <w:tab w:val="right" w:pos="9026" w:leader="dot"/>
            </w:tabs>
            <w:rPr/>
          </w:pPr>
          <w:hyperlink w:anchor="__RefHeading___Toc3140889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830</w:t>
            </w:r>
          </w:hyperlink>
        </w:p>
        <w:p>
          <w:pPr>
            <w:pStyle w:val="Contents6"/>
            <w:tabs>
              <w:tab w:val="clear" w:pos="7609"/>
              <w:tab w:val="right" w:pos="9026" w:leader="dot"/>
            </w:tabs>
            <w:rPr/>
          </w:pPr>
          <w:hyperlink w:anchor="__RefHeading___Toc3140891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831</w:t>
            </w:r>
          </w:hyperlink>
        </w:p>
        <w:p>
          <w:pPr>
            <w:pStyle w:val="Contents6"/>
            <w:tabs>
              <w:tab w:val="clear" w:pos="7609"/>
              <w:tab w:val="right" w:pos="9026" w:leader="dot"/>
            </w:tabs>
            <w:rPr/>
          </w:pPr>
          <w:hyperlink w:anchor="__RefHeading___Toc3140893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832</w:t>
            </w:r>
          </w:hyperlink>
        </w:p>
        <w:p>
          <w:pPr>
            <w:pStyle w:val="Contents4"/>
            <w:tabs>
              <w:tab w:val="clear" w:pos="8176"/>
              <w:tab w:val="right" w:pos="9026" w:leader="dot"/>
            </w:tabs>
            <w:rPr/>
          </w:pPr>
          <w:hyperlink w:anchor="__RefHeading___Toc3140895_653776707">
            <w:r>
              <w:rPr>
                <w:webHidden/>
                <w:rStyle w:val="IndexLink"/>
                <w:rtl w:val="true"/>
              </w:rPr>
              <w:t xml:space="preserve">الفصل الثالث </w:t>
            </w:r>
            <w:r>
              <w:rPr>
                <w:rStyle w:val="IndexLink"/>
                <w:rtl w:val="true"/>
              </w:rPr>
              <w:t xml:space="preserve">: </w:t>
            </w:r>
            <w:r>
              <w:rPr>
                <w:rStyle w:val="IndexLink"/>
                <w:rtl w:val="true"/>
              </w:rPr>
              <w:t>في أحكام الخلوة وآداب الحمّام وسائر أنواع الاستطابة</w:t>
            </w:r>
            <w:r>
              <w:rPr>
                <w:rStyle w:val="IndexLink"/>
                <w:rtl w:val="true"/>
              </w:rPr>
              <w:tab/>
            </w:r>
            <w:r>
              <w:rPr>
                <w:rStyle w:val="IndexLink"/>
              </w:rPr>
              <w:t>834</w:t>
            </w:r>
          </w:hyperlink>
        </w:p>
        <w:p>
          <w:pPr>
            <w:pStyle w:val="Contents5"/>
            <w:tabs>
              <w:tab w:val="clear" w:pos="7892"/>
              <w:tab w:val="right" w:pos="9026" w:leader="dot"/>
            </w:tabs>
            <w:rPr/>
          </w:pPr>
          <w:hyperlink w:anchor="__RefHeading___Toc3140897_653776707">
            <w:r>
              <w:rPr>
                <w:webHidden/>
                <w:rStyle w:val="IndexLink"/>
                <w:rtl w:val="true"/>
              </w:rPr>
              <w:t>اشارة</w:t>
            </w:r>
            <w:r>
              <w:rPr>
                <w:rStyle w:val="IndexLink"/>
                <w:rtl w:val="true"/>
              </w:rPr>
              <w:tab/>
            </w:r>
            <w:r>
              <w:rPr>
                <w:rStyle w:val="IndexLink"/>
              </w:rPr>
              <w:t>834</w:t>
            </w:r>
          </w:hyperlink>
        </w:p>
        <w:p>
          <w:pPr>
            <w:pStyle w:val="Contents5"/>
            <w:tabs>
              <w:tab w:val="clear" w:pos="7892"/>
              <w:tab w:val="right" w:pos="9026" w:leader="dot"/>
            </w:tabs>
            <w:rPr/>
          </w:pPr>
          <w:hyperlink w:anchor="__RefHeading___Toc3140899_653776707">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أحكام الخلوة</w:t>
            </w:r>
            <w:r>
              <w:rPr>
                <w:rStyle w:val="IndexLink"/>
                <w:rtl w:val="true"/>
              </w:rPr>
              <w:tab/>
            </w:r>
            <w:r>
              <w:rPr>
                <w:rStyle w:val="IndexLink"/>
              </w:rPr>
              <w:t>836</w:t>
            </w:r>
          </w:hyperlink>
        </w:p>
        <w:p>
          <w:pPr>
            <w:pStyle w:val="Contents6"/>
            <w:tabs>
              <w:tab w:val="clear" w:pos="7609"/>
              <w:tab w:val="right" w:pos="9026" w:leader="dot"/>
            </w:tabs>
            <w:rPr/>
          </w:pPr>
          <w:hyperlink w:anchor="__RefHeading___Toc3140901_653776707">
            <w:r>
              <w:rPr>
                <w:webHidden/>
                <w:rStyle w:val="IndexLink"/>
                <w:rtl w:val="true"/>
              </w:rPr>
              <w:t xml:space="preserve">مسألة </w:t>
            </w:r>
            <w:r>
              <w:rPr>
                <w:rStyle w:val="IndexLink"/>
                <w:rtl w:val="true"/>
              </w:rPr>
              <w:t>[</w:t>
            </w:r>
            <w:r>
              <w:rPr>
                <w:rStyle w:val="IndexLink"/>
              </w:rPr>
              <w:t>1</w:t>
            </w:r>
            <w:r>
              <w:rPr>
                <w:rStyle w:val="IndexLink"/>
                <w:rtl w:val="true"/>
              </w:rPr>
              <w:t>] :</w:t>
              <w:tab/>
            </w:r>
            <w:r>
              <w:rPr>
                <w:rStyle w:val="IndexLink"/>
              </w:rPr>
              <w:t>836</w:t>
            </w:r>
          </w:hyperlink>
        </w:p>
        <w:p>
          <w:pPr>
            <w:pStyle w:val="Contents6"/>
            <w:tabs>
              <w:tab w:val="clear" w:pos="7609"/>
              <w:tab w:val="right" w:pos="9026" w:leader="dot"/>
            </w:tabs>
            <w:rPr/>
          </w:pPr>
          <w:hyperlink w:anchor="__RefHeading___Toc3140903_653776707">
            <w:r>
              <w:rPr>
                <w:webHidden/>
                <w:rStyle w:val="IndexLink"/>
                <w:rtl w:val="true"/>
              </w:rPr>
              <w:t xml:space="preserve">مسألة </w:t>
            </w:r>
            <w:r>
              <w:rPr>
                <w:rStyle w:val="IndexLink"/>
                <w:rtl w:val="true"/>
              </w:rPr>
              <w:t>[</w:t>
            </w:r>
            <w:r>
              <w:rPr>
                <w:rStyle w:val="IndexLink"/>
              </w:rPr>
              <w:t>2</w:t>
            </w:r>
            <w:r>
              <w:rPr>
                <w:rStyle w:val="IndexLink"/>
                <w:rtl w:val="true"/>
              </w:rPr>
              <w:t>] :</w:t>
              <w:tab/>
            </w:r>
            <w:r>
              <w:rPr>
                <w:rStyle w:val="IndexLink"/>
              </w:rPr>
              <w:t>838</w:t>
            </w:r>
          </w:hyperlink>
        </w:p>
        <w:p>
          <w:pPr>
            <w:pStyle w:val="Contents6"/>
            <w:tabs>
              <w:tab w:val="clear" w:pos="7609"/>
              <w:tab w:val="right" w:pos="9026" w:leader="dot"/>
            </w:tabs>
            <w:rPr/>
          </w:pPr>
          <w:hyperlink w:anchor="__RefHeading___Toc3140905_653776707">
            <w:r>
              <w:rPr>
                <w:webHidden/>
                <w:rStyle w:val="IndexLink"/>
                <w:rtl w:val="true"/>
              </w:rPr>
              <w:t>اشارة</w:t>
            </w:r>
            <w:r>
              <w:rPr>
                <w:rStyle w:val="IndexLink"/>
                <w:rtl w:val="true"/>
              </w:rPr>
              <w:tab/>
            </w:r>
            <w:r>
              <w:rPr>
                <w:rStyle w:val="IndexLink"/>
              </w:rPr>
              <w:t>838</w:t>
            </w:r>
          </w:hyperlink>
        </w:p>
        <w:p>
          <w:pPr>
            <w:pStyle w:val="Contents6"/>
            <w:tabs>
              <w:tab w:val="clear" w:pos="7609"/>
              <w:tab w:val="right" w:pos="9026" w:leader="dot"/>
            </w:tabs>
            <w:rPr/>
          </w:pPr>
          <w:hyperlink w:anchor="__RefHeading___Toc3140907_653776707">
            <w:r>
              <w:rPr>
                <w:webHidden/>
                <w:rStyle w:val="IndexLink"/>
                <w:rtl w:val="true"/>
              </w:rPr>
              <w:t xml:space="preserve">فروع </w:t>
            </w:r>
            <w:r>
              <w:rPr>
                <w:rStyle w:val="IndexLink"/>
                <w:rtl w:val="true"/>
              </w:rPr>
              <w:t>:</w:t>
              <w:tab/>
            </w:r>
            <w:r>
              <w:rPr>
                <w:rStyle w:val="IndexLink"/>
              </w:rPr>
              <w:t>841</w:t>
            </w:r>
          </w:hyperlink>
        </w:p>
        <w:p>
          <w:pPr>
            <w:pStyle w:val="Contents6"/>
            <w:tabs>
              <w:tab w:val="clear" w:pos="7609"/>
              <w:tab w:val="right" w:pos="9026" w:leader="dot"/>
            </w:tabs>
            <w:rPr/>
          </w:pPr>
          <w:hyperlink w:anchor="__RefHeading___Toc314090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841</w:t>
            </w:r>
          </w:hyperlink>
        </w:p>
        <w:p>
          <w:pPr>
            <w:pStyle w:val="Contents6"/>
            <w:tabs>
              <w:tab w:val="clear" w:pos="7609"/>
              <w:tab w:val="right" w:pos="9026" w:leader="dot"/>
            </w:tabs>
            <w:rPr/>
          </w:pPr>
          <w:hyperlink w:anchor="__RefHeading___Toc314091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842</w:t>
            </w:r>
          </w:hyperlink>
        </w:p>
        <w:p>
          <w:pPr>
            <w:pStyle w:val="Contents6"/>
            <w:tabs>
              <w:tab w:val="clear" w:pos="7609"/>
              <w:tab w:val="right" w:pos="9026" w:leader="dot"/>
            </w:tabs>
            <w:rPr/>
          </w:pPr>
          <w:hyperlink w:anchor="__RefHeading___Toc314091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842</w:t>
            </w:r>
          </w:hyperlink>
        </w:p>
        <w:p>
          <w:pPr>
            <w:pStyle w:val="Contents6"/>
            <w:tabs>
              <w:tab w:val="clear" w:pos="7609"/>
              <w:tab w:val="right" w:pos="9026" w:leader="dot"/>
            </w:tabs>
            <w:rPr/>
          </w:pPr>
          <w:hyperlink w:anchor="__RefHeading___Toc3140915_653776707">
            <w:r>
              <w:rPr>
                <w:webHidden/>
                <w:rStyle w:val="IndexLink"/>
                <w:rtl w:val="true"/>
              </w:rPr>
              <w:t xml:space="preserve">مسألة </w:t>
            </w:r>
            <w:r>
              <w:rPr>
                <w:rStyle w:val="IndexLink"/>
                <w:rtl w:val="true"/>
              </w:rPr>
              <w:t>[</w:t>
            </w:r>
            <w:r>
              <w:rPr>
                <w:rStyle w:val="IndexLink"/>
              </w:rPr>
              <w:t>3</w:t>
            </w:r>
            <w:r>
              <w:rPr>
                <w:rStyle w:val="IndexLink"/>
                <w:rtl w:val="true"/>
              </w:rPr>
              <w:t>] :</w:t>
              <w:tab/>
            </w:r>
            <w:r>
              <w:rPr>
                <w:rStyle w:val="IndexLink"/>
              </w:rPr>
              <w:t>842</w:t>
            </w:r>
          </w:hyperlink>
        </w:p>
        <w:p>
          <w:pPr>
            <w:pStyle w:val="Contents6"/>
            <w:tabs>
              <w:tab w:val="clear" w:pos="7609"/>
              <w:tab w:val="right" w:pos="9026" w:leader="dot"/>
            </w:tabs>
            <w:rPr/>
          </w:pPr>
          <w:hyperlink w:anchor="__RefHeading___Toc3140917_653776707">
            <w:r>
              <w:rPr>
                <w:webHidden/>
                <w:rStyle w:val="IndexLink"/>
                <w:rtl w:val="true"/>
              </w:rPr>
              <w:t xml:space="preserve">مسألة </w:t>
            </w:r>
            <w:r>
              <w:rPr>
                <w:rStyle w:val="IndexLink"/>
                <w:rtl w:val="true"/>
              </w:rPr>
              <w:t>[</w:t>
            </w:r>
            <w:r>
              <w:rPr>
                <w:rStyle w:val="IndexLink"/>
              </w:rPr>
              <w:t>4</w:t>
            </w:r>
            <w:r>
              <w:rPr>
                <w:rStyle w:val="IndexLink"/>
                <w:rtl w:val="true"/>
              </w:rPr>
              <w:t>] :</w:t>
              <w:tab/>
            </w:r>
            <w:r>
              <w:rPr>
                <w:rStyle w:val="IndexLink"/>
              </w:rPr>
              <w:t>843</w:t>
            </w:r>
          </w:hyperlink>
        </w:p>
        <w:p>
          <w:pPr>
            <w:pStyle w:val="Contents6"/>
            <w:tabs>
              <w:tab w:val="clear" w:pos="7609"/>
              <w:tab w:val="right" w:pos="9026" w:leader="dot"/>
            </w:tabs>
            <w:rPr/>
          </w:pPr>
          <w:hyperlink w:anchor="__RefHeading___Toc3140919_653776707">
            <w:r>
              <w:rPr>
                <w:webHidden/>
                <w:rStyle w:val="IndexLink"/>
                <w:rtl w:val="true"/>
              </w:rPr>
              <w:t xml:space="preserve">مسألة </w:t>
            </w:r>
            <w:r>
              <w:rPr>
                <w:rStyle w:val="IndexLink"/>
                <w:rtl w:val="true"/>
              </w:rPr>
              <w:t>[</w:t>
            </w:r>
            <w:r>
              <w:rPr>
                <w:rStyle w:val="IndexLink"/>
              </w:rPr>
              <w:t>5</w:t>
            </w:r>
            <w:r>
              <w:rPr>
                <w:rStyle w:val="IndexLink"/>
                <w:rtl w:val="true"/>
              </w:rPr>
              <w:t>] :</w:t>
              <w:tab/>
            </w:r>
            <w:r>
              <w:rPr>
                <w:rStyle w:val="IndexLink"/>
              </w:rPr>
              <w:t>845</w:t>
            </w:r>
          </w:hyperlink>
        </w:p>
        <w:p>
          <w:pPr>
            <w:pStyle w:val="Contents6"/>
            <w:tabs>
              <w:tab w:val="clear" w:pos="7609"/>
              <w:tab w:val="right" w:pos="9026" w:leader="dot"/>
            </w:tabs>
            <w:rPr/>
          </w:pPr>
          <w:hyperlink w:anchor="__RefHeading___Toc3140921_653776707">
            <w:r>
              <w:rPr>
                <w:webHidden/>
                <w:rStyle w:val="IndexLink"/>
                <w:rtl w:val="true"/>
              </w:rPr>
              <w:t xml:space="preserve">مسألة </w:t>
            </w:r>
            <w:r>
              <w:rPr>
                <w:rStyle w:val="IndexLink"/>
                <w:rtl w:val="true"/>
              </w:rPr>
              <w:t>[</w:t>
            </w:r>
            <w:r>
              <w:rPr>
                <w:rStyle w:val="IndexLink"/>
              </w:rPr>
              <w:t>6</w:t>
            </w:r>
            <w:r>
              <w:rPr>
                <w:rStyle w:val="IndexLink"/>
                <w:rtl w:val="true"/>
              </w:rPr>
              <w:t>] :</w:t>
              <w:tab/>
            </w:r>
            <w:r>
              <w:rPr>
                <w:rStyle w:val="IndexLink"/>
              </w:rPr>
              <w:t>849</w:t>
            </w:r>
          </w:hyperlink>
        </w:p>
        <w:p>
          <w:pPr>
            <w:pStyle w:val="Contents6"/>
            <w:tabs>
              <w:tab w:val="clear" w:pos="7609"/>
              <w:tab w:val="right" w:pos="9026" w:leader="dot"/>
            </w:tabs>
            <w:rPr/>
          </w:pPr>
          <w:hyperlink w:anchor="__RefHeading___Toc3140923_653776707">
            <w:r>
              <w:rPr>
                <w:webHidden/>
                <w:rStyle w:val="IndexLink"/>
                <w:rtl w:val="true"/>
              </w:rPr>
              <w:t>اشارة</w:t>
            </w:r>
            <w:r>
              <w:rPr>
                <w:rStyle w:val="IndexLink"/>
                <w:rtl w:val="true"/>
              </w:rPr>
              <w:tab/>
            </w:r>
            <w:r>
              <w:rPr>
                <w:rStyle w:val="IndexLink"/>
              </w:rPr>
              <w:t>849</w:t>
            </w:r>
          </w:hyperlink>
        </w:p>
        <w:p>
          <w:pPr>
            <w:pStyle w:val="Contents6"/>
            <w:tabs>
              <w:tab w:val="clear" w:pos="7609"/>
              <w:tab w:val="right" w:pos="9026" w:leader="dot"/>
            </w:tabs>
            <w:rPr/>
          </w:pPr>
          <w:hyperlink w:anchor="__RefHeading___Toc3140925_653776707">
            <w:r>
              <w:rPr>
                <w:webHidden/>
                <w:rStyle w:val="IndexLink"/>
                <w:rtl w:val="true"/>
              </w:rPr>
              <w:t xml:space="preserve">فرع </w:t>
            </w:r>
            <w:r>
              <w:rPr>
                <w:rStyle w:val="IndexLink"/>
                <w:rtl w:val="true"/>
              </w:rPr>
              <w:t>:</w:t>
              <w:tab/>
            </w:r>
            <w:r>
              <w:rPr>
                <w:rStyle w:val="IndexLink"/>
              </w:rPr>
              <w:t>851</w:t>
            </w:r>
          </w:hyperlink>
        </w:p>
        <w:p>
          <w:pPr>
            <w:pStyle w:val="Contents6"/>
            <w:tabs>
              <w:tab w:val="clear" w:pos="7609"/>
              <w:tab w:val="right" w:pos="9026" w:leader="dot"/>
            </w:tabs>
            <w:rPr/>
          </w:pPr>
          <w:hyperlink w:anchor="__RefHeading___Toc3140927_653776707">
            <w:r>
              <w:rPr>
                <w:webHidden/>
                <w:rStyle w:val="IndexLink"/>
                <w:rtl w:val="true"/>
              </w:rPr>
              <w:t xml:space="preserve">مسألة </w:t>
            </w:r>
            <w:r>
              <w:rPr>
                <w:rStyle w:val="IndexLink"/>
                <w:rtl w:val="true"/>
              </w:rPr>
              <w:t>[</w:t>
            </w:r>
            <w:r>
              <w:rPr>
                <w:rStyle w:val="IndexLink"/>
              </w:rPr>
              <w:t>7</w:t>
            </w:r>
            <w:r>
              <w:rPr>
                <w:rStyle w:val="IndexLink"/>
                <w:rtl w:val="true"/>
              </w:rPr>
              <w:t>] :</w:t>
              <w:tab/>
            </w:r>
            <w:r>
              <w:rPr>
                <w:rStyle w:val="IndexLink"/>
              </w:rPr>
              <w:t>851</w:t>
            </w:r>
          </w:hyperlink>
        </w:p>
        <w:p>
          <w:pPr>
            <w:pStyle w:val="Contents6"/>
            <w:tabs>
              <w:tab w:val="clear" w:pos="7609"/>
              <w:tab w:val="right" w:pos="9026" w:leader="dot"/>
            </w:tabs>
            <w:rPr/>
          </w:pPr>
          <w:hyperlink w:anchor="__RefHeading___Toc3140929_653776707">
            <w:r>
              <w:rPr>
                <w:webHidden/>
                <w:rStyle w:val="IndexLink"/>
                <w:rtl w:val="true"/>
              </w:rPr>
              <w:t xml:space="preserve">مسألة </w:t>
            </w:r>
            <w:r>
              <w:rPr>
                <w:rStyle w:val="IndexLink"/>
                <w:rtl w:val="true"/>
              </w:rPr>
              <w:t>[</w:t>
            </w:r>
            <w:r>
              <w:rPr>
                <w:rStyle w:val="IndexLink"/>
              </w:rPr>
              <w:t>8</w:t>
            </w:r>
            <w:r>
              <w:rPr>
                <w:rStyle w:val="IndexLink"/>
                <w:rtl w:val="true"/>
              </w:rPr>
              <w:t>] :</w:t>
              <w:tab/>
            </w:r>
            <w:r>
              <w:rPr>
                <w:rStyle w:val="IndexLink"/>
              </w:rPr>
              <w:t>851</w:t>
            </w:r>
          </w:hyperlink>
        </w:p>
        <w:p>
          <w:pPr>
            <w:pStyle w:val="Contents6"/>
            <w:tabs>
              <w:tab w:val="clear" w:pos="7609"/>
              <w:tab w:val="right" w:pos="9026" w:leader="dot"/>
            </w:tabs>
            <w:rPr/>
          </w:pPr>
          <w:hyperlink w:anchor="__RefHeading___Toc3140931_653776707">
            <w:r>
              <w:rPr>
                <w:webHidden/>
                <w:rStyle w:val="IndexLink"/>
                <w:rtl w:val="true"/>
              </w:rPr>
              <w:t xml:space="preserve">مسألة </w:t>
            </w:r>
            <w:r>
              <w:rPr>
                <w:rStyle w:val="IndexLink"/>
                <w:rtl w:val="true"/>
              </w:rPr>
              <w:t>[</w:t>
            </w:r>
            <w:r>
              <w:rPr>
                <w:rStyle w:val="IndexLink"/>
              </w:rPr>
              <w:t>9</w:t>
            </w:r>
            <w:r>
              <w:rPr>
                <w:rStyle w:val="IndexLink"/>
                <w:rtl w:val="true"/>
              </w:rPr>
              <w:t>] :</w:t>
              <w:tab/>
            </w:r>
            <w:r>
              <w:rPr>
                <w:rStyle w:val="IndexLink"/>
              </w:rPr>
              <w:t>852</w:t>
            </w:r>
          </w:hyperlink>
        </w:p>
        <w:p>
          <w:pPr>
            <w:pStyle w:val="Contents6"/>
            <w:tabs>
              <w:tab w:val="clear" w:pos="7609"/>
              <w:tab w:val="right" w:pos="9026" w:leader="dot"/>
            </w:tabs>
            <w:rPr/>
          </w:pPr>
          <w:hyperlink w:anchor="__RefHeading___Toc3140933_653776707">
            <w:r>
              <w:rPr>
                <w:webHidden/>
                <w:rStyle w:val="IndexLink"/>
                <w:rtl w:val="true"/>
              </w:rPr>
              <w:t xml:space="preserve">مسألة </w:t>
            </w:r>
            <w:r>
              <w:rPr>
                <w:rStyle w:val="IndexLink"/>
                <w:rtl w:val="true"/>
              </w:rPr>
              <w:t>[</w:t>
            </w:r>
            <w:r>
              <w:rPr>
                <w:rStyle w:val="IndexLink"/>
              </w:rPr>
              <w:t>10</w:t>
            </w:r>
            <w:r>
              <w:rPr>
                <w:rStyle w:val="IndexLink"/>
                <w:rtl w:val="true"/>
              </w:rPr>
              <w:t>] :</w:t>
              <w:tab/>
            </w:r>
            <w:r>
              <w:rPr>
                <w:rStyle w:val="IndexLink"/>
              </w:rPr>
              <w:t>853</w:t>
            </w:r>
          </w:hyperlink>
        </w:p>
        <w:p>
          <w:pPr>
            <w:pStyle w:val="Contents6"/>
            <w:tabs>
              <w:tab w:val="clear" w:pos="7609"/>
              <w:tab w:val="right" w:pos="9026" w:leader="dot"/>
            </w:tabs>
            <w:rPr/>
          </w:pPr>
          <w:hyperlink w:anchor="__RefHeading___Toc3140935_653776707">
            <w:r>
              <w:rPr>
                <w:webHidden/>
                <w:rStyle w:val="IndexLink"/>
                <w:rtl w:val="true"/>
              </w:rPr>
              <w:t xml:space="preserve">مسألة </w:t>
            </w:r>
            <w:r>
              <w:rPr>
                <w:rStyle w:val="IndexLink"/>
                <w:rtl w:val="true"/>
              </w:rPr>
              <w:t>[</w:t>
            </w:r>
            <w:r>
              <w:rPr>
                <w:rStyle w:val="IndexLink"/>
              </w:rPr>
              <w:t>11</w:t>
            </w:r>
            <w:r>
              <w:rPr>
                <w:rStyle w:val="IndexLink"/>
                <w:rtl w:val="true"/>
              </w:rPr>
              <w:t>] :</w:t>
              <w:tab/>
            </w:r>
            <w:r>
              <w:rPr>
                <w:rStyle w:val="IndexLink"/>
              </w:rPr>
              <w:t>854</w:t>
            </w:r>
          </w:hyperlink>
        </w:p>
        <w:p>
          <w:pPr>
            <w:pStyle w:val="Contents6"/>
            <w:tabs>
              <w:tab w:val="clear" w:pos="7609"/>
              <w:tab w:val="right" w:pos="9026" w:leader="dot"/>
            </w:tabs>
            <w:rPr/>
          </w:pPr>
          <w:hyperlink w:anchor="__RefHeading___Toc3140937_653776707">
            <w:r>
              <w:rPr>
                <w:webHidden/>
                <w:rStyle w:val="IndexLink"/>
                <w:rtl w:val="true"/>
              </w:rPr>
              <w:t xml:space="preserve">مسألة </w:t>
            </w:r>
            <w:r>
              <w:rPr>
                <w:rStyle w:val="IndexLink"/>
                <w:rtl w:val="true"/>
              </w:rPr>
              <w:t>[</w:t>
            </w:r>
            <w:r>
              <w:rPr>
                <w:rStyle w:val="IndexLink"/>
              </w:rPr>
              <w:t>12</w:t>
            </w:r>
            <w:r>
              <w:rPr>
                <w:rStyle w:val="IndexLink"/>
                <w:rtl w:val="true"/>
              </w:rPr>
              <w:t>] :</w:t>
              <w:tab/>
            </w:r>
            <w:r>
              <w:rPr>
                <w:rStyle w:val="IndexLink"/>
              </w:rPr>
              <w:t>855</w:t>
            </w:r>
          </w:hyperlink>
        </w:p>
        <w:p>
          <w:pPr>
            <w:pStyle w:val="Contents6"/>
            <w:tabs>
              <w:tab w:val="clear" w:pos="7609"/>
              <w:tab w:val="right" w:pos="9026" w:leader="dot"/>
            </w:tabs>
            <w:rPr/>
          </w:pPr>
          <w:hyperlink w:anchor="__RefHeading___Toc3140939_653776707">
            <w:r>
              <w:rPr>
                <w:webHidden/>
                <w:rStyle w:val="IndexLink"/>
                <w:rtl w:val="true"/>
              </w:rPr>
              <w:t xml:space="preserve">مسألة </w:t>
            </w:r>
            <w:r>
              <w:rPr>
                <w:rStyle w:val="IndexLink"/>
                <w:rtl w:val="true"/>
              </w:rPr>
              <w:t>[</w:t>
            </w:r>
            <w:r>
              <w:rPr>
                <w:rStyle w:val="IndexLink"/>
              </w:rPr>
              <w:t>13</w:t>
            </w:r>
            <w:r>
              <w:rPr>
                <w:rStyle w:val="IndexLink"/>
                <w:rtl w:val="true"/>
              </w:rPr>
              <w:t>] :</w:t>
              <w:tab/>
            </w:r>
            <w:r>
              <w:rPr>
                <w:rStyle w:val="IndexLink"/>
              </w:rPr>
              <w:t>856</w:t>
            </w:r>
          </w:hyperlink>
        </w:p>
        <w:p>
          <w:pPr>
            <w:pStyle w:val="Contents6"/>
            <w:tabs>
              <w:tab w:val="clear" w:pos="7609"/>
              <w:tab w:val="right" w:pos="9026" w:leader="dot"/>
            </w:tabs>
            <w:rPr/>
          </w:pPr>
          <w:hyperlink w:anchor="__RefHeading___Toc3140941_653776707">
            <w:r>
              <w:rPr>
                <w:webHidden/>
                <w:rStyle w:val="IndexLink"/>
                <w:rtl w:val="true"/>
              </w:rPr>
              <w:t xml:space="preserve">مسألة </w:t>
            </w:r>
            <w:r>
              <w:rPr>
                <w:rStyle w:val="IndexLink"/>
                <w:rtl w:val="true"/>
              </w:rPr>
              <w:t>[</w:t>
            </w:r>
            <w:r>
              <w:rPr>
                <w:rStyle w:val="IndexLink"/>
              </w:rPr>
              <w:t>14</w:t>
            </w:r>
            <w:r>
              <w:rPr>
                <w:rStyle w:val="IndexLink"/>
                <w:rtl w:val="true"/>
              </w:rPr>
              <w:t>] :</w:t>
              <w:tab/>
            </w:r>
            <w:r>
              <w:rPr>
                <w:rStyle w:val="IndexLink"/>
              </w:rPr>
              <w:t>857</w:t>
            </w:r>
          </w:hyperlink>
        </w:p>
        <w:p>
          <w:pPr>
            <w:pStyle w:val="Contents6"/>
            <w:tabs>
              <w:tab w:val="clear" w:pos="7609"/>
              <w:tab w:val="right" w:pos="9026" w:leader="dot"/>
            </w:tabs>
            <w:rPr/>
          </w:pPr>
          <w:hyperlink w:anchor="__RefHeading___Toc3140943_653776707">
            <w:r>
              <w:rPr>
                <w:webHidden/>
                <w:rStyle w:val="IndexLink"/>
                <w:rtl w:val="true"/>
              </w:rPr>
              <w:t xml:space="preserve">مسألة </w:t>
            </w:r>
            <w:r>
              <w:rPr>
                <w:rStyle w:val="IndexLink"/>
                <w:rtl w:val="true"/>
              </w:rPr>
              <w:t>[</w:t>
            </w:r>
            <w:r>
              <w:rPr>
                <w:rStyle w:val="IndexLink"/>
              </w:rPr>
              <w:t>15</w:t>
            </w:r>
            <w:r>
              <w:rPr>
                <w:rStyle w:val="IndexLink"/>
                <w:rtl w:val="true"/>
              </w:rPr>
              <w:t>] :</w:t>
              <w:tab/>
            </w:r>
            <w:r>
              <w:rPr>
                <w:rStyle w:val="IndexLink"/>
              </w:rPr>
              <w:t>857</w:t>
            </w:r>
          </w:hyperlink>
        </w:p>
        <w:p>
          <w:pPr>
            <w:pStyle w:val="Contents6"/>
            <w:tabs>
              <w:tab w:val="clear" w:pos="7609"/>
              <w:tab w:val="right" w:pos="9026" w:leader="dot"/>
            </w:tabs>
            <w:rPr/>
          </w:pPr>
          <w:hyperlink w:anchor="__RefHeading___Toc3140945_653776707">
            <w:r>
              <w:rPr>
                <w:webHidden/>
                <w:rStyle w:val="IndexLink"/>
                <w:rtl w:val="true"/>
              </w:rPr>
              <w:t xml:space="preserve">مسألة </w:t>
            </w:r>
            <w:r>
              <w:rPr>
                <w:rStyle w:val="IndexLink"/>
                <w:rtl w:val="true"/>
              </w:rPr>
              <w:t>[</w:t>
            </w:r>
            <w:r>
              <w:rPr>
                <w:rStyle w:val="IndexLink"/>
              </w:rPr>
              <w:t>16</w:t>
            </w:r>
            <w:r>
              <w:rPr>
                <w:rStyle w:val="IndexLink"/>
                <w:rtl w:val="true"/>
              </w:rPr>
              <w:t>] :</w:t>
              <w:tab/>
            </w:r>
            <w:r>
              <w:rPr>
                <w:rStyle w:val="IndexLink"/>
              </w:rPr>
              <w:t>858</w:t>
            </w:r>
          </w:hyperlink>
        </w:p>
        <w:p>
          <w:pPr>
            <w:pStyle w:val="Contents6"/>
            <w:tabs>
              <w:tab w:val="clear" w:pos="7609"/>
              <w:tab w:val="right" w:pos="9026" w:leader="dot"/>
            </w:tabs>
            <w:rPr/>
          </w:pPr>
          <w:hyperlink w:anchor="__RefHeading___Toc3140947_653776707">
            <w:r>
              <w:rPr>
                <w:webHidden/>
                <w:rStyle w:val="IndexLink"/>
                <w:rtl w:val="true"/>
              </w:rPr>
              <w:t>اشارة</w:t>
            </w:r>
            <w:r>
              <w:rPr>
                <w:rStyle w:val="IndexLink"/>
                <w:rtl w:val="true"/>
              </w:rPr>
              <w:tab/>
            </w:r>
            <w:r>
              <w:rPr>
                <w:rStyle w:val="IndexLink"/>
              </w:rPr>
              <w:t>858</w:t>
            </w:r>
          </w:hyperlink>
        </w:p>
        <w:p>
          <w:pPr>
            <w:pStyle w:val="Contents6"/>
            <w:tabs>
              <w:tab w:val="clear" w:pos="7609"/>
              <w:tab w:val="right" w:pos="9026" w:leader="dot"/>
            </w:tabs>
            <w:rPr/>
          </w:pPr>
          <w:hyperlink w:anchor="__RefHeading___Toc3140949_653776707">
            <w:r>
              <w:rPr>
                <w:webHidden/>
                <w:rStyle w:val="IndexLink"/>
                <w:rtl w:val="true"/>
              </w:rPr>
              <w:t xml:space="preserve">فرع </w:t>
            </w:r>
            <w:r>
              <w:rPr>
                <w:rStyle w:val="IndexLink"/>
                <w:rtl w:val="true"/>
              </w:rPr>
              <w:t>:</w:t>
              <w:tab/>
            </w:r>
            <w:r>
              <w:rPr>
                <w:rStyle w:val="IndexLink"/>
              </w:rPr>
              <w:t>861</w:t>
            </w:r>
          </w:hyperlink>
        </w:p>
        <w:p>
          <w:pPr>
            <w:pStyle w:val="Contents6"/>
            <w:tabs>
              <w:tab w:val="clear" w:pos="7609"/>
              <w:tab w:val="right" w:pos="9026" w:leader="dot"/>
            </w:tabs>
            <w:rPr/>
          </w:pPr>
          <w:hyperlink w:anchor="__RefHeading___Toc3140951_653776707">
            <w:r>
              <w:rPr>
                <w:webHidden/>
                <w:rStyle w:val="IndexLink"/>
                <w:rtl w:val="true"/>
              </w:rPr>
              <w:t xml:space="preserve">مسألة </w:t>
            </w:r>
            <w:r>
              <w:rPr>
                <w:rStyle w:val="IndexLink"/>
                <w:rtl w:val="true"/>
              </w:rPr>
              <w:t>[</w:t>
            </w:r>
            <w:r>
              <w:rPr>
                <w:rStyle w:val="IndexLink"/>
              </w:rPr>
              <w:t>17</w:t>
            </w:r>
            <w:r>
              <w:rPr>
                <w:rStyle w:val="IndexLink"/>
                <w:rtl w:val="true"/>
              </w:rPr>
              <w:t>] :</w:t>
              <w:tab/>
            </w:r>
            <w:r>
              <w:rPr>
                <w:rStyle w:val="IndexLink"/>
              </w:rPr>
              <w:t>862</w:t>
            </w:r>
          </w:hyperlink>
        </w:p>
        <w:p>
          <w:pPr>
            <w:pStyle w:val="Contents6"/>
            <w:tabs>
              <w:tab w:val="clear" w:pos="7609"/>
              <w:tab w:val="right" w:pos="9026" w:leader="dot"/>
            </w:tabs>
            <w:rPr/>
          </w:pPr>
          <w:hyperlink w:anchor="__RefHeading___Toc3140953_653776707">
            <w:r>
              <w:rPr>
                <w:webHidden/>
                <w:rStyle w:val="IndexLink"/>
                <w:rtl w:val="true"/>
              </w:rPr>
              <w:t xml:space="preserve">مسألة </w:t>
            </w:r>
            <w:r>
              <w:rPr>
                <w:rStyle w:val="IndexLink"/>
                <w:rtl w:val="true"/>
              </w:rPr>
              <w:t>[</w:t>
            </w:r>
            <w:r>
              <w:rPr>
                <w:rStyle w:val="IndexLink"/>
              </w:rPr>
              <w:t>18</w:t>
            </w:r>
            <w:r>
              <w:rPr>
                <w:rStyle w:val="IndexLink"/>
                <w:rtl w:val="true"/>
              </w:rPr>
              <w:t>] :</w:t>
              <w:tab/>
            </w:r>
            <w:r>
              <w:rPr>
                <w:rStyle w:val="IndexLink"/>
              </w:rPr>
              <w:t>864</w:t>
            </w:r>
          </w:hyperlink>
        </w:p>
        <w:p>
          <w:pPr>
            <w:pStyle w:val="Contents6"/>
            <w:tabs>
              <w:tab w:val="clear" w:pos="7609"/>
              <w:tab w:val="right" w:pos="9026" w:leader="dot"/>
            </w:tabs>
            <w:rPr/>
          </w:pPr>
          <w:hyperlink w:anchor="__RefHeading___Toc3140955_653776707">
            <w:r>
              <w:rPr>
                <w:webHidden/>
                <w:rStyle w:val="IndexLink"/>
                <w:rtl w:val="true"/>
              </w:rPr>
              <w:t>اشارة</w:t>
            </w:r>
            <w:r>
              <w:rPr>
                <w:rStyle w:val="IndexLink"/>
                <w:rtl w:val="true"/>
              </w:rPr>
              <w:tab/>
            </w:r>
            <w:r>
              <w:rPr>
                <w:rStyle w:val="IndexLink"/>
              </w:rPr>
              <w:t>864</w:t>
            </w:r>
          </w:hyperlink>
        </w:p>
        <w:p>
          <w:pPr>
            <w:pStyle w:val="Contents6"/>
            <w:tabs>
              <w:tab w:val="clear" w:pos="7609"/>
              <w:tab w:val="right" w:pos="9026" w:leader="dot"/>
            </w:tabs>
            <w:rPr/>
          </w:pPr>
          <w:hyperlink w:anchor="__RefHeading___Toc3140957_653776707">
            <w:r>
              <w:rPr>
                <w:webHidden/>
                <w:rStyle w:val="IndexLink"/>
                <w:rtl w:val="true"/>
              </w:rPr>
              <w:t xml:space="preserve">تذنيب </w:t>
            </w:r>
            <w:r>
              <w:rPr>
                <w:rStyle w:val="IndexLink"/>
                <w:rtl w:val="true"/>
              </w:rPr>
              <w:t>:</w:t>
              <w:tab/>
            </w:r>
            <w:r>
              <w:rPr>
                <w:rStyle w:val="IndexLink"/>
              </w:rPr>
              <w:t>868</w:t>
            </w:r>
          </w:hyperlink>
        </w:p>
        <w:p>
          <w:pPr>
            <w:pStyle w:val="Contents6"/>
            <w:tabs>
              <w:tab w:val="clear" w:pos="7609"/>
              <w:tab w:val="right" w:pos="9026" w:leader="dot"/>
            </w:tabs>
            <w:rPr/>
          </w:pPr>
          <w:hyperlink w:anchor="__RefHeading___Toc3140959_653776707">
            <w:r>
              <w:rPr>
                <w:webHidden/>
                <w:rStyle w:val="IndexLink"/>
                <w:rtl w:val="true"/>
              </w:rPr>
              <w:t xml:space="preserve">فرع </w:t>
            </w:r>
            <w:r>
              <w:rPr>
                <w:rStyle w:val="IndexLink"/>
                <w:rtl w:val="true"/>
              </w:rPr>
              <w:t>:</w:t>
              <w:tab/>
            </w:r>
            <w:r>
              <w:rPr>
                <w:rStyle w:val="IndexLink"/>
              </w:rPr>
              <w:t>868</w:t>
            </w:r>
          </w:hyperlink>
        </w:p>
        <w:p>
          <w:pPr>
            <w:pStyle w:val="Contents6"/>
            <w:tabs>
              <w:tab w:val="clear" w:pos="7609"/>
              <w:tab w:val="right" w:pos="9026" w:leader="dot"/>
            </w:tabs>
            <w:rPr/>
          </w:pPr>
          <w:hyperlink w:anchor="__RefHeading___Toc3140961_653776707">
            <w:r>
              <w:rPr>
                <w:webHidden/>
                <w:rStyle w:val="IndexLink"/>
                <w:rtl w:val="true"/>
              </w:rPr>
              <w:t xml:space="preserve">مسألة </w:t>
            </w:r>
            <w:r>
              <w:rPr>
                <w:rStyle w:val="IndexLink"/>
                <w:rtl w:val="true"/>
              </w:rPr>
              <w:t>[</w:t>
            </w:r>
            <w:r>
              <w:rPr>
                <w:rStyle w:val="IndexLink"/>
              </w:rPr>
              <w:t>19</w:t>
            </w:r>
            <w:r>
              <w:rPr>
                <w:rStyle w:val="IndexLink"/>
                <w:rtl w:val="true"/>
              </w:rPr>
              <w:t>] :</w:t>
              <w:tab/>
            </w:r>
            <w:r>
              <w:rPr>
                <w:rStyle w:val="IndexLink"/>
              </w:rPr>
              <w:t>870</w:t>
            </w:r>
          </w:hyperlink>
        </w:p>
        <w:p>
          <w:pPr>
            <w:pStyle w:val="Contents6"/>
            <w:tabs>
              <w:tab w:val="clear" w:pos="7609"/>
              <w:tab w:val="right" w:pos="9026" w:leader="dot"/>
            </w:tabs>
            <w:rPr/>
          </w:pPr>
          <w:hyperlink w:anchor="__RefHeading___Toc3140963_653776707">
            <w:r>
              <w:rPr>
                <w:webHidden/>
                <w:rStyle w:val="IndexLink"/>
                <w:rtl w:val="true"/>
              </w:rPr>
              <w:t xml:space="preserve">مسألة </w:t>
            </w:r>
            <w:r>
              <w:rPr>
                <w:rStyle w:val="IndexLink"/>
                <w:rtl w:val="true"/>
              </w:rPr>
              <w:t>[</w:t>
            </w:r>
            <w:r>
              <w:rPr>
                <w:rStyle w:val="IndexLink"/>
              </w:rPr>
              <w:t>20</w:t>
            </w:r>
            <w:r>
              <w:rPr>
                <w:rStyle w:val="IndexLink"/>
                <w:rtl w:val="true"/>
              </w:rPr>
              <w:t>] :</w:t>
              <w:tab/>
            </w:r>
            <w:r>
              <w:rPr>
                <w:rStyle w:val="IndexLink"/>
              </w:rPr>
              <w:t>870</w:t>
            </w:r>
          </w:hyperlink>
        </w:p>
        <w:p>
          <w:pPr>
            <w:pStyle w:val="Contents6"/>
            <w:tabs>
              <w:tab w:val="clear" w:pos="7609"/>
              <w:tab w:val="right" w:pos="9026" w:leader="dot"/>
            </w:tabs>
            <w:rPr/>
          </w:pPr>
          <w:hyperlink w:anchor="__RefHeading___Toc3140965_653776707">
            <w:r>
              <w:rPr>
                <w:webHidden/>
                <w:rStyle w:val="IndexLink"/>
                <w:rtl w:val="true"/>
              </w:rPr>
              <w:t xml:space="preserve">مسألة </w:t>
            </w:r>
            <w:r>
              <w:rPr>
                <w:rStyle w:val="IndexLink"/>
                <w:rtl w:val="true"/>
              </w:rPr>
              <w:t>[</w:t>
            </w:r>
            <w:r>
              <w:rPr>
                <w:rStyle w:val="IndexLink"/>
              </w:rPr>
              <w:t>21</w:t>
            </w:r>
            <w:r>
              <w:rPr>
                <w:rStyle w:val="IndexLink"/>
                <w:rtl w:val="true"/>
              </w:rPr>
              <w:t>] :</w:t>
              <w:tab/>
            </w:r>
            <w:r>
              <w:rPr>
                <w:rStyle w:val="IndexLink"/>
              </w:rPr>
              <w:t>871</w:t>
            </w:r>
          </w:hyperlink>
        </w:p>
        <w:p>
          <w:pPr>
            <w:pStyle w:val="Contents6"/>
            <w:tabs>
              <w:tab w:val="clear" w:pos="7609"/>
              <w:tab w:val="right" w:pos="9026" w:leader="dot"/>
            </w:tabs>
            <w:rPr/>
          </w:pPr>
          <w:hyperlink w:anchor="__RefHeading___Toc3140967_653776707">
            <w:r>
              <w:rPr>
                <w:webHidden/>
                <w:rStyle w:val="IndexLink"/>
                <w:rtl w:val="true"/>
              </w:rPr>
              <w:t>اشارة</w:t>
            </w:r>
            <w:r>
              <w:rPr>
                <w:rStyle w:val="IndexLink"/>
                <w:rtl w:val="true"/>
              </w:rPr>
              <w:tab/>
            </w:r>
            <w:r>
              <w:rPr>
                <w:rStyle w:val="IndexLink"/>
              </w:rPr>
              <w:t>871</w:t>
            </w:r>
          </w:hyperlink>
        </w:p>
        <w:p>
          <w:pPr>
            <w:pStyle w:val="Contents6"/>
            <w:tabs>
              <w:tab w:val="clear" w:pos="7609"/>
              <w:tab w:val="right" w:pos="9026" w:leader="dot"/>
            </w:tabs>
            <w:rPr/>
          </w:pPr>
          <w:hyperlink w:anchor="__RefHeading___Toc3140969_653776707">
            <w:r>
              <w:rPr>
                <w:webHidden/>
                <w:rStyle w:val="IndexLink"/>
                <w:rtl w:val="true"/>
              </w:rPr>
              <w:t xml:space="preserve">فرعان </w:t>
            </w:r>
            <w:r>
              <w:rPr>
                <w:rStyle w:val="IndexLink"/>
                <w:rtl w:val="true"/>
              </w:rPr>
              <w:t>:</w:t>
              <w:tab/>
            </w:r>
            <w:r>
              <w:rPr>
                <w:rStyle w:val="IndexLink"/>
              </w:rPr>
              <w:t>872</w:t>
            </w:r>
          </w:hyperlink>
        </w:p>
        <w:p>
          <w:pPr>
            <w:pStyle w:val="Contents6"/>
            <w:tabs>
              <w:tab w:val="clear" w:pos="7609"/>
              <w:tab w:val="right" w:pos="9026" w:leader="dot"/>
            </w:tabs>
            <w:rPr/>
          </w:pPr>
          <w:hyperlink w:anchor="__RefHeading___Toc314097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872</w:t>
            </w:r>
          </w:hyperlink>
        </w:p>
        <w:p>
          <w:pPr>
            <w:pStyle w:val="Contents6"/>
            <w:tabs>
              <w:tab w:val="clear" w:pos="7609"/>
              <w:tab w:val="right" w:pos="9026" w:leader="dot"/>
            </w:tabs>
            <w:rPr/>
          </w:pPr>
          <w:hyperlink w:anchor="__RefHeading___Toc314097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872</w:t>
            </w:r>
          </w:hyperlink>
        </w:p>
        <w:p>
          <w:pPr>
            <w:pStyle w:val="Contents6"/>
            <w:tabs>
              <w:tab w:val="clear" w:pos="7609"/>
              <w:tab w:val="right" w:pos="9026" w:leader="dot"/>
            </w:tabs>
            <w:rPr/>
          </w:pPr>
          <w:hyperlink w:anchor="__RefHeading___Toc3140975_653776707">
            <w:r>
              <w:rPr>
                <w:webHidden/>
                <w:rStyle w:val="IndexLink"/>
                <w:rtl w:val="true"/>
              </w:rPr>
              <w:t xml:space="preserve">مسألة </w:t>
            </w:r>
            <w:r>
              <w:rPr>
                <w:rStyle w:val="IndexLink"/>
                <w:rtl w:val="true"/>
              </w:rPr>
              <w:t>[</w:t>
            </w:r>
            <w:r>
              <w:rPr>
                <w:rStyle w:val="IndexLink"/>
              </w:rPr>
              <w:t>22</w:t>
            </w:r>
            <w:r>
              <w:rPr>
                <w:rStyle w:val="IndexLink"/>
                <w:rtl w:val="true"/>
              </w:rPr>
              <w:t>] :</w:t>
              <w:tab/>
            </w:r>
            <w:r>
              <w:rPr>
                <w:rStyle w:val="IndexLink"/>
              </w:rPr>
              <w:t>873</w:t>
            </w:r>
          </w:hyperlink>
        </w:p>
        <w:p>
          <w:pPr>
            <w:pStyle w:val="Contents6"/>
            <w:tabs>
              <w:tab w:val="clear" w:pos="7609"/>
              <w:tab w:val="right" w:pos="9026" w:leader="dot"/>
            </w:tabs>
            <w:rPr/>
          </w:pPr>
          <w:hyperlink w:anchor="__RefHeading___Toc3140977_653776707">
            <w:r>
              <w:rPr>
                <w:webHidden/>
                <w:rStyle w:val="IndexLink"/>
                <w:rtl w:val="true"/>
              </w:rPr>
              <w:t xml:space="preserve">مسألة </w:t>
            </w:r>
            <w:r>
              <w:rPr>
                <w:rStyle w:val="IndexLink"/>
                <w:rtl w:val="true"/>
              </w:rPr>
              <w:t>[</w:t>
            </w:r>
            <w:r>
              <w:rPr>
                <w:rStyle w:val="IndexLink"/>
              </w:rPr>
              <w:t>23</w:t>
            </w:r>
            <w:r>
              <w:rPr>
                <w:rStyle w:val="IndexLink"/>
                <w:rtl w:val="true"/>
              </w:rPr>
              <w:t>] :</w:t>
              <w:tab/>
            </w:r>
            <w:r>
              <w:rPr>
                <w:rStyle w:val="IndexLink"/>
              </w:rPr>
              <w:t>874</w:t>
            </w:r>
          </w:hyperlink>
        </w:p>
        <w:p>
          <w:pPr>
            <w:pStyle w:val="Contents6"/>
            <w:tabs>
              <w:tab w:val="clear" w:pos="7609"/>
              <w:tab w:val="right" w:pos="9026" w:leader="dot"/>
            </w:tabs>
            <w:rPr/>
          </w:pPr>
          <w:hyperlink w:anchor="__RefHeading___Toc3140979_653776707">
            <w:r>
              <w:rPr>
                <w:webHidden/>
                <w:rStyle w:val="IndexLink"/>
                <w:rtl w:val="true"/>
              </w:rPr>
              <w:t>اشارة</w:t>
            </w:r>
            <w:r>
              <w:rPr>
                <w:rStyle w:val="IndexLink"/>
                <w:rtl w:val="true"/>
              </w:rPr>
              <w:tab/>
            </w:r>
            <w:r>
              <w:rPr>
                <w:rStyle w:val="IndexLink"/>
              </w:rPr>
              <w:t>874</w:t>
            </w:r>
          </w:hyperlink>
        </w:p>
        <w:p>
          <w:pPr>
            <w:pStyle w:val="Contents6"/>
            <w:tabs>
              <w:tab w:val="clear" w:pos="7609"/>
              <w:tab w:val="right" w:pos="9026" w:leader="dot"/>
            </w:tabs>
            <w:rPr/>
          </w:pPr>
          <w:hyperlink w:anchor="__RefHeading___Toc3140981_653776707">
            <w:r>
              <w:rPr>
                <w:webHidden/>
                <w:rStyle w:val="IndexLink"/>
                <w:rtl w:val="true"/>
              </w:rPr>
              <w:t xml:space="preserve">فرع </w:t>
            </w:r>
            <w:r>
              <w:rPr>
                <w:rStyle w:val="IndexLink"/>
                <w:rtl w:val="true"/>
              </w:rPr>
              <w:t>:</w:t>
              <w:tab/>
            </w:r>
            <w:r>
              <w:rPr>
                <w:rStyle w:val="IndexLink"/>
              </w:rPr>
              <w:t>875</w:t>
            </w:r>
          </w:hyperlink>
        </w:p>
        <w:p>
          <w:pPr>
            <w:pStyle w:val="Contents6"/>
            <w:tabs>
              <w:tab w:val="clear" w:pos="7609"/>
              <w:tab w:val="right" w:pos="9026" w:leader="dot"/>
            </w:tabs>
            <w:rPr/>
          </w:pPr>
          <w:hyperlink w:anchor="__RefHeading___Toc3140983_653776707">
            <w:r>
              <w:rPr>
                <w:webHidden/>
                <w:rStyle w:val="IndexLink"/>
                <w:rtl w:val="true"/>
              </w:rPr>
              <w:t xml:space="preserve">مسألة </w:t>
            </w:r>
            <w:r>
              <w:rPr>
                <w:rStyle w:val="IndexLink"/>
                <w:rtl w:val="true"/>
              </w:rPr>
              <w:t>[</w:t>
            </w:r>
            <w:r>
              <w:rPr>
                <w:rStyle w:val="IndexLink"/>
              </w:rPr>
              <w:t>24</w:t>
            </w:r>
            <w:r>
              <w:rPr>
                <w:rStyle w:val="IndexLink"/>
                <w:rtl w:val="true"/>
              </w:rPr>
              <w:t>] :</w:t>
              <w:tab/>
            </w:r>
            <w:r>
              <w:rPr>
                <w:rStyle w:val="IndexLink"/>
              </w:rPr>
              <w:t>877</w:t>
            </w:r>
          </w:hyperlink>
        </w:p>
        <w:p>
          <w:pPr>
            <w:pStyle w:val="Contents6"/>
            <w:tabs>
              <w:tab w:val="clear" w:pos="7609"/>
              <w:tab w:val="right" w:pos="9026" w:leader="dot"/>
            </w:tabs>
            <w:rPr/>
          </w:pPr>
          <w:hyperlink w:anchor="__RefHeading___Toc3140985_653776707">
            <w:r>
              <w:rPr>
                <w:webHidden/>
                <w:rStyle w:val="IndexLink"/>
                <w:rtl w:val="true"/>
              </w:rPr>
              <w:t xml:space="preserve">مسألة </w:t>
            </w:r>
            <w:r>
              <w:rPr>
                <w:rStyle w:val="IndexLink"/>
                <w:rtl w:val="true"/>
              </w:rPr>
              <w:t>[</w:t>
            </w:r>
            <w:r>
              <w:rPr>
                <w:rStyle w:val="IndexLink"/>
              </w:rPr>
              <w:t>25</w:t>
            </w:r>
            <w:r>
              <w:rPr>
                <w:rStyle w:val="IndexLink"/>
                <w:rtl w:val="true"/>
              </w:rPr>
              <w:t>] :</w:t>
              <w:tab/>
            </w:r>
            <w:r>
              <w:rPr>
                <w:rStyle w:val="IndexLink"/>
              </w:rPr>
              <w:t>878</w:t>
            </w:r>
          </w:hyperlink>
        </w:p>
        <w:p>
          <w:pPr>
            <w:pStyle w:val="Contents6"/>
            <w:tabs>
              <w:tab w:val="clear" w:pos="7609"/>
              <w:tab w:val="right" w:pos="9026" w:leader="dot"/>
            </w:tabs>
            <w:rPr/>
          </w:pPr>
          <w:hyperlink w:anchor="__RefHeading___Toc3140987_653776707">
            <w:r>
              <w:rPr>
                <w:webHidden/>
                <w:rStyle w:val="IndexLink"/>
                <w:rtl w:val="true"/>
              </w:rPr>
              <w:t xml:space="preserve">مسألة </w:t>
            </w:r>
            <w:r>
              <w:rPr>
                <w:rStyle w:val="IndexLink"/>
                <w:rtl w:val="true"/>
              </w:rPr>
              <w:t>[</w:t>
            </w:r>
            <w:r>
              <w:rPr>
                <w:rStyle w:val="IndexLink"/>
              </w:rPr>
              <w:t>26</w:t>
            </w:r>
            <w:r>
              <w:rPr>
                <w:rStyle w:val="IndexLink"/>
                <w:rtl w:val="true"/>
              </w:rPr>
              <w:t>] :</w:t>
              <w:tab/>
            </w:r>
            <w:r>
              <w:rPr>
                <w:rStyle w:val="IndexLink"/>
              </w:rPr>
              <w:t>878</w:t>
            </w:r>
          </w:hyperlink>
        </w:p>
        <w:p>
          <w:pPr>
            <w:pStyle w:val="Contents6"/>
            <w:tabs>
              <w:tab w:val="clear" w:pos="7609"/>
              <w:tab w:val="right" w:pos="9026" w:leader="dot"/>
            </w:tabs>
            <w:rPr/>
          </w:pPr>
          <w:hyperlink w:anchor="__RefHeading___Toc3140989_653776707">
            <w:r>
              <w:rPr>
                <w:webHidden/>
                <w:rStyle w:val="IndexLink"/>
                <w:rtl w:val="true"/>
              </w:rPr>
              <w:t xml:space="preserve">مسألة </w:t>
            </w:r>
            <w:r>
              <w:rPr>
                <w:rStyle w:val="IndexLink"/>
                <w:rtl w:val="true"/>
              </w:rPr>
              <w:t>[</w:t>
            </w:r>
            <w:r>
              <w:rPr>
                <w:rStyle w:val="IndexLink"/>
              </w:rPr>
              <w:t>27</w:t>
            </w:r>
            <w:r>
              <w:rPr>
                <w:rStyle w:val="IndexLink"/>
                <w:rtl w:val="true"/>
              </w:rPr>
              <w:t>] :</w:t>
              <w:tab/>
            </w:r>
            <w:r>
              <w:rPr>
                <w:rStyle w:val="IndexLink"/>
              </w:rPr>
              <w:t>879</w:t>
            </w:r>
          </w:hyperlink>
        </w:p>
        <w:p>
          <w:pPr>
            <w:pStyle w:val="Contents6"/>
            <w:tabs>
              <w:tab w:val="clear" w:pos="7609"/>
              <w:tab w:val="right" w:pos="9026" w:leader="dot"/>
            </w:tabs>
            <w:rPr/>
          </w:pPr>
          <w:hyperlink w:anchor="__RefHeading___Toc3140991_653776707">
            <w:r>
              <w:rPr>
                <w:webHidden/>
                <w:rStyle w:val="IndexLink"/>
                <w:rtl w:val="true"/>
              </w:rPr>
              <w:t xml:space="preserve">مسألة </w:t>
            </w:r>
            <w:r>
              <w:rPr>
                <w:rStyle w:val="IndexLink"/>
                <w:rtl w:val="true"/>
              </w:rPr>
              <w:t>[</w:t>
            </w:r>
            <w:r>
              <w:rPr>
                <w:rStyle w:val="IndexLink"/>
              </w:rPr>
              <w:t>28</w:t>
            </w:r>
            <w:r>
              <w:rPr>
                <w:rStyle w:val="IndexLink"/>
                <w:rtl w:val="true"/>
              </w:rPr>
              <w:t>] :</w:t>
              <w:tab/>
            </w:r>
            <w:r>
              <w:rPr>
                <w:rStyle w:val="IndexLink"/>
              </w:rPr>
              <w:t>880</w:t>
            </w:r>
          </w:hyperlink>
        </w:p>
        <w:p>
          <w:pPr>
            <w:pStyle w:val="Contents6"/>
            <w:tabs>
              <w:tab w:val="clear" w:pos="7609"/>
              <w:tab w:val="right" w:pos="9026" w:leader="dot"/>
            </w:tabs>
            <w:rPr/>
          </w:pPr>
          <w:hyperlink w:anchor="__RefHeading___Toc3140993_653776707">
            <w:r>
              <w:rPr>
                <w:webHidden/>
                <w:rStyle w:val="IndexLink"/>
                <w:rtl w:val="true"/>
              </w:rPr>
              <w:t>اشارة</w:t>
            </w:r>
            <w:r>
              <w:rPr>
                <w:rStyle w:val="IndexLink"/>
                <w:rtl w:val="true"/>
              </w:rPr>
              <w:tab/>
            </w:r>
            <w:r>
              <w:rPr>
                <w:rStyle w:val="IndexLink"/>
              </w:rPr>
              <w:t>880</w:t>
            </w:r>
          </w:hyperlink>
        </w:p>
        <w:p>
          <w:pPr>
            <w:pStyle w:val="Contents6"/>
            <w:tabs>
              <w:tab w:val="clear" w:pos="7609"/>
              <w:tab w:val="right" w:pos="9026" w:leader="dot"/>
            </w:tabs>
            <w:rPr/>
          </w:pPr>
          <w:hyperlink w:anchor="__RefHeading___Toc3140995_653776707">
            <w:r>
              <w:rPr>
                <w:webHidden/>
                <w:rStyle w:val="IndexLink"/>
                <w:rtl w:val="true"/>
              </w:rPr>
              <w:t xml:space="preserve">فروع </w:t>
            </w:r>
            <w:r>
              <w:rPr>
                <w:rStyle w:val="IndexLink"/>
                <w:rtl w:val="true"/>
              </w:rPr>
              <w:t>:</w:t>
              <w:tab/>
            </w:r>
            <w:r>
              <w:rPr>
                <w:rStyle w:val="IndexLink"/>
              </w:rPr>
              <w:t>882</w:t>
            </w:r>
          </w:hyperlink>
        </w:p>
        <w:p>
          <w:pPr>
            <w:pStyle w:val="Contents6"/>
            <w:tabs>
              <w:tab w:val="clear" w:pos="7609"/>
              <w:tab w:val="right" w:pos="9026" w:leader="dot"/>
            </w:tabs>
            <w:rPr/>
          </w:pPr>
          <w:hyperlink w:anchor="__RefHeading___Toc3140997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الأوّل </w:t>
            </w:r>
            <w:r>
              <w:rPr>
                <w:rStyle w:val="IndexLink"/>
                <w:rtl w:val="true"/>
              </w:rPr>
              <w:t>:</w:t>
              <w:tab/>
            </w:r>
            <w:r>
              <w:rPr>
                <w:rStyle w:val="IndexLink"/>
              </w:rPr>
              <w:t>882</w:t>
            </w:r>
          </w:hyperlink>
        </w:p>
        <w:p>
          <w:pPr>
            <w:pStyle w:val="Contents6"/>
            <w:tabs>
              <w:tab w:val="clear" w:pos="7609"/>
              <w:tab w:val="right" w:pos="9026" w:leader="dot"/>
            </w:tabs>
            <w:rPr/>
          </w:pPr>
          <w:hyperlink w:anchor="__RefHeading___Toc3140999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الثاني </w:t>
            </w:r>
            <w:r>
              <w:rPr>
                <w:rStyle w:val="IndexLink"/>
                <w:rtl w:val="true"/>
              </w:rPr>
              <w:t>:</w:t>
              <w:tab/>
            </w:r>
            <w:r>
              <w:rPr>
                <w:rStyle w:val="IndexLink"/>
              </w:rPr>
              <w:t>883</w:t>
            </w:r>
          </w:hyperlink>
        </w:p>
        <w:p>
          <w:pPr>
            <w:pStyle w:val="Contents6"/>
            <w:tabs>
              <w:tab w:val="clear" w:pos="7609"/>
              <w:tab w:val="right" w:pos="9026" w:leader="dot"/>
            </w:tabs>
            <w:rPr/>
          </w:pPr>
          <w:hyperlink w:anchor="__RefHeading___Toc3141001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الثالث </w:t>
            </w:r>
            <w:r>
              <w:rPr>
                <w:rStyle w:val="IndexLink"/>
                <w:rtl w:val="true"/>
              </w:rPr>
              <w:t>:</w:t>
              <w:tab/>
            </w:r>
            <w:r>
              <w:rPr>
                <w:rStyle w:val="IndexLink"/>
              </w:rPr>
              <w:t>883</w:t>
            </w:r>
          </w:hyperlink>
        </w:p>
        <w:p>
          <w:pPr>
            <w:pStyle w:val="Contents6"/>
            <w:tabs>
              <w:tab w:val="clear" w:pos="7609"/>
              <w:tab w:val="right" w:pos="9026" w:leader="dot"/>
            </w:tabs>
            <w:rPr/>
          </w:pPr>
          <w:hyperlink w:anchor="__RefHeading___Toc3141003_653776707">
            <w:r>
              <w:rPr>
                <w:webHidden/>
                <w:rStyle w:val="IndexLink"/>
                <w:rtl w:val="true"/>
              </w:rPr>
              <w:t xml:space="preserve">[ </w:t>
            </w:r>
            <w:r>
              <w:rPr>
                <w:rStyle w:val="IndexLink"/>
                <w:rtl w:val="true"/>
              </w:rPr>
              <w:t xml:space="preserve">الفرع </w:t>
            </w:r>
            <w:r>
              <w:rPr>
                <w:rStyle w:val="IndexLink"/>
                <w:rtl w:val="true"/>
              </w:rPr>
              <w:t xml:space="preserve">] </w:t>
            </w:r>
            <w:r>
              <w:rPr>
                <w:rStyle w:val="IndexLink"/>
                <w:rtl w:val="true"/>
              </w:rPr>
              <w:t xml:space="preserve">الرابع </w:t>
            </w:r>
            <w:r>
              <w:rPr>
                <w:rStyle w:val="IndexLink"/>
                <w:rtl w:val="true"/>
              </w:rPr>
              <w:t>:</w:t>
              <w:tab/>
            </w:r>
            <w:r>
              <w:rPr>
                <w:rStyle w:val="IndexLink"/>
              </w:rPr>
              <w:t>884</w:t>
            </w:r>
          </w:hyperlink>
        </w:p>
        <w:p>
          <w:pPr>
            <w:pStyle w:val="Contents6"/>
            <w:tabs>
              <w:tab w:val="clear" w:pos="7609"/>
              <w:tab w:val="right" w:pos="9026" w:leader="dot"/>
            </w:tabs>
            <w:rPr/>
          </w:pPr>
          <w:hyperlink w:anchor="__RefHeading___Toc3141005_653776707">
            <w:r>
              <w:rPr>
                <w:webHidden/>
                <w:rStyle w:val="IndexLink"/>
                <w:rtl w:val="true"/>
              </w:rPr>
              <w:t xml:space="preserve">مسألة </w:t>
            </w:r>
            <w:r>
              <w:rPr>
                <w:rStyle w:val="IndexLink"/>
                <w:rtl w:val="true"/>
              </w:rPr>
              <w:t>[</w:t>
            </w:r>
            <w:r>
              <w:rPr>
                <w:rStyle w:val="IndexLink"/>
              </w:rPr>
              <w:t>29</w:t>
            </w:r>
            <w:r>
              <w:rPr>
                <w:rStyle w:val="IndexLink"/>
                <w:rtl w:val="true"/>
              </w:rPr>
              <w:t>] :</w:t>
              <w:tab/>
            </w:r>
            <w:r>
              <w:rPr>
                <w:rStyle w:val="IndexLink"/>
              </w:rPr>
              <w:t>884</w:t>
            </w:r>
          </w:hyperlink>
        </w:p>
        <w:p>
          <w:pPr>
            <w:pStyle w:val="Contents6"/>
            <w:tabs>
              <w:tab w:val="clear" w:pos="7609"/>
              <w:tab w:val="right" w:pos="9026" w:leader="dot"/>
            </w:tabs>
            <w:rPr/>
          </w:pPr>
          <w:hyperlink w:anchor="__RefHeading___Toc3141007_653776707">
            <w:r>
              <w:rPr>
                <w:webHidden/>
                <w:rStyle w:val="IndexLink"/>
                <w:rtl w:val="true"/>
              </w:rPr>
              <w:t xml:space="preserve">مسألة </w:t>
            </w:r>
            <w:r>
              <w:rPr>
                <w:rStyle w:val="IndexLink"/>
                <w:rtl w:val="true"/>
              </w:rPr>
              <w:t>[</w:t>
            </w:r>
            <w:r>
              <w:rPr>
                <w:rStyle w:val="IndexLink"/>
              </w:rPr>
              <w:t>30</w:t>
            </w:r>
            <w:r>
              <w:rPr>
                <w:rStyle w:val="IndexLink"/>
                <w:rtl w:val="true"/>
              </w:rPr>
              <w:t>] :</w:t>
              <w:tab/>
            </w:r>
            <w:r>
              <w:rPr>
                <w:rStyle w:val="IndexLink"/>
              </w:rPr>
              <w:t>887</w:t>
            </w:r>
          </w:hyperlink>
        </w:p>
        <w:p>
          <w:pPr>
            <w:pStyle w:val="Contents6"/>
            <w:tabs>
              <w:tab w:val="clear" w:pos="7609"/>
              <w:tab w:val="right" w:pos="9026" w:leader="dot"/>
            </w:tabs>
            <w:rPr/>
          </w:pPr>
          <w:hyperlink w:anchor="__RefHeading___Toc3141009_653776707">
            <w:r>
              <w:rPr>
                <w:webHidden/>
                <w:rStyle w:val="IndexLink"/>
                <w:rtl w:val="true"/>
              </w:rPr>
              <w:t xml:space="preserve">مسألة </w:t>
            </w:r>
            <w:r>
              <w:rPr>
                <w:rStyle w:val="IndexLink"/>
                <w:rtl w:val="true"/>
              </w:rPr>
              <w:t>[</w:t>
            </w:r>
            <w:r>
              <w:rPr>
                <w:rStyle w:val="IndexLink"/>
              </w:rPr>
              <w:t>31</w:t>
            </w:r>
            <w:r>
              <w:rPr>
                <w:rStyle w:val="IndexLink"/>
                <w:rtl w:val="true"/>
              </w:rPr>
              <w:t>] :</w:t>
              <w:tab/>
            </w:r>
            <w:r>
              <w:rPr>
                <w:rStyle w:val="IndexLink"/>
              </w:rPr>
              <w:t>887</w:t>
            </w:r>
          </w:hyperlink>
        </w:p>
        <w:p>
          <w:pPr>
            <w:pStyle w:val="Contents6"/>
            <w:tabs>
              <w:tab w:val="clear" w:pos="7609"/>
              <w:tab w:val="right" w:pos="9026" w:leader="dot"/>
            </w:tabs>
            <w:rPr/>
          </w:pPr>
          <w:hyperlink w:anchor="__RefHeading___Toc3141011_653776707">
            <w:r>
              <w:rPr>
                <w:webHidden/>
                <w:rStyle w:val="IndexLink"/>
                <w:rtl w:val="true"/>
              </w:rPr>
              <w:t xml:space="preserve">مسألة </w:t>
            </w:r>
            <w:r>
              <w:rPr>
                <w:rStyle w:val="IndexLink"/>
                <w:rtl w:val="true"/>
              </w:rPr>
              <w:t>[</w:t>
            </w:r>
            <w:r>
              <w:rPr>
                <w:rStyle w:val="IndexLink"/>
              </w:rPr>
              <w:t>32</w:t>
            </w:r>
            <w:r>
              <w:rPr>
                <w:rStyle w:val="IndexLink"/>
                <w:rtl w:val="true"/>
              </w:rPr>
              <w:t>] :</w:t>
              <w:tab/>
            </w:r>
            <w:r>
              <w:rPr>
                <w:rStyle w:val="IndexLink"/>
              </w:rPr>
              <w:t>888</w:t>
            </w:r>
          </w:hyperlink>
        </w:p>
        <w:p>
          <w:pPr>
            <w:pStyle w:val="Contents6"/>
            <w:tabs>
              <w:tab w:val="clear" w:pos="7609"/>
              <w:tab w:val="right" w:pos="9026" w:leader="dot"/>
            </w:tabs>
            <w:rPr/>
          </w:pPr>
          <w:hyperlink w:anchor="__RefHeading___Toc3141013_653776707">
            <w:r>
              <w:rPr>
                <w:webHidden/>
                <w:rStyle w:val="IndexLink"/>
                <w:rtl w:val="true"/>
              </w:rPr>
              <w:t>اشارة</w:t>
            </w:r>
            <w:r>
              <w:rPr>
                <w:rStyle w:val="IndexLink"/>
                <w:rtl w:val="true"/>
              </w:rPr>
              <w:tab/>
            </w:r>
            <w:r>
              <w:rPr>
                <w:rStyle w:val="IndexLink"/>
              </w:rPr>
              <w:t>888</w:t>
            </w:r>
          </w:hyperlink>
        </w:p>
        <w:p>
          <w:pPr>
            <w:pStyle w:val="Contents6"/>
            <w:tabs>
              <w:tab w:val="clear" w:pos="7609"/>
              <w:tab w:val="right" w:pos="9026" w:leader="dot"/>
            </w:tabs>
            <w:rPr/>
          </w:pPr>
          <w:hyperlink w:anchor="__RefHeading___Toc3141015_653776707">
            <w:r>
              <w:rPr>
                <w:webHidden/>
                <w:rStyle w:val="IndexLink"/>
                <w:rtl w:val="true"/>
              </w:rPr>
              <w:t xml:space="preserve">تذنيب </w:t>
            </w:r>
            <w:r>
              <w:rPr>
                <w:rStyle w:val="IndexLink"/>
                <w:rtl w:val="true"/>
              </w:rPr>
              <w:t>:</w:t>
              <w:tab/>
            </w:r>
            <w:r>
              <w:rPr>
                <w:rStyle w:val="IndexLink"/>
              </w:rPr>
              <w:t>890</w:t>
            </w:r>
          </w:hyperlink>
        </w:p>
        <w:p>
          <w:pPr>
            <w:pStyle w:val="Contents6"/>
            <w:tabs>
              <w:tab w:val="clear" w:pos="7609"/>
              <w:tab w:val="right" w:pos="9026" w:leader="dot"/>
            </w:tabs>
            <w:rPr/>
          </w:pPr>
          <w:hyperlink w:anchor="__RefHeading___Toc3141017_653776707">
            <w:r>
              <w:rPr>
                <w:webHidden/>
                <w:rStyle w:val="IndexLink"/>
                <w:rtl w:val="true"/>
              </w:rPr>
              <w:t xml:space="preserve">مسألة </w:t>
            </w:r>
            <w:r>
              <w:rPr>
                <w:rStyle w:val="IndexLink"/>
                <w:rtl w:val="true"/>
              </w:rPr>
              <w:t>[</w:t>
            </w:r>
            <w:r>
              <w:rPr>
                <w:rStyle w:val="IndexLink"/>
              </w:rPr>
              <w:t>33</w:t>
            </w:r>
            <w:r>
              <w:rPr>
                <w:rStyle w:val="IndexLink"/>
                <w:rtl w:val="true"/>
              </w:rPr>
              <w:t>] :</w:t>
              <w:tab/>
            </w:r>
            <w:r>
              <w:rPr>
                <w:rStyle w:val="IndexLink"/>
              </w:rPr>
              <w:t>891</w:t>
            </w:r>
          </w:hyperlink>
        </w:p>
        <w:p>
          <w:pPr>
            <w:pStyle w:val="Contents6"/>
            <w:tabs>
              <w:tab w:val="clear" w:pos="7609"/>
              <w:tab w:val="right" w:pos="9026" w:leader="dot"/>
            </w:tabs>
            <w:rPr/>
          </w:pPr>
          <w:hyperlink w:anchor="__RefHeading___Toc3141019_653776707">
            <w:r>
              <w:rPr>
                <w:webHidden/>
                <w:rStyle w:val="IndexLink"/>
                <w:rtl w:val="true"/>
              </w:rPr>
              <w:t xml:space="preserve">مسألة </w:t>
            </w:r>
            <w:r>
              <w:rPr>
                <w:rStyle w:val="IndexLink"/>
                <w:rtl w:val="true"/>
              </w:rPr>
              <w:t>[</w:t>
            </w:r>
            <w:r>
              <w:rPr>
                <w:rStyle w:val="IndexLink"/>
              </w:rPr>
              <w:t>34</w:t>
            </w:r>
            <w:r>
              <w:rPr>
                <w:rStyle w:val="IndexLink"/>
                <w:rtl w:val="true"/>
              </w:rPr>
              <w:t>] :</w:t>
              <w:tab/>
            </w:r>
            <w:r>
              <w:rPr>
                <w:rStyle w:val="IndexLink"/>
              </w:rPr>
              <w:t>892</w:t>
            </w:r>
          </w:hyperlink>
        </w:p>
        <w:p>
          <w:pPr>
            <w:pStyle w:val="Contents5"/>
            <w:tabs>
              <w:tab w:val="clear" w:pos="7892"/>
              <w:tab w:val="right" w:pos="9026" w:leader="dot"/>
            </w:tabs>
            <w:rPr/>
          </w:pPr>
          <w:hyperlink w:anchor="__RefHeading___Toc3141021_653776707">
            <w:r>
              <w:rPr>
                <w:webHidden/>
                <w:rStyle w:val="IndexLink"/>
                <w:rtl w:val="true"/>
              </w:rPr>
              <w:t xml:space="preserve">النظر الثاني </w:t>
            </w:r>
            <w:r>
              <w:rPr>
                <w:rStyle w:val="IndexLink"/>
                <w:rtl w:val="true"/>
              </w:rPr>
              <w:t xml:space="preserve">: </w:t>
            </w:r>
            <w:r>
              <w:rPr>
                <w:rStyle w:val="IndexLink"/>
                <w:rtl w:val="true"/>
              </w:rPr>
              <w:t>في آداب الحمّام</w:t>
            </w:r>
            <w:r>
              <w:rPr>
                <w:rStyle w:val="IndexLink"/>
                <w:rtl w:val="true"/>
              </w:rPr>
              <w:tab/>
            </w:r>
            <w:r>
              <w:rPr>
                <w:rStyle w:val="IndexLink"/>
              </w:rPr>
              <w:t>894</w:t>
            </w:r>
          </w:hyperlink>
        </w:p>
        <w:p>
          <w:pPr>
            <w:pStyle w:val="Contents6"/>
            <w:tabs>
              <w:tab w:val="clear" w:pos="7609"/>
              <w:tab w:val="right" w:pos="9026" w:leader="dot"/>
            </w:tabs>
            <w:rPr/>
          </w:pPr>
          <w:hyperlink w:anchor="__RefHeading___Toc3141023_653776707">
            <w:r>
              <w:rPr>
                <w:webHidden/>
                <w:rStyle w:val="IndexLink"/>
                <w:rtl w:val="true"/>
              </w:rPr>
              <w:t>اشارة</w:t>
            </w:r>
            <w:r>
              <w:rPr>
                <w:rStyle w:val="IndexLink"/>
                <w:rtl w:val="true"/>
              </w:rPr>
              <w:tab/>
            </w:r>
            <w:r>
              <w:rPr>
                <w:rStyle w:val="IndexLink"/>
              </w:rPr>
              <w:t>894</w:t>
            </w:r>
          </w:hyperlink>
        </w:p>
        <w:p>
          <w:pPr>
            <w:pStyle w:val="Contents6"/>
            <w:tabs>
              <w:tab w:val="clear" w:pos="7609"/>
              <w:tab w:val="right" w:pos="9026" w:leader="dot"/>
            </w:tabs>
            <w:rPr/>
          </w:pPr>
          <w:hyperlink w:anchor="__RefHeading___Toc3141025_653776707">
            <w:r>
              <w:rPr>
                <w:webHidden/>
                <w:rStyle w:val="IndexLink"/>
                <w:rtl w:val="true"/>
              </w:rPr>
              <w:t xml:space="preserve">فصل </w:t>
            </w:r>
            <w:r>
              <w:rPr>
                <w:rStyle w:val="IndexLink"/>
                <w:rtl w:val="true"/>
              </w:rPr>
              <w:t>:</w:t>
              <w:tab/>
            </w:r>
            <w:r>
              <w:rPr>
                <w:rStyle w:val="IndexLink"/>
              </w:rPr>
              <w:t>895</w:t>
            </w:r>
          </w:hyperlink>
        </w:p>
        <w:p>
          <w:pPr>
            <w:pStyle w:val="Contents6"/>
            <w:tabs>
              <w:tab w:val="clear" w:pos="7609"/>
              <w:tab w:val="right" w:pos="9026" w:leader="dot"/>
            </w:tabs>
            <w:rPr/>
          </w:pPr>
          <w:hyperlink w:anchor="__RefHeading___Toc3141027_653776707">
            <w:r>
              <w:rPr>
                <w:webHidden/>
                <w:rStyle w:val="IndexLink"/>
                <w:rtl w:val="true"/>
              </w:rPr>
              <w:t xml:space="preserve">فصل </w:t>
            </w:r>
            <w:r>
              <w:rPr>
                <w:rStyle w:val="IndexLink"/>
                <w:rtl w:val="true"/>
              </w:rPr>
              <w:t>:</w:t>
              <w:tab/>
            </w:r>
            <w:r>
              <w:rPr>
                <w:rStyle w:val="IndexLink"/>
              </w:rPr>
              <w:t>896</w:t>
            </w:r>
          </w:hyperlink>
        </w:p>
        <w:p>
          <w:pPr>
            <w:pStyle w:val="Contents6"/>
            <w:tabs>
              <w:tab w:val="clear" w:pos="7609"/>
              <w:tab w:val="right" w:pos="9026" w:leader="dot"/>
            </w:tabs>
            <w:rPr/>
          </w:pPr>
          <w:hyperlink w:anchor="__RefHeading___Toc3141029_653776707">
            <w:r>
              <w:rPr>
                <w:webHidden/>
                <w:rStyle w:val="IndexLink"/>
                <w:rtl w:val="true"/>
              </w:rPr>
              <w:t xml:space="preserve">فصل </w:t>
            </w:r>
            <w:r>
              <w:rPr>
                <w:rStyle w:val="IndexLink"/>
                <w:rtl w:val="true"/>
              </w:rPr>
              <w:t>:</w:t>
              <w:tab/>
            </w:r>
            <w:r>
              <w:rPr>
                <w:rStyle w:val="IndexLink"/>
              </w:rPr>
              <w:t>897</w:t>
            </w:r>
          </w:hyperlink>
        </w:p>
        <w:p>
          <w:pPr>
            <w:pStyle w:val="Contents6"/>
            <w:tabs>
              <w:tab w:val="clear" w:pos="7609"/>
              <w:tab w:val="right" w:pos="9026" w:leader="dot"/>
            </w:tabs>
            <w:rPr/>
          </w:pPr>
          <w:hyperlink w:anchor="__RefHeading___Toc3141031_653776707">
            <w:r>
              <w:rPr>
                <w:webHidden/>
                <w:rStyle w:val="IndexLink"/>
                <w:rtl w:val="true"/>
              </w:rPr>
              <w:t xml:space="preserve">فصل </w:t>
            </w:r>
            <w:r>
              <w:rPr>
                <w:rStyle w:val="IndexLink"/>
                <w:rtl w:val="true"/>
              </w:rPr>
              <w:t>:</w:t>
              <w:tab/>
            </w:r>
            <w:r>
              <w:rPr>
                <w:rStyle w:val="IndexLink"/>
              </w:rPr>
              <w:t>899</w:t>
            </w:r>
          </w:hyperlink>
        </w:p>
        <w:p>
          <w:pPr>
            <w:pStyle w:val="Contents6"/>
            <w:tabs>
              <w:tab w:val="clear" w:pos="7609"/>
              <w:tab w:val="right" w:pos="9026" w:leader="dot"/>
            </w:tabs>
            <w:rPr/>
          </w:pPr>
          <w:hyperlink w:anchor="__RefHeading___Toc3141033_653776707">
            <w:r>
              <w:rPr>
                <w:webHidden/>
                <w:rStyle w:val="IndexLink"/>
                <w:rtl w:val="true"/>
              </w:rPr>
              <w:t xml:space="preserve">فصل </w:t>
            </w:r>
            <w:r>
              <w:rPr>
                <w:rStyle w:val="IndexLink"/>
                <w:rtl w:val="true"/>
              </w:rPr>
              <w:t>:</w:t>
              <w:tab/>
            </w:r>
            <w:r>
              <w:rPr>
                <w:rStyle w:val="IndexLink"/>
              </w:rPr>
              <w:t>900</w:t>
            </w:r>
          </w:hyperlink>
        </w:p>
        <w:p>
          <w:pPr>
            <w:pStyle w:val="Contents6"/>
            <w:tabs>
              <w:tab w:val="clear" w:pos="7609"/>
              <w:tab w:val="right" w:pos="9026" w:leader="dot"/>
            </w:tabs>
            <w:rPr/>
          </w:pPr>
          <w:hyperlink w:anchor="__RefHeading___Toc3141035_653776707">
            <w:r>
              <w:rPr>
                <w:webHidden/>
                <w:rStyle w:val="IndexLink"/>
                <w:rtl w:val="true"/>
              </w:rPr>
              <w:t xml:space="preserve">فصل </w:t>
            </w:r>
            <w:r>
              <w:rPr>
                <w:rStyle w:val="IndexLink"/>
                <w:rtl w:val="true"/>
              </w:rPr>
              <w:t>:</w:t>
              <w:tab/>
            </w:r>
            <w:r>
              <w:rPr>
                <w:rStyle w:val="IndexLink"/>
              </w:rPr>
              <w:t>901</w:t>
            </w:r>
          </w:hyperlink>
        </w:p>
        <w:p>
          <w:pPr>
            <w:pStyle w:val="Contents6"/>
            <w:tabs>
              <w:tab w:val="clear" w:pos="7609"/>
              <w:tab w:val="right" w:pos="9026" w:leader="dot"/>
            </w:tabs>
            <w:rPr/>
          </w:pPr>
          <w:hyperlink w:anchor="__RefHeading___Toc3141037_653776707">
            <w:r>
              <w:rPr>
                <w:webHidden/>
                <w:rStyle w:val="IndexLink"/>
                <w:rtl w:val="true"/>
              </w:rPr>
              <w:t xml:space="preserve">فصل </w:t>
            </w:r>
            <w:r>
              <w:rPr>
                <w:rStyle w:val="IndexLink"/>
                <w:rtl w:val="true"/>
              </w:rPr>
              <w:t>:</w:t>
              <w:tab/>
            </w:r>
            <w:r>
              <w:rPr>
                <w:rStyle w:val="IndexLink"/>
              </w:rPr>
              <w:t>902</w:t>
            </w:r>
          </w:hyperlink>
        </w:p>
        <w:p>
          <w:pPr>
            <w:pStyle w:val="Contents6"/>
            <w:tabs>
              <w:tab w:val="clear" w:pos="7609"/>
              <w:tab w:val="right" w:pos="9026" w:leader="dot"/>
            </w:tabs>
            <w:rPr/>
          </w:pPr>
          <w:hyperlink w:anchor="__RefHeading___Toc3141039_653776707">
            <w:r>
              <w:rPr>
                <w:webHidden/>
                <w:rStyle w:val="IndexLink"/>
                <w:rtl w:val="true"/>
              </w:rPr>
              <w:t xml:space="preserve">فصل </w:t>
            </w:r>
            <w:r>
              <w:rPr>
                <w:rStyle w:val="IndexLink"/>
                <w:rtl w:val="true"/>
              </w:rPr>
              <w:t>:</w:t>
              <w:tab/>
            </w:r>
            <w:r>
              <w:rPr>
                <w:rStyle w:val="IndexLink"/>
              </w:rPr>
              <w:t>903</w:t>
            </w:r>
          </w:hyperlink>
        </w:p>
        <w:p>
          <w:pPr>
            <w:pStyle w:val="Contents5"/>
            <w:tabs>
              <w:tab w:val="clear" w:pos="7892"/>
              <w:tab w:val="right" w:pos="9026" w:leader="dot"/>
            </w:tabs>
            <w:rPr/>
          </w:pPr>
          <w:hyperlink w:anchor="__RefHeading___Toc3141041_653776707">
            <w:r>
              <w:rPr>
                <w:webHidden/>
                <w:rStyle w:val="IndexLink"/>
                <w:rtl w:val="true"/>
              </w:rPr>
              <w:t xml:space="preserve">فصل </w:t>
            </w:r>
            <w:r>
              <w:rPr>
                <w:rStyle w:val="IndexLink"/>
                <w:rtl w:val="true"/>
              </w:rPr>
              <w:t>:</w:t>
              <w:tab/>
            </w:r>
            <w:r>
              <w:rPr>
                <w:rStyle w:val="IndexLink"/>
              </w:rPr>
              <w:t>905</w:t>
            </w:r>
          </w:hyperlink>
        </w:p>
        <w:p>
          <w:pPr>
            <w:pStyle w:val="Contents6"/>
            <w:tabs>
              <w:tab w:val="clear" w:pos="7609"/>
              <w:tab w:val="right" w:pos="9026" w:leader="dot"/>
            </w:tabs>
            <w:rPr/>
          </w:pPr>
          <w:hyperlink w:anchor="__RefHeading___Toc3141043_653776707">
            <w:r>
              <w:rPr>
                <w:webHidden/>
                <w:rStyle w:val="IndexLink"/>
                <w:rtl w:val="true"/>
              </w:rPr>
              <w:t>اشارة</w:t>
            </w:r>
            <w:r>
              <w:rPr>
                <w:rStyle w:val="IndexLink"/>
                <w:rtl w:val="true"/>
              </w:rPr>
              <w:tab/>
            </w:r>
            <w:r>
              <w:rPr>
                <w:rStyle w:val="IndexLink"/>
              </w:rPr>
              <w:t>905</w:t>
            </w:r>
          </w:hyperlink>
        </w:p>
        <w:p>
          <w:pPr>
            <w:pStyle w:val="Contents6"/>
            <w:tabs>
              <w:tab w:val="clear" w:pos="7609"/>
              <w:tab w:val="right" w:pos="9026" w:leader="dot"/>
            </w:tabs>
            <w:rPr/>
          </w:pPr>
          <w:hyperlink w:anchor="__RefHeading___Toc3141045_653776707">
            <w:r>
              <w:rPr>
                <w:webHidden/>
                <w:rStyle w:val="IndexLink"/>
                <w:rtl w:val="true"/>
              </w:rPr>
              <w:t xml:space="preserve">فصل </w:t>
            </w:r>
            <w:r>
              <w:rPr>
                <w:rStyle w:val="IndexLink"/>
                <w:rtl w:val="true"/>
              </w:rPr>
              <w:t>:</w:t>
              <w:tab/>
            </w:r>
            <w:r>
              <w:rPr>
                <w:rStyle w:val="IndexLink"/>
              </w:rPr>
              <w:t>907</w:t>
            </w:r>
          </w:hyperlink>
        </w:p>
        <w:p>
          <w:pPr>
            <w:pStyle w:val="Contents6"/>
            <w:tabs>
              <w:tab w:val="clear" w:pos="7609"/>
              <w:tab w:val="right" w:pos="9026" w:leader="dot"/>
            </w:tabs>
            <w:rPr/>
          </w:pPr>
          <w:hyperlink w:anchor="__RefHeading___Toc3141047_653776707">
            <w:r>
              <w:rPr>
                <w:webHidden/>
                <w:rStyle w:val="IndexLink"/>
                <w:rtl w:val="true"/>
              </w:rPr>
              <w:t xml:space="preserve">فصل </w:t>
            </w:r>
            <w:r>
              <w:rPr>
                <w:rStyle w:val="IndexLink"/>
                <w:rtl w:val="true"/>
              </w:rPr>
              <w:t>:</w:t>
              <w:tab/>
            </w:r>
            <w:r>
              <w:rPr>
                <w:rStyle w:val="IndexLink"/>
              </w:rPr>
              <w:t>909</w:t>
            </w:r>
          </w:hyperlink>
        </w:p>
        <w:p>
          <w:pPr>
            <w:pStyle w:val="Contents6"/>
            <w:tabs>
              <w:tab w:val="clear" w:pos="7609"/>
              <w:tab w:val="right" w:pos="9026" w:leader="dot"/>
            </w:tabs>
            <w:rPr/>
          </w:pPr>
          <w:hyperlink w:anchor="__RefHeading___Toc3141049_653776707">
            <w:r>
              <w:rPr>
                <w:webHidden/>
                <w:rStyle w:val="IndexLink"/>
                <w:rtl w:val="true"/>
              </w:rPr>
              <w:t xml:space="preserve">فصل </w:t>
            </w:r>
            <w:r>
              <w:rPr>
                <w:rStyle w:val="IndexLink"/>
                <w:rtl w:val="true"/>
              </w:rPr>
              <w:t>:</w:t>
              <w:tab/>
            </w:r>
            <w:r>
              <w:rPr>
                <w:rStyle w:val="IndexLink"/>
              </w:rPr>
              <w:t>910</w:t>
            </w:r>
          </w:hyperlink>
        </w:p>
        <w:p>
          <w:pPr>
            <w:pStyle w:val="Contents6"/>
            <w:tabs>
              <w:tab w:val="clear" w:pos="7609"/>
              <w:tab w:val="right" w:pos="9026" w:leader="dot"/>
            </w:tabs>
            <w:rPr/>
          </w:pPr>
          <w:hyperlink w:anchor="__RefHeading___Toc3141051_653776707">
            <w:r>
              <w:rPr>
                <w:webHidden/>
                <w:rStyle w:val="IndexLink"/>
                <w:rtl w:val="true"/>
              </w:rPr>
              <w:t xml:space="preserve">فصل </w:t>
            </w:r>
            <w:r>
              <w:rPr>
                <w:rStyle w:val="IndexLink"/>
                <w:rtl w:val="true"/>
              </w:rPr>
              <w:t>:</w:t>
              <w:tab/>
            </w:r>
            <w:r>
              <w:rPr>
                <w:rStyle w:val="IndexLink"/>
              </w:rPr>
              <w:t>911</w:t>
            </w:r>
          </w:hyperlink>
        </w:p>
        <w:p>
          <w:pPr>
            <w:pStyle w:val="Contents6"/>
            <w:tabs>
              <w:tab w:val="clear" w:pos="7609"/>
              <w:tab w:val="right" w:pos="9026" w:leader="dot"/>
            </w:tabs>
            <w:rPr/>
          </w:pPr>
          <w:hyperlink w:anchor="__RefHeading___Toc3141053_653776707">
            <w:r>
              <w:rPr>
                <w:webHidden/>
                <w:rStyle w:val="IndexLink"/>
                <w:rtl w:val="true"/>
              </w:rPr>
              <w:t xml:space="preserve">فصل </w:t>
            </w:r>
            <w:r>
              <w:rPr>
                <w:rStyle w:val="IndexLink"/>
                <w:rtl w:val="true"/>
              </w:rPr>
              <w:t>:</w:t>
              <w:tab/>
            </w:r>
            <w:r>
              <w:rPr>
                <w:rStyle w:val="IndexLink"/>
              </w:rPr>
              <w:t>912</w:t>
            </w:r>
          </w:hyperlink>
        </w:p>
        <w:p>
          <w:pPr>
            <w:pStyle w:val="Contents6"/>
            <w:tabs>
              <w:tab w:val="clear" w:pos="7609"/>
              <w:tab w:val="right" w:pos="9026" w:leader="dot"/>
            </w:tabs>
            <w:rPr/>
          </w:pPr>
          <w:hyperlink w:anchor="__RefHeading___Toc3141055_653776707">
            <w:r>
              <w:rPr>
                <w:webHidden/>
                <w:rStyle w:val="IndexLink"/>
                <w:rtl w:val="true"/>
              </w:rPr>
              <w:t xml:space="preserve">فصل </w:t>
            </w:r>
            <w:r>
              <w:rPr>
                <w:rStyle w:val="IndexLink"/>
                <w:rtl w:val="true"/>
              </w:rPr>
              <w:t>:</w:t>
              <w:tab/>
            </w:r>
            <w:r>
              <w:rPr>
                <w:rStyle w:val="IndexLink"/>
              </w:rPr>
              <w:t>913</w:t>
            </w:r>
          </w:hyperlink>
        </w:p>
        <w:p>
          <w:pPr>
            <w:pStyle w:val="Contents6"/>
            <w:tabs>
              <w:tab w:val="clear" w:pos="7609"/>
              <w:tab w:val="right" w:pos="9026" w:leader="dot"/>
            </w:tabs>
            <w:rPr/>
          </w:pPr>
          <w:hyperlink w:anchor="__RefHeading___Toc3141057_653776707">
            <w:r>
              <w:rPr>
                <w:webHidden/>
                <w:rStyle w:val="IndexLink"/>
                <w:rtl w:val="true"/>
              </w:rPr>
              <w:t xml:space="preserve">فصل </w:t>
            </w:r>
            <w:r>
              <w:rPr>
                <w:rStyle w:val="IndexLink"/>
                <w:rtl w:val="true"/>
              </w:rPr>
              <w:t>:</w:t>
              <w:tab/>
            </w:r>
            <w:r>
              <w:rPr>
                <w:rStyle w:val="IndexLink"/>
              </w:rPr>
              <w:t>914</w:t>
            </w:r>
          </w:hyperlink>
        </w:p>
        <w:p>
          <w:pPr>
            <w:pStyle w:val="Contents5"/>
            <w:tabs>
              <w:tab w:val="clear" w:pos="7892"/>
              <w:tab w:val="right" w:pos="9026" w:leader="dot"/>
            </w:tabs>
            <w:rPr/>
          </w:pPr>
          <w:hyperlink w:anchor="__RefHeading___Toc3141059_653776707">
            <w:r>
              <w:rPr>
                <w:webHidden/>
                <w:rStyle w:val="IndexLink"/>
                <w:rtl w:val="true"/>
              </w:rPr>
              <w:t xml:space="preserve">النظر الثالث </w:t>
            </w:r>
            <w:r>
              <w:rPr>
                <w:rStyle w:val="IndexLink"/>
                <w:rtl w:val="true"/>
              </w:rPr>
              <w:t xml:space="preserve">: </w:t>
            </w:r>
            <w:r>
              <w:rPr>
                <w:rStyle w:val="IndexLink"/>
                <w:rtl w:val="true"/>
              </w:rPr>
              <w:t>في باقي أنواع الاستطابة</w:t>
            </w:r>
            <w:r>
              <w:rPr>
                <w:rStyle w:val="IndexLink"/>
                <w:rtl w:val="true"/>
              </w:rPr>
              <w:tab/>
            </w:r>
            <w:r>
              <w:rPr>
                <w:rStyle w:val="IndexLink"/>
              </w:rPr>
              <w:t>916</w:t>
            </w:r>
          </w:hyperlink>
        </w:p>
        <w:p>
          <w:pPr>
            <w:pStyle w:val="Contents6"/>
            <w:tabs>
              <w:tab w:val="clear" w:pos="7609"/>
              <w:tab w:val="right" w:pos="9026" w:leader="dot"/>
            </w:tabs>
            <w:rPr/>
          </w:pPr>
          <w:hyperlink w:anchor="__RefHeading___Toc3141061_653776707">
            <w:r>
              <w:rPr>
                <w:webHidden/>
                <w:rStyle w:val="IndexLink"/>
                <w:rtl w:val="true"/>
              </w:rPr>
              <w:t>اشارة</w:t>
            </w:r>
            <w:r>
              <w:rPr>
                <w:rStyle w:val="IndexLink"/>
                <w:rtl w:val="true"/>
              </w:rPr>
              <w:tab/>
            </w:r>
            <w:r>
              <w:rPr>
                <w:rStyle w:val="IndexLink"/>
              </w:rPr>
              <w:t>916</w:t>
            </w:r>
          </w:hyperlink>
        </w:p>
        <w:p>
          <w:pPr>
            <w:pStyle w:val="Contents6"/>
            <w:tabs>
              <w:tab w:val="clear" w:pos="7609"/>
              <w:tab w:val="right" w:pos="9026" w:leader="dot"/>
            </w:tabs>
            <w:rPr/>
          </w:pPr>
          <w:hyperlink w:anchor="__RefHeading___Toc3141063_653776707">
            <w:r>
              <w:rPr>
                <w:webHidden/>
                <w:rStyle w:val="IndexLink"/>
                <w:rtl w:val="true"/>
              </w:rPr>
              <w:t xml:space="preserve">فصل </w:t>
            </w:r>
            <w:r>
              <w:rPr>
                <w:rStyle w:val="IndexLink"/>
                <w:rtl w:val="true"/>
              </w:rPr>
              <w:t>:</w:t>
              <w:tab/>
            </w:r>
            <w:r>
              <w:rPr>
                <w:rStyle w:val="IndexLink"/>
              </w:rPr>
              <w:t>920</w:t>
            </w:r>
          </w:hyperlink>
        </w:p>
        <w:p>
          <w:pPr>
            <w:pStyle w:val="Contents6"/>
            <w:tabs>
              <w:tab w:val="clear" w:pos="7609"/>
              <w:tab w:val="right" w:pos="9026" w:leader="dot"/>
            </w:tabs>
            <w:rPr/>
          </w:pPr>
          <w:hyperlink w:anchor="__RefHeading___Toc3141065_653776707">
            <w:r>
              <w:rPr>
                <w:webHidden/>
                <w:rStyle w:val="IndexLink"/>
                <w:rtl w:val="true"/>
              </w:rPr>
              <w:t xml:space="preserve">فصل </w:t>
            </w:r>
            <w:r>
              <w:rPr>
                <w:rStyle w:val="IndexLink"/>
                <w:rtl w:val="true"/>
              </w:rPr>
              <w:t>:</w:t>
              <w:tab/>
            </w:r>
            <w:r>
              <w:rPr>
                <w:rStyle w:val="IndexLink"/>
              </w:rPr>
              <w:t>921</w:t>
            </w:r>
          </w:hyperlink>
        </w:p>
        <w:p>
          <w:pPr>
            <w:pStyle w:val="Contents6"/>
            <w:tabs>
              <w:tab w:val="clear" w:pos="7609"/>
              <w:tab w:val="right" w:pos="9026" w:leader="dot"/>
            </w:tabs>
            <w:rPr/>
          </w:pPr>
          <w:hyperlink w:anchor="__RefHeading___Toc3141067_653776707">
            <w:r>
              <w:rPr>
                <w:webHidden/>
                <w:rStyle w:val="IndexLink"/>
                <w:rtl w:val="true"/>
              </w:rPr>
              <w:t xml:space="preserve">فصل </w:t>
            </w:r>
            <w:r>
              <w:rPr>
                <w:rStyle w:val="IndexLink"/>
                <w:rtl w:val="true"/>
              </w:rPr>
              <w:t>:</w:t>
              <w:tab/>
            </w:r>
            <w:r>
              <w:rPr>
                <w:rStyle w:val="IndexLink"/>
              </w:rPr>
              <w:t>922</w:t>
            </w:r>
          </w:hyperlink>
        </w:p>
        <w:p>
          <w:pPr>
            <w:pStyle w:val="Contents6"/>
            <w:tabs>
              <w:tab w:val="clear" w:pos="7609"/>
              <w:tab w:val="right" w:pos="9026" w:leader="dot"/>
            </w:tabs>
            <w:rPr/>
          </w:pPr>
          <w:hyperlink w:anchor="__RefHeading___Toc3141069_653776707">
            <w:r>
              <w:rPr>
                <w:webHidden/>
                <w:rStyle w:val="IndexLink"/>
                <w:rtl w:val="true"/>
              </w:rPr>
              <w:t xml:space="preserve">فصل </w:t>
            </w:r>
            <w:r>
              <w:rPr>
                <w:rStyle w:val="IndexLink"/>
                <w:rtl w:val="true"/>
              </w:rPr>
              <w:t>:</w:t>
              <w:tab/>
            </w:r>
            <w:r>
              <w:rPr>
                <w:rStyle w:val="IndexLink"/>
              </w:rPr>
              <w:t>924</w:t>
            </w:r>
          </w:hyperlink>
        </w:p>
        <w:p>
          <w:pPr>
            <w:pStyle w:val="Contents6"/>
            <w:tabs>
              <w:tab w:val="clear" w:pos="7609"/>
              <w:tab w:val="right" w:pos="9026" w:leader="dot"/>
            </w:tabs>
            <w:rPr/>
          </w:pPr>
          <w:hyperlink w:anchor="__RefHeading___Toc3141071_653776707">
            <w:r>
              <w:rPr>
                <w:webHidden/>
                <w:rStyle w:val="IndexLink"/>
                <w:rtl w:val="true"/>
              </w:rPr>
              <w:t xml:space="preserve">فصل </w:t>
            </w:r>
            <w:r>
              <w:rPr>
                <w:rStyle w:val="IndexLink"/>
                <w:rtl w:val="true"/>
              </w:rPr>
              <w:t>:</w:t>
              <w:tab/>
            </w:r>
            <w:r>
              <w:rPr>
                <w:rStyle w:val="IndexLink"/>
              </w:rPr>
              <w:t>925</w:t>
            </w:r>
          </w:hyperlink>
        </w:p>
        <w:p>
          <w:pPr>
            <w:pStyle w:val="Contents6"/>
            <w:tabs>
              <w:tab w:val="clear" w:pos="7609"/>
              <w:tab w:val="right" w:pos="9026" w:leader="dot"/>
            </w:tabs>
            <w:rPr/>
          </w:pPr>
          <w:hyperlink w:anchor="__RefHeading___Toc3141073_653776707">
            <w:r>
              <w:rPr>
                <w:webHidden/>
                <w:rStyle w:val="IndexLink"/>
                <w:rtl w:val="true"/>
              </w:rPr>
              <w:t xml:space="preserve">فصل </w:t>
            </w:r>
            <w:r>
              <w:rPr>
                <w:rStyle w:val="IndexLink"/>
                <w:rtl w:val="true"/>
              </w:rPr>
              <w:t>:</w:t>
              <w:tab/>
            </w:r>
            <w:r>
              <w:rPr>
                <w:rStyle w:val="IndexLink"/>
              </w:rPr>
              <w:t>928</w:t>
            </w:r>
          </w:hyperlink>
        </w:p>
        <w:p>
          <w:pPr>
            <w:pStyle w:val="Contents6"/>
            <w:tabs>
              <w:tab w:val="clear" w:pos="7609"/>
              <w:tab w:val="right" w:pos="9026" w:leader="dot"/>
            </w:tabs>
            <w:rPr/>
          </w:pPr>
          <w:hyperlink w:anchor="__RefHeading___Toc3141075_653776707">
            <w:r>
              <w:rPr>
                <w:webHidden/>
                <w:rStyle w:val="IndexLink"/>
                <w:rtl w:val="true"/>
              </w:rPr>
              <w:t xml:space="preserve">فصل </w:t>
            </w:r>
            <w:r>
              <w:rPr>
                <w:rStyle w:val="IndexLink"/>
                <w:rtl w:val="true"/>
              </w:rPr>
              <w:t>:</w:t>
              <w:tab/>
            </w:r>
            <w:r>
              <w:rPr>
                <w:rStyle w:val="IndexLink"/>
              </w:rPr>
              <w:t>930</w:t>
            </w:r>
          </w:hyperlink>
        </w:p>
        <w:p>
          <w:pPr>
            <w:pStyle w:val="Contents6"/>
            <w:tabs>
              <w:tab w:val="clear" w:pos="7609"/>
              <w:tab w:val="right" w:pos="9026" w:leader="dot"/>
            </w:tabs>
            <w:rPr/>
          </w:pPr>
          <w:hyperlink w:anchor="__RefHeading___Toc3141077_653776707">
            <w:r>
              <w:rPr>
                <w:webHidden/>
                <w:rStyle w:val="IndexLink"/>
                <w:rtl w:val="true"/>
              </w:rPr>
              <w:t xml:space="preserve">فصل </w:t>
            </w:r>
            <w:r>
              <w:rPr>
                <w:rStyle w:val="IndexLink"/>
                <w:rtl w:val="true"/>
              </w:rPr>
              <w:t>:</w:t>
              <w:tab/>
            </w:r>
            <w:r>
              <w:rPr>
                <w:rStyle w:val="IndexLink"/>
              </w:rPr>
              <w:t>931</w:t>
            </w:r>
          </w:hyperlink>
        </w:p>
        <w:p>
          <w:pPr>
            <w:pStyle w:val="Contents6"/>
            <w:tabs>
              <w:tab w:val="clear" w:pos="7609"/>
              <w:tab w:val="right" w:pos="9026" w:leader="dot"/>
            </w:tabs>
            <w:rPr/>
          </w:pPr>
          <w:hyperlink w:anchor="__RefHeading___Toc3141079_653776707">
            <w:r>
              <w:rPr>
                <w:webHidden/>
                <w:rStyle w:val="IndexLink"/>
                <w:rtl w:val="true"/>
              </w:rPr>
              <w:t xml:space="preserve">فصل </w:t>
            </w:r>
            <w:r>
              <w:rPr>
                <w:rStyle w:val="IndexLink"/>
                <w:rtl w:val="true"/>
              </w:rPr>
              <w:t>:</w:t>
              <w:tab/>
            </w:r>
            <w:r>
              <w:rPr>
                <w:rStyle w:val="IndexLink"/>
              </w:rPr>
              <w:t>933</w:t>
            </w:r>
          </w:hyperlink>
        </w:p>
        <w:p>
          <w:pPr>
            <w:pStyle w:val="Contents6"/>
            <w:tabs>
              <w:tab w:val="clear" w:pos="7609"/>
              <w:tab w:val="right" w:pos="9026" w:leader="dot"/>
            </w:tabs>
            <w:rPr/>
          </w:pPr>
          <w:hyperlink w:anchor="__RefHeading___Toc3141081_653776707">
            <w:r>
              <w:rPr>
                <w:webHidden/>
                <w:rStyle w:val="IndexLink"/>
                <w:rtl w:val="true"/>
              </w:rPr>
              <w:t xml:space="preserve">فصل </w:t>
            </w:r>
            <w:r>
              <w:rPr>
                <w:rStyle w:val="IndexLink"/>
                <w:rtl w:val="true"/>
              </w:rPr>
              <w:t>:</w:t>
              <w:tab/>
            </w:r>
            <w:r>
              <w:rPr>
                <w:rStyle w:val="IndexLink"/>
              </w:rPr>
              <w:t>934</w:t>
            </w:r>
          </w:hyperlink>
        </w:p>
        <w:p>
          <w:pPr>
            <w:pStyle w:val="Contents6"/>
            <w:tabs>
              <w:tab w:val="clear" w:pos="7609"/>
              <w:tab w:val="right" w:pos="9026" w:leader="dot"/>
            </w:tabs>
            <w:rPr/>
          </w:pPr>
          <w:hyperlink w:anchor="__RefHeading___Toc3141083_653776707">
            <w:r>
              <w:rPr>
                <w:webHidden/>
                <w:rStyle w:val="IndexLink"/>
                <w:rtl w:val="true"/>
              </w:rPr>
              <w:t xml:space="preserve">فصل </w:t>
            </w:r>
            <w:r>
              <w:rPr>
                <w:rStyle w:val="IndexLink"/>
                <w:rtl w:val="true"/>
              </w:rPr>
              <w:t>:</w:t>
              <w:tab/>
            </w:r>
            <w:r>
              <w:rPr>
                <w:rStyle w:val="IndexLink"/>
              </w:rPr>
              <w:t>937</w:t>
            </w:r>
          </w:hyperlink>
        </w:p>
        <w:p>
          <w:pPr>
            <w:pStyle w:val="Contents6"/>
            <w:tabs>
              <w:tab w:val="clear" w:pos="7609"/>
              <w:tab w:val="right" w:pos="9026" w:leader="dot"/>
            </w:tabs>
            <w:rPr/>
          </w:pPr>
          <w:hyperlink w:anchor="__RefHeading___Toc3141085_653776707">
            <w:r>
              <w:rPr>
                <w:webHidden/>
                <w:rStyle w:val="IndexLink"/>
                <w:rtl w:val="true"/>
              </w:rPr>
              <w:t xml:space="preserve">فصل </w:t>
            </w:r>
            <w:r>
              <w:rPr>
                <w:rStyle w:val="IndexLink"/>
                <w:rtl w:val="true"/>
              </w:rPr>
              <w:t>:</w:t>
              <w:tab/>
            </w:r>
            <w:r>
              <w:rPr>
                <w:rStyle w:val="IndexLink"/>
              </w:rPr>
              <w:t>940</w:t>
            </w:r>
          </w:hyperlink>
        </w:p>
        <w:p>
          <w:pPr>
            <w:pStyle w:val="Contents6"/>
            <w:tabs>
              <w:tab w:val="clear" w:pos="7609"/>
              <w:tab w:val="right" w:pos="9026" w:leader="dot"/>
            </w:tabs>
            <w:rPr/>
          </w:pPr>
          <w:hyperlink w:anchor="__RefHeading___Toc3141087_653776707">
            <w:r>
              <w:rPr>
                <w:webHidden/>
                <w:rStyle w:val="IndexLink"/>
                <w:rtl w:val="true"/>
              </w:rPr>
              <w:t xml:space="preserve">فصل </w:t>
            </w:r>
            <w:r>
              <w:rPr>
                <w:rStyle w:val="IndexLink"/>
                <w:rtl w:val="true"/>
              </w:rPr>
              <w:t>:</w:t>
              <w:tab/>
            </w:r>
            <w:r>
              <w:rPr>
                <w:rStyle w:val="IndexLink"/>
              </w:rPr>
              <w:t>943</w:t>
            </w:r>
          </w:hyperlink>
        </w:p>
        <w:p>
          <w:pPr>
            <w:pStyle w:val="Contents3"/>
            <w:tabs>
              <w:tab w:val="clear" w:pos="8459"/>
              <w:tab w:val="right" w:pos="9026" w:leader="dot"/>
            </w:tabs>
            <w:rPr/>
          </w:pPr>
          <w:hyperlink w:anchor="__RefHeading___Toc3141089_653776707">
            <w:r>
              <w:rPr>
                <w:webHidden/>
                <w:rStyle w:val="IndexLink"/>
                <w:rtl w:val="true"/>
              </w:rPr>
              <w:t>مصادر الكتاب ومراجع التحقيق</w:t>
            </w:r>
            <w:r>
              <w:rPr>
                <w:rStyle w:val="IndexLink"/>
                <w:rtl w:val="true"/>
              </w:rPr>
              <w:tab/>
            </w:r>
            <w:r>
              <w:rPr>
                <w:rStyle w:val="IndexLink"/>
              </w:rPr>
              <w:t>946</w:t>
            </w:r>
          </w:hyperlink>
        </w:p>
        <w:p>
          <w:pPr>
            <w:pStyle w:val="Contents3"/>
            <w:tabs>
              <w:tab w:val="clear" w:pos="8459"/>
              <w:tab w:val="right" w:pos="9026" w:leader="dot"/>
            </w:tabs>
            <w:rPr/>
          </w:pPr>
          <w:hyperlink w:anchor="__RefHeading___Toc3141091_653776707">
            <w:r>
              <w:rPr>
                <w:webHidden/>
                <w:rStyle w:val="IndexLink"/>
                <w:rtl w:val="true"/>
              </w:rPr>
              <w:t>الفهرس التفصيلي</w:t>
            </w:r>
            <w:r>
              <w:rPr>
                <w:rStyle w:val="IndexLink"/>
                <w:rtl w:val="true"/>
              </w:rPr>
              <w:tab/>
            </w:r>
            <w:r>
              <w:rPr>
                <w:rStyle w:val="IndexLink"/>
              </w:rPr>
              <w:t>954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1_76932"/>
      <w:bookmarkStart w:id="1" w:name="pg8731_76932"/>
      <w:bookmarkEnd w:id="1"/>
    </w:p>
    <w:p>
      <w:pPr>
        <w:pStyle w:val="Heading2"/>
        <w:numPr>
          <w:ilvl w:val="1"/>
          <w:numId w:val="1"/>
        </w:numPr>
        <w:rPr/>
      </w:pPr>
      <w:bookmarkStart w:id="2" w:name="pg8731_76932"/>
      <w:bookmarkStart w:id="3" w:name="__RefHeading___Toc3139853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زين الدين العاملي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منذر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معالم الدين وملاذ المجتهدين</w:t>
      </w:r>
    </w:p>
    <w:p>
      <w:pPr>
        <w:pStyle w:val="BookText"/>
        <w:rPr/>
      </w:pPr>
      <w:r>
        <w:rPr>
          <w:rFonts w:ascii="IRNazanin" w:hAnsi="IRNazanin" w:eastAsia="IRNazanin"/>
          <w:color w:val="111111"/>
          <w:sz w:val="28"/>
          <w:sz w:val="28"/>
          <w:szCs w:val="28"/>
          <w:rtl w:val="true"/>
          <w:lang w:bidi="fa-IR"/>
        </w:rPr>
        <w:t xml:space="preserve">قسم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Heading2"/>
        <w:numPr>
          <w:ilvl w:val="1"/>
          <w:numId w:val="1"/>
        </w:numPr>
        <w:rPr/>
      </w:pPr>
      <w:bookmarkStart w:id="5" w:name="__RefHeading___Toc3139855_653776707"/>
      <w:bookmarkStart w:id="6" w:name="_Toc2"/>
      <w:bookmarkEnd w:id="5"/>
      <w:r>
        <w:rPr>
          <w:rtl w:val="true"/>
        </w:rPr>
        <w:t xml:space="preserve">المجلد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139857_653776707"/>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مؤسسة الفقه للطباعة والنشر</w:t>
      </w:r>
    </w:p>
    <w:p>
      <w:pPr>
        <w:pStyle w:val="BookText"/>
        <w:rPr/>
      </w:pPr>
      <w:r>
        <w:rPr>
          <w:rFonts w:ascii="Amiri" w:hAnsi="Amiri" w:eastAsia="Amiri" w:cs="Amiri"/>
          <w:color w:val="111111"/>
          <w:sz w:val="28"/>
          <w:sz w:val="28"/>
          <w:szCs w:val="28"/>
          <w:rtl w:val="true"/>
          <w:lang w:bidi="ar-SA"/>
        </w:rPr>
        <w:t>معالم الدين وملاذ المجتهدين</w:t>
      </w:r>
    </w:p>
    <w:p>
      <w:pPr>
        <w:pStyle w:val="BookText"/>
        <w:rPr/>
      </w:pPr>
      <w:r>
        <w:rPr>
          <w:rFonts w:ascii="IRNazanin" w:hAnsi="IRNazanin" w:eastAsia="IRNazanin"/>
          <w:color w:val="111111"/>
          <w:sz w:val="28"/>
          <w:sz w:val="28"/>
          <w:szCs w:val="28"/>
          <w:rtl w:val="true"/>
          <w:lang w:bidi="fa-IR"/>
        </w:rPr>
        <w:t>قسم الفقه</w:t>
      </w:r>
    </w:p>
    <w:p>
      <w:pPr>
        <w:pStyle w:val="BookText"/>
        <w:rPr/>
      </w:pPr>
      <w:r>
        <w:rPr>
          <w:rFonts w:ascii="Amiri" w:hAnsi="Amiri" w:eastAsia="Amiri" w:cs="Amiri"/>
          <w:color w:val="111111"/>
          <w:sz w:val="28"/>
          <w:sz w:val="28"/>
          <w:szCs w:val="28"/>
          <w:rtl w:val="true"/>
          <w:lang w:bidi="ar-SA"/>
        </w:rPr>
        <w:t>للشيخ حسن بن زين الدين العاملي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منذر الحكيم </w:t>
      </w:r>
    </w:p>
    <w:p>
      <w:pPr>
        <w:pStyle w:val="BookText"/>
        <w:rPr/>
      </w:pPr>
      <w:r>
        <w:rPr>
          <w:rFonts w:ascii="Amiri" w:hAnsi="Amiri" w:eastAsia="Amiri" w:cs="Amiri"/>
          <w:color w:val="111111"/>
          <w:sz w:val="28"/>
          <w:sz w:val="28"/>
          <w:szCs w:val="28"/>
          <w:rtl w:val="true"/>
          <w:lang w:bidi="ar-SA"/>
        </w:rPr>
        <w:t xml:space="preserve">ابن شهيد الثاني، حسن بن زين الدين،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زين الدين العاملي؛ حققه منذر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نمونه</w:t>
      </w:r>
    </w:p>
    <w:p>
      <w:pPr>
        <w:pStyle w:val="BookText"/>
        <w:rPr/>
      </w:pPr>
      <w:r>
        <w:rPr>
          <w:rFonts w:ascii="IRNazanin" w:hAnsi="IRNazanin" w:eastAsia="IRNazanin"/>
          <w:color w:val="111111"/>
          <w:sz w:val="28"/>
          <w:sz w:val="28"/>
          <w:szCs w:val="28"/>
          <w:rtl w:val="true"/>
          <w:lang w:bidi="fa-IR"/>
        </w:rPr>
        <w:t xml:space="preserve">فهرست نويسی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كتاب بخش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معالم الدین و ملاذ المجتهدین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96182</w:t>
      </w:r>
    </w:p>
    <w:p>
      <w:pPr>
        <w:pStyle w:val="BookText"/>
        <w:rPr/>
      </w:pPr>
      <w:r>
        <w:rPr>
          <w:rFonts w:eastAsia="Times New Roman" w:cs="Times New Roman" w:ascii="Times New Roman" w:hAnsi="Times New Roman"/>
          <w:color w:val="111111"/>
          <w:sz w:val="28"/>
          <w:szCs w:val="28"/>
          <w:lang w:val="en-US" w:bidi="en-US"/>
        </w:rPr>
        <w:t>297/322</w:t>
      </w:r>
    </w:p>
    <w:p>
      <w:pPr>
        <w:pStyle w:val="BookText"/>
        <w:rPr/>
      </w:pPr>
      <w:r>
        <w:rPr>
          <w:rFonts w:eastAsia="IRNazanin" w:cs="IRNazanin"/>
          <w:color w:val="111111"/>
          <w:sz w:val="28"/>
          <w:szCs w:val="28"/>
          <w:lang w:bidi="fa-IR"/>
        </w:rPr>
        <w:t>77-782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الفقه للطباعة والنشر</w:t>
      </w:r>
    </w:p>
    <w:p>
      <w:pPr>
        <w:pStyle w:val="BookText"/>
        <w:rPr/>
      </w:pPr>
      <w:r>
        <w:rPr>
          <w:rFonts w:ascii="Amiri" w:hAnsi="Amiri" w:eastAsia="Amiri" w:cs="Amiri"/>
          <w:color w:val="111111"/>
          <w:sz w:val="28"/>
          <w:sz w:val="28"/>
          <w:szCs w:val="28"/>
          <w:rtl w:val="true"/>
          <w:lang w:bidi="ar-SA"/>
        </w:rPr>
        <w:t>جميع حقوق الطبع والنشر محفوظة للمؤسسة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زين الدين العاملي قدس سره</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منذر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للطباعة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ععد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سعر الدورة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الهاتف </w:t>
      </w:r>
      <w:r>
        <w:rPr>
          <w:rFonts w:eastAsia="Amiri" w:cs="Amiri" w:ascii="Amiri" w:hAnsi="Amiri"/>
          <w:color w:val="111111"/>
          <w:sz w:val="28"/>
          <w:szCs w:val="28"/>
          <w:lang w:bidi="ar-SA"/>
        </w:rPr>
        <w:t>734873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فكس </w:t>
      </w:r>
      <w:r>
        <w:rPr>
          <w:rFonts w:eastAsia="Amiri" w:cs="Amiri" w:ascii="Amiri" w:hAnsi="Amiri"/>
          <w:color w:val="111111"/>
          <w:sz w:val="28"/>
          <w:szCs w:val="28"/>
          <w:lang w:bidi="ar-SA"/>
        </w:rPr>
        <w:t>738028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8731_76938"/>
      <w:bookmarkStart w:id="10" w:name="pg8731_76938"/>
      <w:bookmarkEnd w:id="10"/>
    </w:p>
    <w:p>
      <w:pPr>
        <w:pStyle w:val="Heading3"/>
        <w:numPr>
          <w:ilvl w:val="2"/>
          <w:numId w:val="1"/>
        </w:numPr>
        <w:rPr/>
      </w:pPr>
      <w:bookmarkStart w:id="11" w:name="pg8731_76938"/>
      <w:bookmarkStart w:id="12" w:name="__RefHeading___Toc3139859_653776707"/>
      <w:bookmarkStart w:id="13" w:name="_Toc4"/>
      <w:bookmarkEnd w:id="11"/>
      <w:bookmarkEnd w:id="12"/>
      <w:r>
        <w:rPr>
          <w:rtl w:val="true"/>
        </w:rPr>
        <w:t>الشيخ حسن بن زين الدين العاملي قدس‌سره</w:t>
      </w:r>
      <w:bookmarkEnd w:id="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w:t>
      </w:r>
    </w:p>
    <w:p>
      <w:pPr>
        <w:pStyle w:val="BookText"/>
        <w:rPr/>
      </w:pPr>
      <w:r>
        <w:rPr>
          <w:rFonts w:ascii="Amiri" w:hAnsi="Amiri" w:eastAsia="Amiri" w:cs="Amiri"/>
          <w:color w:val="111111"/>
          <w:sz w:val="28"/>
          <w:sz w:val="28"/>
          <w:szCs w:val="28"/>
          <w:rtl w:val="true"/>
          <w:lang w:bidi="ar-SA"/>
        </w:rPr>
        <w:t xml:space="preserve">تصاغ الشخصية العلمية والنفسية والاجتماعية لكلّ فرد خلال عمود الزمان متأثّرة بمجموعة من العوامل البيئية والوراثية بما فيها الظروف السياسية والاجتماعية العامة ، بالاضافة إلى مجموعة المؤهّلات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والنفسية التي تحظى بها تلك الشخصية وما تستطيع أن تستفيده من التراث الفكري والعلمي الذي ولّدته الأجيال السابقة حتّى العصر الذي تعيشه تلك الشخصية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ولد الشيخ المحقّق جمال الدين أبو منصور 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جزّين من جبل عامل في بلاد الشام عام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قمرية ونشأ فيها وتكوّنت شخصيّته العلمية في مراحلها الاولى على يد مجموعة من تلامذة والده الشهيد الثاني قدس‌سره ، ثمّ هاجر إلى النجف الأشرف واختصّ بالمولى المقدّس الأردبيلي ، ثمّ رجع مع ابن اخته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عامل واستقلّ بالتدريس والتأليف حتّى ظهرت شخصيّته العلمية المرموقة في فترة وجيزة من خلال ما ألّفه في حقل الحديث </w:t>
      </w:r>
    </w:p>
    <w:p>
      <w:pPr>
        <w:pStyle w:val="BookText"/>
        <w:rPr/>
      </w:pPr>
      <w:r>
        <w:rPr>
          <w:rFonts w:ascii="Amiri" w:hAnsi="Amiri" w:eastAsia="Amiri" w:cs="Amiri"/>
          <w:color w:val="111111"/>
          <w:sz w:val="28"/>
          <w:sz w:val="28"/>
          <w:szCs w:val="28"/>
          <w:rtl w:val="true"/>
          <w:lang w:bidi="ar-SA"/>
        </w:rPr>
        <w:t>وحقل الرجال وحقل الاصول وحقل الفقه وغيرها من حقول المعرفة الإسلامية فكان صاحب مدرسة متميّزة لها خصائصها وآثارها في تأريخ التطوّر العلمي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نتعرّف بوضوح على ما أنجزه هذا المحقّق في حقل الفقه ومقدّماته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ورجال واصول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أضافه إلى المدرسة الفقهية الإمامية يجدر بنا أن نلمّ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بلغه الفقه الإمامي من التطوّر حتّى عصر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السياسية والاجتماعية والوضع الثقافي للبيئة التي نشأ فيها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تميّزت به الحركة العلمية في عصر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البيئة التي نشأ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حياته الشخصية والعلمية ومجموعة العوامل الوراثية والبيئة العائلية التي لها أكبر الأثر في صقل الشخصية الانسانية وإيجاد مؤهّلاتها العقلية والنفسية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إنجازات صاحب المعالم ومعالم مدرسته الفقهية</w:t>
      </w:r>
      <w:r>
        <w:rPr>
          <w:rFonts w:eastAsia="Amiri" w:cs="Amiri" w:ascii="Amiri" w:hAnsi="Amiri"/>
          <w:color w:val="111111"/>
          <w:sz w:val="28"/>
          <w:szCs w:val="28"/>
          <w:rtl w:val="true"/>
          <w:lang w:bidi="ar-SA"/>
        </w:rPr>
        <w:t xml:space="preserve">. </w:t>
      </w:r>
      <w:bookmarkStart w:id="14" w:name="pg8731_76940"/>
    </w:p>
    <w:p>
      <w:pPr>
        <w:pStyle w:val="BookText"/>
        <w:rPr/>
      </w:pPr>
      <w:bookmarkEnd w:id="14"/>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 w:name="__RefHeading___Toc3139861_653776707"/>
      <w:bookmarkStart w:id="16" w:name="_Toc5"/>
      <w:bookmarkEnd w:id="15"/>
      <w:r>
        <w:rPr>
          <w:rtl w:val="true"/>
        </w:rPr>
        <w:t>تطوّر الفقه الإمامي حتّى عصر صاحب المعالم</w:t>
      </w:r>
      <w:bookmarkEnd w:id="16"/>
    </w:p>
    <w:p>
      <w:pPr>
        <w:pStyle w:val="BookText"/>
        <w:rPr/>
      </w:pPr>
      <w:r>
        <w:rPr>
          <w:rFonts w:ascii="Amiri" w:hAnsi="Amiri" w:eastAsia="Amiri" w:cs="Amiri"/>
          <w:color w:val="111111"/>
          <w:sz w:val="28"/>
          <w:sz w:val="28"/>
          <w:szCs w:val="28"/>
          <w:rtl w:val="true"/>
          <w:lang w:bidi="ar-SA"/>
        </w:rPr>
        <w:t>في اخريات حياة الإمام الصادق عليه‌السلام انتقلت مدرسة الفقه الشيعي من المدينة إلى الكوفة حيث كانت حينذاك مركزا علميا وتجاريا وسياسيا معروفا في العالم الإسلامي يقصده طلّاب العلم والمال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وفود جملة من الصحابة والتابعين إلى الكوفة من جهة ووفود مختلف العناصر الطالبة للعلم أو التجارة من أطراف العالم الإسلامي من جهة أخرى كان له الأثر البالغ في التلاقح العقلي والذهني الذي أدّى بدوره إلى صيرورة الكوفة منطلقا للحركة العقلية ومصدرا للإشعاع الفكري والفقهي الشيعيّين بالرغم من أنّ الكوفة لم تبق مقاما ومستقرّا للأئمة عليهم‌السلام إلى حين الغيبة الكبرى ، وبالرغم من أنّ كلّ فقهاء الشيعة لم يتمركزوا في الكوفة إلى ذلك الحين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وانتقلت حركة التدريس والتأليف إلى مدينتي قم والريّ في بداية عصر الغيبة الكبرى بسبب المعاملة القاسية التي كان يلاقيها فقهاء الشيعة وعلماؤهم من العباسيين ، وقد وجدوا في هاتين البلدتين ركنا آمنا يطمئنّون إليه لنشر فقه أهل البيت عليهم‌السلام وحديثهم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آل بويه في التأريخ بنزعتهم الشيعية وولائهم لأهل البيت عليهم‌السلام </w:t>
      </w:r>
    </w:p>
    <w:p>
      <w:pPr>
        <w:pStyle w:val="BookText"/>
        <w:rPr/>
      </w:pPr>
      <w:r>
        <w:rPr>
          <w:rFonts w:ascii="Amiri" w:hAnsi="Amiri" w:eastAsia="Amiri" w:cs="Amiri"/>
          <w:color w:val="111111"/>
          <w:sz w:val="28"/>
          <w:sz w:val="28"/>
          <w:szCs w:val="28"/>
          <w:rtl w:val="true"/>
          <w:lang w:bidi="ar-SA"/>
        </w:rPr>
        <w:t>فكانت حكومتهم هي السبب الآخر من أسباب ازدهار قم والريّ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ونشطت حركة التأليف والبحث الفقهي في هذا العصر نشاطا كبيرا إذ دوّنت اولى المجاميع الحديثية الموسّعة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للشيخين العظيمين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أصبحت بغداد في القرن الخامس الهجري مركز الثقل الأوّل علميا وثقافيا في العالم الإسلامي وانتقلت الحركة العلمية الشيعية من قم والريّ إليها بعد أن ضعف جهاز الحكم العباسي وظهرت شخصيات علمية كبيرة في بغداد كالمفيد والمرتضى وتوسّعت المدرسة الفقهية الشيعية توسّعا أدّى بها إلى الانتقال إلى حاضرة العالم الإسلامي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قدّر للشيخ المفيد أن يكون رائدا فكريا لهذا العصر وأن يطوّر من مناهج الفقه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السيد المرتضى أن يتابع خطوات استاذه المفيد في تطوير مناهج الفقه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وعاصر الشيخ الطوسي حركة التطوير التي بدأها المفيد وتابعه فيها المرتضى واستمرّ بعدهما في محاولات التجديد والتطوير فقها واصولا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ومنهجا واسلوبا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مدرسة المفيد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جديدا في عالم البحث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استطاع المفيد أن يقوم بدور الجمع بين اتّجاهين متطرّفين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أهل الحديث واتّجاه أهل الرأي ، فكان اتّجاها وسطا بينهما ، فلا جمود ولا انطلاق بل أمر بين أمرين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ملامح هذه المدرسة هي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الفقه عن دور الاقتصار على استعراض نصوص الكتاب والسنّة إلى معالجة النصوص باستخدام قواعد علم الاصول ، فقد انقلبت عملية </w:t>
      </w:r>
    </w:p>
    <w:p>
      <w:pPr>
        <w:pStyle w:val="BookText"/>
        <w:rPr/>
      </w:pPr>
      <w:r>
        <w:rPr>
          <w:rFonts w:ascii="Amiri" w:hAnsi="Amiri" w:eastAsia="Amiri" w:cs="Amiri"/>
          <w:color w:val="111111"/>
          <w:sz w:val="28"/>
          <w:sz w:val="28"/>
          <w:szCs w:val="28"/>
          <w:rtl w:val="true"/>
          <w:lang w:bidi="ar-SA"/>
        </w:rPr>
        <w:t>استنباط الأحكام الشرعية في هذه المرحلة من مراحل تطوّر الفقه الإمامي إلى صناعة علمية لها قواعدها وبذلك انفصل البحث الاصولي والكتب الاصولية عن البحث الفقهي وكتب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البحث الفقهي على نتائج الدراسات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الصناعة الفقهية في هذه الفترة تطوي مراحلها البدائية ولكنّها كانت بداية لعهد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استحداث فروع جديدة لم تتعرّض لها نصوص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ذلك جليّا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الفقه المقارن بين مختلف مدارس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أثر فيه هو كتاب الخلاف للطوسي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ظاهرة الاجماعات واستخدامها في موارد عدم وجود النصّ الشرعي أو عدم سلامته ، ولم تخل مؤلّفات الفقهاء المتقدّمين على هذا العصر من التمسّك بالإجماع ، إلّا أنّ هذه الظاهرة تبدو في كتب الشيخ بصورة خاصة وفي آثار هذه المدرسة بصورة عامّة أكثر من أيّ وقت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البحث الفقهي قد خطا خطوة كبيرة في هذه المرحلة من حياته وأشرف على أعتاب مرحلة جديدة داخلا دور المراهقة ، وحاملا تجارب ثلاثة قرون حافلة بالجهود المثمرة والتجارب الخصبة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الفتح الفقهي الكبير الذي قدّر لمدرسة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الشيخ الطوسي قدس‌سرهما إلّا أنّ ذلك لم يكن سوى بداية لفتوحات جديدة في تأريخ الفقه حصل عليها الفقه الإمامي عبر مدارس الحلّة وجبل عامل واصفهان والنجف وكربلاء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سقوط بغداد على يد هولاكو التتري وبقاء الحلّة مأمونة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أوفد أهل الحلّة وفدا يلتمس لهم الأمان ولبلدهم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 ازدهار الحلّة علميا ؛ إذ أخذت هذه البلدة المأمونة تستقطب الشاردين من بغداد من الطلّاب والأساتذة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معهم التراث والنشاط العلميين إلى الحلّة ، وبذلك استقرّت الحوزة العلمية الكبرى للشيعة الإمامية في الحلّة وظهر فيها مجموعة كبيرة من الفقهاء المبدعين الذين طوّروا مناهج البحث الفقهي والاصولي ونظّموا أبواب الفقه ووسّعوا من آفاقه كما طوّروا علمي الحديث واصول الفقه ، كالمحقّق والعلّامة الحلّيين وفخر المحقّقين ابن العلّامة وابن أبي الفوارس وابن طاوس والشهيد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ملامح مدرسة الحلّة الفقهية التي تميّزت بها عن مدرسة بغداد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للشيخ الطوسي الذي مثّل قمّة التطوّر للبحث الفقهي في عصره أن يجمع شتات الأشباه والنظائر في الفقه ويبوّت كلّ ذلك في أبواب خاصة بعد ما أكثر الفروع المستحدثة ، إلّا أنّنا نلاحظ شيئا من التشويش في تبويبه لأبواب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ولأوّل مرّة نلتقي بالتنظيم الرائع لأبواب الفقه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فقهاء الشيعة على هذا التنظيم الرباعي لأبواب الفقه إلى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هذا التقسيم الرباعي عند المحقّق هو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الشرعي إمّا أن يتقوّم بقصد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يحتاج إلى لفظ من الجانبين أو من جانب واحد أو لا يحتاج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تندرج جميع أبواب الفقه ومسائله في أقسام أربعة </w:t>
      </w:r>
    </w:p>
    <w:p>
      <w:pPr>
        <w:pStyle w:val="BookText"/>
        <w:rPr/>
      </w:pP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الخاص بفقه المعاملات ومحاولة التوسّع فيها ، كما يبدو من مؤلّفات العلّامة الحلّي 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التأليف الفقهي الموسوعي المقارن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موسوعته الفقهية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المقارن ، كما ألّف موسوعته الفقهية الاخرى التي سمّاها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تقلّ عن التذكرة بل تزيد عليها بالسعة والشمول والتفصيل في الفروع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يراجع هذين المؤلّفين يلمس بوضوح ضخامة العمل الفقهي الذي قدّمه العلّامة للعالم الإسلامي عامة والمذهب الإمامي خاصة لما اتّسم به من موضوعية وشمول وتفصيل يعزّ مثله في الدراسات المقارنة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وتنقيح القواعد الاصولية ، والذي تمثّل في كتب المحقّق والعلّامة وفخر المحقّقين الاصولية وتلامذتهم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وتحقيق المسائل الخلافية بين فقهاء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للابتعاد عن عصر حضور الإمام المعصوم وصعوبة الاستنباط بعد ضياع جملة من النصوص أو عدم سهولة التأكّد من سلامتها سندا ودلالة من الطبيعي أن يكثر الاختلاف بين الفقهاء وتتشعّب مذاهبهم في استنباط الأحكام من المصادر الشرعية الموجودة بأيديهم ، وعلى الفقيه أن يلمّ بوجوده الاختلاف في الرأي بعد اطّلاعه على تشتّت الآراء للفقهاء الإمامية أنفسهم للحصول على ما اتّفق عليه فقهاء المذهب والعلم بأسباب الاختلاف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كتب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زال موضع اهتمام الدارسين إلى يومنا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إدخال القواعد الرياضية إلى ميدان الفقه والاستفادة منها فيما يرتبط </w:t>
      </w:r>
    </w:p>
    <w:p>
      <w:pPr>
        <w:pStyle w:val="BookText"/>
        <w:rPr/>
      </w:pPr>
      <w:r>
        <w:rPr>
          <w:rFonts w:ascii="Amiri" w:hAnsi="Amiri" w:eastAsia="Amiri" w:cs="Amiri"/>
          <w:color w:val="111111"/>
          <w:sz w:val="28"/>
          <w:sz w:val="28"/>
          <w:szCs w:val="28"/>
          <w:rtl w:val="true"/>
          <w:lang w:bidi="ar-SA"/>
        </w:rPr>
        <w:t xml:space="preserve">بعلم الرياضيات من أبواب الفقه وكذلك علم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به من مسائل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تربيع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الفتن الطائفية التي كان يثيرها العباسيون بين حين وآخر في العراق قضت على جملة من تراث الإمامية كما نجد ذلك في إحراق مكتبة الشيخ الطوسي ببغداد ، وكذلك الهجوم المغولي على بغداد هو العامل الآخر الذي ذهب بالكثير من التراث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ضياع جملة كبيرة من القرائن التي تهمّ الفقيه للتمييز بين صحاح الأحاديث وضعافها ، وبينما كان الحديث الصحيح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عصر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حديث يوثق بصدوره عن المعصوم بالقرائن التي كانت متوفّرة للفقيه حينذاك ، أصبح تمييز هذا الحديث الصحيح بمكان من الصعوبة ، فكان من الضروري التفكير في اسس موضوعية محدّدة لتشخيص الحديث الصحيح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وتمخّض عن هذه الأسباب الاهتمام الخاص باسس التقييم لسند الحديث وتمّ الأمر بتصنيف الحديث إلى أربع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والموثّق والحسن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بهذا الأمر فقهاء مدرسة الحلّة ، أوّلهم السيد 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هذا التصنيف العلّامة الحلّي الذي طبّق هذه النظرية على جملة كتب الحديث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والمرجان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أجزاء كما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الوضّاح في الأحاديث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استقرّ تصنيف الحديث إلى هذه الأقسام الأربعة بعد هذا التأريخ وأصبح أساسا للاستنباط بشكل عامّ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كانت مدرسة الحلّة امتداد لمدرسة بغداد وتطويرا لمناهجها وأساليبها ومنجزاتها كما أنّها حلقة الوصل لنقل تراث مدرسة بغداد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مادّة ومنهجا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مدرسة جبل عامل التي ازدهرت بعد عودة الشهيد الأوّل من الحلّة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من مدرسة جبل عامل مدرسة فقهية متطوّرة بعد عودته إلى جزّين التي كانت فيها مدرسة علمية معروفة قبل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يقتصر على ما حصّله في الحلّة من علوم ومعارف بل طاف البلاد الإسلامية وقرأ على عدد من مشايخ السنّة بمكّة والمدينة وبغداد ومصر ودمشق وبيت المقدس ومقام الخليل إبراهيم عليه‌السلام ، وكان لهذا الانفتاح الثقافي والفقهي أثر واضح في شخصية الشهيد وتآليفه ودروسه وفي مدرسة جزّين التي طوّرها بجهوده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الشهيد في هذه الفترة على تنظيم علاقة الامّة بالفقهاء من خلال شبكة الوكلاء الذين ينوبون عن الفقهاء في تنظيم شئون الناس في دينهم ودنياهم كما يقومون بجمع الحقوق المالية الشرعية لتوزيعها على مستحقّيها بنظر الفقيه الجامع لشرائط الفتوى والمرجعية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الشهيد الأوّل هو أوّل من أسّس هذا التنظيم الذي يريط الفقيه المتصدّي لشئون الامّة بقاعدته بواسطة شبكة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هذا التنظيم ونما وتطوّر فيما بعد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الشهيد يتردّد خلال فترة عمله في جزّين على دمشق كثيرا ، وكان له في دمشق بيت عامر بالعلماء وطلبة العلم من مختلف المذاهب الإسلامية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ألّف الشهيد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لدعوة الأمير الشيعي علي ابن مؤيّد حاكم خراسان الذي أرسل إليه وزيره يستقدمه إلى خراسان ليكون مرجعا للمسلمين هناك فاعتذر الشهيد بعذر جميل وأرسل إليه هذا المختصر الخالد في الفقه ليكون منهاجا لتنظيم شئون الدولة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الشهيد </w:t>
      </w:r>
    </w:p>
    <w:p>
      <w:pPr>
        <w:pStyle w:val="BookText"/>
        <w:rPr/>
      </w:pPr>
      <w:r>
        <w:rPr>
          <w:rFonts w:ascii="Amiri" w:hAnsi="Amiri" w:eastAsia="Amiri" w:cs="Amiri"/>
          <w:color w:val="111111"/>
          <w:sz w:val="28"/>
          <w:sz w:val="28"/>
          <w:szCs w:val="28"/>
          <w:rtl w:val="true"/>
          <w:lang w:bidi="ar-SA"/>
        </w:rPr>
        <w:t>نظريته السياسية حول ولاية الفقيه كتابه هذا وبذلك يكون قد أدخل الفقه إلى عالم السياسة الدولية بشكل علمي وعملي وزرع بذور النظام السياسي الإمامي في وقت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الشهيد هذه خلال فترة تسلّمه منصب شيخ الإسلام في الدولة الصفوية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الشهيد بتدوين القواعد الفقهية وهي أوّل محاولة يقوم بها فقيه إمامي بالإضافة إلى اهتمامه باصول الفقه الذي تجلّى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البين في فوائد الشرحين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فيه فوائد الشرحين الضيائي والعميدي على تهذيب العلّامة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الشهيد الثاني على خطى الشهيد الأوّل فشرح أكثر كتبه وعلّق عليها وقد استخدم القواعد الفقهية وبشكل واسع في أبواب المعاملات بنحو لا نجد له نظيرا في كتب من تقدّمه كما نجده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نخلص إلى أهمّ ما أنجزته مدرسة جبل عامل حتّى النصف الأوّل من القرن العاشر الهجري بعد أن ورثت مدرستي بغداد والحلّة الفقهيّتين وذلك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تدوين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 في تدوين فقه المعاملات بالاستعانة بالقواعد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علاقة الامّة بالفقهاء من خلال شبكة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الفقه إلى ميدان السياسة الدولية نظرية وتطبيقا من خلال تأصيل النظرية السياسية الإمامية في عصر الغيبة في الكتب الفقهية والتصدّي المباشر لمنصب ولاية الفقيه خلال الحكم الصفوي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نقف على ما آل إليه الفقه الإمامي حتّى عصر صاحب المعالم لنرى طبيعة الظروف السياسية والاجتماعية في عصره ومجمل التطوّرات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الفقهية التي حقّقتها البيئة العلمية التي نشأ فيها كي نتوفّر على دراسة ما أثمرته الجهود العلمية لصاحب المعالم نفسه وما حقّقته شخصيته الفذّة من منجزات وما أضافته إلى التراث الإمامي من مؤلّفات</w:t>
      </w:r>
      <w:r>
        <w:rPr>
          <w:rFonts w:eastAsia="Amiri" w:cs="Amiri" w:ascii="Amiri" w:hAnsi="Amiri"/>
          <w:color w:val="111111"/>
          <w:sz w:val="28"/>
          <w:szCs w:val="28"/>
          <w:rtl w:val="true"/>
          <w:lang w:bidi="ar-SA"/>
        </w:rPr>
        <w:t xml:space="preserve">. </w:t>
      </w:r>
      <w:bookmarkStart w:id="17" w:name="pg8731_76949"/>
    </w:p>
    <w:p>
      <w:pPr>
        <w:pStyle w:val="BookText"/>
        <w:rPr/>
      </w:pPr>
      <w:bookmarkEnd w:id="17"/>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8" w:name="__RefHeading___Toc3139863_653776707"/>
      <w:bookmarkStart w:id="19" w:name="_Toc6"/>
      <w:bookmarkEnd w:id="18"/>
      <w:r>
        <w:rPr>
          <w:rtl w:val="true"/>
        </w:rPr>
        <w:t>الظروف السياسية والاجتماعية والثقافية في عصر صاحب المعالم</w:t>
      </w:r>
      <w:bookmarkEnd w:id="19"/>
    </w:p>
    <w:p>
      <w:pPr>
        <w:pStyle w:val="Heading4"/>
        <w:numPr>
          <w:ilvl w:val="3"/>
          <w:numId w:val="1"/>
        </w:numPr>
        <w:rPr/>
      </w:pPr>
      <w:bookmarkStart w:id="20" w:name="__RefHeading___Toc3139865_65377670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لقد نشأ صاحب المعالم في عصر تحكّمت فيه دولتان قويّتان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العثمانية والدولة الصفوية ، كما عاش في منطقتين متميّزتين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والنجف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تتناوب الدولتان العثمانية والصفوية في التحكّم به وتسيير شئونه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أن نتعرّف على طبيعة الظروف السياسية والاجتماعية التي كانت تمرّ بها بلاد الشام وبلاد فارس وطبيعة الحكم العثماني والحكم الصفوي من جهة اخرى</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139867_653776707"/>
      <w:bookmarkStart w:id="23" w:name="_Toc8"/>
      <w:bookmarkEnd w:id="22"/>
      <w:r>
        <w:rPr>
          <w:rtl w:val="true"/>
        </w:rPr>
        <w:t xml:space="preserve">أ </w:t>
      </w:r>
      <w:r>
        <w:rPr>
          <w:rtl w:val="true"/>
        </w:rPr>
        <w:t xml:space="preserve">- </w:t>
      </w:r>
      <w:r>
        <w:rPr>
          <w:rtl w:val="true"/>
        </w:rPr>
        <w:t xml:space="preserve">نبذة عن التأريخ السياسي للتشيّع في بلاد الشام </w:t>
      </w:r>
      <w:r>
        <w:rPr>
          <w:rtl w:val="true"/>
        </w:rPr>
        <w:t>:</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لبلاد الشام علاقة عريقة وقديمة بالتشيّع منذ عهد الأمويّين والعبّاسيّين ، إلّا أنّ الشيعة في هذين العهدين كانوا يعيشون مرحلة التقية والسرّية من الناحية السياسية والدينية بسبب الاضطهاد الطائفي الذي كان يمارسه حكّام بني امية والعباسيين وولاتهم في هذه المنطقة وغيرها من مناطق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انقضى عصر عهد العباسيين وظهرت للشيعة دول في التأريخ بعد سقوط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دولة البويهيين في العراق وفارس ، ودولة الحمدانيين في الموصل وحلب ، ودولة العلويين في مصر والحجاز والشام وإفريقيا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الشيعة يتحرّكون في بلاد الشام وينشطون ثقافيا وسياسيا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عاش شيعة الشام أيام الفاطميين في القرن الرابع فترة حرية واستقرار ، </w:t>
      </w:r>
    </w:p>
    <w:p>
      <w:pPr>
        <w:pStyle w:val="BookText"/>
        <w:rPr/>
      </w:pPr>
      <w:r>
        <w:rPr>
          <w:rFonts w:ascii="Amiri" w:hAnsi="Amiri" w:eastAsia="Amiri" w:cs="Amiri"/>
          <w:color w:val="111111"/>
          <w:sz w:val="28"/>
          <w:sz w:val="28"/>
          <w:szCs w:val="28"/>
          <w:rtl w:val="true"/>
          <w:lang w:bidi="ar-SA"/>
        </w:rPr>
        <w:t>نشطت فيها حركة التشيّع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هذه الفترة يقول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 الرفض وفار بمصر والمشرق والمغرب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الفترة انتعش التشيّع وامتدّ وانتشر في بلاد الشام ، ثمّ تلا هذه الفترة حكم الأيوبيّين الذين استلموا الحكم من الفاطميين وحكموا مصر والشام وجدّدوا اضطهاد الشيعة في بلاد مصر والشام معا ، ممّا أدّى إلى ضمور كبير للحالة الشيعية في مصر والشام ، ثمّ جاء من بعدهم المماليك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ليواصلوا نفس السياسة التي مارسها سلفهم الأيوبيون في اضطهاد الشيعة والتضييق عليهم في بلاد الشام ، وكانت أيامهم من أشقّ الفترات على شيعة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المماليك يتّخذون من فتاوى ابن تيمية ذريعة للفتك بالشيعة وإباحة دمائهم ، وأدّى ذلك إلى أن يحتمي طائفة منهم بالجبال والمناطق الجبلية ليحموا أنفسهم من فتك النظام وبطشه ، ويتظاهر طائفة منهم بالانتماء إلى المذاهب السنّية ليحمي نفسه وذويه من بطش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ونتج عن ذلك ضمور للتشيّع في بلاد الشام واختفاء معالمه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الطائفة الاولى بالتدريج انتماءها الفكري والعملي للتشيّع ، ولذلك أسموهم بالشيعة المتخاذلة أو المتستّرين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الطائفة الثانية فقد شاع فيها الجهل نتيجة البعد والانقطاع عن مراكز العلم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هذه الظروف الصعبة في عصر المماليك حاول الشهيد الأوّل أن يوصل جبل عامل بمدرسة الحلّة وينقل إليها العلم والفقاهة والفكر ، ويجعل من جبل عامل مدرسة للفقاهة والثقافة الإمامية مستفيدا من موقعها الجغرافي </w:t>
      </w:r>
      <w:bookmarkStart w:id="24" w:name="pg8731_76951"/>
    </w:p>
    <w:p>
      <w:pPr>
        <w:pStyle w:val="BookText"/>
        <w:rPr/>
      </w:pPr>
      <w:bookmarkEnd w:id="24"/>
      <w:r>
        <w:rPr>
          <w:rFonts w:ascii="Amiri" w:hAnsi="Amiri" w:eastAsia="Amiri" w:cs="Amiri"/>
          <w:color w:val="111111"/>
          <w:sz w:val="28"/>
          <w:sz w:val="28"/>
          <w:szCs w:val="28"/>
          <w:rtl w:val="true"/>
          <w:lang w:bidi="ar-SA"/>
        </w:rPr>
        <w:t>الذي يمنحها حصانة طبيعية في مقابل تعدّي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أنشأها الشهيد الأوّل في جبل عامل بذرة لشجرة طيّبة نمت فيما بعد وأثمرت واتّسعت واستتبعت مدارس فقهية اخرى في مناطق كثيرة من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الشهيد الأوّل نفسه الذي أنشأ هذه المدرسة ذهب ضحية فتنة طائفية أوجدها المماليك في الشام واستشهد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ولاة المماليك على الشام إلّا أنّ العلم انتشر في جبل عامل ، وتعدّدت مراكز العلم والفقاهة وأصبحت هذه المنطقة مدرسة عامرة بالفقهاء والعلماء ، واستعاد التشيّع وجهه الفقهي والثقافي وأصالته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امتدّ بعد ذلك سلطان العثمانيين إلى بلاد الشام وواصل العثمانيون سياسة الاضطهاد والتضييق على شيعة الشام لم يكن هناك ما يهدّد كيان الشيعة العقائدي والفقهي في الشام كما حدث ذلك في فتنة المماليك من قبل ، فقد استطاع فقهاء الشيعة خلال هذه الفترة أن يعمّقوا في بلاد الشام وفي جبل عامل بالخصوص الاسس الفكرية والفقهية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استحدث الشهيد الأوّل نظاما خاصا لجباية الخمس وتوزيع العلماء في المناطق ، وكان لهذا العمل الفكري والثقافي والتنظيمي الذي نهض به الشهيد ومن خلفه من فقهاء الشيعة دور كبير في حفظ التشيّع في بلاد الشام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3139869_653776707"/>
      <w:bookmarkStart w:id="26" w:name="_Toc9"/>
      <w:bookmarkEnd w:id="25"/>
      <w:r>
        <w:rPr>
          <w:rtl w:val="true"/>
        </w:rPr>
        <w:t xml:space="preserve">ب </w:t>
      </w:r>
      <w:r>
        <w:rPr>
          <w:rtl w:val="true"/>
        </w:rPr>
        <w:t xml:space="preserve">- </w:t>
      </w:r>
      <w:r>
        <w:rPr>
          <w:rtl w:val="true"/>
        </w:rPr>
        <w:t xml:space="preserve">الدولة الصوفية وهجرة الفقهاء إليها </w:t>
      </w:r>
      <w:r>
        <w:rPr>
          <w:rtl w:val="true"/>
        </w:rPr>
        <w:t>:</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الصفويون اسرة شيعية علوية عريقة تنتسب إلى صفيّ الدين الأردبيلي </w:t>
      </w:r>
    </w:p>
    <w:p>
      <w:pPr>
        <w:pStyle w:val="BookText"/>
        <w:rPr/>
      </w:pPr>
      <w:r>
        <w:rPr>
          <w:rFonts w:ascii="Amiri" w:hAnsi="Amiri" w:eastAsia="Amiri" w:cs="Amiri"/>
          <w:color w:val="111111"/>
          <w:sz w:val="28"/>
          <w:sz w:val="28"/>
          <w:szCs w:val="28"/>
          <w:rtl w:val="true"/>
          <w:lang w:bidi="ar-SA"/>
        </w:rPr>
        <w:t>العارف والصوفي المعروف المدفون بأردبيل في آذربايجان ، وكان رجال هذه الاسرة يتوارثون زعامة الطريقة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أحفاد صفي الدين زعامة الطريقة بعد مقتل والده جمع جيشا من أتباعه وقاده إلى قتال اسرة آق‌قوينلو الحاكمة في آذربايجان والعراق ، وقضى على نفوذ هذه الاسرة التركمانية في آذربايجان واتّخذ من تبريز مقرّا لحكمه وسلطانه عام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ثمّ توجّه بجيشه إلى العراق وفتحه وقضى على نفوذ اسرة آق‌قوينلو في العراق بشكل كامل ، وأصبح الشاه إسماعيل حاكما على إيران والعراق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فتوحات الشاه إسماعيل إلى خراسان ، وتمّ له فتحها ، كما تمّ له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طويلة أخذت فيها الصبغة المذهبية ، وحاول كلّ من الطرفين المتقاتلين أن يستفيد من انتمائه المذهبي في كسب المعركة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تكوّنت دولة شيعية قويّة وواسعة في إيران والعراق وخراسان وهرات إلى جنب دولة سنّية قوية وواسعة كذلك ، وهي الدولة العثمانية التي كانت تتّخذ من الخلافة الإسلامية غطاء شرعيا لوجودها السياسي في العالم الإسلامي ، واستمرّ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سجالا بين هاتين القوّتين على مناطق النفوذ ، فبادرت الدولة الصفوية إلى فتح العراق وإسقاط حكومة أزبك السنية عام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تقابلت الدولتان في معركة كبيرة في حياة الشاه إسماعيل وانتهت المعركة بانتصار آل عثمان على الصفويين في موقعة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الشهيرة وانفصل العراق عن محور النفوذ الصفوي ، وأعلن والي العراق عن انضمام العراق إلى الدولة العثمانية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استعاد الصفويون سيطرتهم على العراق من جديد عام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وفاة الشاه إسماعيل مؤسّس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استرجع آل عثمان سيطرتهم على العراق من جديد 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هذا الصراع كان كلّ من الطرفين المتنافسين والمتقاتلين يحاول أن يكسب لموقفه في هذه المعركة الضارية غطاء شرعيا يمكنه من تحشيد المقاتلين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آل عثمان فكان عنوان الخلافة الإسلامية يدعمهم في هذه المعركة إلى حدّ بعيد ، بالإضافة إلى الارتباط التأريخي للمؤسسة الفقهية السنّية بالمؤسسة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الدولة الصفوية فكانت تواجه مشاكل حقيقية في هذا الجانب وكان عليها أن تعمل لكسب موقف فقهاء الشيعة إلى جانبها وتأييدهم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الدولة الفتيّة كانت بحاجة إلى حضور فاعل لفقهاء الشيعة معها لتستطيع أن تؤدّي رسالتها في تكريس مذهب أهل البيت عليهم‌السلام وفقههم وإدارة شئون الدولة على منهاج أهل البيت الفقهي ، وقد كان بعض ملوك الصفويين كالشاه إسماعيل وابنه طهماسب صادقين في محاولة تكريس المذهب الفقهي لأهل البيت في الدولة الصفوية وتمشية نظام الحكم الصفوي على منهاج فقه أهل البيت ، وكانوا يحاولون الإفادة من فقهاء الشيعة في هذا المجال وتمكينهم من الدولة بالمقدار الذي لا يزاحمهم في حقّ اتّخاذ القرار السياسي بشؤون الدولة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هو أحد العاملين الرئيسين لقدوم فقهاء الشيعة من جبل عامل من بلاد الشام إلى إيران ، وقد أشرنا إلى ذلك من قبل ، فقد كانت الدولة الشيعية الفتية بحاجة حقيقية وماسّة إلى استقدام الفقهاء من جبل عامل لما تتمتّع به هذه المنطقة الجبلية من الشام من مدارس علمية وتراث فقهي وثروة علمية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والعامل الثاني لهجرة فقهاء جبل عامل إلى إيران هو الاضطهاد الطائفي الذي كان يمارسه حكّام آل عثمان ضدّ الشيعية عموما وضدّ فقهاء الشيعة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سقطت الشام بيد آل عثمان عام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وقضى العثمانيون على نفوذ المماليك قضاء تاما ، واستمرّت بلاد الشام تحت النفوذ العثماني حتّى سقوط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الاضطهاد الطائفي الذي كان يمارسه المماليك ضدّ فقهاء الشيعة في الشام ، فقد كان فقهاء الشيعة يتمتّعون بحرّية نسبية في منطقة جبل عامل في ممارسة نشاطهم الثقافي والديني عند ما كان هذا النشاط لا يضرّ بمصالح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حلّ آل عثمان محلّ المماليك سلبوا من فقهاء الشيعة حتّى هذه المساحة المحدودة من حقّ النشاط العلمي ، وضيّقوا عليهم سبل العمل والحركة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السلطان سليم الأوّل بأوسع مذبحة للشيعة في بلاد الأناضول والشرائط الساحلي للبحر الأبيض المتوسّط ، ويقدّر المؤرّخون قتلى الشيعة في هذه المذبحة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عمّال آل عثمان الفقيه 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رغم المرونة المذهبية التي كان يمارسها هذا الفقيه الجليل ، فقد كان على صلة وثيقة بالمراكز العلمية السنّية ، وكسب تأييد الاستانة في أن يتولّى المدرسة العلمية النورية في بعلبك ، ولم يستجب لدعوة الصفويين في الهجرة إلى إيران ، رغم ذلك كلّه لم يسلم هذا الفقيه الجليل من سيف الاضطهاد الطائفي ، وقتل على ساحل البحر بطريقة مشجية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هذين العاملين استجاب فقهاء جبل عامل إلى دعوة الصفويين للقدوم إلى إيران ، فقدم من جبل عامل إلى أصفهان جمع كبير من خيار وكبار </w:t>
      </w:r>
    </w:p>
    <w:p>
      <w:pPr>
        <w:pStyle w:val="BookText"/>
        <w:rPr/>
      </w:pPr>
      <w:r>
        <w:rPr>
          <w:rFonts w:ascii="IRNazanin" w:hAnsi="IRNazanin" w:eastAsia="IRNazanin"/>
          <w:color w:val="111111"/>
          <w:sz w:val="28"/>
          <w:sz w:val="28"/>
          <w:szCs w:val="28"/>
          <w:rtl w:val="true"/>
          <w:lang w:bidi="fa-IR"/>
        </w:rPr>
        <w:t>فقهاء جبل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المحقّق الكركي الشيخ نور الدين علي بن الحسين بن عبد العالي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فقيه من جبل عامل يستجيب لدعوة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المحقّق الكركي بالشاه إسماعيل الصفوي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فتح الملك الصفوي هرات في قمة مجده العسكري وانتصاراته وبارك له هذا النصر ، واستقبل الملك المنتصر المحقّق الثاني في نشوة فتوحاته العسكرية باحترام وتقدير كبيرين ، وطلب منه أن ينتقل معه إلى إيران ويتولّى شئون الدولة الشرعية والفقهية بموجب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بداية هذا اللقاء لم يخف المحقّق الكركي استياءه من بطش الصفويين بالسنّة في مدينة هرات بعد فتحها والقضاء على دولة الأزبك ، وقد بلغه أنّ الجيش الصفوي قد قتل شيخ الإسلام في هرات سعد الدين التفتازاني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في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يريد أن ينبّهه إلى خطئه في الاضطهاد الطائفي والفتك بمن يخالفهم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يقتل لأمكن أن يتمّ عليه بالحجج والبراهين حقيقة مذهب الإمامية ويذعن بإلزامه جميع بلاد ما وراء النهر وخراسان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انتقل المحقق الكركي إلى إيران بصحبة الشاه واستغلّ هذه الفرصة أفضل استغلال ، ونشط في تكريس ونشر فقه أهل البيت عليهم‌السلام في إيران ، وتولّى تعيين العلماء وأئمة الجماعة والقضاة في أطراف البلاد بصورة منظّمة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أنّ الشهيد الأوّل محمد بن مكي رحمه‌اللّه كان أوّل من مارس تنظيم ارتباط العلماء بالمرجعية وجباية الحقوق الشرعية بصورة منظّمة ، فقد كان </w:t>
      </w:r>
    </w:p>
    <w:p>
      <w:pPr>
        <w:pStyle w:val="BookText"/>
        <w:rPr/>
      </w:pPr>
      <w:r>
        <w:rPr>
          <w:rFonts w:ascii="Amiri" w:hAnsi="Amiri" w:eastAsia="Amiri" w:cs="Amiri"/>
          <w:color w:val="111111"/>
          <w:sz w:val="28"/>
          <w:sz w:val="28"/>
          <w:szCs w:val="28"/>
          <w:rtl w:val="true"/>
          <w:lang w:bidi="ar-SA"/>
        </w:rPr>
        <w:t>المحقق الكركي أوّل من مارس هذه النظرية في النظم بصورة ميدانية وواسعة في الدولة الصفوية ، مستفيدا من إمكانات النظام والدعم السياسي والمالي الذي كان يتلقّاه من قبل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المحقق الكركي أن يقنع جمعا من زملائه وأصدقائه وتلاميذه في جبل عامل للهجرة إلى إيران والإفادة من هذه الفرصة السانحة لنشر وتكريس فقه أهل البيت عليهم‌السلام وبسط نفوذ الفقهاء في هذه الدولة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المحقق الكركي استطاع أن يحقّق خلال هذه الفترة أهدافه بصورة جيده ، ونجح في بسط نفوذ المؤسسة الفقهية إلى حدّ بعيد ، ممّا جعل البلاط الملكي يتضايق منه بصورة أو باخرى ، وقد أدّى ذلك فعلا إلى برود ملحوظ في علاقة المحقق الكركي ببعض أجنحة البلاط ، فآثر المحقق أن يغادر إيران إلى العراق ، ويعود إلى النجف مرّة اخرى ليعاود نشاطه الفقهي في هذه المدينة المقدّسة بجوار مرقد أمير المؤمنين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مكث المحقّق قرابة ستّ سنوات في النجف توفّي خلالها الشاه إسماعيل وخلّف على الملك ابنه طهماسب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الفراغ الذي خلّفه المحقّق الكركي من بعده أضرّ بالدولة ، وأنّ الجمهور كان يطالب بإلحاح بعودة المحقق الكركي إلى إيران ، ولم يجد الشاه بديلا عن المحقق ممّا جعل طهماسب ابن الشاه إسماعيل يطلب من المحقق العودة إلى إيران لتسلّم منصب شيخ الإسلام في عاصمة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المحقق الكركي لدعوة الملك ورجع إلى أصفهان عاصمة الصفويين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تمنحه بطبيعة الحال الولاية المطلقة في شئون النظام والامّة وتجعل مشروعية النظام تابعة لإذن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النظام الصفوي للمحقق بهذه الولاية المطلقة النائبة عن ولاية الإمام ، وصرّح له الملك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معزول الشيخ لا يستخدم ومنصوبه لا يعزل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طهماسب يقول 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بهذا الأمر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نائب الإمام وأنا أحد عمّالك الذين يمثّلون أوامرك ونواهيك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ومارس المحقق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عمله من هذا الموقع الشرعي في فترة من حكومة الشاه طهماسب وكان ينصب الولاة ويعزلهم ويأمرهم بالعدل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مجموعة من أحكام المحقق إلى الحكّام والولاة ، وكانت جميعا تتضمّن الأمر بالعدل إلى الرعايا والإحسان إليهم ، وكان للمحقق الكركي دور كبير في مكافحة الفحشاء والمنكرات وإقامة الفرائض في مواقيتها والأمر بإعلان الأذان في مواقيت الصلاة ، وملاحقة المجرمين والمفسدين في إيران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هذا حديث جديد في تأريخ فقه أهل البيت ، ولأوّل مرّة في التأريخ يتصدّى فقيه إمامي لشئون الولاية العامة من موقع السيادة والولاية الشرعية نيابة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إن كان معروفا من الناحية النظرية في الفقه الشيعي فهو على الصعيد التنفيذي والتطبيقي حدث جديد بالمعنى الدقيق للكلمة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7" w:name="pg8731_76958"/>
    </w:p>
    <w:p>
      <w:pPr>
        <w:pStyle w:val="BookText"/>
        <w:rPr/>
      </w:pPr>
      <w:bookmarkEnd w:id="27"/>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8" w:name="__RefHeading___Toc3139871_653776707"/>
      <w:bookmarkStart w:id="29" w:name="_Toc10"/>
      <w:bookmarkEnd w:id="28"/>
      <w:r>
        <w:rPr>
          <w:rtl w:val="true"/>
        </w:rPr>
        <w:t>الحركة العلمية في عصر صاحب المعالم</w:t>
      </w:r>
      <w:bookmarkEnd w:id="29"/>
    </w:p>
    <w:p>
      <w:pPr>
        <w:pStyle w:val="BookText"/>
        <w:rPr/>
      </w:pPr>
      <w:r>
        <w:rPr>
          <w:rFonts w:ascii="Amiri" w:hAnsi="Amiri" w:eastAsia="Amiri" w:cs="Amiri"/>
          <w:color w:val="111111"/>
          <w:sz w:val="28"/>
          <w:sz w:val="28"/>
          <w:szCs w:val="28"/>
          <w:rtl w:val="true"/>
          <w:lang w:bidi="ar-SA"/>
        </w:rPr>
        <w:t>إنّ المحقّق الكركي هو خرّيج مدرسة جبل عامل وقد حذا حذو الشهيد الأوّل في الهجرة إلى دمشق والقدس ومصر لينفتح على فقه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أتحف المكتبة الفقهية الإمامية بموسوعته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شرح استدلالي لقواعد العلّامة يمتاز بالتركيز والإيجاز ومتانة الاستدلال والاقتصار على قدر الضرورة من النقض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أحد المصادر التي لا يستغني عن مراجعتها الفقيه حين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دقّة نظر هذا الفقيه حتّى وسم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فقيه عاملي استجاب لدعوة الصفويين فقدّم إلى أصفهان ومارس تطبيق نظرية ولاية الفقيه بشكل مى‌دانى واسع في الدولة الصفوية ثمّ غادر إيران إلى العراق ليعاود نشاطه الفقهي قرابة ستّ سنوات ثمّ طلب منه النظام الصفوي الرجوع إلى أصفهان فاستجاب ثانية ومارس عمله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فقيه إمامي تصدّى لشئون الولاية العامة من موقع السيادة الشرعية نيابة عن الإمام عليه‌السلام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دخل الفقه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لدعوة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التطبيق الاجتماعي والسياسي بمستوى استلام زمام الحكم بصورة ملحوظة وأصبح من مسئولية الفقهاء الإجابة على كثير من الأسئلة التي كان يطرحها الولاة والقضاة وتناولها الفقهاء بالدرس والتأليف ويعدّ ذلك ثروة علمية فقهية 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الشهيد الثاني فقد درس في معاهد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جبع وميس وكرك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درس في دمشق ومصر وروى عن جماعة من علماء العامة كالعلّامة والشهيد اللذين انفتحا على فقه سائر المذاهب الإسلامية وأقام الشهيد الثاني بالقسطنطينية عام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ودرّس في المذاهب الخمسة مدّة طويلة وهو أوّل من صنّف من الإمامية في دراية الحديث أكثر من كتاب كما أنّه بلغ غاية الكمال في الأدب والفقه والتفسير والحديث والمعقول والهيئة والحساب والهندسة ، وقد اعتنى بمؤلّفات الشهيد الأوّل بالغ الاعتناء وتبلورت آراؤه الفقهية ومنهجه العلمي بوضوح في كتبه الفقهية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 والروضة البهية في شرح اللمعة الدمشقية للشهيد الأوّل ومسالك الأفهام في شرح شرائع الإسلام وغيرها كشروح الألفية والنفلية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ثلاث رسائل عن صلاة الجمعة وآدابها والحثّ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آثار الشهيد لا يستطيع إنكار تأثّره بالفتوحات الفقهية التي حصلت للفقه الإمامي منذ دخوله دور التطبيق الاجتماعي والسياسي على مستوى إدارة شئون الدولة على يد فقهاء الإمامية كالمحقق الكركي ومن حذا حذوه بعد أن كان قابعا بين سطور الكتب ولم يستطع النمو إلّا على مستوى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انتقل تراث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اجتمعت فيه خصائص مدرسة الشهيد الأوّل وما حازته مدرسة أصفهان بعد هجرة علماء جبل عامل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تلامذته إلى ولده صاحب المعالم الذي تلقّى العلم من جملة من تلامذة والده كوالد الشيخ البهائي ووالد صاحب المدارك والسيد علي الصائغ الذي هو من أبرز تلامذة الشهيد الثاني وممّن أجاز المولى المقدّس الأردبيلي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تتلمذ عنده صاحب المعالم في </w:t>
      </w:r>
    </w:p>
    <w:p>
      <w:pPr>
        <w:pStyle w:val="BookText"/>
        <w:rPr/>
      </w:pPr>
      <w:r>
        <w:rPr>
          <w:rFonts w:ascii="Amiri" w:hAnsi="Amiri" w:eastAsia="Amiri" w:cs="Amiri"/>
          <w:color w:val="111111"/>
          <w:sz w:val="28"/>
          <w:sz w:val="28"/>
          <w:szCs w:val="28"/>
          <w:rtl w:val="true"/>
          <w:lang w:bidi="ar-SA"/>
        </w:rPr>
        <w:t>مدرسة النجف الأشرف فلم يذكر أصحاب التراجم عن أسماء أساتذته شيئا سوى قولهم أنّه درس عند بعض تلامذة الشهيد الثاني وعند فضلاء العراقين والمشاهد المعظّمة وله الرواية عن السيد علي الصائغ الذي هو من كبار تلامذة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فقد تميّزت مدرسة المحقق الأردبيلي هذا عن المدارس المعاصرة لها بميزتين معروفتين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التحرّر من حصار التبعية للمشهور من الفقهاء والسابقين منهم بالرغم من اشتهاره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الاعتماد على مبدأ السماح والسهولة في أحكام الشريعة على أساس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بالشريعة السهلة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يسّروا ولا تعسّروا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 صاحب المعالم في هذه المدرسة الفقهية وارتوى من نميرها فيكون قد تأثّر بمدرستين منفتحتين مدرسة جبل عامل ومدرسة المقدّس الأردبيلي ، وفي عصر العهد الصفوي الذي أنزل الفقه الإمامي إلى الساحة الاجتماعية والسياسية على مستوى إدارة دولة وتسيير نظام للحكم في وسط اجتماعي مسلم</w:t>
      </w:r>
      <w:r>
        <w:rPr>
          <w:rFonts w:eastAsia="Amiri" w:cs="Amiri" w:ascii="Amiri" w:hAnsi="Amiri"/>
          <w:color w:val="111111"/>
          <w:sz w:val="28"/>
          <w:szCs w:val="28"/>
          <w:rtl w:val="true"/>
          <w:lang w:bidi="ar-SA"/>
        </w:rPr>
        <w:t xml:space="preserve">. </w:t>
      </w:r>
      <w:bookmarkStart w:id="30" w:name="pg8731_76961"/>
    </w:p>
    <w:p>
      <w:pPr>
        <w:pStyle w:val="BookText"/>
        <w:rPr/>
      </w:pPr>
      <w:bookmarkEnd w:id="30"/>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1" w:name="__RefHeading___Toc3139873_653776707"/>
      <w:bookmarkStart w:id="32" w:name="_Toc11"/>
      <w:bookmarkEnd w:id="31"/>
      <w:r>
        <w:rPr>
          <w:rtl w:val="true"/>
        </w:rPr>
        <w:t>حياة صاحب المعالم الشخصية وشخصيته العلمية</w:t>
      </w:r>
      <w:bookmarkEnd w:id="32"/>
    </w:p>
    <w:p>
      <w:pPr>
        <w:pStyle w:val="Heading4"/>
        <w:numPr>
          <w:ilvl w:val="3"/>
          <w:numId w:val="1"/>
        </w:numPr>
        <w:rPr/>
      </w:pPr>
      <w:bookmarkStart w:id="33" w:name="__RefHeading___Toc3139875_65377670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الشيخ جمال الدين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زين الدين بن علي بن أحمد بن محمد بن جمال الدين بن تقي الدين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النحاريري الجبعي المولود بجبع عشية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عام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المتوفّى في جبع في مفتتح محرّم الحرام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والده وعمره سبع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كلّ من عاصره من أساتذته وطلّابه ومن قارب عصره ممّن تأخّر عنه من أصحاب التراجم والرجال ، وإليك جملة من جمل 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وجه من وجوه أصحابنا ثقة عين صحيح الحديث ثبت واضح الطريقة نقيّ الكلام جيّد التصانيف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عالما فاضلا متبحّرا محقّقا ثقة ثقة فقيها وجيها نبيها محدّثا جامعا للفنون ، أديبا شاعرا زاهدا عابدا ورعا جليل القدر عظيم الشأن كثير المحاسن وحيد دهره ، أعرف أهل زمانه بالفقه والحديث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ينكر كثرة التصنيف مع عدم تحريره ، وكان حسن الخطّ جيّد الضبط عجيب الاستحضار حافظا للرجال والأخبار والأشعار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بلغ من التقوى والورع أقصاهما ، ومن الزهد والعبادة منتهاهما ومن </w:t>
      </w:r>
    </w:p>
    <w:p>
      <w:pPr>
        <w:pStyle w:val="BookText"/>
        <w:rPr/>
      </w:pPr>
      <w:r>
        <w:rPr>
          <w:rFonts w:ascii="Amiri" w:hAnsi="Amiri" w:eastAsia="Amiri" w:cs="Amiri"/>
          <w:color w:val="111111"/>
          <w:sz w:val="28"/>
          <w:sz w:val="28"/>
          <w:szCs w:val="28"/>
          <w:rtl w:val="true"/>
          <w:lang w:bidi="ar-SA"/>
        </w:rPr>
        <w:t xml:space="preserve">الفضل والكمال ذروتهما وأسناهما ، وكان لا يجوّز أكثر من قوت 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لأجل القرب إلى مساواة الفقراء والبعد عن التشبّه بالأغنياء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شيخ المشايخ الجلّة ورئيس المذهب والملّة ، الواضح الطريق والسنن والموضح الفروض والسنن ، يمّ العلم الذي يفيد ويفيض وخضمّ الفضل الذي لا ينضب ولا يغيض ، المحقّق الذي لا يراع له يراع ، والمدقّق الذي راق فضله وراع ، المتفنّن في جميع الفنون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الفقيه الجليل والمحدّث الاصولي ، الكامل النبيل المعروف بصاحب المعالم ، ذو النفس الطاهرة والفضل الجامع والمكارم الباهرة ، هو مصداق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أعلم ، ومظهر المثل السائر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يشابه أباه فما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رضى عنه اللّه علّامة عصره وفهّامة دهره ، وهو وأبوه وجدّه الأعلى وجدّه الأدنى وابنه وسبطه قدّس اللّه أرواحهم كلّهم من أعاظم العلماء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أمره في العلم والفقه والتبحّر والتحقيق وحسن السليقة وجودة الفهم وجلالة القدر وكثرة المحاسن والكمالات أشهر من أن يذكر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ويكفي في علوّ شأنه وجلالته عند شيخه واستاذه المحقّق الأردبيلي ما كتبه له في آخر وصية كتبها لتلميذه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منه ليكون </w:t>
      </w:r>
      <w:bookmarkStart w:id="35" w:name="pg8731_76963"/>
    </w:p>
    <w:p>
      <w:pPr>
        <w:pStyle w:val="BookText"/>
        <w:rPr/>
      </w:pPr>
      <w:bookmarkEnd w:id="35"/>
      <w:r>
        <w:rPr>
          <w:rFonts w:ascii="Amiri" w:hAnsi="Amiri" w:eastAsia="Amiri" w:cs="Amiri"/>
          <w:color w:val="111111"/>
          <w:sz w:val="28"/>
          <w:sz w:val="28"/>
          <w:szCs w:val="28"/>
          <w:rtl w:val="true"/>
          <w:lang w:bidi="ar-SA"/>
        </w:rPr>
        <w:t xml:space="preserve">تذكرة له ونصيحة ، حيث كتب له بعض الأحاديث وكتب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أحمد لمولاه لأمره ورضاه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139877_653776707"/>
      <w:bookmarkStart w:id="37" w:name="_Toc13"/>
      <w:bookmarkEnd w:id="36"/>
      <w:r>
        <w:rPr>
          <w:rtl w:val="true"/>
        </w:rPr>
        <w:t xml:space="preserve">نشأته العلمية وأساتذته </w:t>
      </w:r>
      <w:r>
        <w:rPr>
          <w:rtl w:val="true"/>
        </w:rPr>
        <w:t>:</w:t>
      </w:r>
      <w:bookmarkEnd w:id="37"/>
    </w:p>
    <w:p>
      <w:pPr>
        <w:pStyle w:val="BookText"/>
        <w:rPr/>
      </w:pPr>
      <w:r>
        <w:rPr>
          <w:rFonts w:ascii="Amiri" w:hAnsi="Amiri" w:eastAsia="Amiri" w:cs="Amiri"/>
          <w:color w:val="111111"/>
          <w:sz w:val="28"/>
          <w:sz w:val="28"/>
          <w:szCs w:val="28"/>
          <w:rtl w:val="true"/>
          <w:lang w:bidi="ar-SA"/>
        </w:rPr>
        <w:t xml:space="preserve">نشأ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اخته وزميله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وتلقّيا العلم من تلامذة والده الشهيد الثاني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الكبير والد صاحب المدارك ، والسيد علي الصائغ الذي اعتنى بهما عناية كبيرة تحقيقا لدعاء والده الشهيد الذي طلب من اللّه سبحانه أن يرزقه ولدا ويتولّى هذا السيد الفاضل تربيته وتولّى السيد علي الصائغ تربيتهما وقرءا عليه أكثر العلوم التي استفادها من الشهيد الثاني من معقول ومنقول وفروع واصول وعربية ورياضيات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تلامذة الشهيد الشيخ حسين بن عبد الصمد والد الشيخ البهائي حيث أجاز الشيخ حسن بتأريخ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أصحاب التراجم أنّ المولى عبد اللّه اليزدي صاحب الحاشية المعروفة في المنطق قد درّس الشيخ حسن والسيد محمد المنطق والرياضيات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جبل عامل أو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هو عليهما الفقه والحديث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وهاجرا إلى العراق ولم يبقيا في النجف إلّا مدّة قليلة لعلّها سنتان أو أكثر حيث قرءا على المولى المقدّس الأردبيلي بعض المتون الاصولية والفقهية التي لها دخل في الاجتهاد بمقدار ما يهمّ الفقيه معرفته من منطق واصول وفقه في </w:t>
      </w:r>
    </w:p>
    <w:p>
      <w:pPr>
        <w:pStyle w:val="BookText"/>
        <w:rPr/>
      </w:pPr>
      <w:r>
        <w:rPr>
          <w:rFonts w:ascii="Amiri" w:hAnsi="Amiri" w:eastAsia="Amiri" w:cs="Amiri"/>
          <w:color w:val="111111"/>
          <w:sz w:val="28"/>
          <w:sz w:val="28"/>
          <w:szCs w:val="28"/>
          <w:rtl w:val="true"/>
          <w:lang w:bidi="ar-SA"/>
        </w:rPr>
        <w:t>حلقة خاصة بهما وباسلوب يختلف عن الأساليب الموروثة في التحصيل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طلبة الأردبيلي يسخرون منهما اسلوبهما في التحصيل وكان الأردبيلي يشير إلى أنّهما سوف يعود ان إلى بلدهما مجتهدين ويؤلّفان الكتب التي سوف تصبح مدارا ومحورا للتدريس ، وبالفعل كان الأمر كذلك إذ رجعا إلى جبل عامل وألّف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استاذه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ومقدّمته هي من خيرة الكتب الدراسية الاصولية ، والمعالم هو الكتاب الاصولي الأوّل الذي لا زال يدرّس إلى عصرنا الحاضر في الحوزات العلمية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فقهي يشار إليه بالبنان</w:t>
      </w:r>
      <w:r>
        <w:rPr>
          <w:rFonts w:eastAsia="Amiri" w:cs="Amiri" w:ascii="Amiri" w:hAnsi="Amiri"/>
          <w:color w:val="111111"/>
          <w:sz w:val="28"/>
          <w:szCs w:val="28"/>
          <w:rtl w:val="true"/>
          <w:lang w:bidi="ar-SA"/>
        </w:rPr>
        <w:t xml:space="preserve">. </w:t>
      </w:r>
      <w:bookmarkStart w:id="38" w:name="pg8731_76965"/>
    </w:p>
    <w:p>
      <w:pPr>
        <w:pStyle w:val="BookText"/>
        <w:rPr/>
      </w:pPr>
      <w:bookmarkEnd w:id="38"/>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9" w:name="__RefHeading___Toc3139879_653776707"/>
      <w:bookmarkStart w:id="40" w:name="_Toc14"/>
      <w:bookmarkEnd w:id="39"/>
      <w:r>
        <w:rPr>
          <w:rtl w:val="true"/>
        </w:rPr>
        <w:t>مدرسة صاحب المعالم</w:t>
      </w:r>
      <w:bookmarkEnd w:id="40"/>
    </w:p>
    <w:p>
      <w:pPr>
        <w:pStyle w:val="Heading4"/>
        <w:numPr>
          <w:ilvl w:val="3"/>
          <w:numId w:val="1"/>
        </w:numPr>
        <w:rPr/>
      </w:pPr>
      <w:bookmarkStart w:id="41" w:name="__RefHeading___Toc3139881_653776707"/>
      <w:bookmarkStart w:id="42" w:name="_Toc15"/>
      <w:bookmarkEnd w:id="41"/>
      <w:r>
        <w:rPr/>
        <w:t>1</w:t>
      </w:r>
      <w:r>
        <w:rPr>
          <w:rtl w:val="true"/>
        </w:rPr>
        <w:t xml:space="preserve"> - </w:t>
      </w:r>
      <w:r>
        <w:rPr>
          <w:rtl w:val="true"/>
        </w:rPr>
        <w:t xml:space="preserve">نشاطه العلمي </w:t>
      </w:r>
      <w:r>
        <w:rPr>
          <w:rtl w:val="true"/>
        </w:rPr>
        <w:t>:</w:t>
      </w:r>
      <w:bookmarkEnd w:id="42"/>
    </w:p>
    <w:p>
      <w:pPr>
        <w:pStyle w:val="Heading5"/>
        <w:numPr>
          <w:ilvl w:val="4"/>
          <w:numId w:val="1"/>
        </w:numPr>
        <w:rPr/>
      </w:pPr>
      <w:bookmarkStart w:id="43" w:name="__RefHeading___Toc3139883_653776707"/>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يمكن تصنيف النشاط العلمي للشيخ حسن بن زين الدين العاملي إلى نشاط تدريسي وآخر تأليفي</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139885_653776707"/>
      <w:bookmarkStart w:id="46" w:name="_Toc17"/>
      <w:bookmarkEnd w:id="45"/>
      <w:r>
        <w:rPr>
          <w:rtl w:val="true"/>
        </w:rPr>
        <w:t xml:space="preserve">أ </w:t>
      </w:r>
      <w:r>
        <w:rPr>
          <w:rtl w:val="true"/>
        </w:rPr>
        <w:t xml:space="preserve">- </w:t>
      </w:r>
      <w:r>
        <w:rPr>
          <w:rtl w:val="true"/>
        </w:rPr>
        <w:t xml:space="preserve">تلامذته والراوون عنه </w:t>
      </w:r>
      <w:r>
        <w:rPr>
          <w:rtl w:val="true"/>
        </w:rPr>
        <w:t>:</w:t>
      </w:r>
      <w:bookmarkEnd w:id="46"/>
    </w:p>
    <w:p>
      <w:pPr>
        <w:pStyle w:val="BookText"/>
        <w:rPr/>
      </w:pPr>
      <w:r>
        <w:rPr>
          <w:rFonts w:ascii="Amiri" w:hAnsi="Amiri" w:eastAsia="Amiri" w:cs="Amiri"/>
          <w:color w:val="111111"/>
          <w:sz w:val="28"/>
          <w:sz w:val="28"/>
          <w:szCs w:val="28"/>
          <w:rtl w:val="true"/>
          <w:lang w:bidi="ar-SA"/>
        </w:rPr>
        <w:t xml:space="preserve">وقد أثمر النشاط التدريسي مجموعة من الفقهاء والطلّاب الذين جاء ذكرهم أو ذكر بعض منهم في كتب التراجم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نجيب الدين علي بن محمد بن مكي بن عيسى بن حسن العاملي الجبيلي ثم الجبعي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اللطيف بن محيي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السلام بن محمد الحرّ العاملي عمّ صاحب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الحسن الظهيري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نجم الدين بن محمد الموسوي السكيكي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إجازة ولا يعلم أقرأ عليه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علي 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أنّه من تلاميذه إذ توجد بخطّه نسخة التحرير الطاوسي في الخزانة الرضوية ، كتبه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سنة وفاة المؤلّف صاحب المعالم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محمد ابن صاحب المعالم وله منه إجازة بتأريخ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علي وهو الآخر ابن صاحب المعالم وله منه إجازة </w:t>
      </w:r>
      <w:bookmarkStart w:id="47" w:name="pg8731_76966"/>
    </w:p>
    <w:p>
      <w:pPr>
        <w:pStyle w:val="BookText"/>
        <w:rPr/>
      </w:pPr>
      <w:bookmarkEnd w:id="47"/>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أيضا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139887_653776707"/>
      <w:bookmarkStart w:id="49" w:name="_Toc18"/>
      <w:bookmarkEnd w:id="48"/>
      <w:r>
        <w:rPr>
          <w:rtl w:val="true"/>
        </w:rPr>
        <w:t xml:space="preserve">ب </w:t>
      </w:r>
      <w:r>
        <w:rPr>
          <w:rtl w:val="true"/>
        </w:rPr>
        <w:t xml:space="preserve">- </w:t>
      </w:r>
      <w:r>
        <w:rPr>
          <w:rtl w:val="true"/>
        </w:rPr>
        <w:t xml:space="preserve">مؤلّفاته </w:t>
      </w:r>
      <w:r>
        <w:rPr>
          <w:rtl w:val="true"/>
        </w:rPr>
        <w:t>:</w:t>
      </w:r>
      <w:bookmarkEnd w:id="49"/>
    </w:p>
    <w:p>
      <w:pPr>
        <w:pStyle w:val="Heading6"/>
        <w:numPr>
          <w:ilvl w:val="5"/>
          <w:numId w:val="1"/>
        </w:numPr>
        <w:rPr/>
      </w:pPr>
      <w:bookmarkStart w:id="50" w:name="__RefHeading___Toc3139889_653776707"/>
      <w:bookmarkStart w:id="51" w:name="_Toc19"/>
      <w:bookmarkEnd w:id="50"/>
      <w:r>
        <w:rPr>
          <w:rtl w:val="true"/>
        </w:rPr>
        <w:t>اشارة</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مشيخة من لا يحضره الفقيه ، ابتدأ به في النجف وفرغ منه في رمضان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الكافي والفقيه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ألفية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الطهارة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جواز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القول السديد في تحقيق معنى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مبسوطة على المختلف 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مبسوط 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حواشي شرح اللمعة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المسائل المدنيات الاولى والثانية والثالثة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اعتقادات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إجازة كبيرة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2" w:name="pg8731_76967"/>
    </w:p>
    <w:p>
      <w:pPr>
        <w:pStyle w:val="Heading6"/>
        <w:numPr>
          <w:ilvl w:val="5"/>
          <w:numId w:val="1"/>
        </w:numPr>
        <w:rPr/>
      </w:pPr>
      <w:bookmarkStart w:id="53" w:name="__RefHeading___Toc3139891_653776707"/>
      <w:bookmarkStart w:id="54" w:name="_Toc20"/>
      <w:bookmarkEnd w:id="52"/>
      <w:bookmarkEnd w:id="53"/>
      <w:r>
        <w:rPr>
          <w:rtl w:val="true"/>
        </w:rPr>
        <w:t xml:space="preserve">التعريف بمؤلّفاته وشروحها </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المحدّث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تصانيف الشيخ حسن على غاية من التحقيق والتدقيق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السيد جمال الدين أحمد بن موسى بن طاوس الحسني كتابا في الرجال جمع فيه ما في الاصول الرجالية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وفهرست ورجال الطوسي واختيار معرفة رجال الكشي للطوسي أيضا وكتاب الضعفاء لابن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طاوس قد حرّر كتاب الاختيار وهذّب أخباره متنا وسندا ووزّعها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التراجم ، فلمّا ظفر صاحب المعالم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مشرفا على التلف انتزع منه ما حرّره ابن طاوس ووزّعه في أبوابه من كتاب الاختيار خاصّة وسمّاه 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فالتحرير الطاوسي عبارة عن جمع ما حرّره ابن طاوس وهذّبه من كتاب الكشي خاصة دون ما عداه وإيداعه في كتاب واحد مسمّى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أضاف إليه صاحب المعالم في المتن والحواشي فوائد كثيرة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غير العبادات ، أبان فيه عن فوائد جليلة وجعل له مقدمة مفيدة واقتصر فيه على إيراد الصحاح والحسان من الأخبار على طريقة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فإنّه كان لا يعمل بغيرهما ، وكان يعرب أحاديثه بالشكل عملا بالحديث الذي رواه الكليني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أعربوا حديثنا فإنّا قوم فصحاء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ألفية الشهيد محمد بن مكّي العاملي المشتملة على ألف واجب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صنّفها في طريق مكّة وافتتحها بآداب السفر وثنّى بأعمال المدينة المنوّرة عكس المتعارف معتذرا بأنّه زارها قبل مكّة المكرّمة ، وطريقته فيها أن يذكر الحكم ودليله من الأخبار الصحيحة أو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وشرحها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 والشيخ نجيب الدين علي ابن محمد بن مكّي ، والسيد نجم الدين بن محمد الموسوي السكيكي ، والشيخ محمد ابن صاحب المعالم ، والأمير فضل اللّه التفريشي ، والشيخ فخر الدين الطريحي ، والسيد شرف الدين علي بن حجّة اللّه الشولستاني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مقدمة تتضمّن تحرير مباحث اصول الفقه وتعرف بمعالم الاصول أو معالم الدين وطبعت مستقلّة ، إذ عليها المعوّل في التدريس إلى يومنا هذا بعد ما كان التدريس في الشرح العميدي على تهذيب العلّامة والحاجبي والعضدي ، وعلى هذه المقدمة حواش وشروح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لولده الشيخ محمد ، وحاشية سلطان العلماء ، وحاشية الملّا صالح المازندراني ، وحاشية للمدقّق الشيرواني ، ومجموعة حواش وتعليقات للوحيد البهبهاني ، وحاشية مفصّلة للشيخ محمد تقي الأصفهاني كبيرة مطبوعة ، وحاشية للشيخ محمد طه نجف وغيرهم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أصل الكتاب فهو كتاب فقهي استدلالي استقضى فيه الآراء والأدلّة ورتّبه بشكل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في العبادات وفيه كتب ، والكتاب الأوّل في </w:t>
      </w:r>
      <w:bookmarkStart w:id="55" w:name="pg8731_76969"/>
    </w:p>
    <w:p>
      <w:pPr>
        <w:pStyle w:val="BookText"/>
        <w:rPr/>
      </w:pPr>
      <w:bookmarkEnd w:id="55"/>
      <w:r>
        <w:rPr>
          <w:rFonts w:ascii="Amiri" w:hAnsi="Amiri" w:eastAsia="Amiri" w:cs="Amiri"/>
          <w:color w:val="111111"/>
          <w:sz w:val="28"/>
          <w:sz w:val="28"/>
          <w:szCs w:val="28"/>
          <w:rtl w:val="true"/>
          <w:lang w:bidi="ar-SA"/>
        </w:rPr>
        <w:t xml:space="preserve">الصلاة وفيه أبواب ، والباب الأوّل في المقدّمات وفيه مقاصد ، والمقصد الأوّل في الطهارة وفيه مطالب ، والمطلب الأوّل في المياه وفيه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في المطلق والثاني في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الثاني في الطهارة من النجاسات ، والمطلب الثالث في الطهارة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يتمّ منه سوى مباحث المياه والطهارة من الخبث ، وهو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نعثر على شرح أو تعليقة على هذا المتن خلافا لما نراه من شروح وتعليقات على المقدمة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الاصول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139893_653776707"/>
      <w:bookmarkStart w:id="57" w:name="_Toc21"/>
      <w:bookmarkEnd w:id="56"/>
      <w:r>
        <w:rPr/>
        <w:t>2</w:t>
      </w:r>
      <w:r>
        <w:rPr>
          <w:rtl w:val="true"/>
        </w:rPr>
        <w:t xml:space="preserve"> - </w:t>
      </w:r>
      <w:r>
        <w:rPr>
          <w:rtl w:val="true"/>
        </w:rPr>
        <w:t xml:space="preserve">منهجه وملامح مدرسته </w:t>
      </w:r>
      <w:r>
        <w:rPr>
          <w:rtl w:val="true"/>
        </w:rPr>
        <w:t>:</w:t>
      </w:r>
      <w:bookmarkEnd w:id="57"/>
    </w:p>
    <w:p>
      <w:pPr>
        <w:pStyle w:val="BookText"/>
        <w:rPr/>
      </w:pPr>
      <w:r>
        <w:rPr>
          <w:rFonts w:ascii="Amiri" w:hAnsi="Amiri" w:eastAsia="Amiri" w:cs="Amiri"/>
          <w:color w:val="111111"/>
          <w:sz w:val="28"/>
          <w:sz w:val="28"/>
          <w:szCs w:val="28"/>
          <w:rtl w:val="true"/>
          <w:lang w:bidi="ar-SA"/>
        </w:rPr>
        <w:t xml:space="preserve">ذهب صاحب المعالم إلى أنّ خبر الواحد العاري عن القرائن المفيدة للعلم حجّة إذا كان جامعا للشرائط التي منها إيمان الراوي وعدالته وضبطه وأنّ العدالة إنّما تعرف بالاختبار بالصحبة المؤكّدة والملازمة بحيث تظهر أحواله ويحصل الاطّلاع على سريرته حيث يكون ذلك ممكنا ومع عدمه باشتهارها بين العلماء وأهل الحديث وبشهادة القرائن المتكثّرة المتعاضدة ، وبالتزكية من العالم بها ، ولا يقبل في التزكية إلّا شهادة العدلين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عنه أنّه يلتزم بحجية الأخبار الصحاح والحسان فقط ، والصحيح عنده هو ما قامت عليه الشهادة الشرعية التي تتمّ بواسطة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يختلف الصحيح عنده عن الصحيح عند المشهور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صنّف كتابه منتقى الجمان حيث جمع فيه الأخبار الصحاح والحسان </w:t>
      </w:r>
    </w:p>
    <w:p>
      <w:pPr>
        <w:pStyle w:val="BookText"/>
        <w:rPr/>
      </w:pPr>
      <w:r>
        <w:rPr>
          <w:rFonts w:ascii="IRNazanin" w:hAnsi="IRNazanin" w:eastAsia="IRNazanin"/>
          <w:color w:val="111111"/>
          <w:sz w:val="28"/>
          <w:sz w:val="28"/>
          <w:szCs w:val="28"/>
          <w:rtl w:val="true"/>
          <w:lang w:bidi="fa-IR"/>
        </w:rPr>
        <w:t xml:space="preserve">وصنّفهما إلى ثلاث درجات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الأعلائي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عند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أدّى هذا المسلك الذي سلكه ووافقه فيه صاحب المدارك إلى ردود فعل قوية تجلّت في حركة الأخباريين فيما بعد حيث ذهبوا إلى حجية كلّ الأحاديث الواردة في الكتب الأربعة على عكس ما قام به المحقق صاحب المعالم من تهذيب أحاديث الكتب الأربعة وتضييق دائرة الحجية في هذه الموسوعات الحديثية الإمامية المهمّة حتّى انتقدهما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خبير بأنّا في عويل من أصل هذا الاصطلاح الذي هو إلى الفساد أقرب من الصلاح حيث إنّ اللازم منه لو وقف عليه أصحابه فساد الشريعة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ناقشه السيد محسن الأمين العاملي بتفصيل بعد نقل كلامه وبيان ما يذهب إليه ، فراجع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اهتمّ صاحب المعالم بعلم الاصول حتّى اعتبره أهمّ العلوم للمجتهد وقد سعى لتنقيح المباحث الاصولية والاهتمام بما له دخل في الاجتهاد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صار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للتدريس إلى يومنا هذا لسلاسته ودقّته ونظمه وحذفه للبحوث الزائدة بحسب حاجة ذلك العصر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الفقه فقد تأثّر صاحب المعالم بمدرسة الشهيدين ومدرسة المقدّس </w:t>
      </w:r>
    </w:p>
    <w:p>
      <w:pPr>
        <w:pStyle w:val="BookText"/>
        <w:rPr/>
      </w:pPr>
      <w:r>
        <w:rPr>
          <w:rFonts w:ascii="Amiri" w:hAnsi="Amiri" w:eastAsia="Amiri" w:cs="Amiri"/>
          <w:color w:val="111111"/>
          <w:sz w:val="28"/>
          <w:sz w:val="28"/>
          <w:szCs w:val="28"/>
          <w:rtl w:val="true"/>
          <w:lang w:bidi="ar-SA"/>
        </w:rPr>
        <w:t>الأردبيلي وجمع بين كمالاتهما بالإضافة إلى حسن سليقته واعتدالها ويشهد لذلك ما ذكره في مبحث النية من مناسك الحجّ ، وما ذكره في مبحث الطواف وغيره ممّا يشير إلى سلامة ذوقه وتفهّمه إلى مداليل الأخبار معتمدا مبدأ السهولة التي جاء التصريح بها في الآيات البيّنات والأحاديث المأثورة من أنّ أحكام الإسلام بنيت على عدم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اعتماده الدليل في كلّ مسألة وعدم الالتزام بمجرّد ما يلتزم به المشهور إن لم يكن لرأيهم دليل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أن نضيف إلى منجزات مدرسة جبل عامل أهمّ ما أنجزه المحقّق الشيخ حسن بن زين الدين العاملي نفسه من منجزات تعدّ نتاجا طبيعيا لمدرسة الحلّة التي تجسّدت في تراث جبل عامل عبر مدرسة النجف الأشرف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أحاديث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وتنظيم المباحث الاصولية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مبدأ السهولة والتحرّر من سلطة المشهور</w:t>
      </w:r>
      <w:r>
        <w:rPr>
          <w:rFonts w:eastAsia="Amiri" w:cs="Amiri" w:ascii="Amiri" w:hAnsi="Amiri"/>
          <w:color w:val="111111"/>
          <w:sz w:val="28"/>
          <w:szCs w:val="28"/>
          <w:rtl w:val="true"/>
          <w:lang w:bidi="ar-SA"/>
        </w:rPr>
        <w:t xml:space="preserve">. </w:t>
      </w:r>
      <w:bookmarkStart w:id="58" w:name="pg8731_76972"/>
    </w:p>
    <w:p>
      <w:pPr>
        <w:pStyle w:val="Heading3"/>
        <w:numPr>
          <w:ilvl w:val="2"/>
          <w:numId w:val="1"/>
        </w:numPr>
        <w:rPr/>
      </w:pPr>
      <w:bookmarkStart w:id="59" w:name="__RefHeading___Toc3139895_653776707"/>
      <w:bookmarkStart w:id="60" w:name="_Toc22"/>
      <w:bookmarkEnd w:id="58"/>
      <w:bookmarkEnd w:id="59"/>
      <w:r>
        <w:rPr>
          <w:rtl w:val="true"/>
        </w:rPr>
        <w:t>قيمة الكتاب العلمية</w:t>
      </w:r>
      <w:bookmarkEnd w:id="60"/>
    </w:p>
    <w:p>
      <w:pPr>
        <w:pStyle w:val="BookText"/>
        <w:rPr/>
      </w:pPr>
      <w:r>
        <w:rPr>
          <w:rFonts w:ascii="Amiri" w:hAnsi="Amiri" w:eastAsia="Amiri" w:cs="Amiri"/>
          <w:color w:val="111111"/>
          <w:sz w:val="28"/>
          <w:sz w:val="28"/>
          <w:szCs w:val="28"/>
          <w:rtl w:val="true"/>
          <w:lang w:bidi="ar-SA"/>
        </w:rPr>
        <w:t>إنّ مقدّمة كتاب المعالم التي مثلث دورة اصولية استدلالية كاملة في عصر المؤلّف هي التي أدّت إلى اشتهار المؤلّف وخلود ذكره ؛ لما اتّسم القسم الاصوليّ من كتابه بالمنهجية ، ووضوح التعبير ، وإحكام البيان ، والإحاطة بالآراء وأدلّتها حتّى عصر المؤلّف ، وقوّة النقد ، والاهتمام بالمناقشات ، التي تستحقّ الاهتمام ؛ لغرض الكشف عن الحقيقة وتربية الذهنية الاصولية عند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السمات بالرغم من انسحابها على القسم الفقهي من الكتاب ولكنّه لم يشتهر كاشتهار القسم الاصولي منه ، ولعلّ ذلك يعود إلى وجود كتب فقهية ممتازة بكونها تمثّل دورة فقهية كاملة بينما لم يوفّق المؤلّف حتّى إلى إتمام مباحث كتاب الطهارة ، بالاضافة إلى أنّ الحوزات العلمية كانت تميل إلى اختيار الكتب التي تتمتّع بنوع من التعقيد في العبارة والإيجاز في البحث كتبا دراسية ليضطرّ الطالب إلى التأمّل والتدقيق لحلّ الألغاز والعبائر المشكلة ترويضا للذهن وإعدادا للطالب لممارسة عملية الاجتهاد الفكري في حقلي الفقه والاصول ، بينما نجد المعالم سلس البيان واضح العبارة خاليا من التعقيد ، ينال المطالع منه بغيته بسرعة فائقة ولا يحتاج إلى التأمّل الكثير لفهم مقاصد المؤلّف ومناقشاته للآراء المخالفة لرأيه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فإنّا نجد عند من تأخّر عن صاحب المعالم الاهتمام بآرائه التي جاءت في فقه المعالم كالعلّامة المجلسي في كتاب الطهارة من حقل الفقه لبحار الأنوار ، وكالشيخ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من موسوعته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يشير إلى أهمية المؤلّف وأهمية آرائه التي سجّلها في معالمه</w:t>
      </w:r>
      <w:r>
        <w:rPr>
          <w:rFonts w:eastAsia="Amiri" w:cs="Amiri" w:ascii="Amiri" w:hAnsi="Amiri"/>
          <w:color w:val="111111"/>
          <w:sz w:val="28"/>
          <w:szCs w:val="28"/>
          <w:rtl w:val="true"/>
          <w:lang w:bidi="ar-SA"/>
        </w:rPr>
        <w:t xml:space="preserve">. </w:t>
      </w:r>
      <w:bookmarkStart w:id="61" w:name="pg8731_76973"/>
    </w:p>
    <w:p>
      <w:pPr>
        <w:pStyle w:val="Heading3"/>
        <w:numPr>
          <w:ilvl w:val="2"/>
          <w:numId w:val="1"/>
        </w:numPr>
        <w:rPr/>
      </w:pPr>
      <w:bookmarkStart w:id="62" w:name="__RefHeading___Toc3139897_653776707"/>
      <w:bookmarkStart w:id="63" w:name="_Toc23"/>
      <w:bookmarkEnd w:id="61"/>
      <w:bookmarkEnd w:id="62"/>
      <w:r>
        <w:rPr>
          <w:rtl w:val="true"/>
        </w:rPr>
        <w:t>منهجية كتاب المعالم</w:t>
      </w:r>
      <w:bookmarkEnd w:id="63"/>
    </w:p>
    <w:p>
      <w:pPr>
        <w:pStyle w:val="BookText"/>
        <w:rPr/>
      </w:pPr>
      <w:r>
        <w:rPr>
          <w:rFonts w:ascii="Amiri" w:hAnsi="Amiri" w:eastAsia="Amiri" w:cs="Amiri"/>
          <w:color w:val="111111"/>
          <w:sz w:val="28"/>
          <w:sz w:val="28"/>
          <w:szCs w:val="28"/>
          <w:rtl w:val="true"/>
          <w:lang w:bidi="ar-SA"/>
        </w:rPr>
        <w:t>يتّضح لمن يطالع فقه المعالم أنّ المؤلّف قد اتّبع منهجا فريدا في بحوثه حيث اهتمّ بموارد الخلاف عند الإمامية ولم يتوقّف عند المسائل الواضحة والمتّفق عليها بين الفقهاء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يستشهد بآيات القرآن الكريم ويستدلّ بها في كلّ مورد تدلّ عليه محكمات الكتاب متجنّبا المناقشات التي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إجماع يعتمد عليه أشار إليه ، وإلّا عطف عنان القلم إلى النصوص الروائية التي يصحّ الاحتجاج بها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ويلتفت في كلّ نصّ يستدلّ هو به أو يكون الآخرون قد استدلّوا به إلى السند والدلالة معا فيقوّمهما معا ثمّ يلاحظ تعارض النصوص ويحاول تقديم رأيه في الجمع بينها أو تقديم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يبدأ الموضوع في كلّ مسألة ويردفه ببيان الحكم إن كان متّفقا عليه ، وإلّا فيذكر المشهور أو الأشهر ثمّ يذكر الآراء الاخرى وقد يبدأ بأدلّة الخصم ثمّ يناقشها ثمّ ينتهي إلى الرأي المختار ، وقد يعكس الأمر في موارد اخرى فيبدأ بذكر رأيه وأدلّته ثمّ يذكر الآراء الاخرى وأدلّتها ثمّ يناقشها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المنهج من مسألة إلى اخرى من هذه الجهة باعتبار أنّه قد يكون الأصل هو ما ذهب إليه من الرأي ويكون خلافه بحاجة إلى الدليل فيركّز جهده على ذكر أدلّة الخصم ومناقشتها ليسير بالقارئ ممّا عليه الآخرون إلى ما ينبغي الاعتقاد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اهتمام المؤلّف بآرائه ومبانيه في علم الاصول في بحثه الفقهي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وإليها يرجع القارئ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رأينا أن نذكر آراءه الاصولية في مقدّمة الكتاب مجرّدة عن الاستدلال ليستغني الباحث عن الرجوع إلى معالم الاصول المطبوع مستقلا عن فقه المعالم حتّى يومنا هذا</w:t>
      </w:r>
      <w:r>
        <w:rPr>
          <w:rFonts w:eastAsia="Amiri" w:cs="Amiri" w:ascii="Amiri" w:hAnsi="Amiri"/>
          <w:color w:val="111111"/>
          <w:sz w:val="28"/>
          <w:szCs w:val="28"/>
          <w:rtl w:val="true"/>
          <w:lang w:bidi="ar-SA"/>
        </w:rPr>
        <w:t xml:space="preserve">. </w:t>
      </w:r>
      <w:bookmarkStart w:id="64" w:name="pg8731_76975"/>
    </w:p>
    <w:p>
      <w:pPr>
        <w:pStyle w:val="Heading3"/>
        <w:numPr>
          <w:ilvl w:val="2"/>
          <w:numId w:val="1"/>
        </w:numPr>
        <w:rPr/>
      </w:pPr>
      <w:bookmarkStart w:id="65" w:name="__RefHeading___Toc3139899_653776707"/>
      <w:bookmarkStart w:id="66" w:name="_Toc24"/>
      <w:bookmarkEnd w:id="64"/>
      <w:bookmarkEnd w:id="65"/>
      <w:r>
        <w:rPr>
          <w:rtl w:val="true"/>
        </w:rPr>
        <w:t xml:space="preserve">النسخ المعتمدة لكتاب </w:t>
      </w:r>
      <w:r>
        <w:rPr>
          <w:rtl w:val="true"/>
        </w:rPr>
        <w:t xml:space="preserve">« </w:t>
      </w:r>
      <w:r>
        <w:rPr>
          <w:rtl w:val="true"/>
        </w:rPr>
        <w:t xml:space="preserve">معالم الدين </w:t>
      </w:r>
      <w:r>
        <w:rPr>
          <w:rtl w:val="true"/>
        </w:rPr>
        <w:t>»</w:t>
      </w:r>
      <w:bookmarkEnd w:id="66"/>
    </w:p>
    <w:p>
      <w:pPr>
        <w:pStyle w:val="BookText"/>
        <w:rPr/>
      </w:pPr>
      <w:r>
        <w:rPr>
          <w:rFonts w:ascii="Amiri" w:hAnsi="Amiri" w:eastAsia="Amiri" w:cs="Amiri"/>
          <w:color w:val="111111"/>
          <w:sz w:val="28"/>
          <w:sz w:val="28"/>
          <w:szCs w:val="28"/>
          <w:rtl w:val="true"/>
          <w:lang w:bidi="ar-SA"/>
        </w:rPr>
        <w:t xml:space="preserve">اعتمدنا على ثلاث نسخ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 المرقّمة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العامة لآية اللّه العظمى النجفي المرعشي قدس‌سره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أعطيناها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أقل النسخ الثلاثة 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تأريخ الفراغ من تأليف هذا الجزء من الكتاب بقلم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ابن زين الدين بن علي الشامي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ليلة الأحد الثانية من ربيع الثاني سنة أربع وتسعين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الفراغ من استنساخها بيد حسن ابن أحمد بن محمد بن علي بن سنبغ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الإثنين الثامن والعشرون من شهر رمضان المبارك سنة ألف وواحد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الصفحة الأخيرة تأريخ انتهاء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النسخة بأصل 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نهار الخميس تاسع شوّال عام واحد وألف من الهجرة النبوية ، بتوقيع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المشتهر بنجيب الدين بن محمد ابن مكي بن عيسى بن حسن بن عيسى العاملي الجبيلي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تملّك محمود بن حسام الدين المشرقي الجزائري بتأريخ ذي الحجة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شريف بن فلاح الكاظميني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 المرقمة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العامة لآية اللّه العظمى النجفي المرعشي قدس‌سره أيضا ، ورمزنا 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نسخها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موسى بن قاسم الأصفر الكاظمي ، وعليها تملّك حسين بن محمد </w:t>
      </w:r>
    </w:p>
    <w:p>
      <w:pPr>
        <w:pStyle w:val="BookText"/>
        <w:rPr/>
      </w:pPr>
      <w:r>
        <w:rPr>
          <w:rFonts w:ascii="Amiri" w:hAnsi="Amiri" w:eastAsia="Amiri" w:cs="Amiri"/>
          <w:color w:val="111111"/>
          <w:sz w:val="28"/>
          <w:sz w:val="28"/>
          <w:szCs w:val="28"/>
          <w:rtl w:val="true"/>
          <w:lang w:bidi="ar-SA"/>
        </w:rPr>
        <w:t xml:space="preserve">الطباطبائي سنة الاستكتاب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وتقع في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بالطبعة الحجرية والموجودة نسخة منها في مكتبة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المرعشي النجفي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7" o:detectmouseclick="t"/>
                <v:stroke color="#3465a4" joinstyle="round" endcap="flat"/>
                <w10:wrap type="none"/>
              </v:shape>
            </w:pict>
          </mc:Fallback>
        </mc:AlternateContent>
      </w:r>
      <w:bookmarkStart w:id="67" w:name="pg8731_76983"/>
    </w:p>
    <w:p>
      <w:pPr>
        <w:pStyle w:val="Heading3"/>
        <w:numPr>
          <w:ilvl w:val="2"/>
          <w:numId w:val="1"/>
        </w:numPr>
        <w:rPr/>
      </w:pPr>
      <w:bookmarkStart w:id="68" w:name="__RefHeading___Toc3139901_653776707"/>
      <w:bookmarkStart w:id="69" w:name="_Toc25"/>
      <w:bookmarkEnd w:id="67"/>
      <w:bookmarkEnd w:id="68"/>
      <w:r>
        <w:rPr>
          <w:rtl w:val="true"/>
        </w:rPr>
        <w:t>أسلوبنا في التحقيق</w:t>
      </w:r>
      <w:bookmarkEnd w:id="69"/>
    </w:p>
    <w:p>
      <w:pPr>
        <w:pStyle w:val="BookText"/>
        <w:rPr/>
      </w:pPr>
      <w:r>
        <w:rPr>
          <w:rFonts w:ascii="Amiri" w:hAnsi="Amiri" w:eastAsia="Amiri" w:cs="Amiri"/>
          <w:color w:val="111111"/>
          <w:sz w:val="28"/>
          <w:sz w:val="28"/>
          <w:szCs w:val="28"/>
          <w:rtl w:val="true"/>
          <w:lang w:bidi="ar-SA"/>
        </w:rPr>
        <w:t>بعد الاستنساخ وإتمام المقابلة بين النسخ الثلاث حذفنا ما قطعنا بخطئه فلم نشر إلى أخطاء النسخ بل اقتصرنا على ذكر ما يحتمل صحّته ممّا جاء في النسخ الثلاث ورجّحنا الأنسب إلى اسلوب المؤلف وأدبه وبلاغته فجعلناه في المتن وأشرنا إلى غيره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صحّحنا ما جاء منقولا عن القرآن الكريم وكتب الحديث أو كتب الفقه أو غيرها على أساس المصدر المنقول منه إن كانت له نسخة محقّقة ، وإن لم تكن له نسخة محقّقة وكان المنقول خطأ بيّنا اتّبعنا الصحيح الذي جاء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احتملنا صحّة ما جاء في متن الكتاب باعتبار عدم صحّة ما جاء في المصدر أو احتملنا وجود نسخة اخرى عند المؤلف من المصدر أثبتنا ما جاء في المصدر والكتاب في المتن والهامش لاحتمال وجود فائدة للمراجع إذا اطّلع على مثل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وحاولنا تخريج الأقوال والأحاديث على أساس النسخ المحقّقة إن كانت صادرة حين التحقيق ، وإلّا فقد اكتفينا بالإشارة إلى النسخ الحجرية الموجودة ، وعلى المراجع أن يلاحظ الفهرس الألفبائي لمصادر التحقيق ليقف على الطبعة التي رجعنا إليها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نقدّم شكرنا الجزيل لكلّ الإخوة الأفاضل الذين شاركونا في الاستنساخ والمقابلة والاستخراج والإخراج الفنيّ للكتاب بعد انتهائنا من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تقطيع النصّ وضبطه وترجيح الصحيح أو الأصحّ والأنسب عند اختلاف النسخ أو إجمالها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أضفناه على نسخة المؤلف قد جعلناه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مرشدا للمراجع إلى أنّ ما قد أضفناه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أو حفظا للتناسق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تسهيل للقارئ وإعانة له كي يصل إلى الغرض بأيسر طريق إن شاء اللّه تعالى ، واللّه من وراء القصد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منذر الحكيم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731_76986"/>
      <w:bookmarkStart w:id="71" w:name="pg8731_76986"/>
      <w:bookmarkEnd w:id="71"/>
    </w:p>
    <w:p>
      <w:pPr>
        <w:pStyle w:val="Heading3"/>
        <w:numPr>
          <w:ilvl w:val="2"/>
          <w:numId w:val="1"/>
        </w:numPr>
        <w:rPr/>
      </w:pPr>
      <w:bookmarkStart w:id="72" w:name="pg8731_76986"/>
      <w:bookmarkStart w:id="73" w:name="__RefHeading___Toc3139903_653776707"/>
      <w:bookmarkStart w:id="74" w:name="_Toc26"/>
      <w:bookmarkEnd w:id="72"/>
      <w:bookmarkEnd w:id="73"/>
      <w:r>
        <w:rPr>
          <w:rtl w:val="true"/>
        </w:rPr>
        <w:t>الفهرس الإجمالي</w:t>
      </w:r>
      <w:bookmarkEnd w:id="74"/>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سبب ومنهج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علم الفقه ومرتبته وموضوعه ومسائله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مهمّات المباحث الاُصولية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وفيه ثلاث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 وفيه مقامان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الفصل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الخلوة وآداب الحمّام والاستطابة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p>
    <w:p>
      <w:pPr>
        <w:pStyle w:val="BookText"/>
        <w:rPr/>
      </w:pPr>
      <w:r>
        <w:rPr>
          <w:rFonts w:ascii="Amiri" w:hAnsi="Amiri" w:eastAsia="Amiri" w:cs="Amiri"/>
          <w:color w:val="111111"/>
          <w:sz w:val="28"/>
          <w:sz w:val="28"/>
          <w:szCs w:val="28"/>
          <w:rtl w:val="true"/>
          <w:lang w:bidi="ar-SA"/>
        </w:rPr>
        <w:t>مصادر الكتاب ومراجع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731_76988"/>
      <w:bookmarkStart w:id="76" w:name="pg8731_76988"/>
      <w:bookmarkEnd w:id="76"/>
    </w:p>
    <w:p>
      <w:pPr>
        <w:pStyle w:val="Heading3"/>
        <w:numPr>
          <w:ilvl w:val="2"/>
          <w:numId w:val="1"/>
        </w:numPr>
        <w:rPr/>
      </w:pPr>
      <w:bookmarkStart w:id="77" w:name="pg8731_76988"/>
      <w:bookmarkStart w:id="78" w:name="__RefHeading___Toc3139905_653776707"/>
      <w:bookmarkStart w:id="79" w:name="_Toc27"/>
      <w:bookmarkEnd w:id="77"/>
      <w:bookmarkEnd w:id="78"/>
      <w:r>
        <w:rPr>
          <w:rtl w:val="true"/>
        </w:rPr>
        <w:t>مقدمة المؤلف</w:t>
      </w:r>
      <w:bookmarkEnd w:id="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المتعالي في عزّ جلاله عن مطارح الأفهام فلا يحيط بكنهه العارفون ، المتقدّس بكمال ذاته عن مشابهة الأنام فلا يبلغ صفته الواصفون ، المتفضّل بسوابغ الإنعام فلا يحصي نعمه العادّون ، المتطوّل بالمنن الجسام فلا يقوم بواجب شكره الحامدون ، القديم الأبدي فلا أزلي سواه ، الدائم السرمدي فكل شي‌ء مضمحلّ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سبحانه حمدا يقرّبني إلى رضاه ، وأشكره شكرا أستوجب به المزيد من مواهبه وعطاياه ، وأستقيله من خطاياي استقالة عبد معترف بما جناه ، نادم على ما فرّط في جنب مولاه وأسأله العصمة من الخطأ والخطل ، والسداد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 وحده لا شريك له ، الكريم الذي لا تخيب لديه الآمال ، القدير فهو لما يشاء فعّال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عبده ، ورسوله ، المبعوث لتمهيد قواعد الدين ، وتهذيب مسالك اليقين ، الناسخ بشريعته المطهّرة شرايع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بالإرشاد والهداية رحمة للعالمين ، صلى‌اللّه‌عليه‌وآله الهداة المهديّين ، وعترته الكرام الطيّبين ، صلاة ترضيهم وتزيد على منتهى رضاهم ، وتبلغهم غاية مرادهم </w:t>
      </w:r>
    </w:p>
    <w:p>
      <w:pPr>
        <w:pStyle w:val="BookText"/>
        <w:rPr/>
      </w:pPr>
      <w:r>
        <w:rPr>
          <w:rFonts w:ascii="Amiri" w:hAnsi="Amiri" w:eastAsia="Amiri" w:cs="Amiri"/>
          <w:color w:val="111111"/>
          <w:sz w:val="28"/>
          <w:sz w:val="28"/>
          <w:szCs w:val="28"/>
          <w:rtl w:val="true"/>
          <w:lang w:bidi="ar-SA"/>
        </w:rPr>
        <w:t>ونهاية مناهم وتكون لنا عدّة وذخيرة يوم نلقى اللّه سبحانه ونلقاهم ،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أولى ما أنفقت في تحصيله كنوز الأعمار ، وأطالت التردّد بين العين والأثر في معالمه الأفكار ، هو العلم بالأحكام الشرعية والمسائل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 إنّه المطلب الذي يظفر بالنجاح طالبه ، والمغنم الذي يبشّر بالأرباح كاسبه ، والعلم الذي يعرج بحامله إلى الذروة العليا ، وتنال به السعادة في الدار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بذل علماؤنا السابقون ، وسلفنا الصالحون ، رضوان اللّه عليهم أجمعين ، في تحقيق مباحثه جهدهم ، وأكثروا في تنقيح مسائله كدّهم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فتحوا فيه مقفلا ببنان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شرحوا منه مجملا ببيان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صنفوا فيه من كتاب يهدي في ظلم الجهالة إلى سنن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مختصر كاف في تبليغ الغاية ، ومبسوط شاف يتجاوزه النهاية ، وإيضاح يحمل من قواعده المشكل ، وبيان يكشف من سرائره المعضل ، وتهذيب يوصل من لا يحضره الفقيه بمصباح الاستبصار إلى مدينة العلم ، ويجلو بإثارة مسالكه عن الشرائع ظلمات الشكّ والوهم ، وذكرى دروس مقنعة في تلخيص الخلاف والوفاق ، وتحرير تذكرة هي منتهى المطلب في الآفاق ، ومهذّب جمل يسعف في مختلف الأحكام بكامل الانتصار ، ومعتبر مدارك تحسم مواد النزاع من صحيح الآثار ، ولمعة روض يرتاح لتمهيد اصوله الجنان ، وروضة بحث تدهش بإرشاد فروعها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تعالى سعيهم ، وأجزل من جوده مثوبتهم وبرّهم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من فضل اللّه علينا ، أن أهّلنا لاقتفاء آثارهم أحببنا الاسوة </w:t>
      </w:r>
    </w:p>
    <w:p>
      <w:pPr>
        <w:pStyle w:val="BookText"/>
        <w:rPr/>
      </w:pPr>
      <w:r>
        <w:rPr>
          <w:rFonts w:ascii="Amiri" w:hAnsi="Amiri" w:eastAsia="Amiri" w:cs="Amiri"/>
          <w:color w:val="111111"/>
          <w:sz w:val="28"/>
          <w:sz w:val="28"/>
          <w:szCs w:val="28"/>
          <w:rtl w:val="true"/>
          <w:lang w:bidi="ar-SA"/>
        </w:rPr>
        <w:t>بهم في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فشرعنا بتوفيق اللّه تعالى في تأليف هذا الكتاب ،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وجدّدنا به معاهد المسائل الشرعية ، وأحيينا به مدارس المباحث الفقهية ، وشفعنا فيه تحرير الفروع بتهذيب الاصول ، وجمعنا بين تحقيق الدليل والمدلول ، بعبارات قريبة إلى الطباع ، وتقريرات مقبولة عند الاسماع ، من غير إيجاز موجب للإخلال ، ولا إطناب معقّب للملال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أبتهل إلى اللّه سبحانه ، أن يجعله خالصا لوجهه الكريم وأتضرّع إليه أن يهديني حين تضلّ الأفهام إلى المنهج القويم ، ويثبتني حيث تزلّ الأقدام على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رتّبنا كتابنا هذا ، على مقدمه وأقسام أربعة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المقدمة منحصر في مقصدين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731_76992"/>
      <w:bookmarkStart w:id="81" w:name="pg8731_76992"/>
      <w:bookmarkEnd w:id="81"/>
    </w:p>
    <w:p>
      <w:pPr>
        <w:pStyle w:val="Heading3"/>
        <w:numPr>
          <w:ilvl w:val="2"/>
          <w:numId w:val="1"/>
        </w:numPr>
        <w:rPr/>
      </w:pPr>
      <w:bookmarkStart w:id="82" w:name="pg8731_76992"/>
      <w:bookmarkStart w:id="83" w:name="__RefHeading___Toc3139907_653776707"/>
      <w:bookmarkStart w:id="84" w:name="_Toc28"/>
      <w:bookmarkEnd w:id="82"/>
      <w:bookmarkEnd w:id="83"/>
      <w:r>
        <w:rPr>
          <w:rtl w:val="true"/>
        </w:rPr>
        <w:t xml:space="preserve">المقصد الأوّل </w:t>
      </w:r>
      <w:r>
        <w:rPr>
          <w:rtl w:val="true"/>
        </w:rPr>
        <w:t xml:space="preserve">: </w:t>
      </w:r>
      <w:r>
        <w:rPr>
          <w:rtl w:val="true"/>
        </w:rPr>
        <w:t>في بيان فضيلة العلم</w:t>
      </w:r>
      <w:bookmarkEnd w:id="84"/>
    </w:p>
    <w:p>
      <w:pPr>
        <w:pStyle w:val="Heading4"/>
        <w:numPr>
          <w:ilvl w:val="3"/>
          <w:numId w:val="1"/>
        </w:numPr>
        <w:rPr/>
      </w:pPr>
      <w:bookmarkStart w:id="85" w:name="__RefHeading___Toc3139909_653776707"/>
      <w:bookmarkStart w:id="86" w:name="_Toc29"/>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وذكر نبذ مما يجب على العلماء مراعاته</w:t>
      </w:r>
    </w:p>
    <w:p>
      <w:pPr>
        <w:pStyle w:val="BookText"/>
        <w:rPr/>
      </w:pPr>
      <w:r>
        <w:rPr>
          <w:rFonts w:ascii="Amiri" w:hAnsi="Amiri" w:eastAsia="Amiri" w:cs="Amiri"/>
          <w:color w:val="111111"/>
          <w:sz w:val="28"/>
          <w:sz w:val="28"/>
          <w:szCs w:val="28"/>
          <w:rtl w:val="true"/>
          <w:lang w:bidi="ar-SA"/>
        </w:rPr>
        <w:t xml:space="preserve">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شرف علم الفقه على غيره</w:t>
      </w:r>
    </w:p>
    <w:p>
      <w:pPr>
        <w:pStyle w:val="BookText"/>
        <w:rPr/>
      </w:pPr>
      <w:r>
        <w:rPr>
          <w:rFonts w:ascii="Amiri" w:hAnsi="Amiri" w:eastAsia="Amiri" w:cs="Amiri"/>
          <w:color w:val="111111"/>
          <w:sz w:val="28"/>
          <w:sz w:val="28"/>
          <w:szCs w:val="28"/>
          <w:rtl w:val="true"/>
          <w:lang w:bidi="ar-SA"/>
        </w:rPr>
        <w:t xml:space="preserve">ووجه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ومرتبته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اعلم أنّ فضيلة العلم ، وارتفاع درجته ، وعلوّ رتبته أمر كفى انتظامه في سلك الضرورة مئونة الاهتمام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نذكر على سبيل التنبيه ، شيئا في هذا المعنى ، من جهة العقل والنقل ، كتابا وسنّة ، مقتصرين على ما يتأدّى به الغرض ؛ فإنّ الاستيفاء في ذلك يقتضي تجاوز الحدّ ، ويفضي إلى الخروج عمّا هو المقصد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الجهة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المعقولات تنقسم إلى موجودة ومعدومة ، وظاهر أنّ الشرف للموجود ، ثم الموجود ينقسم إلى جماد ونام ، ولا ريب أنّ النامي أشرف ، ثم النامي ينقسم إلى حسّاس وغيره ، ولا شكّ أنّ الحسّاس أشرف ، ثمّ الحسّاس ينقسم إلى عاقل وغير عاقل ، ولا ريب أنّ العاقل أشرف ، ثمّ العاقل ينقسم إلى عالم وجاهل ، ولا شكّ أنّ العالم أشرف ، فالعالم حينئذ أشرف المعقولات</w:t>
      </w:r>
      <w:r>
        <w:rPr>
          <w:rFonts w:eastAsia="Amiri" w:cs="Amiri" w:ascii="Amiri" w:hAnsi="Amiri"/>
          <w:color w:val="111111"/>
          <w:sz w:val="28"/>
          <w:szCs w:val="28"/>
          <w:rtl w:val="true"/>
          <w:lang w:bidi="ar-SA"/>
        </w:rPr>
        <w:t xml:space="preserve">. </w:t>
      </w:r>
      <w:bookmarkStart w:id="87" w:name="pg8731_76995"/>
    </w:p>
    <w:p>
      <w:pPr>
        <w:pStyle w:val="Heading4"/>
        <w:numPr>
          <w:ilvl w:val="3"/>
          <w:numId w:val="1"/>
        </w:numPr>
        <w:rPr/>
      </w:pPr>
      <w:bookmarkStart w:id="88" w:name="__RefHeading___Toc3139911_653776707"/>
      <w:bookmarkStart w:id="89" w:name="_Toc30"/>
      <w:bookmarkEnd w:id="87"/>
      <w:bookmarkEnd w:id="88"/>
      <w:r>
        <w:rPr>
          <w:rtl w:val="true"/>
        </w:rPr>
        <w:t xml:space="preserve">فصل </w:t>
      </w:r>
      <w:r>
        <w:rPr>
          <w:rtl w:val="true"/>
        </w:rPr>
        <w:t xml:space="preserve">: [ </w:t>
      </w:r>
      <w:r>
        <w:rPr>
          <w:rtl w:val="true"/>
        </w:rPr>
        <w:t xml:space="preserve">فضل العلم في الكتاب </w:t>
      </w:r>
      <w:r>
        <w:rPr>
          <w:rtl w:val="true"/>
        </w:rPr>
        <w:t>]</w:t>
      </w:r>
      <w:bookmarkEnd w:id="89"/>
    </w:p>
    <w:p>
      <w:pPr>
        <w:pStyle w:val="BookText"/>
        <w:rPr/>
      </w:pPr>
      <w:r>
        <w:rPr>
          <w:rFonts w:ascii="Amiri" w:hAnsi="Amiri" w:eastAsia="Amiri" w:cs="Amiri"/>
          <w:color w:val="111111"/>
          <w:sz w:val="28"/>
          <w:sz w:val="28"/>
          <w:szCs w:val="28"/>
          <w:rtl w:val="true"/>
          <w:lang w:bidi="ar-SA"/>
        </w:rPr>
        <w:t xml:space="preserve">وأمّا الكتاب الكريم فقد اشير إلى ذلك في مواضع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في سورة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ما نزل على نبيّنا صلوات اللّه عليه وآله في قول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افتتح كلامه المجيد ، بذكر نعمة الإيجاد ، وأتبعه بذكر نعمة العلم ، فلو كان بعد نعمة الإيجاد نعمة أعلى من العلم لكانت أجدر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وجه التناسب بين 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صدر هذه السورة ، المشتمل بعضها على خلق الإنسان من علق ، وبعضها على تعليمه ما 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ذكر أوّل حال الإنسان أعني كونه علقة ، وهي بمكان من الخساسة ، وآخر حاله وهو صيرورته عالما ، وذلك كمال الرفعة والجلالة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أمرك ، في تلك المنزلة الدنيّة الخسيسة ، ثم صرت في آخره إلى هذه الدرجة الشريفة النفيسة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وَمِنَ الْأَرْضِ مِثْلَهُنَّ ، يَتَنَزَّلُ الْأَمْرُ بَيْنَهُنَّ لِتَعْلَمُوا </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سبحانه ، جعل العلم علّة لخلق العالم العلوي والسفلي طرّا ، وكفى بذلك جلالة وفخرا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فسّرت الحكمة بما يرجع إلى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وَأُولُوا الْعِلْمِ </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لنبيّه عليه وآله الصلاة والسلام ، آمرا له مع ما آتاه من العلم والحكمة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0" w:name="pg8731_76998"/>
    </w:p>
    <w:p>
      <w:pPr>
        <w:pStyle w:val="Heading4"/>
        <w:numPr>
          <w:ilvl w:val="3"/>
          <w:numId w:val="1"/>
        </w:numPr>
        <w:rPr/>
      </w:pPr>
      <w:bookmarkStart w:id="91" w:name="__RefHeading___Toc3139913_653776707"/>
      <w:bookmarkStart w:id="92" w:name="_Toc31"/>
      <w:bookmarkEnd w:id="90"/>
      <w:bookmarkEnd w:id="91"/>
      <w:r>
        <w:rPr>
          <w:rtl w:val="true"/>
        </w:rPr>
        <w:t xml:space="preserve">فصل </w:t>
      </w:r>
      <w:r>
        <w:rPr>
          <w:rtl w:val="true"/>
        </w:rPr>
        <w:t xml:space="preserve">: [ </w:t>
      </w:r>
      <w:r>
        <w:rPr>
          <w:rtl w:val="true"/>
        </w:rPr>
        <w:t xml:space="preserve">فضل العلم في السنّة </w:t>
      </w:r>
      <w:r>
        <w:rPr>
          <w:rtl w:val="true"/>
        </w:rPr>
        <w:t>]</w:t>
      </w:r>
      <w:bookmarkEnd w:id="92"/>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ذلك كثيرة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 شيخنا نور الدين ، علي بن الحسين ، بن أبي الحسن الحسيني الموسوي أدام اللّه تأييده ، والشيخ الفاضل عز الدين الحسين بن عبد الصمد الحارثي قدّس روحه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العابد نور الدين ، علي بن السيد فخر الدين الهاشمي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يحق روايتهم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والدي السعيد الشهيد ، زين الملّة والدين ، رفع اللّه درجته كما شرّف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الأجلّ ، نور الدين ،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شمس الدين ، محمد بن المؤذن ، الجزيني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ضياء الدين ، علي بن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قدّس اللّه سرّه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فخر الدين ، أبي طالب محمد ، بن الشيخ الإمام العلّامة ، جمال الملّة والدين ، الحسن بن يوسف بن المطهّر الحلّي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والده رضى 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شيخه المحقق السعيد ، نجم الملّة والدين ، أبي القاسم جعفر ، بن الحسن ، ابن يحيى ، بن سعيد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الجليل ، شمس الدين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الفقيه الإمام ، 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جبرائيل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الفقيه ، العماد أبي جعفر ، محمد بن أبي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أبي علي ، الحسن بن الشيخ السعيد الفقيه ، أبي جعفر محمد بن الحسن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والده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الإمام المفيد ،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أبي القاسم ، جعفر بن محمد ،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الجليل الكبير ، أبي جعفر ،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ميمون القداح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يعقوب ، عن محمد بن الحسن ، وعلي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 عن جعفر بن محمد الأشعري ، عن عبد اللّه بن ميمون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يعقوب ، عن محمد بن يحيى ، عن أحمد بن محمد ، عن جعفر ابن محمد الأشعري ، عن عبد اللّه بن ميمون القداح ، عن أبي عبد اللّه عليه‌السلام ، قال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سلك طريقا يطلب فيه علما ، سلك اللّه به طريقا إلى </w:t>
      </w:r>
    </w:p>
    <w:p>
      <w:pPr>
        <w:pStyle w:val="BookText"/>
        <w:rPr/>
      </w:pPr>
      <w:r>
        <w:rPr>
          <w:rFonts w:ascii="Amiri" w:hAnsi="Amiri" w:eastAsia="Amiri" w:cs="Amiri"/>
          <w:color w:val="111111"/>
          <w:sz w:val="28"/>
          <w:sz w:val="28"/>
          <w:szCs w:val="28"/>
          <w:rtl w:val="true"/>
          <w:lang w:bidi="ar-SA"/>
        </w:rPr>
        <w:t>الجنّة ، وأنّ الملائكة لتضع أجنحتها لطالب العلم رضا به ، وأنّه ليستغفر لطالب العلم من في السماوات ومن في الأرض ، حتى الحوت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العالم على العابد كفضل القمر على ساير النجوم ليلة البدر ، وإنّ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 يورثوا دينارا ولا درهما ولكن ورّثوا العلم ، فمن أخذ منه أخذ بحظ وافر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 عن الشيخ المفيد ، محمد بن النعمان ، عن الشيخ الصدوق ، أبي جعفر ، محمد بن علي بن الحسين بن بابويه القمي رحمه‌اللّه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بن عبد اللّه ، عن محمد بن عيسى بن عبيد اليقطيني ، عن يونس ابن عبد الرحمن ، عن الحسن بن زياد العطار ، عن سعد بن ظريف ، عن الأصبغ ابن نباتة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 فإنّ تعلّمه حسنة ، ومدارسته تسبيح ، والبحث عنه جهاد وتعليمه من لا يعلمه صدقة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عند اللّه لأهله قربة ؛ لأنّه معالم الحلال والحرام ، وسالك بطالبه سبل الجنّة ، وهو أنيس في الوحشة ، وصاحب في الوحدة ، وسلاح على الأعداء ، وزين الأخلّاء ، يرفع اللّه به أقواما ، يجعلهم في الخير أئمة يقتدى بهم ، ترمق أعمالهم ، وتقتبس آثارهم ، وترغب الملائكة في خلتهم ، يمسحونهم بأجنحتهم في صلاتهم ؛ لأنّ العلم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من العمى ، وقوّة الأبدان من الضعف ، ينزل اللّه حامله منازل الأبرار ، ويمنحه مجالسة الأخيار ، في الدنيا والآخرة ، بالعلم يطاع اللّه ويعبد ، وبالعلم يعرف اللّه ويوحّد ، وبالعلم توصل الأرحام ، وبه يعرف الحلال والحرام ، والعلم إمام العقل ، والعقل تابعه ، يلهمه السعداء ويحرمه الأشقياء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93" w:name="pg8731_77001"/>
    </w:p>
    <w:p>
      <w:pPr>
        <w:pStyle w:val="Heading4"/>
        <w:numPr>
          <w:ilvl w:val="3"/>
          <w:numId w:val="1"/>
        </w:numPr>
        <w:rPr/>
      </w:pPr>
      <w:bookmarkStart w:id="94" w:name="__RefHeading___Toc3139915_653776707"/>
      <w:bookmarkStart w:id="95" w:name="_Toc32"/>
      <w:bookmarkEnd w:id="93"/>
      <w:bookmarkEnd w:id="94"/>
      <w:r>
        <w:rPr>
          <w:rtl w:val="true"/>
        </w:rPr>
        <w:t xml:space="preserve">فصل </w:t>
      </w:r>
      <w:r>
        <w:rPr>
          <w:rtl w:val="true"/>
        </w:rPr>
        <w:t xml:space="preserve">: [ </w:t>
      </w:r>
      <w:r>
        <w:rPr>
          <w:rtl w:val="true"/>
        </w:rPr>
        <w:t xml:space="preserve">وجوب طلب العلم </w:t>
      </w:r>
      <w:r>
        <w:rPr>
          <w:rtl w:val="true"/>
        </w:rPr>
        <w:t>]</w:t>
      </w:r>
      <w:bookmarkEnd w:id="95"/>
    </w:p>
    <w:p>
      <w:pPr>
        <w:pStyle w:val="BookText"/>
        <w:rPr/>
      </w:pPr>
      <w:r>
        <w:rPr>
          <w:rFonts w:ascii="Amiri" w:hAnsi="Amiri" w:eastAsia="Amiri" w:cs="Amiri"/>
          <w:color w:val="111111"/>
          <w:sz w:val="28"/>
          <w:sz w:val="28"/>
          <w:szCs w:val="28"/>
          <w:rtl w:val="true"/>
          <w:lang w:bidi="ar-SA"/>
        </w:rPr>
        <w:t xml:space="preserve">وروينا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 عن علي بن إبراهيم بن هاشم ، عن أبيه ، عن الحسن بن أبي الحسين الفارسي ، عن عبد الرحمن بن زيد ، عن أبيه ، عن أبي عبد 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أنّ اللّه يحبّ بغاة العلم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يعقوب ، عن محمد بن يحيى ، عن أحمد بن محمد بن عيسى ، عن ابن محبوب ،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 عن أبي إسحاق السبيعي ، عمن حدّثه ، قال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اعلموا أنّ كمال الدين طلب العلم والعمل به ، ألا وإنّ طلب العلم ، أوجب عليكم من طلب المال ، إنّ المال مقسوم مضمون لكم ، قد قسمه عادل بينكم وضمنه ، وسيفي لكم ، والعلم مخزون عند أهله ، وقد أمرتم بطلبه من أهله ، فاطلبوه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 ، عن محمد بن يحيى ، عن أحمد بن محمد بن عيسى ، عن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البختري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 وإنّما أورثوا أحاديث من أحاديثهم ، فمن أخذ بشي‌ء منها ، فقد أخذ حظا وافرا ، فانظروا علمكم هذا عمن تأخذونه ، فإن فينا أهل البيت في كلّ خلف عدولا ، ينفون عنه تحريف الغالين ، وانتحال المبطلين ،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الحسين بن محمد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 رفعه ، عن أبي حمزة ، عن علي بن الحسين عليهما‌السلام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طلب العلم ، لطلبوه ولو بسفك المهج وخوض اللجج إنّ اللّه تبارك وتعالى ، أوحى إلى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أمقت عبيدي إليّ ، الجاهل المستخفّ بحقّ أهل العلم ، التارك للاقتداء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عبيدي إلي ، التقيّ الطالب للثواب الجزيل ، اللازم للعلماء ، التابع للحلماء ، القابل عن الحكماء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 عن علي بن إبراهيم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يحيى ،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 عن سيف بن عميرة ، عن أبي حمزة ، عن أبي جعفر عليه‌السلام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 أفضل من سبعين ألف عابد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 عن الحسين بن محمد ، عن أحمد بن إسحاق ، عن سعدان بن مسلم ، </w:t>
      </w:r>
    </w:p>
    <w:p>
      <w:pPr>
        <w:pStyle w:val="BookText"/>
        <w:rPr/>
      </w:pPr>
      <w:r>
        <w:rPr>
          <w:rFonts w:ascii="Amiri" w:hAnsi="Amiri" w:eastAsia="Amiri" w:cs="Amiri"/>
          <w:color w:val="111111"/>
          <w:sz w:val="28"/>
          <w:sz w:val="28"/>
          <w:szCs w:val="28"/>
          <w:rtl w:val="true"/>
          <w:lang w:bidi="ar-SA"/>
        </w:rPr>
        <w:t xml:space="preserve">عن معاوية بن عمّار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راوية لحديثكم ، يبثّ ذلك في الناس ، ويشدده في قلوبهم وقلوب شيعتكم ، ولعلّ عابدا من شيعتكم ، ليست له هذه الرواية ، أيّهما أفضل؟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لحديثنا ، يشدّ به قلوب شيعتنا ، أفضل من ألف عابد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6" w:name="pg8731_77004"/>
    </w:p>
    <w:p>
      <w:pPr>
        <w:pStyle w:val="Heading4"/>
        <w:numPr>
          <w:ilvl w:val="3"/>
          <w:numId w:val="1"/>
        </w:numPr>
        <w:rPr/>
      </w:pPr>
      <w:bookmarkStart w:id="97" w:name="__RefHeading___Toc3139917_653776707"/>
      <w:bookmarkStart w:id="98" w:name="_Toc33"/>
      <w:bookmarkEnd w:id="96"/>
      <w:bookmarkEnd w:id="97"/>
      <w:r>
        <w:rPr>
          <w:rtl w:val="true"/>
        </w:rPr>
        <w:t xml:space="preserve">فصل </w:t>
      </w:r>
      <w:r>
        <w:rPr>
          <w:rtl w:val="true"/>
        </w:rPr>
        <w:t xml:space="preserve">: [ </w:t>
      </w:r>
      <w:r>
        <w:rPr>
          <w:rtl w:val="true"/>
        </w:rPr>
        <w:t xml:space="preserve">ما يجب على العلماء مراعاته </w:t>
      </w:r>
      <w:r>
        <w:rPr>
          <w:rtl w:val="true"/>
        </w:rPr>
        <w:t>]</w:t>
      </w:r>
      <w:bookmarkEnd w:id="98"/>
    </w:p>
    <w:p>
      <w:pPr>
        <w:pStyle w:val="BookText"/>
        <w:rPr/>
      </w:pPr>
      <w:r>
        <w:rPr>
          <w:rFonts w:ascii="Amiri" w:hAnsi="Amiri" w:eastAsia="Amiri" w:cs="Amiri"/>
          <w:color w:val="111111"/>
          <w:sz w:val="28"/>
          <w:sz w:val="28"/>
          <w:szCs w:val="28"/>
          <w:rtl w:val="true"/>
          <w:lang w:bidi="ar-SA"/>
        </w:rPr>
        <w:t xml:space="preserve">ومن أهمّ ما يجب على العلماء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القصد وإخلاص النيّة ، وتطهير القلب من دنس الأغراض الدنيوية ، وتكميل النفس في قوتها العملية ، وتزكيتها باجتناب الرذائل ، واقتناء الفضائل الخلقية ، وقهر القوّتين الشهويّة والغضبيّة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روينا بالطريق السابق وغيره ، عن محمد بن يعقوب رحمه‌اللّه ، عن عليّ بن إبراهيم ، رفعه إلى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محمود ، أبو عبد اللّه القزويني ، عن عدة من أصحابنا ، منهم جعفر بن أحمد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عيسى العلوي ، عن عباد بن صهيب البصري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 فاعرفهم بأعيانه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يطلبه للاستطالة 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يطلبه للفقه والعقل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الجهل والمراء موذ ممار ، متعرّض للمقال في أندية الرجال ، بتذاكر العلم وصفة الحلم ، قد تسربل بالخشوع ، وتخلّى من الورع ، فدقّ اللّه من هذا خيشومه وقطع منه حيزومه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وصاحب الاستطالة والختل ، ذو خب وملق ، يستطيل على مثله من أشباهه ، ويتواضع للأغنياء من دونه ، فهو لحلوانهم هاضم ، ولدينه حاطم ، فأعمى اللّه على هذا خبره ، وقطع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الفقه والعقل ، ذو كآبة وحزن وسهر ، قد تحنّك في برنسه ، وقام الليل في حندسه ، يعمل ويخشى وجلا داعيا مشفقا ، مقبلا على شأنه ، عارفا بأهل زمانه ، مستوحشا من أوثق إخوانه ، فشدّ اللّه من هذا أركانه ، وأعطاه يوم القيامة أمانه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 عن محمد بن يحيى ،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إبراهيم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عن حماد بن عيسى ، عن عمر بن أذينة ، عن أبان بن أبي عياش ، عن سليم بن قيس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منهومان لا يشبعان ، طالب دنيا وطالب علم ، فمن اقتصر من الدنيا على ما أحلّ اللّه له سلم ، ومن تناولها من غير حلّها هلك ، إلّا أن يتوب أو يراجع ، ومن أخذ العلم من أهله وعمل بعلمه نجا ، ومن أراد به الدنيا ، فهي حظّه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الحسين بن محمد بن عامر ، عن معلى بن محمد ، عن الحسن بن علي الوشاء ، عن أحمد بن عائذ ، عن أبي خديجة ، عن أبي عبد اللّه عليه‌السلام قال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 لم يكن له في الآخرة نصيب ومن أراد به خير الآخرة ، أعطاه اللّه تعالى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علي بن إبراهيم ، عن أبيه ، عن القاسم بن محمد الاصبهاني ، عن المنقري ، عن حفص بن غياث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العالم محبّا لدنياه ، فاتّهموه على دينكم ، فإنّ كلّ محبّ لشي‌ء ، يحوط 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بيني وبينك ، عالما مفتونا بالدنيا ، فيصدّك عن طريق محبّتي ، فإنّ اولئك قطّاع طريق عبادي المريدين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أدنى ما أنا صانع بهم أن أنزع حلاوة مناجاتي عن قلوبهم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محمد بن إسماعيل ، عن الفضل بن شاذان ، عن حماد بن عيسى ، عن ربعي بن عبد اللّه عمّن حدّثه ، عن أبي جعفر عليه‌السلام 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ليباهي به العلماء ، أو يماري به السفهاء ، أو يصرف به وجوه الناس إليه ، فليبوّأ مقعده من النار ، إنّ الرئاسة لا تصلح إلّا لأهلها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99" w:name="pg8731_77007"/>
    </w:p>
    <w:p>
      <w:pPr>
        <w:pStyle w:val="Heading4"/>
        <w:numPr>
          <w:ilvl w:val="3"/>
          <w:numId w:val="1"/>
        </w:numPr>
        <w:rPr/>
      </w:pPr>
      <w:bookmarkStart w:id="100" w:name="__RefHeading___Toc3139919_653776707"/>
      <w:bookmarkStart w:id="101" w:name="_Toc34"/>
      <w:bookmarkEnd w:id="99"/>
      <w:bookmarkEnd w:id="100"/>
      <w:r>
        <w:rPr>
          <w:rtl w:val="true"/>
        </w:rPr>
        <w:t xml:space="preserve">فصل </w:t>
      </w:r>
      <w:r>
        <w:rPr>
          <w:rtl w:val="true"/>
        </w:rPr>
        <w:t xml:space="preserve">: [ </w:t>
      </w:r>
      <w:r>
        <w:rPr>
          <w:rtl w:val="true"/>
        </w:rPr>
        <w:t xml:space="preserve">من حقوق المعلّم على المتعلّم </w:t>
      </w:r>
      <w:r>
        <w:rPr>
          <w:rtl w:val="true"/>
        </w:rPr>
        <w:t>]</w:t>
      </w:r>
      <w:bookmarkEnd w:id="101"/>
    </w:p>
    <w:p>
      <w:pPr>
        <w:pStyle w:val="BookText"/>
        <w:rPr/>
      </w:pPr>
      <w:r>
        <w:rPr>
          <w:rFonts w:ascii="Amiri" w:hAnsi="Amiri" w:eastAsia="Amiri" w:cs="Amiri"/>
          <w:color w:val="111111"/>
          <w:sz w:val="28"/>
          <w:sz w:val="28"/>
          <w:szCs w:val="28"/>
          <w:rtl w:val="true"/>
          <w:lang w:bidi="ar-SA"/>
        </w:rPr>
        <w:t xml:space="preserve">وروينا بالإسناد السابق ، عن الشيخ المفيد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النعمان عن الشيخ الصدوق محمد بن علي بن بابويه رحمه‌اللّه ، عن علي بن أحمد بن موسى الدقاق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الكوفي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 عن ثابت بن دينار الثمالي ، عن سيد العابدين علي بن الحسين بن علي بن أبي طالب عليهم‌السلام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سائسك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 والتوقير لمجلسه ، وحسن الاستماع إليه ، والإقبال إليه ، وأن لا ترفع عليه صوتك ولا تجب أحدا يسأله عن شي‌ء حتّى يكون هو الذي يجيب ، ولا تحدّث في مجلسه أحدا ، ولا تغتاب عنده أحدا ، وأن تدافع عنه إذا ذكر عندك بسوء ، وأن تستر عيوبه ، وتظهر مناقبه ، ولا تجالس له عدوا ، ولا تعادي له وليا ، فإذا فعلت ذلك ، شهد لك ملائكة اللّه بأنّك قصدته ، وتعلّمت علمه لله جلّ اسمه لا للناس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رعيّتك بالعلم ، أن تعلم أنّ اللّه عزوجل ، إنّما جعلك قيّما لهم فيما آتاك من العلم ، وفتح لك من خزائنه ، فإن أحسنت في تعليم الناس ولم تخرق بهم ولم تضجر </w:t>
      </w:r>
    </w:p>
    <w:p>
      <w:pPr>
        <w:pStyle w:val="BookText"/>
        <w:rPr/>
      </w:pPr>
      <w:r>
        <w:rPr>
          <w:rFonts w:ascii="Amiri" w:hAnsi="Amiri" w:eastAsia="Amiri" w:cs="Amiri"/>
          <w:color w:val="111111"/>
          <w:sz w:val="28"/>
          <w:sz w:val="28"/>
          <w:szCs w:val="28"/>
          <w:rtl w:val="true"/>
          <w:lang w:bidi="ar-SA"/>
        </w:rPr>
        <w:t xml:space="preserve">عليهم زادك اللّه عزوجل من فضله ، وإن أنت منعت الناس علمك ، أو خرقت بهم عند طلبهم منك ، كان حقا على اللّه عزوجل أن يسلبك العلم وبهاءه ويسقط من القلوب محلّك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عن المفيد ، عن أحمد بن محمد بن سليمان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 الحسن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البرقي ، عن أبيه ، عن سليمان بن جعفر الجعفري ، عن رجل ، عن أبي عبد اللّه عليه‌السلام 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حقّ العالم ، أن لا تكثر عليه السؤال ، ولا تأخذ بثوبه ، وإذا دخلت عليه وعنده قوم فسلّم عليهم جميعا ، وخصّه بالتحية دونهم ، واجلس بين يديه ، ولا تجلس خلفه ، ولا تغمز بعينك ، ولا تشر بيدك ولا تكثر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 خلافا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تضجر بطول صحبته ، فإنّما مثل العالم مثل النخلة ، تنتظرها متى يسقط عليك منها شي‌ء ، والعالم أعظم أجرا من الصائم القائم ، الغازي في سبيل اللّه ، وإذا مات العالم ثلم في الإسلام ثلمة لا يسدّها شي‌ء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02" w:name="pg8731_77009"/>
    </w:p>
    <w:p>
      <w:pPr>
        <w:pStyle w:val="Heading4"/>
        <w:numPr>
          <w:ilvl w:val="3"/>
          <w:numId w:val="1"/>
        </w:numPr>
        <w:rPr/>
      </w:pPr>
      <w:bookmarkStart w:id="103" w:name="__RefHeading___Toc3139921_653776707"/>
      <w:bookmarkStart w:id="104" w:name="_Toc35"/>
      <w:bookmarkEnd w:id="102"/>
      <w:bookmarkEnd w:id="103"/>
      <w:r>
        <w:rPr>
          <w:rtl w:val="true"/>
        </w:rPr>
        <w:t xml:space="preserve">فصل </w:t>
      </w:r>
      <w:r>
        <w:rPr>
          <w:rtl w:val="true"/>
        </w:rPr>
        <w:t xml:space="preserve">: [ </w:t>
      </w:r>
      <w:r>
        <w:rPr>
          <w:rtl w:val="true"/>
        </w:rPr>
        <w:t xml:space="preserve">وجوب العمل على العالم </w:t>
      </w:r>
      <w:r>
        <w:rPr>
          <w:rtl w:val="true"/>
        </w:rPr>
        <w:t>]</w:t>
      </w:r>
      <w:bookmarkEnd w:id="104"/>
    </w:p>
    <w:p>
      <w:pPr>
        <w:pStyle w:val="BookText"/>
        <w:rPr/>
      </w:pPr>
      <w:r>
        <w:rPr>
          <w:rFonts w:ascii="Amiri" w:hAnsi="Amiri" w:eastAsia="Amiri" w:cs="Amiri"/>
          <w:color w:val="111111"/>
          <w:sz w:val="28"/>
          <w:sz w:val="28"/>
          <w:szCs w:val="28"/>
          <w:rtl w:val="true"/>
          <w:lang w:bidi="ar-SA"/>
        </w:rPr>
        <w:t>ويجب على العالم العمل ، كما يجب على غيره ، لكنه في حق العالم آكد ، ومن ثمّ جعل اللّه تعالى ثواب المطيعات من نساء النبي صلى‌اللّه‌عليه‌وآله ، وعقاب العاصيات منهنّ ضعف ما لغيرهن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وليجعل له حظّا وافرا من الطاعات والقربات ؛ فإنّها تفيد النفس ملكة صالحة ، واستعدادا تاما لقبول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بالإسناد السالف وغيره ، عن محمد بن يعقوب ، عن محمد بن عيسى ، عن أحمد بن محمد بن عيسى ، عن حماد بن عيسى ، عن عمر بن اذينة ، عن أبان 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 يحدّث عن 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 وعالم تارك لعلمه فهذا هالك ، وإنّ أهل النار ليتأذّون من ريح العالم التارك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أشدّ أهل النار ندامة وحسرة ، رجل دعا عبدا إلى اللّه سبحانه فاستجاب له وقبل منه فأطاع اللّه فأدخله الجنّة ، وأدخل الداعي النار بتركه علمه واتباعه الهوى وطول الأمل ، أمّا اتباع الهوى فيصدّ </w:t>
      </w:r>
    </w:p>
    <w:p>
      <w:pPr>
        <w:pStyle w:val="BookText"/>
        <w:rPr/>
      </w:pPr>
      <w:r>
        <w:rPr>
          <w:rFonts w:ascii="Amiri" w:hAnsi="Amiri" w:eastAsia="Amiri" w:cs="Amiri"/>
          <w:color w:val="111111"/>
          <w:sz w:val="28"/>
          <w:sz w:val="28"/>
          <w:szCs w:val="28"/>
          <w:rtl w:val="true"/>
          <w:lang w:bidi="ar-SA"/>
        </w:rPr>
        <w:t xml:space="preserve">عن الحقّ ، وطول الأمل ينسي الآخرة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يعقوب ، عن محمد بن يحيى ، عن أحمد بن محمد ، عن محمد ابن سنان ، عن اسماعيل بن جابر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 ، فمن علم عمل ، ومن عمل علم ، والعلم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ارتحل عنه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عدّة من أصحابنا ، عن أحمد بن محمد بن خالد ، عن علي بن محمد القاساني ، عمّن ذكره ، عن عبد اللّه بن القاسم الجعفري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يعمل بعلمه زلّت موعظته من القلوب ، كما يزلّ المطر عن الصفا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علي بن إبراهيم ، عن أبيه ، عن القاسم بن محمد ، عن المنقري ، عن علي بن هشام بن بريد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عليه‌السلام ، فسأله عن مسائل فأجاب ، ثم عاد ليسأل عن مثلها ، فقال علي ابن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علم ما لا تعلمون ولما تعملوا بما علمتم ؛ فإنّ العلم إذا لم يعمل به لم يزدد صاحبه إلّا كفرا ، ولم يزدد من اللّه إلّا بعدا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 عن عدّة من أصحابنا ، عن أحمد بن محمد بن خالد ، عن أبيه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خطب به على المنبر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علمتم ، فاعملوا بما علمتم ، لعلّكم تهتدون ؛ إنّ العالم العامل بغيره كالجاهل الحائر الذي لا يستفيق عن جهله ، بل قد رأيت أنّ الحجة عليه أعظم والحسرة أدوم على هذا العالم المنسلخ من علمه منها على هذا الجاهل المتحير في جهله ، وكلاهما حائر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 ، ولا تشكّوا فتكفروا ، ولا ترخصوا لأنفسكم فتدهنوا ولا تدهنوا في الحقّ فتخسروا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الحق أن تفقهوا ، ومن الفقه أن لا تغترّوا ، وإنّ أنصحكم لنفسه أطوعكم لربّه ، وأغشّكم لنفسه أعصاكم لربّه ، ومن يطع اللّه يأمن ويستبشر ، ومن يعص اللّه يخب ويندم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علي بن محمد ، عن سهل بن زياد ، عن جعفر بن محمد الأشعري ، عن عبد اللّه بن ميمون القداح ، عن أبي عبد اللّه عليه‌السلام ، عن آبائه عليهم‌السلام 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05" w:name="pg8731_77012"/>
    </w:p>
    <w:p>
      <w:pPr>
        <w:pStyle w:val="Heading4"/>
        <w:numPr>
          <w:ilvl w:val="3"/>
          <w:numId w:val="1"/>
        </w:numPr>
        <w:rPr/>
      </w:pPr>
      <w:bookmarkStart w:id="106" w:name="__RefHeading___Toc3139923_653776707"/>
      <w:bookmarkStart w:id="107" w:name="_Toc36"/>
      <w:bookmarkEnd w:id="105"/>
      <w:bookmarkEnd w:id="106"/>
      <w:r>
        <w:rPr>
          <w:rtl w:val="true"/>
        </w:rPr>
        <w:t xml:space="preserve">فصل </w:t>
      </w:r>
      <w:r>
        <w:rPr>
          <w:rtl w:val="true"/>
        </w:rPr>
        <w:t xml:space="preserve">: [ </w:t>
      </w:r>
      <w:r>
        <w:rPr>
          <w:rtl w:val="true"/>
        </w:rPr>
        <w:t xml:space="preserve">ما ينبغي مع طلب العلم </w:t>
      </w:r>
      <w:r>
        <w:rPr>
          <w:rtl w:val="true"/>
        </w:rPr>
        <w:t>]</w:t>
      </w:r>
      <w:bookmarkEnd w:id="107"/>
    </w:p>
    <w:p>
      <w:pPr>
        <w:pStyle w:val="BookText"/>
        <w:rPr/>
      </w:pPr>
      <w:r>
        <w:rPr>
          <w:rFonts w:ascii="Amiri" w:hAnsi="Amiri" w:eastAsia="Amiri" w:cs="Amiri"/>
          <w:color w:val="111111"/>
          <w:sz w:val="28"/>
          <w:sz w:val="28"/>
          <w:szCs w:val="28"/>
          <w:rtl w:val="true"/>
          <w:lang w:bidi="ar-SA"/>
        </w:rPr>
        <w:t xml:space="preserve">وروينا بالإسناد عن محمد بن يعقوب ، عن محمد بن يحيى العطار ، عن أحمد بن محمد بن عيسى ، عن الحسن بن محبوب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 وتزيّنوا معه بالحلم والوقار ، وتواضعوا لمن تعلّمونه العلم ، وتواضعوا لمن طلبتم منه العلم ، ولا تكونوا علماء جبّارين ، فيذهب باطلكم بحقّكم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علي بن إبراهيم ، عن محمد بن عيسى ، عن يونس ، عن حماد ابن عثمان ، عن الحارث بن المغيرة النصري ، عن أبي عبد اللّه عليه‌السلام ،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قوله فعله ، ومن لم يصدّق قوله فعله فليس بعالم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عدة من أصحابنا ، عن أحمد بن محمد البرقي عن اسماعيل بن مهران ، عن أبي سعيد القماط ، عن الحلبي ،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اخبركم بالفقيه حق الفقيه؟ 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يؤمنهم من عذاب اللّه ، ولم يرخص لهم في معاصي اللّه ، ولم يترك القرآن رغبة عنه إلى غيره ، ألا لا خير في علم ليس فيه تفهّم ، ألا لا خير في قراءة ليس فيها تدبّر ، ألا لا خير في عبادة لا فقه فيها ، ألا لا خير في نسك لا ورع فيه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علي بن إبراهيم ، عن أبيه ، عن علي بن معبد ، عمن ذكره عن معاوية بن وهب ، عن أبي عبد اللّه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للعالم ثلاث علامات ، العلم والحلم والصمت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 من فوقه بالمعصية ، ويظلم من دونه بالغلبة ، ويظاهر الظلمة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عدة من أصحابنا ، عن أحمد بن محمد ، عن نوح بن شعيب النيشابوري ، عن عبيد اللّه بن عبد اللّه الدهقان ، عن درست بن أبي منصور ، عن عروة بن أخي شعيب العقرقوفي ، عن شعيب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ذو فضائل كثيرة ، فرأسه التواضع ، وعينه البراءة من الحسد ، وأذنه الفهم ، ولسانه الصدق ، وحفظه الفحص ، وقلبه حسن النية ، وعقله معرفة الأشياء والامور ، ويده الرحمة ، ورجله زيارة العلماء ، وهمّته السلامة ، وحكمته الورع ، ومستقرّه النجاة ، وقائده العافية ، ومركبه الوفاء ، وسلاحه لين الكلمة ، وسيفه الرضاء ، وقوسه المداراة ، وجيشه محاورة العلماء ، وماله الأدب ، وذخيرته اجتناب الذنوب ، وزاده المعروف ، وماؤه </w:t>
      </w:r>
    </w:p>
    <w:p>
      <w:pPr>
        <w:pStyle w:val="BookText"/>
        <w:rPr/>
      </w:pPr>
      <w:r>
        <w:rPr>
          <w:rFonts w:ascii="Amiri" w:hAnsi="Amiri" w:eastAsia="Amiri" w:cs="Amiri"/>
          <w:color w:val="111111"/>
          <w:sz w:val="28"/>
          <w:sz w:val="28"/>
          <w:szCs w:val="28"/>
          <w:rtl w:val="true"/>
          <w:lang w:bidi="ar-SA"/>
        </w:rPr>
        <w:t xml:space="preserve">المواعدة ، ودليله الهدى ، ورفيقه محبّة الأخيار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علي بن إبراهيم ، عن أبيه ، عن القاسم بن محمد ، عن سليمان بن داود المنقري ، عن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 وعمل به وعلم لله ، دعي 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وعمل لله ، وعلم لله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08" w:name="pg8731_77015"/>
    </w:p>
    <w:p>
      <w:pPr>
        <w:pStyle w:val="Heading4"/>
        <w:numPr>
          <w:ilvl w:val="3"/>
          <w:numId w:val="1"/>
        </w:numPr>
        <w:rPr/>
      </w:pPr>
      <w:bookmarkStart w:id="109" w:name="__RefHeading___Toc3139925_653776707"/>
      <w:bookmarkStart w:id="110" w:name="_Toc37"/>
      <w:bookmarkEnd w:id="108"/>
      <w:bookmarkEnd w:id="109"/>
      <w:r>
        <w:rPr>
          <w:rtl w:val="true"/>
        </w:rPr>
        <w:t xml:space="preserve">فصل </w:t>
      </w:r>
      <w:r>
        <w:rPr>
          <w:rtl w:val="true"/>
        </w:rPr>
        <w:t xml:space="preserve">: [ </w:t>
      </w:r>
      <w:r>
        <w:rPr>
          <w:rtl w:val="true"/>
        </w:rPr>
        <w:t xml:space="preserve">شرف علم الفقه </w:t>
      </w:r>
      <w:r>
        <w:rPr>
          <w:rtl w:val="true"/>
        </w:rPr>
        <w:t>]</w:t>
      </w:r>
      <w:bookmarkEnd w:id="110"/>
    </w:p>
    <w:p>
      <w:pPr>
        <w:pStyle w:val="BookText"/>
        <w:rPr/>
      </w:pPr>
      <w:r>
        <w:rPr>
          <w:rFonts w:ascii="Amiri" w:hAnsi="Amiri" w:eastAsia="Amiri" w:cs="Amiri"/>
          <w:color w:val="111111"/>
          <w:sz w:val="28"/>
          <w:sz w:val="28"/>
          <w:szCs w:val="28"/>
          <w:rtl w:val="true"/>
          <w:lang w:bidi="ar-SA"/>
        </w:rPr>
        <w:t xml:space="preserve">ولما ثبت أنّ كمال العلم إنّما هو بالعمل ، تبيّن أنّه ليس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علم الفقه ؛ لأنّ مدخليّته في العمل أقوى مما سواه ؛ إذ به يعرف أوامر اللّه تعالى فتمتثل ، ونواهيه فتجتنب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المعلومات بعد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 فهو الناظم لأمور المعاش ، وبه يتمّ كمال 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بطرقنا عن محمد بن يعقوب ، عن محمد بن الحسن وعلي بن محمد ، عن سهل بن زياد ، عن محمد بن عيسى ، عن عبيد اللّه بن عبد اللّه الدهقان ، عن درست الواسطي ، عن إبراهيم بن عبد الحميد ، عن أبي الحسن موسى عليه‌السلام 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 المسجد ، فإذا جماعة قد أطافوا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 والأشعار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 ولا ينفع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 آية محكمة ، أو </w:t>
      </w:r>
    </w:p>
    <w:p>
      <w:pPr>
        <w:pStyle w:val="BookText"/>
        <w:rPr/>
      </w:pPr>
      <w:r>
        <w:rPr>
          <w:rFonts w:ascii="Amiri" w:hAnsi="Amiri" w:eastAsia="Amiri" w:cs="Amiri"/>
          <w:color w:val="111111"/>
          <w:sz w:val="28"/>
          <w:sz w:val="28"/>
          <w:szCs w:val="28"/>
          <w:rtl w:val="true"/>
          <w:lang w:bidi="ar-SA"/>
        </w:rPr>
        <w:t xml:space="preserve">فريضة عادلة ، أو سنّة قائمة ، وما خلا هنّ فهو فضل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الحسين بن محمد ، عن معلى بن محمد ، عن الحسن بن علي الوشاء ، عن حماد بن عثمان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بعيد خيرا ، فقّهه في الدين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محمد بن اسماعيل ، عن الفضل بن شاذان عن حماد بن عيسى ، عن ربعي بن عبد اللّه ، عن رجل ، عن أبي جعفر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والصبر على النائبة ، وتقدير المعيشة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محمد بن يحيى ، عن أحمد بن محمد ، عن ابن محبوب ، عن أبي أيوب الخزار ، عن سليمان بن خالد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من المؤمنين أحبّ إلى إبليس ، من موت فقيه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علي بن إبراهيم ، عن أبيه ، عن ابن أبي عمير ، عن بعض أصحابه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الفقيه ، ثلم في الإسلام ثلمة ، لا يسدّها شي‌ء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محمد بن يحيى ، عن أحمد بن محمد ، عن ابن محبوب ، عن علي ابن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عليه‌السلام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الفقيه ، بكت عليه الملائكة ، وبقاع الأرض التي كان يعبد اللّه عليها ، وأبواب السماء التي كان يصعد فيها بأعماله ، وثلم في الإسلام ثلمة لا يسدّها شي‌ء ؛ لأنّ المؤمنين الفقهاء حصون الإسلام ، كحصن سور المدينة لها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السالف ، عن الشيخ المفيد محمد بن النعمان ، عن أحمد بن محمد ابن سليمان الزراري ، عن علي بن الحسين السعدآبادي ، عن أحمد بن أبي عبد اللّه البرقي ، عن محمد بن عبد الحميد العطار ، عن عمّه عبد السلام بن سالم ، عن رجل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حلال وحرام ، تأخذه من صادق ، خير من الدنيا وما فيها من ذهب أو فضة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عن أحمد بن أبي عبد اللّه ، عن محمد بن عبد الحميد ، عن يونس ابن يعقوب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ابنا ، قد أحبّ أن يسألك عن حلال وحرام ، ولا يسألك عمّا لا يعنيه ، 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يسأل الناس عن شي‌ء أفضل من الحلال والحرام؟</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11" w:name="pg8731_77018"/>
    </w:p>
    <w:p>
      <w:pPr>
        <w:pStyle w:val="Heading4"/>
        <w:numPr>
          <w:ilvl w:val="3"/>
          <w:numId w:val="1"/>
        </w:numPr>
        <w:rPr/>
      </w:pPr>
      <w:bookmarkStart w:id="112" w:name="__RefHeading___Toc3139927_653776707"/>
      <w:bookmarkStart w:id="113" w:name="_Toc38"/>
      <w:bookmarkEnd w:id="111"/>
      <w:bookmarkEnd w:id="112"/>
      <w:r>
        <w:rPr>
          <w:rtl w:val="true"/>
        </w:rPr>
        <w:t xml:space="preserve">فصل </w:t>
      </w:r>
      <w:r>
        <w:rPr>
          <w:rtl w:val="true"/>
        </w:rPr>
        <w:t xml:space="preserve">: [ </w:t>
      </w:r>
      <w:r>
        <w:rPr>
          <w:rtl w:val="true"/>
        </w:rPr>
        <w:t xml:space="preserve">وجه الحاجة إلى الفقه </w:t>
      </w:r>
      <w:r>
        <w:rPr>
          <w:rtl w:val="true"/>
        </w:rPr>
        <w:t>]</w:t>
      </w:r>
      <w:bookmarkEnd w:id="113"/>
    </w:p>
    <w:p>
      <w:pPr>
        <w:pStyle w:val="BookText"/>
        <w:rPr/>
      </w:pPr>
      <w:r>
        <w:rPr>
          <w:rFonts w:ascii="Amiri" w:hAnsi="Amiri" w:eastAsia="Amiri" w:cs="Amiri"/>
          <w:color w:val="111111"/>
          <w:sz w:val="28"/>
          <w:sz w:val="28"/>
          <w:szCs w:val="28"/>
          <w:rtl w:val="true"/>
          <w:lang w:bidi="ar-SA"/>
        </w:rPr>
        <w:t xml:space="preserve">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 إنّما فعل الأشياء المحكمة المتقنة لغرض وغاية ، ولا ريب أن نوع الإنسان أشرف ما في العالم السفلي من الأجسام ، فيلزم تعلق الغرض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ذلك الغرض حصول ضرر له ؛ إذ هذا إنّما يقع من الجاهل ، أو المحتاج ، تعالى اللّه عن ذلك علوّا كبيرا ، فتعيّن أن يكون هو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يعود إليه سبحانه ، لاستغنائه وكماله ، فلا بدّ أن يكون عائدا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المنافع الدنيوية في الحقيقة ليست بمنافع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دفع آلام ، فلا يكاد يطلق اسم النفع إلّا على ما ندر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أن يكون هو الغرض من إيجاد هذا المخلوق الشريف ، سيما مع كونه منقطعا بالآلام المتضاعفة ، فلا بدّ وأن يكون الغرض شيئا آخر ، ممّا يتعلّق بالمنافع الاخروية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ذلك النفع ، من أعظم المطالب وأنفس المواهب ، لم يكن مبذولا لكلّ طالب ، بل إنّما يحصل بالاستحقاق ، وهو لا يكون إلّا بالعمل في هذه الدار ، المسبوق بمعرفة كيفية العمل ، المشتمل عليها هذا العلم ، فكانت الحاجة إليه ماسّة جدا ، لتحصيل هذا النفع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روينا بالإسناد السابق وغيره ، عن محمد بن يعقوب ، عن محمد بن إسماعيل ، عن الفضل بن شاذان ، عن ابن أبي عمير ، عن جميل بن دراج ، عن أبان بن تغلب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لوددت أنّ أصحابي ضربت رءوسهم بالسياط حتى يتفقّهوا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علي بن محمد بن عبد اللّه ، عن أحمد بن محمد بن خالد ، عن عثمان بن عيسى ، عن علي بن أبي حمزة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تفقّهوا في الدين ، فإنّه من لم يتفقّه منكم في الدين ، فهو أعرابيّ إنّ 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الحسين بن محمد ، عن جعفر بن محمد ، عن القاسم بن الربيع ، عن المفضل بن عمر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بالتفقّه في دين اللّه تعالى ، ولا تكونوا أعرابا ، فإنّه من لم يتفقّه في دين اللّه لم ينظر اللّه إليه يوم القيامة ، ولم يزكّ له عملا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السالف ، عن المفيد ، عن الحسن بن حمزة العلوي الطبري ، 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بنت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محمد بن خالد البرقي ، عن أبيه ، عن ابن أبي عمير ،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اتيت بشاب من شباب الشيعة لا يتفقّه لأدّبته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تفقّهوا وإلّا فأنتم أعراب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أحمد بن محمد بن خالد ، عن بعض أصحابنا ، عن علي بن أسباط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السياط على رءوس أصحابي حتى يتفقّهوا في الحلال والحرام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4" w:name="pg8731_77021"/>
    </w:p>
    <w:p>
      <w:pPr>
        <w:pStyle w:val="Heading4"/>
        <w:numPr>
          <w:ilvl w:val="3"/>
          <w:numId w:val="1"/>
        </w:numPr>
        <w:rPr/>
      </w:pPr>
      <w:bookmarkStart w:id="115" w:name="__RefHeading___Toc3139929_653776707"/>
      <w:bookmarkStart w:id="116" w:name="_Toc39"/>
      <w:bookmarkEnd w:id="114"/>
      <w:bookmarkEnd w:id="115"/>
      <w:r>
        <w:rPr>
          <w:rtl w:val="true"/>
        </w:rPr>
        <w:t xml:space="preserve">فصل </w:t>
      </w:r>
      <w:r>
        <w:rPr>
          <w:rtl w:val="true"/>
        </w:rPr>
        <w:t xml:space="preserve">: [ </w:t>
      </w:r>
      <w:r>
        <w:rPr>
          <w:rtl w:val="true"/>
        </w:rPr>
        <w:t xml:space="preserve">حدّ الفقه </w:t>
      </w:r>
      <w:r>
        <w:rPr>
          <w:rtl w:val="true"/>
        </w:rPr>
        <w:t>]</w:t>
      </w:r>
      <w:bookmarkEnd w:id="116"/>
    </w:p>
    <w:p>
      <w:pPr>
        <w:pStyle w:val="BookText"/>
        <w:rPr/>
      </w:pPr>
      <w:r>
        <w:rPr>
          <w:rFonts w:ascii="Amiri" w:hAnsi="Amiri" w:eastAsia="Amiri" w:cs="Amiri"/>
          <w:color w:val="111111"/>
          <w:sz w:val="28"/>
          <w:sz w:val="28"/>
          <w:szCs w:val="28"/>
          <w:rtl w:val="true"/>
          <w:lang w:bidi="ar-SA"/>
        </w:rPr>
        <w:t xml:space="preserve">الفقه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 الشرعية ، الفرعية ،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بالذوات كزيد مثلا ، وبالصفات ككرمه وشجاعته ، وبالأفعال ككتابته وخياطته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غيرها ، كالعقلية المحضة ، واللغوية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سبحانه ، وعلم الملائكة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المقلّد في المسائل الفقهية ، فإنّه مأخوذ من دليل إجمالي ، مطّرد في جميع المسائل ؛ وذلك لأنّه إذا علم أنّ هذا الحكم المعيّن قد أفتى به المفتي ، وعلم أنّ كلّ ما أفتى به المفتي فهو حكم اللّه تعالى في حقّه ، يعلم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الحكم المعيّن هو حكم اللّه سبحانه في حقّه ، وهكذا يفعل في كلّ حكم يرد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هذا الحدّ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يطّرد ؛ لدخول المقلّد ، إذا عرف بعض الأحكام كذلك ، لإنّا لا نريد به العامي ، بل من </w:t>
      </w:r>
    </w:p>
    <w:p>
      <w:pPr>
        <w:pStyle w:val="BookText"/>
        <w:rPr/>
      </w:pPr>
      <w:r>
        <w:rPr>
          <w:rFonts w:ascii="Amiri" w:hAnsi="Amiri" w:eastAsia="Amiri" w:cs="Amiri"/>
          <w:color w:val="111111"/>
          <w:sz w:val="28"/>
          <w:sz w:val="28"/>
          <w:szCs w:val="28"/>
          <w:rtl w:val="true"/>
          <w:lang w:bidi="ar-SA"/>
        </w:rPr>
        <w:t>لم يبلغ مرتبة الاجتهاد ، وقد يكون عالما متمكّنا من تحصيل ذلك ؛ لعلوّ رتبته في العلم ، مع أنّه ليس بفقيه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ينعكس ؛ لخروج أكثر الفقهاء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لا يعلمون جميع الأحكام ، بل بعضها أو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الفقه أكثره من باب الظنّ ، لابتنائه غالبا على ما هو ظنّي الدلالة ، أو السند ، فكيف أطلق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سؤال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نختار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يطّرد ، لدخول المقلّد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تجزّي الاجتهاد فظاهر ؛ إذ لا يتصوّر على هذا التقدير انفكاك العلم ببعض الأحكام كذلك عن الاجتهاد ، فلا يحصل للمقلّد وإن بلغ من العلم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بالتجزّي ، فالعلم المذكور داخل في الفقه ، فلا ضير فيه ؛ لصدقه عليه حقيقة ، وكون العالم بذلك فقيها بالنسبة إلى ذلك المعلوم اصطلاحا وإن صدق عليه عنوان التقليد بالإضافة إلى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نختار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الظاهر لكونها جمعا محلّى باللام ، ولا ريب أنّه حقيقة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ينعكس ، لخروج أكثر الفقهاء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المراد بالعلم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له ، وهو أن يكون عنده ما يكفيه ، في استعلامه من المآخذ والشرائط بأن يرجع إليه فيحكم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العلم على مثل هذا التهيّؤ ، شايع في العرف ؛ فإنّه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يعلم النحو مثلا ، ولا يراد أنّ مسائله حاضرة عنده على التفصيل ، وحينئذ </w:t>
      </w:r>
    </w:p>
    <w:p>
      <w:pPr>
        <w:pStyle w:val="BookText"/>
        <w:rPr/>
      </w:pPr>
      <w:r>
        <w:rPr>
          <w:rFonts w:ascii="Amiri" w:hAnsi="Amiri" w:eastAsia="Amiri" w:cs="Amiri"/>
          <w:color w:val="111111"/>
          <w:sz w:val="28"/>
          <w:sz w:val="28"/>
          <w:szCs w:val="28"/>
          <w:rtl w:val="true"/>
          <w:lang w:bidi="ar-SA"/>
        </w:rPr>
        <w:t>فعدم العلم بالحكم في الحال الحاضر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سؤال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العلم على معناه الأعمّ ، أعني ترجيح أحد الطرفين وإن لم يمنع من النقيض ، وحينئذ فيتناول الظن ، وهذا المعنى شايع في الاستعمال ، سيما في الأحكام الشرعية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في طريق الحكم لا فيه نفسه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الطريق لا تنافي علميّة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فضعفه ظاهر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المصوّبة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مجتهد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إن شاء اللّه تعالى في بحث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 وكأنّه لهم ، وتبعهم فيه من لا يوافقهم على هذا الأصل ، غفلة عن حقيقة الحال</w:t>
      </w:r>
      <w:r>
        <w:rPr>
          <w:rFonts w:eastAsia="Amiri" w:cs="Amiri" w:ascii="Amiri" w:hAnsi="Amiri"/>
          <w:color w:val="111111"/>
          <w:sz w:val="28"/>
          <w:szCs w:val="28"/>
          <w:rtl w:val="true"/>
          <w:lang w:bidi="ar-SA"/>
        </w:rPr>
        <w:t xml:space="preserve">. </w:t>
      </w:r>
      <w:bookmarkStart w:id="117" w:name="pg8731_77024"/>
    </w:p>
    <w:p>
      <w:pPr>
        <w:pStyle w:val="Heading4"/>
        <w:numPr>
          <w:ilvl w:val="3"/>
          <w:numId w:val="1"/>
        </w:numPr>
        <w:rPr/>
      </w:pPr>
      <w:bookmarkStart w:id="118" w:name="__RefHeading___Toc3139931_653776707"/>
      <w:bookmarkStart w:id="119" w:name="_Toc40"/>
      <w:bookmarkEnd w:id="117"/>
      <w:bookmarkEnd w:id="118"/>
      <w:r>
        <w:rPr>
          <w:rtl w:val="true"/>
        </w:rPr>
        <w:t xml:space="preserve">فصل </w:t>
      </w:r>
      <w:r>
        <w:rPr>
          <w:rtl w:val="true"/>
        </w:rPr>
        <w:t xml:space="preserve">: [ </w:t>
      </w:r>
      <w:r>
        <w:rPr>
          <w:rtl w:val="true"/>
        </w:rPr>
        <w:t xml:space="preserve">مرتبة علم الفقه </w:t>
      </w:r>
      <w:r>
        <w:rPr>
          <w:rtl w:val="true"/>
        </w:rPr>
        <w:t>]</w:t>
      </w:r>
      <w:bookmarkEnd w:id="119"/>
    </w:p>
    <w:p>
      <w:pPr>
        <w:pStyle w:val="BookText"/>
        <w:rPr/>
      </w:pPr>
      <w:r>
        <w:rPr>
          <w:rFonts w:ascii="Amiri" w:hAnsi="Amiri" w:eastAsia="Amiri" w:cs="Amiri"/>
          <w:color w:val="111111"/>
          <w:sz w:val="28"/>
          <w:sz w:val="28"/>
          <w:szCs w:val="28"/>
          <w:rtl w:val="true"/>
          <w:lang w:bidi="ar-SA"/>
        </w:rPr>
        <w:t xml:space="preserve">واعلم أنّ لبعض العلوم تقدّما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لتقدّم موضوعه ، أو لتقدّم غايته ، أو لاشتماله على مبادئ العلوم المتأخّرة ، أو لغير ذلك من الامور التي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ومرتبة هذا العلم متأخّرة عن غيره بالاعتبار الثالث ، لافتقاره إلى ساير العلوم ، واستغنائها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تأخّره عن علم الكلام ، فلأنّه يبحث في هذا العلم عن كيفية التكليف ، وذلك مسبوق بالبحث عن معرفة نفس التكليف والمكلّف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علم اصول الفقه فظاهر ؛ لأنّ هذا العلم ليس ضروريا ، بل هو محتاج إلى الاستدلال ، وعلم اصول الفقه متضمّن لبيان كيفية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وجه تأخّره عن علم المنطق أيضا لكونه متكفّلا لبيان صحّة الطرق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علم اللغة والنحو والتصريف ؛ فلأنّ من مبادي هذا العلم ، الكتاب والسنّة ، واحتياج العلم بهما إلى العلوم الثلاثة ظاهر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العلوم التي يجب تقدّم معرفتها عليه في الجملة ولبيان مقدار الحاجة منها محلّ آخر</w:t>
      </w:r>
      <w:r>
        <w:rPr>
          <w:rFonts w:eastAsia="Amiri" w:cs="Amiri" w:ascii="Amiri" w:hAnsi="Amiri"/>
          <w:color w:val="111111"/>
          <w:sz w:val="28"/>
          <w:szCs w:val="28"/>
          <w:rtl w:val="true"/>
          <w:lang w:bidi="ar-SA"/>
        </w:rPr>
        <w:t xml:space="preserve">. </w:t>
      </w:r>
      <w:bookmarkStart w:id="120" w:name="pg8731_77025"/>
    </w:p>
    <w:p>
      <w:pPr>
        <w:pStyle w:val="Heading4"/>
        <w:numPr>
          <w:ilvl w:val="3"/>
          <w:numId w:val="1"/>
        </w:numPr>
        <w:rPr/>
      </w:pPr>
      <w:bookmarkStart w:id="121" w:name="__RefHeading___Toc3139933_653776707"/>
      <w:bookmarkStart w:id="122" w:name="_Toc41"/>
      <w:bookmarkEnd w:id="120"/>
      <w:bookmarkEnd w:id="121"/>
      <w:r>
        <w:rPr>
          <w:rtl w:val="true"/>
        </w:rPr>
        <w:t xml:space="preserve">فصل </w:t>
      </w:r>
      <w:r>
        <w:rPr>
          <w:rtl w:val="true"/>
        </w:rPr>
        <w:t xml:space="preserve">: [ </w:t>
      </w:r>
      <w:r>
        <w:rPr>
          <w:rtl w:val="true"/>
        </w:rPr>
        <w:t xml:space="preserve">موضوع علم الفقه ومسائله </w:t>
      </w:r>
      <w:r>
        <w:rPr>
          <w:rtl w:val="true"/>
        </w:rPr>
        <w:t>]</w:t>
      </w:r>
      <w:bookmarkEnd w:id="122"/>
    </w:p>
    <w:p>
      <w:pPr>
        <w:pStyle w:val="BookText"/>
        <w:rPr/>
      </w:pPr>
      <w:r>
        <w:rPr>
          <w:rFonts w:ascii="Amiri" w:hAnsi="Amiri" w:eastAsia="Amiri" w:cs="Amiri"/>
          <w:color w:val="111111"/>
          <w:sz w:val="28"/>
          <w:sz w:val="28"/>
          <w:szCs w:val="28"/>
          <w:rtl w:val="true"/>
          <w:lang w:bidi="ar-SA"/>
        </w:rPr>
        <w:t xml:space="preserve">ولا بدّ لكلّ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باحثا عن امور لاحقه لغيرها وتسمّى تلك الامور مسائله ، وذلك الغير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يتوقّف الاستدلال عليها ومن تصوّرات الموضوع وأجزائه وجزئيّاته ، ويسمّى مجموع ذلك بالمبادي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البحث في علم الفقه عن الأحكام الخمسة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والندب ، والإباحة ، والكراهة ، والحرمة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والبطلان ، من حيث كونها عوارض لأفعال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جرم كان موضوعه هو أفعال المكلّفين ، من حيث الاقتضاء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من المقدّمات ، كالكتاب والسنّة والإجماع ، ومن التصوّرات كمعرفة الموضوع وأجزائه وجزئياته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المطالب الجزئية ، المستدلّ عليها فيه</w:t>
      </w:r>
      <w:r>
        <w:rPr>
          <w:rFonts w:eastAsia="Amiri" w:cs="Amiri" w:ascii="Amiri" w:hAnsi="Amiri"/>
          <w:color w:val="111111"/>
          <w:sz w:val="28"/>
          <w:szCs w:val="28"/>
          <w:rtl w:val="true"/>
          <w:lang w:bidi="ar-SA"/>
        </w:rPr>
        <w:t xml:space="preserve">. </w:t>
      </w:r>
      <w:bookmarkStart w:id="123" w:name="pg8731_77026"/>
    </w:p>
    <w:p>
      <w:pPr>
        <w:pStyle w:val="Heading3"/>
        <w:numPr>
          <w:ilvl w:val="2"/>
          <w:numId w:val="1"/>
        </w:numPr>
        <w:rPr/>
      </w:pPr>
      <w:bookmarkStart w:id="124" w:name="__RefHeading___Toc3139935_653776707"/>
      <w:bookmarkStart w:id="125" w:name="_Toc42"/>
      <w:bookmarkEnd w:id="123"/>
      <w:bookmarkEnd w:id="124"/>
      <w:r>
        <w:rPr>
          <w:rtl w:val="true"/>
        </w:rPr>
        <w:t xml:space="preserve">المقصد الثاني </w:t>
      </w:r>
      <w:r>
        <w:rPr>
          <w:rtl w:val="true"/>
        </w:rPr>
        <w:t xml:space="preserve">: </w:t>
      </w:r>
      <w:r>
        <w:rPr>
          <w:rtl w:val="true"/>
        </w:rPr>
        <w:t>في تحقيق مهمات المباحث الاصولية</w:t>
      </w:r>
      <w:bookmarkEnd w:id="125"/>
    </w:p>
    <w:p>
      <w:pPr>
        <w:pStyle w:val="Heading4"/>
        <w:numPr>
          <w:ilvl w:val="3"/>
          <w:numId w:val="1"/>
        </w:numPr>
        <w:rPr/>
      </w:pPr>
      <w:bookmarkStart w:id="126" w:name="__RefHeading___Toc3139937_653776707"/>
      <w:bookmarkStart w:id="127" w:name="_Toc43"/>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التي هي الأساس لبناء الأحكام الشرعية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لتحقيق هذا المقصد واشتهاره منذ عصر المؤلف إلى يومنا هذا آثرنا اختزاله ، لا سيما وقد طبع محققا في مؤسسة النشر الإسلامي التابعة لجماعة المدرّسين ، ورأينا أن نقتصر على آراء المؤلف فقط بالترتيب الذي قصده</w:t>
      </w:r>
      <w:r>
        <w:rPr>
          <w:rFonts w:eastAsia="Amiri" w:cs="Amiri" w:ascii="Amiri" w:hAnsi="Amiri"/>
          <w:color w:val="111111"/>
          <w:sz w:val="28"/>
          <w:szCs w:val="28"/>
          <w:rtl w:val="true"/>
          <w:lang w:bidi="ar-SA"/>
        </w:rPr>
        <w:t xml:space="preserve">. </w:t>
      </w:r>
      <w:bookmarkStart w:id="128" w:name="pg8731_77028"/>
    </w:p>
    <w:p>
      <w:pPr>
        <w:pStyle w:val="Heading4"/>
        <w:numPr>
          <w:ilvl w:val="3"/>
          <w:numId w:val="1"/>
        </w:numPr>
        <w:rPr/>
      </w:pPr>
      <w:bookmarkStart w:id="129" w:name="__RefHeading___Toc3139939_653776707"/>
      <w:bookmarkStart w:id="130" w:name="_Toc44"/>
      <w:bookmarkEnd w:id="128"/>
      <w:bookmarkEnd w:id="129"/>
      <w:r>
        <w:rPr>
          <w:rtl w:val="true"/>
        </w:rPr>
        <w:t xml:space="preserve">المطلب الأوّل </w:t>
      </w:r>
      <w:r>
        <w:rPr>
          <w:rtl w:val="true"/>
        </w:rPr>
        <w:t xml:space="preserve">: </w:t>
      </w:r>
      <w:r>
        <w:rPr>
          <w:rtl w:val="true"/>
        </w:rPr>
        <w:t>في نبذة من مباحث الألفاظ</w:t>
      </w:r>
      <w:r>
        <w:rPr>
          <w:rtl w:val="true"/>
        </w:rPr>
        <w:t>.</w:t>
      </w:r>
      <w:bookmarkEnd w:id="130"/>
    </w:p>
    <w:p>
      <w:pPr>
        <w:pStyle w:val="BookText"/>
        <w:rPr/>
      </w:pPr>
      <w:r>
        <w:rPr>
          <w:rFonts w:ascii="Amiri" w:hAnsi="Amiri" w:eastAsia="Amiri" w:cs="Amiri"/>
          <w:color w:val="111111"/>
          <w:sz w:val="28"/>
          <w:sz w:val="28"/>
          <w:szCs w:val="28"/>
          <w:rtl w:val="true"/>
          <w:lang w:bidi="ar-SA"/>
        </w:rPr>
        <w:t>وقد تعرّض فيه إلى الحقيقة والمجاز والمنقول اللغوي والعرفي والشرعي ضمن اصول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الحقيقة الشرعية ، وقد انتهى فيه إلى عدم 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فيه إلى وقوع الاشتراك في لغة العرب وإلى جواز استعمال اللفظ الواحد في أكثر من معنى مطلقا ، أي سواء في النفي والإثبات أوفي الإفراد والتثنية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المفرد مجاز وفي غير المفرد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استعمال اللفظ الواحد في المعنى الحقيقي والمجازي معا بعد التجريد عن قيد الوحدة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139941_653776707"/>
      <w:bookmarkStart w:id="132" w:name="_Toc45"/>
      <w:bookmarkEnd w:id="131"/>
      <w:r>
        <w:rPr>
          <w:rtl w:val="true"/>
        </w:rPr>
        <w:t xml:space="preserve">المطلب الثاني </w:t>
      </w:r>
      <w:r>
        <w:rPr>
          <w:rtl w:val="true"/>
        </w:rPr>
        <w:t xml:space="preserve">: </w:t>
      </w:r>
      <w:r>
        <w:rPr>
          <w:rtl w:val="true"/>
        </w:rPr>
        <w:t>في الأوامر والنواهي ، وجعله في بحثين</w:t>
      </w:r>
      <w:r>
        <w:rPr>
          <w:rtl w:val="true"/>
        </w:rPr>
        <w:t>.</w:t>
      </w:r>
      <w:bookmarkEnd w:id="132"/>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 وجعله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معناها حقيقة في الوجوب فقط بحسب اللغة على الأقوى وفاقا لجمهور الاصوليين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صيغة الأمر في الندب كان شايعا في </w:t>
      </w:r>
    </w:p>
    <w:p>
      <w:pPr>
        <w:pStyle w:val="BookText"/>
        <w:rPr/>
      </w:pPr>
      <w:r>
        <w:rPr>
          <w:rFonts w:ascii="Amiri" w:hAnsi="Amiri" w:eastAsia="Amiri" w:cs="Amiri"/>
          <w:color w:val="111111"/>
          <w:sz w:val="28"/>
          <w:sz w:val="28"/>
          <w:szCs w:val="28"/>
          <w:rtl w:val="true"/>
          <w:lang w:bidi="ar-SA"/>
        </w:rPr>
        <w:t>عرف الأئمة عليهم‌السلام بحيث صار من المجازات الراجحة المساوي احتمالها من اللفظ لاحتمال الحقيقة عند انتفاء المرجّح الخارجي ، فيشكل التعلّق في إثبات وجوب أمر بمجرّد ورود الأمر به منهم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صيغة الأمر بمجرّدها لا إشعار فيها بوحدة ولا تكرار وإنّما تدلّ على طلب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 الأمر على الفور ولا على التراخي بل على مطلق الفعل وأيّهما حصل كان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بأنّ الأمر للفور ولم يأت المكلّف بالمأمور به في أوّل أوقات الإمكان فلا يجب عليه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الأكثرون على أنّ الأمر بالشي‌ء مطلقا يقتضي إيجاب ما لا يتمّ إلّا به ، شرطا كان أو سببا أو غيرهما مع 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فوافق في السبب وخالف في غيره فقال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البحث في السبب قليل الجدوى ؛ لأنّ تعليق الأمر بالمسبّب نادر وأثر الشكّ في وجوبه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السبب فالأقرب فيه عندي قول المفصّل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أنّ الأمر بالشي‌ء على وجه الإيجاب لا يقتضي النهي عن ضدّه الخاصّ لا لفظا ولا معنى ، وأمّا العام فقد يطلق ويراد به أحد الأضداد الوجودية لا بعضه ، وهو راجع إلى الخاصّ بل هو عينه في الحقيقة ، فلا يقتضي النهي عنه أيضا ، وقد يطلق ويراد به الترك ، وعلى هذا يدلّ الأمر على النهي عنه بالتضمّن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أصحابنا أنّ الأمر بالشيئين أو الأشياء على وجه التخيير يقتضي إيجاب الجميع لكن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p>
    <w:p>
      <w:pPr>
        <w:pStyle w:val="BookText"/>
        <w:rPr/>
      </w:pPr>
      <w:r>
        <w:rPr>
          <w:rFonts w:ascii="Amiri" w:hAnsi="Amiri" w:eastAsia="Amiri" w:cs="Amiri"/>
          <w:color w:val="111111"/>
          <w:sz w:val="28"/>
          <w:sz w:val="28"/>
          <w:szCs w:val="28"/>
          <w:rtl w:val="true"/>
          <w:lang w:bidi="ar-SA"/>
        </w:rPr>
        <w:t>بوجوب الكلّ على البدل أنّه لا يجوز للمكلّف الإخلال بها أجمع ولا يلزمه الجمع بينها وله الخيار في تعيين أيّها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بالفعل في وقت يفضل عنه جائز عقلا ، واقع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تساوي جميع أجزاء الوقت في الوجوب بمعنى أنّ للمكلّف الإتيان به في أوّل الوقت ووسطه وآخره وفي أيّ جزء اتّفق إيقاعه وكان واجبا بالأصالة من غير فرق بين بقائه على صفة التكليف وعدمه ، ففي الحقيقة يكون راجعا إلى الواجب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العزم على أداء الفعل في ثاني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أخّره عن أوّل الوقت ووسطه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أنّ تعليق الأمر بل مطلق الحكم على شرط يدلّ على انتفائه عند انتفاء الشرط وهو مختار أكثر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على الصفة لا يقتضي نفي الحكم عند انتفائها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التقييد بالغاية يدلّ على مخالفة ما بعده لما قبلها وفاقا لأكثر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الأمر بالفعل المشروط مع علم الآمر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نسخ مدلول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معه الدلالة على الجواز بل يرجع إلى الحكم الذي كان قبل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النواهي ، وجعله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أنّ صيغة النهي حقيقة في التحريم مجاز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النهي في الكراهة شايع في أخبارنا المرويّة عن الأئمة عليهم‌السلام على نحو ما قلناه في الأمر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المطلوب بالنهي هو نفس أن لا تفعل</w:t>
      </w:r>
      <w:r>
        <w:rPr>
          <w:rFonts w:eastAsia="Amiri" w:cs="Amiri" w:ascii="Amiri" w:hAnsi="Amiri"/>
          <w:color w:val="111111"/>
          <w:sz w:val="28"/>
          <w:szCs w:val="28"/>
          <w:rtl w:val="true"/>
          <w:lang w:bidi="ar-SA"/>
        </w:rPr>
        <w:t xml:space="preserve">. </w:t>
      </w:r>
      <w:bookmarkStart w:id="133" w:name="pg8731_77031"/>
    </w:p>
    <w:p>
      <w:pPr>
        <w:pStyle w:val="BookText"/>
        <w:rPr/>
      </w:pPr>
      <w:bookmarkEnd w:id="1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النهي يفيد الدوام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والدوام يستلزم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امتناع توجّه الأمر والنهي إلى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يدلّ على فساد المنهي عنه في العبادات بحسب اللغة والشرع دون غيرها مطلقا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139943_653776707"/>
      <w:bookmarkStart w:id="135" w:name="_Toc46"/>
      <w:bookmarkEnd w:id="134"/>
      <w:r>
        <w:rPr>
          <w:rtl w:val="true"/>
        </w:rPr>
        <w:t xml:space="preserve">المطلب الثالث </w:t>
      </w:r>
      <w:r>
        <w:rPr>
          <w:rtl w:val="true"/>
        </w:rPr>
        <w:t xml:space="preserve">: </w:t>
      </w:r>
      <w:r>
        <w:rPr>
          <w:rtl w:val="true"/>
        </w:rPr>
        <w:t xml:space="preserve">في العموم والخصوص ، وفيه </w:t>
      </w:r>
      <w:r>
        <w:rPr>
          <w:rtl w:val="true"/>
        </w:rPr>
        <w:t>(</w:t>
      </w:r>
      <w:r>
        <w:rPr/>
        <w:t>3</w:t>
      </w:r>
      <w:r>
        <w:rPr>
          <w:rtl w:val="true"/>
        </w:rPr>
        <w:t xml:space="preserve">) </w:t>
      </w:r>
      <w:r>
        <w:rPr>
          <w:rtl w:val="true"/>
        </w:rPr>
        <w:t>فصول</w:t>
      </w:r>
      <w:r>
        <w:rPr>
          <w:rtl w:val="true"/>
        </w:rPr>
        <w:t>.</w:t>
      </w:r>
      <w:bookmarkEnd w:id="13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ألفاظ العموم ،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للعموم في لغة العرب صيغة تخصّه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المعرّف بالأداة يفيد العموم حيث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والمفرد المعرّف لا يفيد العموم ، إلّا أنّ القرينة الحالية قائمة في الأحكام الشرعية غالبا على إرادة العموم منه حيث لا عهد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المنكّر لا يفيد العموم بل يحمل على أقلّ مراتبه ، وأقلّ مراتب صيغ الجمع الثلاثة ،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وضع لخطاب المشافهة لا يعمّ بصيغته من تأخّر عن زمن الخطاب وإنّما يثبت حكمه لهم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مباحث التخصيص ،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منتهى التخصيص هو ما يبقى معه جمع يقرب من مدلول العام إلّا أن يستعمل في حقّ الواحد على سبيل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خصّ العامّ واريد به الباقي فهو مجاز مطلقا على الأقوى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تخصيص العامّ لا يخرجه عن الحجّية في غير محلّ التخصيص إن لم يكن المخصّص مجملا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عندي أنّه لا تجوز المبادرة إلى الحكم بالعموم قبل البحث عن المخصّص بل يجب التفحّص عنه حتّى يحصل الظنّ الغالب بانتفائه ، كما يجب ذلك في كلّ دليل يحتمل أن يكون له معارض احتمالا راجحا فإنّه جزئي من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بالمخصص ،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تعقّب المخصّص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جملا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عوده إلى كلّ واحد كان الأخير مخصوصا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يخصّ معه الباقي أو يختصّ هو به؟</w:t>
      </w:r>
    </w:p>
    <w:p>
      <w:pPr>
        <w:pStyle w:val="BookText"/>
        <w:rPr/>
      </w:pPr>
      <w:r>
        <w:rPr>
          <w:rFonts w:ascii="Amiri" w:hAnsi="Amiri" w:eastAsia="Amiri" w:cs="Amiri"/>
          <w:color w:val="111111"/>
          <w:sz w:val="28"/>
          <w:sz w:val="28"/>
          <w:szCs w:val="28"/>
          <w:rtl w:val="true"/>
          <w:lang w:bidi="ar-SA"/>
        </w:rPr>
        <w:t>والذي يقوى في نفسي أنّ اللفظ محتمل لكل من الأمرين لا يتعيّن لأحدهما إلّا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تعقّب العام ضمير يرجع إلى بعض ما يتناوله فهل يكون تخصيصا له أو لا؟ أو يتوقّف؟ وهذا هو الأقرب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جواز تخصيص العام بمفهوم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بما هو حجّة من مفهوم المخالفة خلاف والأكثرون على جوازه وهو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جواز تخصيص الكتاب بالخبر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تخصيصه بالخبر الواحد على تقدير العمل به فالأقرب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وخاص متنافيا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علم الاقتران وجب بناء العام على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تقدّم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ورود الخاصّ بعد حضور وقت العمل بالعام كان نسخا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يبنى على جواز تأخير بيان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جوّزه جعله تخصيصا وبيانا له كالأوّل وهو الحقّ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تقدّم الخاص فالأقوى أن العام يبنى عليه أيضا</w:t>
      </w:r>
      <w:r>
        <w:rPr>
          <w:rFonts w:eastAsia="Amiri" w:cs="Amiri" w:ascii="Amiri" w:hAnsi="Amiri"/>
          <w:color w:val="111111"/>
          <w:sz w:val="28"/>
          <w:szCs w:val="28"/>
          <w:rtl w:val="true"/>
          <w:lang w:bidi="ar-SA"/>
        </w:rPr>
        <w:t xml:space="preserve">. </w:t>
      </w:r>
      <w:bookmarkStart w:id="136" w:name="pg8731_77033"/>
    </w:p>
    <w:p>
      <w:pPr>
        <w:pStyle w:val="BookText"/>
        <w:rPr/>
      </w:pPr>
      <w:bookmarkEnd w:id="1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جهل التأريخ فيعمل بالخاصّ أيضا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139945_653776707"/>
      <w:bookmarkStart w:id="138" w:name="_Toc47"/>
      <w:bookmarkEnd w:id="137"/>
      <w:r>
        <w:rPr>
          <w:rtl w:val="true"/>
        </w:rPr>
        <w:t xml:space="preserve">المطلب الرابع </w:t>
      </w:r>
      <w:r>
        <w:rPr>
          <w:rtl w:val="true"/>
        </w:rPr>
        <w:t xml:space="preserve">: </w:t>
      </w:r>
      <w:r>
        <w:rPr>
          <w:rtl w:val="true"/>
        </w:rPr>
        <w:t xml:space="preserve">في المطلق والمقيّد والمجمل والمبيّن ، وفيه </w:t>
      </w:r>
      <w:r>
        <w:rPr>
          <w:rtl w:val="true"/>
        </w:rPr>
        <w:t>(</w:t>
      </w:r>
      <w:r>
        <w:rPr/>
        <w:t>3</w:t>
      </w:r>
      <w:r>
        <w:rPr>
          <w:rtl w:val="true"/>
        </w:rPr>
        <w:t xml:space="preserve">) </w:t>
      </w:r>
      <w:r>
        <w:rPr>
          <w:rtl w:val="true"/>
        </w:rPr>
        <w:t>اصول</w:t>
      </w:r>
      <w:r>
        <w:rPr>
          <w:rtl w:val="true"/>
        </w:rPr>
        <w:t>.</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مطلق ومقيّد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 حكمهما فلا يحمل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الخطابان من جنس واحد أو لا وسواء اتّحد موجبهما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يختلف حكمهما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اتّحد موجبهما مثبتين فيحمل المطلق على المقيّد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اتّحد موجبهما منفيين فيعمل بهما معا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 موجبهما فلا يحمل على المقيّد عندنا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المجمل وأنواعه وجملة من المصاديق التي ادّعي فيها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الفائدة الثانية من الفوائد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ينفى فيه الفعل ظاهرا مطلقا فإن ثبت كونه حقيقة شرعية في الصحيح من هذه الأفعال كان نفي المسمّى ممكنا باعتبار فوات الشرط أو الجزء ، وإن لم يثبت له حقيقة شرعية كما هو الظاهر فإن ثبت له حقيقة عرفية فمثله يقصد منه نفي الفائدة ، ولو فرض انتفاؤها فالظاهر أنّه يحمل على نفي الصحة دون الكمال ، ونفي الصحة أقرب من نفي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أهل العدل في عدم جواز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تأخيره عن وقت الخطاب إلى وقت الحاجة فلا مانع منه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139947_653776707"/>
      <w:bookmarkStart w:id="140" w:name="_Toc48"/>
      <w:bookmarkEnd w:id="139"/>
      <w:r>
        <w:rPr>
          <w:rtl w:val="true"/>
        </w:rPr>
        <w:t xml:space="preserve">المطلب الخامس </w:t>
      </w:r>
      <w:r>
        <w:rPr>
          <w:rtl w:val="true"/>
        </w:rPr>
        <w:t xml:space="preserve">: </w:t>
      </w:r>
      <w:r>
        <w:rPr>
          <w:rtl w:val="true"/>
        </w:rPr>
        <w:t xml:space="preserve">في الإجماع ، وفيه </w:t>
      </w:r>
      <w:r>
        <w:rPr>
          <w:rtl w:val="true"/>
        </w:rPr>
        <w:t>(</w:t>
      </w:r>
      <w:r>
        <w:rPr/>
        <w:t>5</w:t>
      </w:r>
      <w:r>
        <w:rPr>
          <w:rtl w:val="true"/>
        </w:rPr>
        <w:t xml:space="preserve">) </w:t>
      </w:r>
      <w:r>
        <w:rPr>
          <w:rtl w:val="true"/>
        </w:rPr>
        <w:t>اصول</w:t>
      </w:r>
      <w:r>
        <w:rPr>
          <w:rtl w:val="true"/>
        </w:rPr>
        <w:t>.</w:t>
      </w:r>
      <w:bookmarkEnd w:id="14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هو اتّفاق من يعتبر قوله من الامّة في الفتاوى الشرعية على </w:t>
      </w:r>
    </w:p>
    <w:p>
      <w:pPr>
        <w:pStyle w:val="BookText"/>
        <w:rPr/>
      </w:pPr>
      <w:r>
        <w:rPr>
          <w:rFonts w:ascii="Amiri" w:hAnsi="Amiri" w:eastAsia="Amiri" w:cs="Amiri"/>
          <w:color w:val="111111"/>
          <w:sz w:val="28"/>
          <w:sz w:val="28"/>
          <w:szCs w:val="28"/>
          <w:rtl w:val="true"/>
          <w:lang w:bidi="ar-SA"/>
        </w:rPr>
        <w:t>أمر من الامور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وواقع وحجّة باعتبار كشفه عن الحجّة التي هي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الاطلاع على حصول الاجماع عادة في زمانه من غير جهة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إجماع يدّعى في كلام الأصحاب ممّا يقرب من عصر الشيخ إلى زماننا هذا وليس مستندا إلى نقل متواتر أو آحاد حيث يعتبر أو مع القرائن المفيدة للعلم فلا بدّ من أن يراد به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أهل العصر على قولين لا يتجاوزونهما فلا يجوز إحداث قول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تفصل الامّة بين مسألتين ، فإن نصّت على المنع من الفصل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بين المسألتين علاقة بحيث يلزم من العمل بإحداهما العمل بالاخرى لم يجز الفصل وإن لم تكن بينهما علاقة فلا يجوز الفصل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الإمامية على قولين ، فإن كانت إحدى الطائفتين معلومة النسب ولم يكن الإمام أحدهم كان الحقّ مع الطائفة الاخرى وإن لم تكن معلومة النسب فإن كان مع إحدى الطائفتين دلالة قطعية توجب العلم وجب العمل على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 إحداهما دليل قاطع فقد حكي التخيير ونسب طرح القولين إلى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علمنا بعدم وقوع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الإمامية على قولين فيجوز بعد ذلك اتّفاقهما على قول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الإجماع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لحاكي الإجماع من أن يكون علمه بإحدى الطرق المفيدة للعلم وإلّا وجب البيان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الإجماع حيث يدخل في حيّز النقل حكم الخبر الواحد فيشترط في </w:t>
      </w:r>
      <w:bookmarkStart w:id="141" w:name="pg8731_77035"/>
    </w:p>
    <w:p>
      <w:pPr>
        <w:pStyle w:val="BookText"/>
        <w:rPr/>
      </w:pPr>
      <w:bookmarkEnd w:id="141"/>
      <w:r>
        <w:rPr>
          <w:rFonts w:ascii="Amiri" w:hAnsi="Amiri" w:eastAsia="Amiri" w:cs="Amiri"/>
          <w:color w:val="111111"/>
          <w:sz w:val="28"/>
          <w:sz w:val="28"/>
          <w:szCs w:val="28"/>
          <w:rtl w:val="true"/>
          <w:lang w:bidi="ar-SA"/>
        </w:rPr>
        <w:t>قبوله ما يشترط هناك وحينئذ فقد يقع التعارض بين إجماعين منقولين وبين إجماع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بعض الأصحاب لفظ الإجماع في المشهور من غير قرينة على تعيين المراد ، فمن هذا شأنه لا يعتدّ بما يدّعيه من الإجماع ، إلّا أن يذهب ذاهب إلى مساواة الشهرة للإجماع في الحجّية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139949_653776707"/>
      <w:bookmarkStart w:id="143" w:name="_Toc49"/>
      <w:bookmarkEnd w:id="142"/>
      <w:r>
        <w:rPr>
          <w:rtl w:val="true"/>
        </w:rPr>
        <w:t xml:space="preserve">المطلب السادس </w:t>
      </w:r>
      <w:r>
        <w:rPr>
          <w:rtl w:val="true"/>
        </w:rPr>
        <w:t xml:space="preserve">: </w:t>
      </w:r>
      <w:r>
        <w:rPr>
          <w:rtl w:val="true"/>
        </w:rPr>
        <w:t xml:space="preserve">في الأخبار ، وفيه </w:t>
      </w:r>
      <w:r>
        <w:rPr>
          <w:rtl w:val="true"/>
        </w:rPr>
        <w:t>(</w:t>
      </w:r>
      <w:r>
        <w:rPr/>
        <w:t>10</w:t>
      </w:r>
      <w:r>
        <w:rPr>
          <w:rtl w:val="true"/>
        </w:rPr>
        <w:t xml:space="preserve">) </w:t>
      </w:r>
      <w:r>
        <w:rPr>
          <w:rtl w:val="true"/>
        </w:rPr>
        <w:t>اصول</w:t>
      </w:r>
      <w:r>
        <w:rPr>
          <w:rtl w:val="true"/>
        </w:rPr>
        <w:t>.</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متواتر وآحاد ، ولا ريب في إمكان المتواتر ووقوعه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العلم بالتواتر يتوقّف على اجتماع شرائط بعضها في المخبرين وبعضها في السامعين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الواحد هو ما لم يبلغ حدّ التواتر وليس من شأنه إفادة العلم بنفسه نعم يفيده بانضمام القرائن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عرى من خبر الواحد عن القرائن المفيدة للعلم يجوز التعبّد به عقلا والأقرب وقوع التعبّد به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العمل بخبر الواحد كلّها يتعلّق بالراوي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التكليف والإسلام والإيمان والعدالة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هي ملكة في النفس تمنعها من فعل الكبائر والإصرار على الصغائر ومنافيات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عدالة الراوي بالاختبار بالصحبة المؤكّدة والملازمة بحيث تظهر أحواله ويحصل الاطّلاع على سريرته حيث يكون ذلك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باشتهارها بين العلماء وأهل الحديث ، وبشهادة القرائن المتكثّرة المتعاضدة ، وبالتزكية من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في التزكية إلّا شهادة العدلين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الجرح والتعديل مجردين عن ذكر السبب حيث يعلم عدم المخالفة </w:t>
      </w:r>
    </w:p>
    <w:p>
      <w:pPr>
        <w:pStyle w:val="BookText"/>
        <w:rPr/>
      </w:pPr>
      <w:r>
        <w:rPr>
          <w:rFonts w:ascii="Amiri" w:hAnsi="Amiri" w:eastAsia="Amiri" w:cs="Amiri"/>
          <w:color w:val="111111"/>
          <w:sz w:val="28"/>
          <w:sz w:val="28"/>
          <w:szCs w:val="28"/>
          <w:rtl w:val="true"/>
          <w:lang w:bidi="ar-SA"/>
        </w:rPr>
        <w:t>فيما به تتحقق العدالة والجرح ومع انتفائه يكون القبول موقوفا على ذكر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الجرح والتعديل فإن كان مع أحدهما رجحان يحكم التدبر الصحيح باعتباره فالعمل على الراجح وإلّا وجب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عدل ، لم يكتف في العمل بروايته على تقدير الاكتفاء بتزكية الواحد ، وكذا لو قال العدلان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وصف جماعة من الأصحاب كثيرا من الروايات بالصحة من هذا القبيل لأنّه في الحقيقة شهادة بتعديل رواتها وهو بمجرده غير كاف في جواز العمل بالحديث بل لا بدّ من مراجعة السند والنظر في حال الرواة ليؤمن من معارضة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للراوي من مستند يصحّ له من أجله رواية الحديث ويقبل منه بسببه ، وهو في الرواية عن المعصوم نفسه ظاهر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الرواية عن الراوي فله وجوه أعلاها السماع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ذلك القراءة عليه مع إقراره به وتصريحه بالاعتراف بمضمونه ، ودون ذلك إجازته رواية كتاب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أثر الإجازة بالنسبة إلى العمل إنّما يظهر حيث لا يكون متعلّقها معلوما بالتواتر ونحوه ككتب أخبارنا الأربعة فإنّها متواترة إجمالا ، والعلم بصحّة مضامينها تفصيلا يستفاد من قرائن الأحوال ، ولا مدخل للإجازة فيه غالبا ، وإنّما فائدتها حينئذ بقاء اتّصال سلسلة الاسناد بالنبي والأئمة عليهم‌السلام وذلك أمر مطلوب مرغوب إليه للتيمّن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رعاية التصحيح والأمن من حدوث التصحيف وشبهه من أنواع الخلل يزيد في وجه الحاجة إلى السماع ونحوه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الحديث بالمعنى بشرط أن يكون الناقل عارفا بمواقع </w:t>
      </w:r>
      <w:bookmarkStart w:id="144" w:name="pg8731_77037"/>
    </w:p>
    <w:p>
      <w:pPr>
        <w:pStyle w:val="BookText"/>
        <w:rPr/>
      </w:pPr>
      <w:bookmarkEnd w:id="144"/>
      <w:r>
        <w:rPr>
          <w:rFonts w:ascii="Amiri" w:hAnsi="Amiri" w:eastAsia="Amiri" w:cs="Amiri"/>
          <w:color w:val="111111"/>
          <w:sz w:val="28"/>
          <w:sz w:val="28"/>
          <w:szCs w:val="28"/>
          <w:rtl w:val="true"/>
          <w:lang w:bidi="ar-SA"/>
        </w:rPr>
        <w:t>الألفاظ وعدم قصور الترجمة عن الأصل في إفادة المعنى ومساواتها له في الجلاء والخفاء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 العدل الحديث بأن رواه عن المعصوم ولم يلقه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ترك ذكر الواسطة رأسا أو ذكرها مبهمة لنسيان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عن رجل أو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قبوله خلاف بين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عدم 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خبر الواحد باعتبار اختلاف أحوال رواته في الاتّصاف بالإيمان والعدالة والضبط وعدمها إلى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139951_653776707"/>
      <w:bookmarkStart w:id="146" w:name="_Toc50"/>
      <w:bookmarkEnd w:id="145"/>
      <w:r>
        <w:rPr>
          <w:rtl w:val="true"/>
        </w:rPr>
        <w:t xml:space="preserve">المطلب السابع </w:t>
      </w:r>
      <w:r>
        <w:rPr>
          <w:rtl w:val="true"/>
        </w:rPr>
        <w:t xml:space="preserve">: </w:t>
      </w:r>
      <w:r>
        <w:rPr>
          <w:rtl w:val="true"/>
        </w:rPr>
        <w:t>في النسخ ،وفيه أصلان</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جواز النسخ ووقوعه ، وجمهور أصحابنا على اشتراطه بحضور وقت الفعل المنسوخ سواء فعل أم لم يفعل ، وهو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نسخ كلّ من الكتاب والسنّة المتواترة والآحاد بمثله ولا ريب فيه ، ونسخ الكتاب بالسنّة المتواترة ، وهي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ينسخ الكتاب والسنّة المتواترة بالآحاد ؛ لأنّ خبر الواحد مظنون وهما معلومان ولا يجوز ترك المعلوم بالمظنون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الاجماع ففي جواز نسخه والنسخ به خلاف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يجي‌ء على مذهبنا أنّه يصحّ دخول النسخ فيه بناء </w:t>
      </w:r>
      <w:bookmarkStart w:id="147" w:name="pg8731_77038"/>
    </w:p>
    <w:p>
      <w:pPr>
        <w:pStyle w:val="BookText"/>
        <w:rPr/>
      </w:pPr>
      <w:bookmarkEnd w:id="147"/>
      <w:r>
        <w:rPr>
          <w:rFonts w:ascii="Amiri" w:hAnsi="Amiri" w:eastAsia="Amiri" w:cs="Amiri"/>
          <w:color w:val="111111"/>
          <w:sz w:val="28"/>
          <w:sz w:val="28"/>
          <w:szCs w:val="28"/>
          <w:rtl w:val="true"/>
          <w:lang w:bidi="ar-SA"/>
        </w:rPr>
        <w:t>على أنّ الاجماع انضمام أقوال إلى قول لو انفرد لكانت الحجّة فيه ، فجائز حصول مثل هذا في زمان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جيّد غير أنّه لا يترتّب عليه</w:t>
      </w:r>
    </w:p>
    <w:p>
      <w:pPr>
        <w:pStyle w:val="BookText"/>
        <w:rPr/>
      </w:pPr>
      <w:r>
        <w:rPr>
          <w:rFonts w:ascii="Amiri" w:hAnsi="Amiri" w:eastAsia="Amiri" w:cs="Amiri"/>
          <w:color w:val="111111"/>
          <w:sz w:val="28"/>
          <w:sz w:val="28"/>
          <w:szCs w:val="28"/>
          <w:rtl w:val="true"/>
          <w:lang w:bidi="ar-SA"/>
        </w:rPr>
        <w:t xml:space="preserve">فائدة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النسخ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الإعلام بزوال مثل الحكم الثابت بالدليل الشرعي بدليل آخر شرعي متراخ عنه على وجه لولاه لكان الحكم الأوّل ثابتا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139953_653776707"/>
      <w:bookmarkStart w:id="149" w:name="_Toc51"/>
      <w:bookmarkEnd w:id="148"/>
      <w:r>
        <w:rPr>
          <w:rtl w:val="true"/>
        </w:rPr>
        <w:t xml:space="preserve">المطلب الثامن </w:t>
      </w:r>
      <w:r>
        <w:rPr>
          <w:rtl w:val="true"/>
        </w:rPr>
        <w:t xml:space="preserve">: </w:t>
      </w:r>
      <w:r>
        <w:rPr>
          <w:rtl w:val="true"/>
        </w:rPr>
        <w:t xml:space="preserve">في القياس والاستصحاب ، وفيه </w:t>
      </w:r>
      <w:r>
        <w:rPr>
          <w:rtl w:val="true"/>
        </w:rPr>
        <w:t>(</w:t>
      </w:r>
      <w:r>
        <w:rPr/>
        <w:t>3</w:t>
      </w:r>
      <w:r>
        <w:rPr>
          <w:rtl w:val="true"/>
        </w:rPr>
        <w:t xml:space="preserve">) </w:t>
      </w:r>
      <w:r>
        <w:rPr>
          <w:rtl w:val="true"/>
        </w:rPr>
        <w:t>اصول</w:t>
      </w:r>
      <w:r>
        <w:rPr>
          <w:rtl w:val="true"/>
        </w:rPr>
        <w:t>.</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على معلوم بمثل الحكم الثابت لمعلوم آخر لاشتراكهما في علّة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الحكم الثابت يسمّى أصلا وموضع الآخر يسمّى فرعا والمشترك جامعا وعلّة وهي إمّا مستنبطة أو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أطبق أصحابنا على منع العمل بالمستنبطة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فمنعه يعدّ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المنصوصة ففي العمل بها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 الشرع على العلّة وكان هناك شاهد حال يدلّ على سقوط اعتبار ما عدا تلك العلّة في ثبوت الحكم جاز تعدية الحكم وكان ذلك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ما قاله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تعدية الحكم في تحريم التأفيف إلى أنواع الأذى الزائد عنه من باب القياس وسمّوه بالقياس الجلي وأنكر ذلك المحقق وجمع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بعض المحققين من أنّ النزاع هنا لفظي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الناس في 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أن يثبت حكم في وقت ثم يجي‌ء وقت آخر ولا يقوم دليل على انتفاء ذلك الحكم فهل يحكم ببقائه </w:t>
      </w:r>
      <w:bookmarkStart w:id="150" w:name="pg8731_77039"/>
    </w:p>
    <w:p>
      <w:pPr>
        <w:pStyle w:val="BookText"/>
        <w:rPr/>
      </w:pPr>
      <w:bookmarkEnd w:id="150"/>
      <w:r>
        <w:rPr>
          <w:rFonts w:ascii="Amiri" w:hAnsi="Amiri" w:eastAsia="Amiri" w:cs="Amiri"/>
          <w:color w:val="111111"/>
          <w:sz w:val="28"/>
          <w:sz w:val="28"/>
          <w:szCs w:val="28"/>
          <w:rtl w:val="true"/>
          <w:lang w:bidi="ar-SA"/>
        </w:rPr>
        <w:t>على ما كان وهو الاستصحاب؟ أم يفتقر الحكم به في الوقت الثاني إلى دليل؟</w:t>
      </w:r>
    </w:p>
    <w:p>
      <w:pPr>
        <w:pStyle w:val="BookText"/>
        <w:rPr/>
      </w:pPr>
      <w:r>
        <w:rPr>
          <w:rFonts w:ascii="Amiri" w:hAnsi="Amiri" w:eastAsia="Amiri" w:cs="Amiri"/>
          <w:color w:val="111111"/>
          <w:sz w:val="28"/>
          <w:sz w:val="28"/>
          <w:szCs w:val="28"/>
          <w:rtl w:val="true"/>
          <w:lang w:bidi="ar-SA"/>
        </w:rPr>
        <w:t xml:space="preserve">فالمرتضى وجماعة من العامّة على الثاني ويحكى عن المفيد المصير إلى الأوّل وهو اختيار الأكثر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قول المرتضى وهو الأقرب</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139955_653776707"/>
      <w:bookmarkStart w:id="152" w:name="_Toc52"/>
      <w:bookmarkEnd w:id="151"/>
      <w:r>
        <w:rPr>
          <w:rtl w:val="true"/>
        </w:rPr>
        <w:t xml:space="preserve">المطلب التاسع </w:t>
      </w:r>
      <w:r>
        <w:rPr>
          <w:rtl w:val="true"/>
        </w:rPr>
        <w:t xml:space="preserve">: </w:t>
      </w:r>
      <w:r>
        <w:rPr>
          <w:rtl w:val="true"/>
        </w:rPr>
        <w:t xml:space="preserve">في الاجتهاد والتقليد ، وفيه </w:t>
      </w:r>
      <w:r>
        <w:rPr>
          <w:rtl w:val="true"/>
        </w:rPr>
        <w:t>(</w:t>
      </w:r>
      <w:r>
        <w:rPr/>
        <w:t>8</w:t>
      </w:r>
      <w:r>
        <w:rPr>
          <w:rtl w:val="true"/>
        </w:rPr>
        <w:t xml:space="preserve">) </w:t>
      </w:r>
      <w:r>
        <w:rPr>
          <w:rtl w:val="true"/>
        </w:rPr>
        <w:t>اصول</w:t>
      </w:r>
      <w:r>
        <w:rPr>
          <w:rtl w:val="true"/>
        </w:rPr>
        <w:t>.</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هو استفراغ الفقيه وسعه في تحصيل الظنّ بحكم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قبوله للتجزئة بمعنى جريانه في بعض المسائل دون بعض وذلك بأن يحصل للعالم ما هو مناط الاجتهاد في بعض المسائل فقط فله حينئذ أن يجتهد فيها أو لا؟</w:t>
      </w:r>
    </w:p>
    <w:p>
      <w:pPr>
        <w:pStyle w:val="BookText"/>
        <w:rPr/>
      </w:pPr>
      <w:r>
        <w:rPr>
          <w:rFonts w:ascii="Amiri" w:hAnsi="Amiri" w:eastAsia="Amiri" w:cs="Amiri"/>
          <w:color w:val="111111"/>
          <w:sz w:val="28"/>
          <w:sz w:val="28"/>
          <w:szCs w:val="28"/>
          <w:rtl w:val="true"/>
          <w:lang w:bidi="ar-SA"/>
        </w:rPr>
        <w:t xml:space="preserve">والتحقيق عندي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الاقتدار على استنباط بعض المسائل دون بعض على وجه يساوي استنباط المجتهد المطلق لها غير ممتنع ، ولكن التمسّك في جواز الاعتماد على هذا الاستنباط بالمساواة فيه للمجتهد المطلق قياس لا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وللاجتهاد المطلق شرائط يتوقّف عليها ، وهي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جميع ما يتوقّف عليه إقامة الأدلّة على المسائل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يعلم من اللغة ومعاني الألفاظ العرفية ما يتوقّف عليه استنباط الأحكام من الكتاب والسنّة ولو بالرجوع إلى الكتب المعتبرة ، ويدخل في ذلك معرفة النحو والصرف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قدر ما يتعلّق بالأحكام بأن يكون عالما بمواقعها ويتمكّن عند الحاجة من الرجوع إليها ولو في كتب الاستدلال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الأحاديث المتعلّقة بالأحكام بأن يكون عنده من الاصول </w:t>
      </w:r>
    </w:p>
    <w:p>
      <w:pPr>
        <w:pStyle w:val="BookText"/>
        <w:rPr/>
      </w:pPr>
      <w:r>
        <w:rPr>
          <w:rFonts w:ascii="Amiri" w:hAnsi="Amiri" w:eastAsia="Amiri" w:cs="Amiri"/>
          <w:color w:val="111111"/>
          <w:sz w:val="28"/>
          <w:sz w:val="28"/>
          <w:szCs w:val="28"/>
          <w:rtl w:val="true"/>
          <w:lang w:bidi="ar-SA"/>
        </w:rPr>
        <w:t>المصحّحة ما يجمعها ويعرف مواقع كل باب بحيث يتمكّن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يعلم أحوال الرواة في الجرح والتعديل ولو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يعرف مواقع الاجماع ليتحرز عند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عالما بالمطالب الاصولية من أحكام الأوامر والنواهي والعموم والخصوص إلى غير ذلك من مقاصده التي يتوقّف الاستنباط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العلوم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ذلك كلّه بطريق الاستدلال على كلّ أصل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يعرف شرائط البرهان لامتناع الاستدلال بدونه إلّا من فاز بقوّة قدسيّة تغنيه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له ملكة مستقيمة وقوّة إدراك يقتدر بها على اقتناص الفروع من الاصول وردّ الجزئيات إلى قواعدها والترجيح في موضع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فروع الفقه فلا يتوقّف عليها أصل الاجتهاد ولكنها قد صارت في هذا الزمان طريقا يحصل به الدربة فيه ويعين على التوصّل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الجمهور من المسلمين على أنّ المصيب من المجتهدين المختلفين في العقليات التي وقع التكليف بها واحد وأنّ الآخر مخطئ آثم ؛ لأنّ اللّه تعالى كلّف فيها بالعلم ونصب عليه دليلا فالمخطئ له مقصّر فيبقى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الشرعية فإن كان عليها دليل قاطع فالمصيب فيها أيضا واحد والمخطئ غير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مما يفتقر إلى النظر والاجتهاد فالواجب على المجتهد استفراغ الواسع فيها ولا إثم عليه قطعا بغير خلاف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اختلف الناس في التصويب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المصيب فيها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الصواب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تسمية أخذ المقلّد العامي بقول المفتي تقليدا في العرف ، </w:t>
      </w:r>
    </w:p>
    <w:p>
      <w:pPr>
        <w:pStyle w:val="BookText"/>
        <w:rPr/>
      </w:pP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العلماء على جواز التقليد لمن لم يبلغ درجة الاجتهاد سواء كان عاميا أو كان عالما بطرف من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منع التقليد في اصول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في المفتي الذي يرجع إليه المقلّد مع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رجوع المقلّد إليه علمه بحصول الشرائط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بالمخالطة المطّلعة ، أو بالأخبار المتواترة ، أو بالقرائن الكثيرة المتعاضدة أو بشهادة العدلين العارفين ، لأنّهما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التقليد مع اتّحاد المفتي ظاهر ، وكذا مع التعدّد والاتّفاق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الاختلاف فإن علم استواؤهم في المعرفة والعدالة تخيّر المستفتي ، وإن كان بعضهم أرجح في العلم والعدالة من بعض تعيّن عليه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ترجّح بعضهم بالعلم والبعض بالورع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الأعلم ؛ لأنّ الفتوى تستفاد من العلم لا من الورع والقدر الذي عنده من الورع يحجزه عن الفتوى بما لا يعلم فلا اعتبار برجحان ورع الآخر ،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بناء المجتهد في الفتوى بالحكم على الاجتهاد السابق ، وإن كان الأولى استيناف النظر إن لم يكن ذاكرا لدليلها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مشافهة المفتي في العمل بقوله ، بل يجوز بالرواية عنه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العمل بالرواية عن الميت؟ ظاهر الأصحاب الإطباق على عدمه</w:t>
      </w:r>
      <w:r>
        <w:rPr>
          <w:rFonts w:eastAsia="Amiri" w:cs="Amiri" w:ascii="Amiri" w:hAnsi="Amiri"/>
          <w:color w:val="111111"/>
          <w:sz w:val="28"/>
          <w:szCs w:val="28"/>
          <w:rtl w:val="true"/>
          <w:lang w:bidi="ar-SA"/>
        </w:rPr>
        <w:t xml:space="preserve">. </w:t>
      </w:r>
      <w:bookmarkStart w:id="153" w:name="pg8731_77042"/>
    </w:p>
    <w:p>
      <w:pPr>
        <w:pStyle w:val="Heading4"/>
        <w:numPr>
          <w:ilvl w:val="3"/>
          <w:numId w:val="1"/>
        </w:numPr>
        <w:rPr/>
      </w:pPr>
      <w:bookmarkStart w:id="154" w:name="__RefHeading___Toc3139957_653776707"/>
      <w:bookmarkStart w:id="155" w:name="_Toc53"/>
      <w:bookmarkEnd w:id="153"/>
      <w:bookmarkEnd w:id="154"/>
      <w:r>
        <w:rPr>
          <w:rtl w:val="true"/>
        </w:rPr>
        <w:t xml:space="preserve">الخاتمة </w:t>
      </w:r>
      <w:r>
        <w:rPr>
          <w:rtl w:val="true"/>
        </w:rPr>
        <w:t xml:space="preserve">: </w:t>
      </w:r>
      <w:r>
        <w:rPr>
          <w:rtl w:val="true"/>
        </w:rPr>
        <w:t>في التعادل والتراجيح</w:t>
      </w:r>
      <w:bookmarkEnd w:id="155"/>
    </w:p>
    <w:p>
      <w:pPr>
        <w:pStyle w:val="BookText"/>
        <w:rPr/>
      </w:pPr>
      <w:r>
        <w:rPr>
          <w:rFonts w:ascii="Amiri" w:hAnsi="Amiri" w:eastAsia="Amiri" w:cs="Amiri"/>
          <w:color w:val="111111"/>
          <w:sz w:val="28"/>
          <w:sz w:val="28"/>
          <w:szCs w:val="28"/>
          <w:rtl w:val="true"/>
          <w:lang w:bidi="ar-SA"/>
        </w:rPr>
        <w:t>تعادل الأمارتين يقتضي التخيير في العمل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يحصل التعادل مع اليأس من الترجيح بكلّ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تعارض الأدلّة الظنّية عندنا منحصرا في الأخبار لا جرم كانت وجوه الترجيح كلّها راجعة إليها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الترجيح بالسند ويحصل بامور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راوي أحدهما في وصف يغلب معه ظنّ الصدق ، كالوثاقة والفطنة ، والورع والعلم والضبط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الترجيح باعتبار الرواية ، فيرجح المروي بلفظ المعصوم على المروي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الترجيح بالنظر إلى المتن وهو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لفظ أحد الخبرين فصيحا والآخر ركيكا بعيدا عن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تتأكّد الدلالة في أحدهما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مدلول اللفظ في أحدهما حقيقيا وفي الآخر مجازيا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دلالة أحدهما على المراد منه غير محتاجة إلى توسيط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الترجيح بالامور الخارجية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اعتضاد أحدهما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أكثر السلف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أحدهما للأصل وموافقة الآخر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مخالفا لأهل الخلاف والآخر موافقا</w:t>
      </w:r>
      <w:r>
        <w:rPr>
          <w:rFonts w:eastAsia="Amiri" w:cs="Amiri" w:ascii="Amiri" w:hAnsi="Amiri"/>
          <w:color w:val="111111"/>
          <w:sz w:val="28"/>
          <w:szCs w:val="28"/>
          <w:rtl w:val="true"/>
          <w:lang w:bidi="ar-SA"/>
        </w:rPr>
        <w:t xml:space="preserve">. </w:t>
      </w:r>
      <w:bookmarkStart w:id="156" w:name="pg8731_77044"/>
    </w:p>
    <w:p>
      <w:pPr>
        <w:pStyle w:val="Heading3"/>
        <w:numPr>
          <w:ilvl w:val="2"/>
          <w:numId w:val="1"/>
        </w:numPr>
        <w:rPr/>
      </w:pPr>
      <w:bookmarkStart w:id="157" w:name="__RefHeading___Toc3139959_653776707"/>
      <w:bookmarkStart w:id="158" w:name="_Toc54"/>
      <w:bookmarkEnd w:id="156"/>
      <w:bookmarkEnd w:id="157"/>
      <w:r>
        <w:rPr>
          <w:rtl w:val="true"/>
        </w:rPr>
        <w:t>بداية قسم الفقه من معالم الدين وملاذ المجتهدين</w:t>
      </w:r>
      <w:bookmarkEnd w:id="158"/>
    </w:p>
    <w:p>
      <w:pPr>
        <w:pStyle w:val="Heading4"/>
        <w:numPr>
          <w:ilvl w:val="3"/>
          <w:numId w:val="1"/>
        </w:numPr>
        <w:rPr/>
      </w:pPr>
      <w:bookmarkStart w:id="159" w:name="__RefHeading___Toc3139961_653776707"/>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الحسن بن زين الدين الجبعي العاملي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الأوّل في العبادات ،</w:t>
      </w:r>
    </w:p>
    <w:p>
      <w:pPr>
        <w:pStyle w:val="BookText"/>
        <w:rPr/>
      </w:pPr>
      <w:r>
        <w:rPr>
          <w:rFonts w:ascii="Amiri" w:hAnsi="Amiri" w:eastAsia="Amiri" w:cs="Amiri"/>
          <w:color w:val="111111"/>
          <w:sz w:val="28"/>
          <w:sz w:val="28"/>
          <w:szCs w:val="28"/>
          <w:rtl w:val="true"/>
          <w:lang w:bidi="ar-SA"/>
        </w:rPr>
        <w:t>وفيه كتب</w:t>
      </w:r>
    </w:p>
    <w:p>
      <w:pPr>
        <w:pStyle w:val="BookText"/>
        <w:rPr/>
      </w:pPr>
      <w:r>
        <w:rPr>
          <w:rFonts w:ascii="Amiri" w:hAnsi="Amiri" w:eastAsia="Amiri" w:cs="Amiri"/>
          <w:color w:val="111111"/>
          <w:sz w:val="28"/>
          <w:sz w:val="28"/>
          <w:szCs w:val="28"/>
          <w:rtl w:val="true"/>
          <w:lang w:bidi="ar-SA"/>
        </w:rPr>
        <w:t>الكتاب الأوّل في الصلاة ،</w:t>
      </w:r>
    </w:p>
    <w:p>
      <w:pPr>
        <w:pStyle w:val="BookText"/>
        <w:rPr/>
      </w:pPr>
      <w:r>
        <w:rPr>
          <w:rFonts w:ascii="Amiri" w:hAnsi="Amiri" w:eastAsia="Amiri" w:cs="Amiri"/>
          <w:color w:val="111111"/>
          <w:sz w:val="28"/>
          <w:sz w:val="28"/>
          <w:szCs w:val="28"/>
          <w:rtl w:val="true"/>
          <w:lang w:bidi="ar-SA"/>
        </w:rPr>
        <w:t>وفيه ابواب</w:t>
      </w:r>
    </w:p>
    <w:p>
      <w:pPr>
        <w:pStyle w:val="BookText"/>
        <w:rPr/>
      </w:pPr>
      <w:r>
        <w:rPr>
          <w:rFonts w:ascii="Amiri" w:hAnsi="Amiri" w:eastAsia="Amiri" w:cs="Amiri"/>
          <w:color w:val="111111"/>
          <w:sz w:val="28"/>
          <w:sz w:val="28"/>
          <w:szCs w:val="28"/>
          <w:rtl w:val="true"/>
          <w:lang w:bidi="ar-SA"/>
        </w:rPr>
        <w:t>الباب الأوّل في مقدّماتها ،</w:t>
      </w:r>
    </w:p>
    <w:p>
      <w:pPr>
        <w:pStyle w:val="BookText"/>
        <w:rPr/>
      </w:pPr>
      <w:r>
        <w:rPr>
          <w:rFonts w:ascii="Amiri" w:hAnsi="Amiri" w:eastAsia="Amiri" w:cs="Amiri"/>
          <w:color w:val="111111"/>
          <w:sz w:val="28"/>
          <w:sz w:val="28"/>
          <w:szCs w:val="28"/>
          <w:rtl w:val="true"/>
          <w:lang w:bidi="ar-SA"/>
        </w:rPr>
        <w:t>وفيه مقاصد</w:t>
      </w:r>
    </w:p>
    <w:p>
      <w:pPr>
        <w:pStyle w:val="BookText"/>
        <w:rPr/>
      </w:pPr>
      <w:r>
        <w:rPr>
          <w:rFonts w:ascii="Amiri" w:hAnsi="Amiri" w:eastAsia="Amiri" w:cs="Amiri"/>
          <w:color w:val="111111"/>
          <w:sz w:val="28"/>
          <w:sz w:val="28"/>
          <w:szCs w:val="28"/>
          <w:rtl w:val="true"/>
          <w:lang w:bidi="ar-SA"/>
        </w:rPr>
        <w:t>المقصد الأوّل في الطهارة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ثلاثة مطالب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8731_77048"/>
      <w:bookmarkStart w:id="162" w:name="pg8731_77048"/>
      <w:bookmarkEnd w:id="162"/>
    </w:p>
    <w:p>
      <w:pPr>
        <w:pStyle w:val="Heading4"/>
        <w:numPr>
          <w:ilvl w:val="3"/>
          <w:numId w:val="1"/>
        </w:numPr>
        <w:rPr/>
      </w:pPr>
      <w:bookmarkStart w:id="163" w:name="pg8731_77048"/>
      <w:bookmarkStart w:id="164" w:name="__RefHeading___Toc3139963_653776707"/>
      <w:bookmarkStart w:id="165" w:name="_Toc56"/>
      <w:bookmarkEnd w:id="163"/>
      <w:bookmarkEnd w:id="164"/>
      <w:r>
        <w:rPr>
          <w:rtl w:val="true"/>
        </w:rPr>
        <w:t xml:space="preserve">المطلب الأوّل </w:t>
      </w:r>
      <w:r>
        <w:rPr>
          <w:rtl w:val="true"/>
        </w:rPr>
        <w:t xml:space="preserve">: </w:t>
      </w:r>
      <w:r>
        <w:rPr>
          <w:rtl w:val="true"/>
        </w:rPr>
        <w:t>في المياه</w:t>
      </w:r>
      <w:bookmarkEnd w:id="165"/>
    </w:p>
    <w:p>
      <w:pPr>
        <w:pStyle w:val="Heading5"/>
        <w:numPr>
          <w:ilvl w:val="4"/>
          <w:numId w:val="1"/>
        </w:numPr>
        <w:rPr/>
      </w:pPr>
      <w:bookmarkStart w:id="166" w:name="__RefHeading___Toc3139965_653776707"/>
      <w:bookmarkStart w:id="167" w:name="_Toc5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ومضاف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مقامان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8731_77050"/>
      <w:bookmarkStart w:id="169" w:name="pg8731_77050"/>
      <w:bookmarkEnd w:id="169"/>
    </w:p>
    <w:p>
      <w:pPr>
        <w:pStyle w:val="Heading5"/>
        <w:numPr>
          <w:ilvl w:val="4"/>
          <w:numId w:val="1"/>
        </w:numPr>
        <w:rPr/>
      </w:pPr>
      <w:bookmarkStart w:id="170" w:name="pg8731_77050"/>
      <w:bookmarkStart w:id="171" w:name="__RefHeading___Toc3139967_653776707"/>
      <w:bookmarkStart w:id="172" w:name="_Toc58"/>
      <w:bookmarkEnd w:id="170"/>
      <w:bookmarkEnd w:id="171"/>
      <w:r>
        <w:rPr>
          <w:rtl w:val="true"/>
        </w:rPr>
        <w:t xml:space="preserve">[ </w:t>
      </w:r>
      <w:r>
        <w:rPr>
          <w:rtl w:val="true"/>
        </w:rPr>
        <w:t xml:space="preserve">المقام </w:t>
      </w:r>
      <w:r>
        <w:rPr>
          <w:rtl w:val="true"/>
        </w:rPr>
        <w:t xml:space="preserve">] </w:t>
      </w:r>
      <w:r>
        <w:rPr>
          <w:rtl w:val="true"/>
        </w:rPr>
        <w:t xml:space="preserve">الأوّل </w:t>
      </w:r>
      <w:r>
        <w:rPr>
          <w:rtl w:val="true"/>
        </w:rPr>
        <w:t xml:space="preserve">: </w:t>
      </w:r>
      <w:r>
        <w:rPr>
          <w:rtl w:val="true"/>
        </w:rPr>
        <w:t>في المطلق</w:t>
      </w:r>
      <w:bookmarkEnd w:id="1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 w:name="__RefHeading___Toc3139969_653776707"/>
      <w:bookmarkStart w:id="174" w:name="_Toc59"/>
      <w:bookmarkEnd w:id="173"/>
      <w:r>
        <w:rPr>
          <w:rtl w:val="true"/>
        </w:rPr>
        <w:t>اشارة</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يتبادر إلى الفهم عند إطلاق لفظ الماء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فَسَلَكَهُ يَنابِيعَ فِي الْأَرْضِ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الماء النابع أيضا من السماء على ما دلّ عليه ظاهر الآيتين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التسوية بين الكلّ في هذا الحكم المبحوث عنه ثابتة بالإجماع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الآية الاولى على طهارة الماء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دلالتها على أنّه مطهّر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الاختلاف في معنى الطهور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فكثير من العلماء فسّروه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الطاهر في نفسه المطهّر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الشيخ في التهذيب أسنده إلى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له بأنّه لا خلاف بين أهل النحو أنّ اسم فعول موضوع للمبالغة وتكرار </w:t>
      </w:r>
      <w:r>
        <w:rPr>
          <w:rStyle w:val="FootnoteAnchor"/>
          <w:rtl w:val="true"/>
        </w:rPr>
        <w:footnoteReference w:id="86"/>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 xml:space="preserve">ضارب ،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إذا تكرّر منه ذلك وكثر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كون الماء طاهرا ليس ممّا يتكرّر ويتزايد فينبغي أن يعتبر في إطلاق الطهور عليه غير ذلك ، وليس بعد ذلك إلّا أنّه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حملناه على ما حملنا عليه لفظة الفاعل لم يكن فيه زيادة فائدة وهذا فاسد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الحجّة نظر ؛ لتوقّفها على ثبوت الحقيقة الشرعيّة لطهارة الماء ونحوه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يقابل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إطلاق الطهارة في الآية محمولا عليها ، ويتمّ ما ذكره من عدم التكرّر والتزايد فيها ؛ لأنّ المعنى الشرعي هو الذي لا تزايد فيه ، وقد قدّمنا بيان ضعف القول بثبوت الحقائق الشرعية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اللغوي للطهارة قابل للزيادة فيجوز أن يكون استعمال فعول في الآية باعتبار زيادة نظافة الماء ونزاهته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الاحتجاج بها على الحكم بالطهارة شرعا ؛ لدخولها في المعنى اللغوي ولو بالقرينة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الحقائق الشرعيّة ثابتة وأنّ للطهارة حقيقة ، لكنّ امتناع إجراء </w:t>
      </w:r>
    </w:p>
    <w:p>
      <w:pPr>
        <w:pStyle w:val="BookText"/>
        <w:rPr/>
      </w:pPr>
      <w:r>
        <w:rPr>
          <w:rFonts w:ascii="Amiri" w:hAnsi="Amiri" w:eastAsia="Amiri" w:cs="Amiri"/>
          <w:color w:val="111111"/>
          <w:sz w:val="28"/>
          <w:sz w:val="28"/>
          <w:szCs w:val="28"/>
          <w:rtl w:val="true"/>
          <w:lang w:bidi="ar-SA"/>
        </w:rPr>
        <w:t xml:space="preserve">فعول على حقيقته في الطهارة الشرعيّة يوجب المصير إلى المجاز ، ومن المعلوم أنّ الحقيقة اللّغويّة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الشرعيّة فلم رجّحتم التجوّز بإرادة كونه مطهّرا على التجوّز بإرادة المعنى اللّغوي؟</w:t>
      </w:r>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المدّعى كون ذلك المعنى مدلول لفظ الطهور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دلالته على غير الطهارة ؛ محتجّا بأنّ فعولا يفيد المبالغة في فائدة فاعل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ضروب وأكول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الأكل والضرب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شيئا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الماء مطهّرا مغاير لمعنى الطاهر فلا تتناوله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له في الجملة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التحقيق ما ذكره بعض المفسّرين من أنّ الطهور في العربيّة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طهور أي طاهر ، واسم غير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يتطهّر به كالوضوء 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يتوضّأ به وما توقد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لطهور دلالة على معنى مطهّر ؛ لأنّ كون الماء ممّا يتطهّر به يقتضي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لإنكار ورود طهور بهذا المعنى ، فقد نصّ عليه جميع أهل اللغة على ما 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الماء الذي يتطهّر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ما يتطهّر به كالفطور والسحور والوقود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w:t>
      </w:r>
    </w:p>
    <w:p>
      <w:pPr>
        <w:pStyle w:val="BookText"/>
        <w:rPr/>
      </w:pPr>
      <w:r>
        <w:rPr>
          <w:rFonts w:ascii="Amiri" w:hAnsi="Amiri" w:eastAsia="Amiri" w:cs="Amiri"/>
          <w:color w:val="111111"/>
          <w:sz w:val="28"/>
          <w:sz w:val="28"/>
          <w:szCs w:val="28"/>
          <w:rtl w:val="true"/>
          <w:lang w:bidi="ar-SA"/>
        </w:rPr>
        <w:t xml:space="preserve">يتطهّر به كالوضوء والوضوء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واسم ما يتطهّر به </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بإنكار دلالة طهور على غير الطهارة أنّه لا يدلّ عليه بوجه فليس بصحيح ، وإن كان المراد عدم دلالته عليه في حال كونه صفة وباعتبار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اقتضاه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توجيه حمل الطهور في الآية </w:t>
      </w:r>
      <w:r>
        <w:rPr>
          <w:rStyle w:val="FootnoteAnchor"/>
          <w:rtl w:val="true"/>
        </w:rPr>
        <w:footnoteReference w:id="94"/>
      </w:r>
      <w:r>
        <w:rPr>
          <w:rFonts w:ascii="Amiri" w:hAnsi="Amiri" w:eastAsia="Amiri" w:cs="Amiri"/>
          <w:color w:val="111111"/>
          <w:sz w:val="28"/>
          <w:sz w:val="28"/>
          <w:szCs w:val="28"/>
          <w:rtl w:val="true"/>
          <w:lang w:bidi="ar-SA"/>
        </w:rPr>
        <w:t>على المعنى الثاني ليدلّ على المطهريّة ؛ فإنّ المعنى الأوّل أقرب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استوائهما في القرب والبعد لا بدّ في ترجيح أحدهما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وجّهه بعضهم بأنّه تعالى ذكره في معرض الإنعام فالواجب حمله على الوصف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المطهّر أكمل من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الآية الثانية </w:t>
      </w:r>
      <w:r>
        <w:rPr>
          <w:rStyle w:val="FootnoteAnchor"/>
          <w:rtl w:val="true"/>
        </w:rPr>
        <w:footnoteReference w:id="95"/>
      </w:r>
      <w:r>
        <w:rPr>
          <w:rFonts w:ascii="Amiri" w:hAnsi="Amiri" w:eastAsia="Amiri" w:cs="Amiri"/>
          <w:color w:val="111111"/>
          <w:sz w:val="28"/>
          <w:sz w:val="28"/>
          <w:szCs w:val="28"/>
          <w:rtl w:val="true"/>
          <w:lang w:bidi="ar-SA"/>
        </w:rPr>
        <w:t>واضحة الدلالة على هذا الحكم مع 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المطلق في الأصل على الطهارة والصلاحيّة للتطهير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بعد عروض العارض كملاقاة النجاسة أو المباشرة بالاستعمال أو غيره فمختلف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بهذا الاعتبار أقسام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هنا أبحاث </w:t>
      </w:r>
      <w:r>
        <w:rPr>
          <w:rFonts w:eastAsia="IRNazanin" w:cs="IRNazanin"/>
          <w:color w:val="111111"/>
          <w:sz w:val="28"/>
          <w:szCs w:val="28"/>
          <w:rtl w:val="true"/>
          <w:lang w:bidi="fa-IR"/>
        </w:rPr>
        <w:t xml:space="preserve">: </w:t>
      </w:r>
      <w:bookmarkStart w:id="175" w:name="pg8731_77056"/>
    </w:p>
    <w:p>
      <w:pPr>
        <w:pStyle w:val="Heading6"/>
        <w:numPr>
          <w:ilvl w:val="5"/>
          <w:numId w:val="1"/>
        </w:numPr>
        <w:rPr/>
      </w:pPr>
      <w:bookmarkStart w:id="176" w:name="__RefHeading___Toc3139971_653776707"/>
      <w:bookmarkStart w:id="177" w:name="_Toc60"/>
      <w:bookmarkEnd w:id="175"/>
      <w:bookmarkEnd w:id="176"/>
      <w:r>
        <w:rPr>
          <w:rtl w:val="true"/>
        </w:rPr>
        <w:t xml:space="preserve">البحث الأوّل </w:t>
      </w:r>
      <w:r>
        <w:rPr>
          <w:rtl w:val="true"/>
        </w:rPr>
        <w:t xml:space="preserve">: </w:t>
      </w:r>
      <w:r>
        <w:rPr>
          <w:rtl w:val="true"/>
        </w:rPr>
        <w:t>في الواقف</w:t>
      </w:r>
      <w:bookmarkEnd w:id="177"/>
    </w:p>
    <w:p>
      <w:pPr>
        <w:pStyle w:val="Heading6"/>
        <w:numPr>
          <w:ilvl w:val="5"/>
          <w:numId w:val="1"/>
        </w:numPr>
        <w:rPr/>
      </w:pPr>
      <w:bookmarkStart w:id="178" w:name="__RefHeading___Toc3139973_653776707"/>
      <w:bookmarkStart w:id="179" w:name="_Toc61"/>
      <w:bookmarkEnd w:id="178"/>
      <w:r>
        <w:rPr>
          <w:rtl w:val="true"/>
        </w:rPr>
        <w:t xml:space="preserve">مسألة </w:t>
      </w:r>
      <w:r>
        <w:rPr>
          <w:rtl w:val="true"/>
        </w:rPr>
        <w:t>[</w:t>
      </w:r>
      <w:r>
        <w:rPr/>
        <w:t>1</w:t>
      </w:r>
      <w:r>
        <w:rPr>
          <w:rtl w:val="true"/>
        </w:rPr>
        <w:t>] :</w:t>
      </w:r>
      <w:bookmarkEnd w:id="179"/>
    </w:p>
    <w:p>
      <w:pPr>
        <w:pStyle w:val="BookText"/>
        <w:rPr/>
      </w:pPr>
      <w:r>
        <w:rPr>
          <w:rFonts w:ascii="Amiri" w:hAnsi="Amiri" w:eastAsia="Amiri" w:cs="Amiri"/>
          <w:color w:val="111111"/>
          <w:sz w:val="28"/>
          <w:sz w:val="28"/>
          <w:szCs w:val="28"/>
          <w:rtl w:val="true"/>
          <w:lang w:bidi="ar-SA"/>
        </w:rPr>
        <w:t xml:space="preserve">أكثر علمائنا على أنّ الماء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ليس بنابع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مقدار الكرّ لم ينجس إلّا بتغيّر أحد أوصافه الثلاثة بالنجاسة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والريح والطعم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يبلغه نجس بمجرّد الملاقاة عدا 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الحسن بن أبي عقيل فأوقف النجاسة في الكلّ على التغيّر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الماء تبول فيه الدوابّ وتلغ فيه الكلاب ويغتسل فيه الجنب؟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بمفهوم الشرط على أنّ دون الكرّ يثبت له التنجيس في الجملة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عليّ بن جعفر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الدجاجة والحمامة وأشباههما تطأ العذرة ثمّ تدخل في الماء ، 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الماء كثيرا قدر كرّ من ماء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في هذا الخبر وإن تعلّق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أخصّ من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استناد النهي إلى انتفاء الطهارة ؛ للاتّفاق بيننا وبين الخصم على عدم سلب الطهوريّة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النهي عن استعمال الماء لا يكون إلّا لإحدى هاتين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يدخل يده في الإناء وهي قذرة؟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الإناء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هذه الأخبار روايات اخر كادت في الكثرة أن تبلغ حدّ التواتر المعنويّ وإن كان الغالب عليها ضعف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صحّة التمسّك </w:t>
      </w:r>
      <w:r>
        <w:rPr>
          <w:rStyle w:val="FootnoteAnchor"/>
          <w:rtl w:val="true"/>
        </w:rPr>
        <w:footnoteReference w:id="100"/>
      </w:r>
      <w:r>
        <w:rPr>
          <w:rFonts w:ascii="Amiri" w:hAnsi="Amiri" w:eastAsia="Amiri" w:cs="Amiri"/>
          <w:color w:val="111111"/>
          <w:sz w:val="28"/>
          <w:sz w:val="28"/>
          <w:szCs w:val="28"/>
          <w:rtl w:val="true"/>
          <w:lang w:bidi="ar-SA"/>
        </w:rPr>
        <w:t>بها عدم دلالة شي‌ء منها على عموم التنجيس وحصوله بكل نجاسة وعلى أيّ حال وقعت الملاقاة ؛ لأنّ الغرض منها إثبات أصل الانفعال ، على خلاف ما ذهب إليه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أضفنا إليه الإجماع على عدم الفصل بين أنواع النجاسات في غير المسائل التي ظهر فيها الخلاف ، على ما سنوضحه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واحتجاج ابن أبي عقيل بالعمومات الدالّة على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w:t>
      </w:r>
      <w:bookmarkStart w:id="180" w:name="pg8731_77058"/>
    </w:p>
    <w:p>
      <w:pPr>
        <w:pStyle w:val="BookText"/>
        <w:rPr/>
      </w:pPr>
      <w:bookmarkEnd w:id="180"/>
      <w:r>
        <w:rPr>
          <w:rFonts w:ascii="IRNazanin" w:hAnsi="IRNazanin" w:eastAsia="IRNazanin"/>
          <w:color w:val="111111"/>
          <w:sz w:val="28"/>
          <w:sz w:val="28"/>
          <w:szCs w:val="28"/>
          <w:rtl w:val="true"/>
          <w:lang w:bidi="fa-IR"/>
        </w:rPr>
        <w:t xml:space="preserve">عنه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وببعض </w:t>
      </w:r>
      <w:r>
        <w:rPr>
          <w:rStyle w:val="FootnoteAnchor"/>
          <w:rtl w:val="true"/>
        </w:rPr>
        <w:footnoteReference w:id="101"/>
      </w:r>
      <w:r>
        <w:rPr>
          <w:rFonts w:ascii="Amiri" w:hAnsi="Amiri" w:eastAsia="Amiri" w:cs="Amiri"/>
          <w:color w:val="111111"/>
          <w:sz w:val="28"/>
          <w:sz w:val="28"/>
          <w:szCs w:val="28"/>
          <w:rtl w:val="true"/>
          <w:lang w:bidi="ar-SA"/>
        </w:rPr>
        <w:t>الأخبار الضعيفة مردود بأنّ المخصّص موجود ، والضعيف لا يصلح للمعارضة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139975_653776707"/>
      <w:bookmarkStart w:id="182" w:name="_Toc62"/>
      <w:bookmarkEnd w:id="181"/>
      <w:r>
        <w:rPr>
          <w:rtl w:val="true"/>
        </w:rPr>
        <w:t xml:space="preserve">مسألة </w:t>
      </w:r>
      <w:r>
        <w:rPr>
          <w:rtl w:val="true"/>
        </w:rPr>
        <w:t>[</w:t>
      </w:r>
      <w:r>
        <w:rPr/>
        <w:t>2</w:t>
      </w:r>
      <w:r>
        <w:rPr>
          <w:rtl w:val="true"/>
        </w:rPr>
        <w:t>] :</w:t>
      </w:r>
      <w:bookmarkEnd w:id="182"/>
    </w:p>
    <w:p>
      <w:pPr>
        <w:pStyle w:val="BookText"/>
        <w:rPr/>
      </w:pPr>
      <w:r>
        <w:rPr>
          <w:rFonts w:ascii="Amiri" w:hAnsi="Amiri" w:eastAsia="Amiri" w:cs="Amiri"/>
          <w:color w:val="111111"/>
          <w:sz w:val="28"/>
          <w:sz w:val="28"/>
          <w:szCs w:val="28"/>
          <w:rtl w:val="true"/>
          <w:lang w:bidi="ar-SA"/>
        </w:rPr>
        <w:t>جمهور الذاهبين إلى انفعال القليل بملاقاة النجاسة له لم يفرّقوا بين قليلها 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رحمه‌اللّه فذهب في الاستبصار إلى أنّ الدم القليل الذي لا يدركه الطرف كرءوس الإبر إذا أصاب الماء يعفى عنه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له بما رواه </w:t>
      </w:r>
      <w:r>
        <w:rPr>
          <w:rStyle w:val="FootnoteAnchor"/>
          <w:rtl w:val="true"/>
        </w:rPr>
        <w:footnoteReference w:id="103"/>
      </w:r>
      <w:r>
        <w:rPr>
          <w:rFonts w:ascii="Amiri" w:hAnsi="Amiri" w:eastAsia="Amiri" w:cs="Amiri"/>
          <w:color w:val="111111"/>
          <w:sz w:val="28"/>
          <w:sz w:val="28"/>
          <w:szCs w:val="28"/>
          <w:rtl w:val="true"/>
          <w:lang w:bidi="ar-SA"/>
        </w:rPr>
        <w:t xml:space="preserve">عليّ بن جعفر في الصحيح عن أخيه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رعف فامتخط فصار بعض ذلك الدم قطعا صغارا فأصاب إناء ، هل يصلح له الوضوء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شيئا يستبين في الماء فلا بأس ، وإن كان شيئا بيّنا فلا يتوضّأ منه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بأنّه ليس بصريح في إصابة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معناه إذا أصاب الإناء وشكّ في وصوله إلى الماء اعتبر بالإدراك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الجملة وجه إلّا أنّ العدول في مثله عن الظاهر إنّما يحسن مع وجود </w:t>
      </w:r>
      <w:bookmarkStart w:id="183" w:name="pg8731_77059"/>
    </w:p>
    <w:p>
      <w:pPr>
        <w:pStyle w:val="BookText"/>
        <w:rPr/>
      </w:pPr>
      <w:bookmarkEnd w:id="183"/>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هنا ؛ لما عرفت من عدم العموم في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معارضة بعض الأصحاب له بما رواه علي </w:t>
      </w:r>
      <w:r>
        <w:rPr>
          <w:rStyle w:val="FootnoteAnchor"/>
          <w:rtl w:val="true"/>
        </w:rPr>
        <w:footnoteReference w:id="106"/>
      </w:r>
      <w:r>
        <w:rPr>
          <w:rFonts w:ascii="Amiri" w:hAnsi="Amiri" w:eastAsia="Amiri" w:cs="Amiri"/>
          <w:color w:val="111111"/>
          <w:sz w:val="28"/>
          <w:sz w:val="28"/>
          <w:szCs w:val="28"/>
          <w:rtl w:val="true"/>
          <w:lang w:bidi="ar-SA"/>
        </w:rPr>
        <w:t xml:space="preserve">بن جعفر في الصحيح أيضا عن أخيه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رعف وهو يتوضّأ فتقطر قطرة في إنائه هل يصلح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يصلح للمعارضة مع كون مورد السؤال فيه وقوع القطرة بنفسها ، ومورد السؤال في الخبر الآخر القطع الصغار الخارجة عن الامتخاط المشتبهة برؤوس الإبر في كلام من عمل به؟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139977_653776707"/>
      <w:bookmarkStart w:id="185" w:name="_Toc63"/>
      <w:bookmarkEnd w:id="184"/>
      <w:r>
        <w:rPr>
          <w:rtl w:val="true"/>
        </w:rPr>
        <w:t xml:space="preserve">مسألة </w:t>
      </w:r>
      <w:r>
        <w:rPr>
          <w:rtl w:val="true"/>
        </w:rPr>
        <w:t>[</w:t>
      </w:r>
      <w:r>
        <w:rPr/>
        <w:t>3</w:t>
      </w:r>
      <w:r>
        <w:rPr>
          <w:rtl w:val="true"/>
        </w:rPr>
        <w:t>] :</w:t>
      </w:r>
      <w:bookmarkEnd w:id="1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نعرف من الأصحاب مخالفا في اختصاص الانفعال بالملاقاة في الماء الواقف بما دون الكرّ ، وإنّ ما بلغه لا ينجس إلّا بالتغيّر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غدير أو قليب </w:t>
      </w:r>
      <w:r>
        <w:rPr>
          <w:rStyle w:val="FootnoteAnchor"/>
          <w:rtl w:val="true"/>
        </w:rPr>
        <w:footnoteReference w:id="108"/>
      </w:r>
      <w:r>
        <w:rPr>
          <w:rFonts w:ascii="Amiri" w:hAnsi="Amiri" w:eastAsia="Amiri" w:cs="Amiri"/>
          <w:color w:val="111111"/>
          <w:sz w:val="28"/>
          <w:sz w:val="28"/>
          <w:szCs w:val="28"/>
          <w:rtl w:val="true"/>
          <w:lang w:bidi="ar-SA"/>
        </w:rPr>
        <w:t xml:space="preserve">أو حوض أو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الشيخ المفيد رحمه‌اللّه </w:t>
      </w:r>
      <w:r>
        <w:rPr>
          <w:rStyle w:val="FootnoteAnchor"/>
          <w:rtl w:val="true"/>
        </w:rPr>
        <w:footnoteReference w:id="109"/>
      </w:r>
      <w:r>
        <w:rPr>
          <w:rFonts w:ascii="Amiri" w:hAnsi="Amiri" w:eastAsia="Amiri" w:cs="Amiri"/>
          <w:color w:val="111111"/>
          <w:sz w:val="28"/>
          <w:sz w:val="28"/>
          <w:szCs w:val="28"/>
          <w:rtl w:val="true"/>
          <w:lang w:bidi="ar-SA"/>
        </w:rPr>
        <w:t xml:space="preserve">وسلّار </w:t>
      </w:r>
      <w:r>
        <w:rPr>
          <w:rStyle w:val="FootnoteAnchor"/>
          <w:rtl w:val="true"/>
        </w:rPr>
        <w:footnoteReference w:id="110"/>
      </w:r>
      <w:r>
        <w:rPr>
          <w:rFonts w:ascii="Amiri" w:hAnsi="Amiri" w:eastAsia="Amiri" w:cs="Amiri"/>
          <w:color w:val="111111"/>
          <w:sz w:val="28"/>
          <w:sz w:val="28"/>
          <w:szCs w:val="28"/>
          <w:rtl w:val="true"/>
          <w:lang w:bidi="ar-SA"/>
        </w:rPr>
        <w:t xml:space="preserve">، فذهبا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ماء الحياض والأواني بملاقاة النجاسة وإن بلغت مقدار الكرّ أو زادت عليه</w:t>
      </w:r>
      <w:r>
        <w:rPr>
          <w:rFonts w:eastAsia="Amiri" w:cs="Amiri" w:ascii="Amiri" w:hAnsi="Amiri"/>
          <w:color w:val="111111"/>
          <w:sz w:val="28"/>
          <w:szCs w:val="28"/>
          <w:rtl w:val="true"/>
          <w:lang w:bidi="ar-SA"/>
        </w:rPr>
        <w:t xml:space="preserve">. </w:t>
      </w:r>
      <w:bookmarkStart w:id="186" w:name="pg8731_77060"/>
    </w:p>
    <w:p>
      <w:pPr>
        <w:pStyle w:val="BookText"/>
        <w:rPr/>
      </w:pPr>
      <w:bookmarkEnd w:id="186"/>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نفي النجاسة عمّا بلغ مقدار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فالتخصيص يحتاج إلى الدليل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والحجّة المحكيّة عنهما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التمسّك بعموم النهي عن استعمال ماء الأواني مع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الضعف ؛ لأنّ دليل اعتبار الكرّيّة يخصّص عموم النهي حيث يثبت </w:t>
      </w:r>
      <w:r>
        <w:rPr>
          <w:rStyle w:val="FootnoteAnchor"/>
          <w:rtl w:val="true"/>
        </w:rPr>
        <w:footnoteReference w:id="112"/>
      </w:r>
      <w:r>
        <w:rPr>
          <w:rFonts w:ascii="Amiri" w:hAnsi="Amiri" w:eastAsia="Amiri" w:cs="Amiri"/>
          <w:color w:val="111111"/>
          <w:sz w:val="28"/>
          <w:sz w:val="28"/>
          <w:szCs w:val="28"/>
          <w:rtl w:val="true"/>
          <w:lang w:bidi="ar-SA"/>
        </w:rPr>
        <w:t>؛ لاحتمال البناء فيه على ما هو الغالب من عدم بلوغ الإناء مقدار الكرّ فيكون تخصيصه أقرب وإن كان كلّ منهما صالحا لتخصيص الآخر إذا نظر إلى مجرّد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الحياض ؛ إذ لم يتعرّض لها في الحجة ، فلا يعلم وجه التسوية بينها </w:t>
      </w:r>
      <w:r>
        <w:rPr>
          <w:rStyle w:val="FootnoteAnchor"/>
          <w:rtl w:val="true"/>
        </w:rPr>
        <w:footnoteReference w:id="113"/>
      </w:r>
      <w:r>
        <w:rPr>
          <w:rFonts w:ascii="Amiri" w:hAnsi="Amiri" w:eastAsia="Amiri" w:cs="Amiri"/>
          <w:color w:val="111111"/>
          <w:sz w:val="28"/>
          <w:sz w:val="28"/>
          <w:szCs w:val="28"/>
          <w:rtl w:val="true"/>
          <w:lang w:bidi="ar-SA"/>
        </w:rPr>
        <w:t>وبين الأواني</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139979_653776707"/>
      <w:bookmarkStart w:id="188" w:name="_Toc64"/>
      <w:bookmarkEnd w:id="187"/>
      <w:r>
        <w:rPr>
          <w:rtl w:val="true"/>
        </w:rPr>
        <w:t xml:space="preserve">مسألة </w:t>
      </w:r>
      <w:r>
        <w:rPr>
          <w:rtl w:val="true"/>
        </w:rPr>
        <w:t>[</w:t>
      </w:r>
      <w:r>
        <w:rPr/>
        <w:t>4</w:t>
      </w:r>
      <w:r>
        <w:rPr>
          <w:rtl w:val="true"/>
        </w:rPr>
        <w:t>] :</w:t>
      </w:r>
      <w:bookmarkEnd w:id="188"/>
    </w:p>
    <w:p>
      <w:pPr>
        <w:pStyle w:val="BookText"/>
        <w:rPr/>
      </w:pPr>
      <w:r>
        <w:rPr>
          <w:rFonts w:ascii="Amiri" w:hAnsi="Amiri" w:eastAsia="Amiri" w:cs="Amiri"/>
          <w:color w:val="111111"/>
          <w:sz w:val="28"/>
          <w:sz w:val="28"/>
          <w:szCs w:val="28"/>
          <w:rtl w:val="true"/>
          <w:lang w:bidi="ar-SA"/>
        </w:rPr>
        <w:t xml:space="preserve">للأصحاب في كميّة الكرّ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الوزن فظاهرهم الاتفاق على أنّه ألف ومأتا رطل ، لكنّهم اختلفوا في المراد من الرطل أهو العراقيّ أو المدنيّ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الحكم ما رواه الشيخ رحمه‌اللّه في الصحيح عن محمّد بن أبي عمير عن بعض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من الماء الذي لا ينجّسه </w:t>
      </w:r>
    </w:p>
    <w:p>
      <w:pPr>
        <w:pStyle w:val="BookText"/>
        <w:rPr/>
      </w:pPr>
      <w:r>
        <w:rPr>
          <w:rFonts w:ascii="Amiri" w:hAnsi="Amiri" w:eastAsia="Amiri" w:cs="Amiri"/>
          <w:color w:val="111111"/>
          <w:sz w:val="28"/>
          <w:sz w:val="28"/>
          <w:szCs w:val="28"/>
          <w:rtl w:val="true"/>
          <w:lang w:bidi="ar-SA"/>
        </w:rPr>
        <w:t xml:space="preserve">شي‌ء ألف ومأتا رطل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الأصحاب من حمله على العراقيّ ، ومنهم من حمله على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والرطل العراقيّ مأئة وثلاثون درهما ، والمدنيّ مأئة وخمسة وتسعون ، فيكون العراقيّ ثلثي المدنيّ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الأوّلون بأنّ الحمل على العراقيّ </w:t>
      </w:r>
      <w:r>
        <w:rPr>
          <w:rStyle w:val="FootnoteAnchor"/>
          <w:rtl w:val="true"/>
        </w:rPr>
        <w:footnoteReference w:id="116"/>
      </w:r>
      <w:r>
        <w:rPr>
          <w:rFonts w:ascii="Amiri" w:hAnsi="Amiri" w:eastAsia="Amiri" w:cs="Amiri"/>
          <w:color w:val="111111"/>
          <w:sz w:val="28"/>
          <w:sz w:val="28"/>
          <w:szCs w:val="28"/>
          <w:rtl w:val="true"/>
          <w:lang w:bidi="ar-SA"/>
        </w:rPr>
        <w:t>يقتضي مقاربة التقدير بالوزن للتقدير بالمساحة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محمّد بن مسلم روى في الصحيح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الكرّ ستمائة رطل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رطل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يراد به رطل العراق ولا رطل المدينة ؛ فإنّ ذلك متروك بالإجماع ، فتعيّن الرطل المكّي ، وهو رطلان بالعراقي فيتطابق </w:t>
      </w:r>
      <w:r>
        <w:rPr>
          <w:rStyle w:val="FootnoteAnchor"/>
          <w:rtl w:val="true"/>
        </w:rPr>
        <w:footnoteReference w:id="118"/>
      </w:r>
      <w:r>
        <w:rPr>
          <w:rFonts w:ascii="Amiri" w:hAnsi="Amiri" w:eastAsia="Amiri" w:cs="Amiri"/>
          <w:color w:val="111111"/>
          <w:sz w:val="28"/>
          <w:sz w:val="28"/>
          <w:szCs w:val="28"/>
          <w:rtl w:val="true"/>
          <w:lang w:bidi="ar-SA"/>
        </w:rPr>
        <w:t>مضمون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الأصل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نقص عن الأرطال العراقيّة بالإجماع ، فيبقى ما عداه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الآخرون بأنّ الحمل على المدنيّة مقتضى الاحتياط ؛ لأنّا إذا حملناه على الأكثر دخل الأقلّ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وبأنّه عليه‌السلام كان من أهل المدينة فالظاهر أنّه يجيب بما هو المعهود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الأوّلون عن الوجه الأوّل بالمعارضة بمثله ؛ فإنّ المكلّف مع تمكّنه من الطهارة المائيّة لا يشرع له العدول إلى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بنجاسة الماء إلّا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يقم على النجاسة فيما نحن فيه دليل كان الاحتياط في استعمال الماء ، لا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المهمّ في نظر الحكيم هو رعاية ما يفهمه السائل ، وذلك إنّما يحصل بمخاطبته بما يعهده من اصطلاح بلده ، ولم يعلم أنّ السائل كان مدنيّا ، فلا ترجيح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في 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جوابهم عن الوجه الأوّل فموضع نظر ؛ لأنّ الأخبار الدالّة على اعتبار الكرّية اقتضت كونها شرطا لعدم انفعال الماء بالملاقاة فما لم يدلّ دليل شرعيّ على حصول الشرط يجب الحكم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ضعف احتجاجهم بالأصل على الوجه الذي قرّروه ؛ لأنّ اعتبار الشرط مخرج عن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متوجّه إلى أصل الحكم أيضا ؛ إذ </w:t>
      </w:r>
      <w:r>
        <w:rPr>
          <w:rStyle w:val="FootnoteAnchor"/>
          <w:rtl w:val="true"/>
        </w:rPr>
        <w:footnoteReference w:id="119"/>
      </w:r>
      <w:r>
        <w:rPr>
          <w:rFonts w:ascii="Amiri" w:hAnsi="Amiri" w:eastAsia="Amiri" w:cs="Amiri"/>
          <w:color w:val="111111"/>
          <w:sz w:val="28"/>
          <w:sz w:val="28"/>
          <w:szCs w:val="28"/>
          <w:rtl w:val="true"/>
          <w:lang w:bidi="ar-SA"/>
        </w:rPr>
        <w:t>لم يتحقّق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الأصحاب له باعتبار كونه من مراسيل ابن أبي عمير قد بيّنا ما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انضمام خبر محمّد بن مسلم </w:t>
      </w:r>
      <w:r>
        <w:rPr>
          <w:rStyle w:val="FootnoteAnchor"/>
          <w:rtl w:val="true"/>
        </w:rPr>
        <w:footnoteReference w:id="120"/>
      </w:r>
      <w:r>
        <w:rPr>
          <w:rFonts w:ascii="Amiri" w:hAnsi="Amiri" w:eastAsia="Amiri" w:cs="Amiri"/>
          <w:color w:val="111111"/>
          <w:sz w:val="28"/>
          <w:sz w:val="28"/>
          <w:szCs w:val="28"/>
          <w:rtl w:val="true"/>
          <w:lang w:bidi="ar-SA"/>
        </w:rPr>
        <w:t>إليه مع ملاحظة التقريب الذي ذكر فيه ، مضافا إلى عمل الأصحاب يدفع هذا الإشكال ، فيقرب القول الأوّل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المساحة فقد اختلفوا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إلى اعتبار بلوغ مكسّره </w:t>
      </w:r>
      <w:r>
        <w:rPr>
          <w:rStyle w:val="FootnoteAnchor"/>
          <w:rtl w:val="true"/>
        </w:rPr>
        <w:footnoteReference w:id="121"/>
      </w:r>
      <w:r>
        <w:rPr>
          <w:rFonts w:ascii="Amiri" w:hAnsi="Amiri" w:eastAsia="Amiri" w:cs="Amiri"/>
          <w:color w:val="111111"/>
          <w:sz w:val="28"/>
          <w:sz w:val="28"/>
          <w:szCs w:val="28"/>
          <w:rtl w:val="true"/>
          <w:lang w:bidi="ar-SA"/>
        </w:rPr>
        <w:t>اثنين وأربعين شبرا وسبعة أثمان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الصدوق وجماعة القميّين فيما </w:t>
      </w:r>
      <w:r>
        <w:rPr>
          <w:rStyle w:val="FootnoteAnchor"/>
          <w:rtl w:val="true"/>
        </w:rPr>
        <w:footnoteReference w:id="122"/>
      </w:r>
      <w:r>
        <w:rPr>
          <w:rFonts w:ascii="Amiri" w:hAnsi="Amiri" w:eastAsia="Amiri" w:cs="Amiri"/>
          <w:color w:val="111111"/>
          <w:sz w:val="28"/>
          <w:sz w:val="28"/>
          <w:szCs w:val="28"/>
          <w:rtl w:val="true"/>
          <w:lang w:bidi="ar-SA"/>
        </w:rPr>
        <w:t xml:space="preserve">حكي عنهم ببلوغه سبعة وعشرين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من المتأخّرين الفاضل </w:t>
      </w:r>
      <w:r>
        <w:rPr>
          <w:rStyle w:val="FootnoteAnchor"/>
          <w:rtl w:val="true"/>
        </w:rPr>
        <w:footnoteReference w:id="124"/>
      </w:r>
      <w:r>
        <w:rPr>
          <w:rFonts w:ascii="Amiri" w:hAnsi="Amiri" w:eastAsia="Amiri" w:cs="Amiri"/>
          <w:color w:val="111111"/>
          <w:sz w:val="28"/>
          <w:sz w:val="28"/>
          <w:szCs w:val="28"/>
          <w:rtl w:val="true"/>
          <w:lang w:bidi="ar-SA"/>
        </w:rPr>
        <w:t xml:space="preserve">الشيخ علي في بعض كتبه ووالدي </w:t>
      </w:r>
      <w:r>
        <w:rPr>
          <w:rStyle w:val="FootnoteAnchor"/>
          <w:rtl w:val="true"/>
        </w:rPr>
        <w:footnoteReference w:id="125"/>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تكسيره بالذراع نحو مأئة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وعزّي إلى </w:t>
      </w:r>
      <w:r>
        <w:rPr>
          <w:rStyle w:val="FootnoteAnchor"/>
          <w:rtl w:val="true"/>
        </w:rPr>
        <w:footnoteReference w:id="127"/>
      </w:r>
      <w:r>
        <w:rPr>
          <w:rFonts w:ascii="Amiri" w:hAnsi="Amiri" w:eastAsia="Amiri" w:cs="Amiri"/>
          <w:color w:val="111111"/>
          <w:sz w:val="28"/>
          <w:sz w:val="28"/>
          <w:szCs w:val="28"/>
          <w:rtl w:val="true"/>
          <w:lang w:bidi="ar-SA"/>
        </w:rPr>
        <w:t>القطب الراونديّ نفي اعتبار التكسير ، وأنّه اكتفى ببلوغ الأبعاد الثلاثة عشرة أشبار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الكرّ من الماء ، كم يكون قدره؟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ثلاثة أشبار ونصفا في مثله ثلاثة أشبار ونصف في عمقه في الأرض فذلك الكرّ من الماء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واستفيد اعتبار التكسير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 تقدير البعد الثالث فيها </w:t>
      </w:r>
    </w:p>
    <w:p>
      <w:pPr>
        <w:pStyle w:val="BookText"/>
        <w:rPr/>
      </w:pPr>
      <w:r>
        <w:rPr>
          <w:rFonts w:ascii="Amiri" w:hAnsi="Amiri" w:eastAsia="Amiri" w:cs="Amiri"/>
          <w:color w:val="111111"/>
          <w:sz w:val="28"/>
          <w:sz w:val="28"/>
          <w:szCs w:val="28"/>
          <w:rtl w:val="true"/>
          <w:lang w:bidi="ar-SA"/>
        </w:rPr>
        <w:t xml:space="preserve">غير ضائر </w:t>
      </w:r>
      <w:r>
        <w:rPr>
          <w:rStyle w:val="FootnoteAnchor"/>
          <w:rtl w:val="true"/>
        </w:rPr>
        <w:footnoteReference w:id="129"/>
      </w:r>
      <w:r>
        <w:rPr>
          <w:rFonts w:ascii="Amiri" w:hAnsi="Amiri" w:eastAsia="Amiri" w:cs="Amiri"/>
          <w:color w:val="111111"/>
          <w:sz w:val="28"/>
          <w:sz w:val="28"/>
          <w:szCs w:val="28"/>
          <w:rtl w:val="true"/>
          <w:lang w:bidi="ar-SA"/>
        </w:rPr>
        <w:t>؛ لأنّ الظاهر الاعتماد فيه على ما علم في البعدين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ضرب هذه المقادير بعضها في بعض هو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هذه الرواية ضعف بعثمان بن عيسى ؛ فإنّه واقفيّ ، وباشتراك أبي بصير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الشيخ وغيره عملوا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عثمان بن عيسى واقفيّ ، فروايته </w:t>
      </w:r>
      <w:r>
        <w:rPr>
          <w:rStyle w:val="FootnoteAnchor"/>
          <w:rtl w:val="true"/>
        </w:rPr>
        <w:footnoteReference w:id="130"/>
      </w:r>
      <w:r>
        <w:rPr>
          <w:rFonts w:ascii="Amiri" w:hAnsi="Amiri" w:eastAsia="Amiri" w:cs="Amiri"/>
          <w:color w:val="111111"/>
          <w:sz w:val="28"/>
          <w:sz w:val="28"/>
          <w:szCs w:val="28"/>
          <w:rtl w:val="true"/>
          <w:lang w:bidi="ar-SA"/>
        </w:rPr>
        <w:t xml:space="preserve">ساقطة ، ولا تصغ إلى من يدّعي الإجماع هنا ؛ فإنّه يدّعي الإجماع في محلّ الخلاف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الماء الذي لا ينجّسه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في ثلاثة أشبار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فحملوا إهمال البعد الثالث فيها على نحو ما ذكر في إهمال تقديره في الرواية السابقة من أنّه إحالة لحكمه على ما ذكر في البعدين الآخرين ، وهو تكلّف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معوّل الصدوق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ناقصة عن اعتباره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وصفها جمع من الأصحاب بالصحة ، وفي طريقها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محمّد بن خالد ، وفيه كلام ، مع أنّ توثيقه لم يعلم إلّا من شهادة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واسماعيل بن جابر لم يوثّقه غير الشيخ أيضا ، وتبعه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الطريق مع ذلك إشكال آخر لا يخفى على الممارس وإن شملت الغفلة عنه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الجنيد فلم يذكر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 القطب ، وما أكثر ما بينهما من 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على كلّ حال ساقطان ؛ لتطابق هذه الأخبار وغيرها على نفي ما تضمّناه كصحيحة اسماعيل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ذراعان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ذراع وشبر سعته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أكثر من رواية لم ينجّسه شي‌ء ، تفسّخ فيه أو لم يتفسّخ فيه إلّا أن يجي‌ء له ريح يغلب على ريح الماء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w:t>
      </w:r>
      <w:r>
        <w:rPr>
          <w:rStyle w:val="FootnoteAnchor"/>
          <w:rtl w:val="true"/>
        </w:rPr>
        <w:footnoteReference w:id="136"/>
      </w:r>
      <w:r>
        <w:rPr>
          <w:rFonts w:ascii="Amiri" w:hAnsi="Amiri" w:eastAsia="Amiri" w:cs="Amiri"/>
          <w:color w:val="111111"/>
          <w:sz w:val="28"/>
          <w:sz w:val="28"/>
          <w:szCs w:val="28"/>
          <w:rtl w:val="true"/>
          <w:lang w:bidi="ar-SA"/>
        </w:rPr>
        <w:t xml:space="preserve">عبد اللّه بن المغيرة عن بعض أصحابنا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نحو حبّي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حبّ من تلك الحباب التي تكون في المدينة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الشيخ الجميع على ما بلغ المقدار المعلوم للكرّ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89" w:name="pg8731_77066"/>
    </w:p>
    <w:p>
      <w:pPr>
        <w:pStyle w:val="BookText"/>
        <w:rPr/>
      </w:pPr>
      <w:bookmarkEnd w:id="189"/>
      <w:r>
        <w:rPr>
          <w:rFonts w:ascii="Amiri" w:hAnsi="Amiri" w:eastAsia="Amiri" w:cs="Amiri"/>
          <w:color w:val="111111"/>
          <w:sz w:val="28"/>
          <w:sz w:val="28"/>
          <w:szCs w:val="28"/>
          <w:rtl w:val="true"/>
          <w:lang w:bidi="ar-SA"/>
        </w:rPr>
        <w:t>وكيف كان فهي عاضدة لما دلّ على نفي مضمون ذينك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ابن الجنيد مصرّح بالموافقة على تقدير الوزن ، لكنّه أطلق الرطل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البيّن أنّ مساحة الألف ومأتي رطل وإن كانت بالمدنيّ لا تبلغ المائة شبرا ، فينحصر الخلاف المعتدّ به في القولين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رجحان الأوّل </w:t>
      </w:r>
      <w:r>
        <w:rPr>
          <w:rStyle w:val="FootnoteAnchor"/>
          <w:rtl w:val="true"/>
        </w:rPr>
        <w:footnoteReference w:id="140"/>
      </w:r>
      <w:r>
        <w:rPr>
          <w:rFonts w:ascii="Amiri" w:hAnsi="Amiri" w:eastAsia="Amiri" w:cs="Amiri"/>
          <w:color w:val="111111"/>
          <w:sz w:val="28"/>
          <w:sz w:val="28"/>
          <w:szCs w:val="28"/>
          <w:rtl w:val="true"/>
          <w:lang w:bidi="ar-SA"/>
        </w:rPr>
        <w:t xml:space="preserve">منهما ؛ لما أشرنا إليه من أنّ عدم انفعال الماء بملاقاة النجاسة مشروط بكونه قدر الكرّ ، ولا بدّ </w:t>
      </w:r>
      <w:r>
        <w:rPr>
          <w:rStyle w:val="FootnoteAnchor"/>
          <w:rtl w:val="true"/>
        </w:rPr>
        <w:footnoteReference w:id="141"/>
      </w:r>
      <w:r>
        <w:rPr>
          <w:rFonts w:ascii="Amiri" w:hAnsi="Amiri" w:eastAsia="Amiri" w:cs="Amiri"/>
          <w:color w:val="111111"/>
          <w:sz w:val="28"/>
          <w:sz w:val="28"/>
          <w:szCs w:val="28"/>
          <w:rtl w:val="true"/>
          <w:lang w:bidi="ar-SA"/>
        </w:rPr>
        <w:t xml:space="preserve">للعلم بحصول الشرط من دليل ، وقد علمت انتفاءه بالنسبة إلى القدر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مضمون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منفيّ بما ذكرناه من توافق الأخبار كلّها وتعاضدها على نفيه ، فيتعيّن </w:t>
      </w:r>
      <w:r>
        <w:rPr>
          <w:rStyle w:val="FootnoteAnchor"/>
          <w:rtl w:val="true"/>
        </w:rPr>
        <w:footnoteReference w:id="142"/>
      </w:r>
      <w:r>
        <w:rPr>
          <w:rFonts w:ascii="Amiri" w:hAnsi="Amiri" w:eastAsia="Amiri" w:cs="Amiri"/>
          <w:color w:val="111111"/>
          <w:sz w:val="28"/>
          <w:sz w:val="28"/>
          <w:szCs w:val="28"/>
          <w:rtl w:val="true"/>
          <w:lang w:bidi="ar-SA"/>
        </w:rPr>
        <w:t>الأوّل ؛ إذ لم يبق ثمّ سواه</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139981_653776707"/>
      <w:bookmarkStart w:id="191" w:name="_Toc65"/>
      <w:bookmarkEnd w:id="190"/>
      <w:r>
        <w:rPr>
          <w:rtl w:val="true"/>
        </w:rPr>
        <w:t xml:space="preserve">مسألة </w:t>
      </w:r>
      <w:r>
        <w:rPr>
          <w:rtl w:val="true"/>
        </w:rPr>
        <w:t>[</w:t>
      </w:r>
      <w:r>
        <w:rPr/>
        <w:t>5</w:t>
      </w:r>
      <w:r>
        <w:rPr>
          <w:rtl w:val="true"/>
        </w:rPr>
        <w:t>] :</w:t>
      </w:r>
      <w:bookmarkEnd w:id="191"/>
    </w:p>
    <w:p>
      <w:pPr>
        <w:pStyle w:val="BookText"/>
        <w:rPr/>
      </w:pPr>
      <w:r>
        <w:rPr>
          <w:rFonts w:ascii="Amiri" w:hAnsi="Amiri" w:eastAsia="Amiri" w:cs="Amiri"/>
          <w:color w:val="111111"/>
          <w:sz w:val="28"/>
          <w:sz w:val="28"/>
          <w:szCs w:val="28"/>
          <w:rtl w:val="true"/>
          <w:lang w:bidi="ar-SA"/>
        </w:rPr>
        <w:t>لا فرق في اشتراط كرّية الواقف لعدم انفعاله بالملاقاة بين أن يكون في مصنع أو غدير أو حمّام أو غيرها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أكثر الأصحاب ؛ لعموم الدليل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حوض الحمّام ، إذا كان له مادّة لا ينجس </w:t>
      </w:r>
      <w:r>
        <w:rPr>
          <w:rStyle w:val="FootnoteAnchor"/>
          <w:rtl w:val="true"/>
        </w:rPr>
        <w:footnoteReference w:id="143"/>
      </w:r>
      <w:r>
        <w:rPr>
          <w:rFonts w:ascii="Amiri" w:hAnsi="Amiri" w:eastAsia="Amiri" w:cs="Amiri"/>
          <w:color w:val="111111"/>
          <w:sz w:val="28"/>
          <w:sz w:val="28"/>
          <w:szCs w:val="28"/>
          <w:rtl w:val="true"/>
          <w:lang w:bidi="ar-SA"/>
        </w:rPr>
        <w:t xml:space="preserve">بملاقاة النجاسة ويكون كالجاري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بكثرة المادّة وقلّتها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تحقّق </w:t>
      </w:r>
    </w:p>
    <w:p>
      <w:pPr>
        <w:pStyle w:val="BookText"/>
        <w:rPr/>
      </w:pPr>
      <w:r>
        <w:rPr>
          <w:rFonts w:ascii="Amiri" w:hAnsi="Amiri" w:eastAsia="Amiri" w:cs="Amiri"/>
          <w:color w:val="111111"/>
          <w:sz w:val="28"/>
          <w:sz w:val="28"/>
          <w:szCs w:val="28"/>
          <w:rtl w:val="true"/>
          <w:lang w:bidi="ar-SA"/>
        </w:rPr>
        <w:t xml:space="preserve">نجاستها لم تطهر بالجريان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لذلك بما رواه داود بن سرحان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ما تقول في ماء الحمّام؟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الماء الجاري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بكر بن حبيب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بأس به إذا كانت له مادّة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الضرورة تمسّ إليه ، والاحتراز عنه </w:t>
      </w:r>
      <w:r>
        <w:rPr>
          <w:rStyle w:val="FootnoteAnchor"/>
          <w:rtl w:val="true"/>
        </w:rPr>
        <w:footnoteReference w:id="147"/>
      </w:r>
      <w:r>
        <w:rPr>
          <w:rFonts w:ascii="Amiri" w:hAnsi="Amiri" w:eastAsia="Amiri" w:cs="Amiri"/>
          <w:color w:val="111111"/>
          <w:sz w:val="28"/>
          <w:sz w:val="28"/>
          <w:szCs w:val="28"/>
          <w:rtl w:val="true"/>
          <w:lang w:bidi="ar-SA"/>
        </w:rPr>
        <w:t>عسير فلزم الترخيص 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منع الدلالة في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فظاهر ؛ لعدم التعرّض فيها للقلّة ، ولا لتأثير المادّة ، فجاز إرادة الكثير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سلّمنا بالعموم في لفظه فلا ريب أنّ عموم اشتراط الكريّة أقوى دلالة منه فيجب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فلأنّها وإن كانت ظاهرة في إرادة القليل والمادّة فيها مطلقة إلّا أنّ احتمال البناء على الغالب من أكثريّة المادّة أو إرادة الكثير من لفظ المادّة نظرا إلى أنّه المتعارف منه يقتضي ضعفه عن مقاومة عموم اعتبار الكريّة ، فيكون تقييده بذاك 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قطع النظر عن حال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فالرواية الاولى غير واضحة الصحّة ؛ </w:t>
      </w:r>
      <w:bookmarkStart w:id="192" w:name="pg8731_77068"/>
    </w:p>
    <w:p>
      <w:pPr>
        <w:pStyle w:val="BookText"/>
        <w:rPr/>
      </w:pPr>
      <w:bookmarkEnd w:id="192"/>
      <w:r>
        <w:rPr>
          <w:rFonts w:ascii="Amiri" w:hAnsi="Amiri" w:eastAsia="Amiri" w:cs="Amiri"/>
          <w:color w:val="111111"/>
          <w:sz w:val="28"/>
          <w:sz w:val="28"/>
          <w:szCs w:val="28"/>
          <w:rtl w:val="true"/>
          <w:lang w:bidi="ar-SA"/>
        </w:rPr>
        <w:t xml:space="preserve">لأنّ داود بن سرحان لم يعلم حاله إلّا من توثيق النجاشي </w:t>
      </w:r>
      <w:r>
        <w:rPr>
          <w:rStyle w:val="FootnoteAnchor"/>
          <w:rtl w:val="true"/>
        </w:rPr>
        <w:footnoteReference w:id="148"/>
      </w:r>
      <w:r>
        <w:rPr>
          <w:rFonts w:ascii="Amiri" w:hAnsi="Amiri" w:eastAsia="Amiri" w:cs="Amiri"/>
          <w:color w:val="111111"/>
          <w:sz w:val="28"/>
          <w:sz w:val="28"/>
          <w:szCs w:val="28"/>
          <w:rtl w:val="true"/>
          <w:lang w:bidi="ar-SA"/>
        </w:rPr>
        <w:t xml:space="preserve">، وقد عرفت عدم الاكتفاء بمثله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ضعيفة ؛ لجهالة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لزوم العسر والحرج فغير مقبول</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139983_653776707"/>
      <w:bookmarkStart w:id="194" w:name="_Toc66"/>
      <w:bookmarkEnd w:id="193"/>
      <w:r>
        <w:rPr>
          <w:rtl w:val="true"/>
        </w:rPr>
        <w:t xml:space="preserve">مسألة </w:t>
      </w:r>
      <w:r>
        <w:rPr>
          <w:rtl w:val="true"/>
        </w:rPr>
        <w:t>[</w:t>
      </w:r>
      <w:r>
        <w:rPr/>
        <w:t>6</w:t>
      </w:r>
      <w:r>
        <w:rPr>
          <w:rtl w:val="true"/>
        </w:rPr>
        <w:t>] :</w:t>
      </w:r>
      <w:bookmarkEnd w:id="194"/>
    </w:p>
    <w:p>
      <w:pPr>
        <w:pStyle w:val="Heading6"/>
        <w:numPr>
          <w:ilvl w:val="5"/>
          <w:numId w:val="1"/>
        </w:numPr>
        <w:rPr/>
      </w:pPr>
      <w:bookmarkStart w:id="195" w:name="__RefHeading___Toc3139985_653776707"/>
      <w:bookmarkStart w:id="196" w:name="_Toc67"/>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ذهب والدي عليه الرحمة إلى أنّ استواء سطح الماء غير معتبر في الكرّ</w:t>
      </w:r>
    </w:p>
    <w:p>
      <w:pPr>
        <w:pStyle w:val="BookText"/>
        <w:rPr/>
      </w:pPr>
      <w:r>
        <w:rPr>
          <w:rFonts w:ascii="Amiri" w:hAnsi="Amiri" w:eastAsia="Amiri" w:cs="Amiri"/>
          <w:color w:val="111111"/>
          <w:sz w:val="28"/>
          <w:sz w:val="28"/>
          <w:szCs w:val="28"/>
          <w:rtl w:val="true"/>
          <w:lang w:bidi="ar-SA"/>
        </w:rPr>
        <w:t xml:space="preserve">فلو بلغ الماء المتواصل المختلف السطوح كرّا لم ينفعل شي‌ء منه بالملاقاة </w:t>
      </w:r>
      <w:r>
        <w:rPr>
          <w:rStyle w:val="FootnoteAnchor"/>
          <w:rtl w:val="true"/>
        </w:rPr>
        <w:footnoteReference w:id="150"/>
      </w:r>
      <w:r>
        <w:rPr>
          <w:rFonts w:ascii="Amiri" w:hAnsi="Amiri" w:eastAsia="Amiri" w:cs="Amiri"/>
          <w:color w:val="111111"/>
          <w:sz w:val="28"/>
          <w:sz w:val="28"/>
          <w:szCs w:val="28"/>
          <w:rtl w:val="true"/>
          <w:lang w:bidi="ar-SA"/>
        </w:rPr>
        <w:t xml:space="preserve">، سواء في ذلك الأعلى والأسفل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بعموم ما دلّ على عدم انفعال مقدار الكرّ بملاقاة النجاسة ، وذكر أنّ كلام أكثر الأصحاب خال من تقييد الكرّ المجتمع بكون سطوحه مستوية ، وعدّ منهم العلّامة </w:t>
      </w:r>
      <w:r>
        <w:rPr>
          <w:rStyle w:val="FootnoteAnchor"/>
          <w:rtl w:val="true"/>
        </w:rPr>
        <w:footnoteReference w:id="152"/>
      </w:r>
      <w:r>
        <w:rPr>
          <w:rFonts w:ascii="Amiri" w:hAnsi="Amiri" w:eastAsia="Amiri" w:cs="Amiri"/>
          <w:color w:val="111111"/>
          <w:sz w:val="28"/>
          <w:sz w:val="28"/>
          <w:szCs w:val="28"/>
          <w:rtl w:val="true"/>
          <w:lang w:bidi="ar-SA"/>
        </w:rPr>
        <w:t>رحمه‌اللّه فإنّه أطلق في كتبه الحكم في مسألة الغديرين الموصول بينهما بساقية ، ومسألة القليل الواقف إذا اتّصل بالجاري ، حيث حكم باتّحاد الغديرين مع الساقية ، فمتى كان المجموع كرّا لم ينفعل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القليل المتّصل بالجاري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عزى إلى جماعة من متأخّري الأصحاب اضطراب الفتوى في ذلك ، ولم أره إلّا في كلام الشهيد رحمه‌اللّه فإنّه قال في الدروس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الجاري لا عن مادّة ، ولاقته النجاسة ، لم ينجس ما فوقها مطلقا ولا ما تحتها إن كان جميعه كرّا فصاعدا إلّا مع التغيّر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الحكم بعدم نجاسة ما تحت موضع ملاقاة النجاسة إذا كان مجموع الماء بلغ مقدار الكرّ ولم يشترط استواء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بقليل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اتّصل الواقف بالجاري اتّحدا مع مساواة سطحهما ، أو كون الجاري أعلى لا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في صدق الاتّحاد مساواة السطحين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صرّح في الذكرى </w:t>
      </w:r>
      <w:r>
        <w:rPr>
          <w:rStyle w:val="FootnoteAnchor"/>
          <w:rtl w:val="true"/>
        </w:rPr>
        <w:footnoteReference w:id="154"/>
      </w:r>
      <w:r>
        <w:rPr>
          <w:rFonts w:ascii="Amiri" w:hAnsi="Amiri" w:eastAsia="Amiri" w:cs="Amiri"/>
          <w:color w:val="111111"/>
          <w:sz w:val="28"/>
          <w:sz w:val="28"/>
          <w:szCs w:val="28"/>
          <w:rtl w:val="true"/>
          <w:lang w:bidi="ar-SA"/>
        </w:rPr>
        <w:t xml:space="preserve">والبيان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الذكرى بعد أن حكم </w:t>
      </w:r>
      <w:r>
        <w:rPr>
          <w:rStyle w:val="FootnoteAnchor"/>
          <w:rtl w:val="true"/>
        </w:rPr>
        <w:footnoteReference w:id="156"/>
      </w:r>
      <w:r>
        <w:rPr>
          <w:rFonts w:ascii="Amiri" w:hAnsi="Amiri" w:eastAsia="Amiri" w:cs="Amiri"/>
          <w:color w:val="111111"/>
          <w:sz w:val="28"/>
          <w:sz w:val="28"/>
          <w:szCs w:val="28"/>
          <w:rtl w:val="true"/>
          <w:lang w:bidi="ar-SA"/>
        </w:rPr>
        <w:t xml:space="preserve">بأنّ اتّصال القليل النجس بالكثير مماسّة لا يطهره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ملاقاة النجاسة للقليل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الاتصال ولو بساقية لم ينجس القليل مع مساواة السطحين أو علوّ الكثير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اتّصل الواقف القليل بالجاري واتّحد سطحهما ، أو كان الجاري أعلى اتّحدا ، ولو كان الواقف أعلى فلا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اطلاق العلّامة الحكم فهو كذلك في أكثر كتبه ، ولكنّه </w:t>
      </w:r>
    </w:p>
    <w:p>
      <w:pPr>
        <w:pStyle w:val="BookText"/>
        <w:rPr/>
      </w:pPr>
      <w:r>
        <w:rPr>
          <w:rFonts w:ascii="Amiri" w:hAnsi="Amiri" w:eastAsia="Amiri" w:cs="Amiri"/>
          <w:color w:val="111111"/>
          <w:sz w:val="28"/>
          <w:sz w:val="28"/>
          <w:szCs w:val="28"/>
          <w:rtl w:val="true"/>
          <w:lang w:bidi="ar-SA"/>
        </w:rPr>
        <w:t xml:space="preserve">في التذكرة قيّده حيث قال في مسألة الغديرين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 بين الغديرين بساقية اتّحدا إن اعتدل الماء ، إلّا في حقّ السافل ، فلو نقص الأعلى عن كرّ انفعل بالملاقاة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رحمه‌اللّه أطلق الحكم في هذه المسألة ؛ فإنّه قال في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الغديران الطاهران إذا وصل بينهما بساقية صارا كالماء الواحد ، فلو وقع في أحدهما نجاسة لم ينجس ولو نقص كلّ واحد منهما عن الكرّ إذا كان مجموعهما مع الساقية كرّا فصاعدا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 الغدير عن كرّ فنجس فوصل بغدير فيه كرّ ففي طهارته تردّد ، الأشبه بقاؤه على النجاسة ؛ لأنّه ممتاز عن الطاهر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كما ترى يؤذن بفرضه الحكم في غديرين سطحهما مستو ، فيخرج الكلام عن الإطلاق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اعتبار المساواة في الجملة بالبعيد ؛ لأنّ ظاهر أكثر الأخبار المتضمّنة لحكم الكرّ اشتراطا وكمّية اعتبار الاجتماع في الماء وصدق الوحدة والكثرة عليه ، وفي تحقّق ذلك مع عدم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والتمسّك في عدم اعتبارها بعموم ما دلّ على عدم انفعال مقدار الكرّ بملاقاة النجاسة مدخول ؛ لأنّه من باب المفرد المحلّى ، وقد بيّنا في المباحث الاصوليّة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عمومه ليس من حيث كونه موضوعا لذلك على حدّ صيغ العموم ، وإنّما هو باعتبار منافاة عدم ارادته للحكم الحكمة فيصان كلام الحكيم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منافاة الحكمة إنّما يتصوّر حيث ينتفي احتمال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تقدّم السؤال عن بعض أنواع الماهيّة عهد ظاهر ، وهو في محلّ النزاع واقع ؛ إذ النصّ متضمّن للسؤال عن الماء المجتمع ، وحينئذ لا يبقى لإثبات الشمول لغير المعهود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ثبوت العموم في ذلك المعهود بأقلّ ما يندفع به محذور منافاة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أنّ هذا من قبيل تخصيص العام ببنائه </w:t>
      </w:r>
      <w:r>
        <w:rPr>
          <w:rStyle w:val="FootnoteAnchor"/>
          <w:rtl w:val="true"/>
        </w:rPr>
        <w:footnoteReference w:id="163"/>
      </w:r>
      <w:r>
        <w:rPr>
          <w:rFonts w:ascii="IRNazanin" w:hAnsi="IRNazanin" w:eastAsia="IRNazanin"/>
          <w:color w:val="111111"/>
          <w:sz w:val="28"/>
          <w:sz w:val="28"/>
          <w:szCs w:val="28"/>
          <w:rtl w:val="true"/>
          <w:lang w:bidi="fa-IR"/>
        </w:rPr>
        <w:t xml:space="preserve">على سبب خاصّ ، وهو مرغوب عنه </w:t>
      </w:r>
      <w:r>
        <w:rPr>
          <w:rStyle w:val="FootnoteAnchor"/>
          <w:rtl w:val="true"/>
        </w:rPr>
        <w:footnoteReference w:id="164"/>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يعلم أنّه لا عموم في أمثال موضع النزاع على وجه يتطرّق إليه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الاعتبار يقتضي انفعال غير المستوي مطلقا ، مع أنّ الذاهبين إلى اعتبار المساواة مصرّحون بعدم انفعال القليل المتّصل بالكثير إذا كان الكثير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نقله عن البيان والذكرى </w:t>
      </w:r>
      <w:r>
        <w:rPr>
          <w:rStyle w:val="FootnoteAnchor"/>
          <w:rtl w:val="true"/>
        </w:rPr>
        <w:footnoteReference w:id="165"/>
      </w:r>
      <w:r>
        <w:rPr>
          <w:rFonts w:ascii="Amiri" w:hAnsi="Amiri" w:eastAsia="Amiri" w:cs="Amiri"/>
          <w:color w:val="111111"/>
          <w:sz w:val="28"/>
          <w:sz w:val="28"/>
          <w:szCs w:val="28"/>
          <w:rtl w:val="true"/>
          <w:lang w:bidi="ar-SA"/>
        </w:rPr>
        <w:t>فما الوجه في ذلك؟ وكيف حكموا بالاتحاد مع علوّ الكثير ، ونفوه في عكسه ، والمقتضي للنفي على ما ذكرت موجود فيهما؟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فيه أنّ المقتضي لعدم انفعال النابع بالملاقاة هو وجود المادّة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تأثير المادّة إنّما هو باعتبار إفادتها </w:t>
      </w:r>
    </w:p>
    <w:p>
      <w:pPr>
        <w:pStyle w:val="BookText"/>
        <w:rPr/>
      </w:pPr>
      <w:r>
        <w:rPr>
          <w:rFonts w:ascii="IRNazanin" w:hAnsi="IRNazanin" w:eastAsia="IRNazanin"/>
          <w:color w:val="111111"/>
          <w:sz w:val="28"/>
          <w:sz w:val="28"/>
          <w:szCs w:val="28"/>
          <w:rtl w:val="true"/>
          <w:lang w:bidi="fa-IR"/>
        </w:rPr>
        <w:t xml:space="preserve">الاتصال </w:t>
      </w:r>
      <w:r>
        <w:rPr>
          <w:rStyle w:val="FootnoteAnchor"/>
          <w:rtl w:val="true"/>
        </w:rPr>
        <w:footnoteReference w:id="166"/>
      </w:r>
      <w:r>
        <w:rPr>
          <w:rFonts w:ascii="Amiri" w:hAnsi="Amiri" w:eastAsia="Amiri" w:cs="Amiri"/>
          <w:color w:val="111111"/>
          <w:sz w:val="28"/>
          <w:sz w:val="28"/>
          <w:szCs w:val="28"/>
          <w:rtl w:val="true"/>
          <w:lang w:bidi="ar-SA"/>
        </w:rPr>
        <w:t xml:space="preserve">بالكثرة ، وليس الزائد منها </w:t>
      </w:r>
      <w:r>
        <w:rPr>
          <w:rStyle w:val="FootnoteAnchor"/>
          <w:rtl w:val="true"/>
        </w:rPr>
        <w:footnoteReference w:id="167"/>
      </w:r>
      <w:r>
        <w:rPr>
          <w:rFonts w:ascii="Amiri" w:hAnsi="Amiri" w:eastAsia="Amiri" w:cs="Amiri"/>
          <w:color w:val="111111"/>
          <w:sz w:val="28"/>
          <w:sz w:val="28"/>
          <w:szCs w:val="28"/>
          <w:rtl w:val="true"/>
          <w:lang w:bidi="ar-SA"/>
        </w:rPr>
        <w:t xml:space="preserve">على الكرّ بمعتبر في نظر الشارع ، فيرجع </w:t>
      </w:r>
      <w:r>
        <w:rPr>
          <w:rStyle w:val="FootnoteAnchor"/>
          <w:rtl w:val="true"/>
        </w:rPr>
        <w:footnoteReference w:id="168"/>
      </w:r>
      <w:r>
        <w:rPr>
          <w:rFonts w:ascii="Amiri" w:hAnsi="Amiri" w:eastAsia="Amiri" w:cs="Amiri"/>
          <w:color w:val="111111"/>
          <w:sz w:val="28"/>
          <w:sz w:val="28"/>
          <w:szCs w:val="28"/>
          <w:rtl w:val="true"/>
          <w:lang w:bidi="ar-SA"/>
        </w:rPr>
        <w:t>حاصل المقتضي إلى كونه متّصلا بالكرّ على جهة جريانه إليه واستيلائه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بعينه موجود فيما نحن فيه ، فيجب أن يحصل </w:t>
      </w:r>
      <w:r>
        <w:rPr>
          <w:rStyle w:val="FootnoteAnchor"/>
          <w:rtl w:val="true"/>
        </w:rPr>
        <w:footnoteReference w:id="169"/>
      </w:r>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حكم ماء الحمام ؛ فإنّا لا نعلم من الأصحاب مخالفا في عدم انفعاله بالملاقاة مع بلوغ المادّة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فيه شاهدة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بخصوصيّة الحمّام عند التحقيق مدخل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العلّامة في المنتهى </w:t>
      </w:r>
      <w:r>
        <w:rPr>
          <w:rStyle w:val="FootnoteAnchor"/>
          <w:rtl w:val="true"/>
        </w:rPr>
        <w:footnoteReference w:id="170"/>
      </w:r>
      <w:r>
        <w:rPr>
          <w:rFonts w:ascii="Amiri" w:hAnsi="Amiri" w:eastAsia="Amiri" w:cs="Amiri"/>
          <w:color w:val="111111"/>
          <w:sz w:val="28"/>
          <w:sz w:val="28"/>
          <w:szCs w:val="28"/>
          <w:rtl w:val="true"/>
          <w:lang w:bidi="ar-SA"/>
        </w:rPr>
        <w:t xml:space="preserve">والتذكرة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اشتراط </w:t>
      </w:r>
      <w:r>
        <w:rPr>
          <w:rStyle w:val="FootnoteAnchor"/>
          <w:rtl w:val="true"/>
        </w:rPr>
        <w:footnoteReference w:id="172"/>
      </w:r>
      <w:r>
        <w:rPr>
          <w:rFonts w:ascii="Amiri" w:hAnsi="Amiri" w:eastAsia="Amiri" w:cs="Amiri"/>
          <w:color w:val="111111"/>
          <w:sz w:val="28"/>
          <w:sz w:val="28"/>
          <w:szCs w:val="28"/>
          <w:rtl w:val="true"/>
          <w:lang w:bidi="ar-SA"/>
        </w:rPr>
        <w:t xml:space="preserve">كرّية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الحوض الصغير ذي المادّة في غيره به لا معنى له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بدى الفرق بين الاتصال الحاصل في الأرض المنحدرة وبين ما يكون بميزاب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فرض الاتّصال في الحمّام بالاعتبار الأخير في كلام المنتهى نوع إشعار بذلك فلهذا توقّف في الإلحاق مع جزمه بالاكتفاء في الغديرين إذ قد فرض الاتصال فيه بالساقية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الفرق بين الاعتبارين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لا فرق لصدق الاتصال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يتوجّه ذلك على القول بعدم اعتبار الكرّية في المادّة ؛ فإنّه يمكن حينئذ قصر الرخصة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الشهيد في الذكرى هذا الإلحاق على الخلاف في المادّة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اشتراط الكرّية في المادّة يتساوى الحمّام وغيره لحصول الكرّية الدافعة </w:t>
      </w:r>
      <w:r>
        <w:rPr>
          <w:rStyle w:val="FootnoteAnchor"/>
          <w:rtl w:val="true"/>
        </w:rPr>
        <w:footnoteReference w:id="174"/>
      </w:r>
      <w:r>
        <w:rPr>
          <w:rFonts w:ascii="Amiri" w:hAnsi="Amiri" w:eastAsia="Amiri" w:cs="Amiri"/>
          <w:color w:val="111111"/>
          <w:sz w:val="28"/>
          <w:sz w:val="28"/>
          <w:szCs w:val="28"/>
          <w:rtl w:val="true"/>
          <w:lang w:bidi="ar-SA"/>
        </w:rPr>
        <w:t xml:space="preserve">للنجاسة ، وعلى العدم فالأقرب اختصاص الحمّام بالحكم لعموم البلوى وانفراده بالنص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تحرّر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انفعال الواقف بالملاقاة مشروط ببلوغ مقدار الكرّ مع تساوي سطح الماء بحيث يصدق عليه الوحدة والاجتماع والكثرة عرفا ، أو باتّصاله بمادّة هي كرّ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استواء السطوح في المادّة بالنظر إلى عدم انفعال ما تحتها ؛ لصدق المادّة الكثيرة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المادّة المعتبرة في النابع ليست بمستوية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الاستواء في عدم انفعال المادّة نفسها ، فلو لاقتها نجاسة وهي غير مستوية نجس موضع الملاقاة ، ويلزم منه نجاسة ما تحتها أيضا ما لم يكن فيه كرّ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استبعد ذلك حيث يكون الماء كثيرا جدّا لا سيّما انفعال آخر جزء منه بملاقاة أوّل جزء على ما هو شأن ما ينفعل بالملاقاة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عدم انفعال ما بعد عن موضع الملاقاة بمجرّدها ؛ لعدم الدليل ؛ إذ الأدلّة الدالّة على انفعال ما نقص عن الكرّ بالملاقاة مختصة بالمجتمع </w:t>
      </w:r>
      <w:bookmarkStart w:id="197" w:name="pg8731_77074"/>
    </w:p>
    <w:p>
      <w:pPr>
        <w:pStyle w:val="BookText"/>
        <w:rPr/>
      </w:pPr>
      <w:bookmarkEnd w:id="197"/>
      <w:r>
        <w:rPr>
          <w:rFonts w:ascii="IRNazanin" w:hAnsi="IRNazanin" w:eastAsia="IRNazanin"/>
          <w:color w:val="111111"/>
          <w:sz w:val="28"/>
          <w:sz w:val="28"/>
          <w:szCs w:val="28"/>
          <w:rtl w:val="true"/>
          <w:lang w:bidi="fa-IR"/>
        </w:rPr>
        <w:t>والمتقارب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مجرد الاتصال بالنجس موجبا للانفعال في نظر الشارع وإلّا لنجس الأعلى بنجاسة الأسفل ؛ لصدق الاتصال حينئذ ، وهو منفيّ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الاتصال بمجرّده موجبا لسريان الانفعال فلا بدّ في الحكم بنجاسة البعيد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 الماء النجس يقتضي نجاسة ما يصل إليه ، فإذا استوعب الأجزاء المنحدرة نجّسها وإن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ذلك ؛ فإنّها بعدم استواء سطحها بمنزلة المنفصل </w:t>
      </w:r>
      <w:r>
        <w:rPr>
          <w:rStyle w:val="FootnoteAnchor"/>
          <w:rtl w:val="true"/>
        </w:rPr>
        <w:footnoteReference w:id="176"/>
      </w:r>
      <w:r>
        <w:rPr>
          <w:rFonts w:ascii="Amiri" w:hAnsi="Amiri" w:eastAsia="Amiri" w:cs="Amiri"/>
          <w:color w:val="111111"/>
          <w:sz w:val="28"/>
          <w:sz w:val="28"/>
          <w:szCs w:val="28"/>
          <w:rtl w:val="true"/>
          <w:lang w:bidi="ar-SA"/>
        </w:rPr>
        <w:t>، فكما أنّه ينجس بملاقاة النجاسة له وإن قلّت وكان مجموعه في نهاية الكثيرة فكذا هذه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139987_653776707"/>
      <w:bookmarkStart w:id="199" w:name="_Toc68"/>
      <w:bookmarkEnd w:id="198"/>
      <w:r>
        <w:rPr>
          <w:rtl w:val="true"/>
        </w:rPr>
        <w:t xml:space="preserve">فرع </w:t>
      </w:r>
      <w:r>
        <w:rPr>
          <w:rtl w:val="true"/>
        </w:rPr>
        <w:t>:</w:t>
      </w:r>
      <w:bookmarkEnd w:id="199"/>
    </w:p>
    <w:p>
      <w:pPr>
        <w:pStyle w:val="BookText"/>
        <w:rPr/>
      </w:pPr>
      <w:r>
        <w:rPr>
          <w:rFonts w:ascii="Amiri" w:hAnsi="Amiri" w:eastAsia="Amiri" w:cs="Amiri"/>
          <w:color w:val="111111"/>
          <w:sz w:val="28"/>
          <w:sz w:val="28"/>
          <w:szCs w:val="28"/>
          <w:rtl w:val="true"/>
          <w:lang w:bidi="ar-SA"/>
        </w:rPr>
        <w:t xml:space="preserve">أطلق العلّامة رحمه‌اللّه وكثير من الأصحاب اشتراط كرّيّة مادّة الحمّام </w:t>
      </w:r>
      <w:r>
        <w:rPr>
          <w:rStyle w:val="FootnoteAnchor"/>
          <w:rtl w:val="true"/>
        </w:rPr>
        <w:footnoteReference w:id="177"/>
      </w:r>
      <w:r>
        <w:rPr>
          <w:rFonts w:ascii="Amiri" w:hAnsi="Amiri" w:eastAsia="Amiri" w:cs="Amiri"/>
          <w:color w:val="111111"/>
          <w:sz w:val="28"/>
          <w:sz w:val="28"/>
          <w:szCs w:val="28"/>
          <w:rtl w:val="true"/>
          <w:lang w:bidi="ar-SA"/>
        </w:rPr>
        <w:t>، وكأنّه بناء على الغالب من عدم مساواة سطحها بسطح الحوض ، وإلّا فالمتّجه حينئذ الاكتفاء ببلوغ المجموع ، كما حكموا به في الغديرين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بالتفصيل بعض الأصحاب وهو الأجود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إطلاق العلّامة رحمه‌اللّه اشتراط كرّية المادّة يدلّ على اعتبار المساواة في الكرّ كما صرّح به في التذكرة </w:t>
      </w:r>
      <w:r>
        <w:rPr>
          <w:rStyle w:val="FootnoteAnchor"/>
          <w:rtl w:val="true"/>
        </w:rPr>
        <w:footnoteReference w:id="178"/>
      </w:r>
      <w:r>
        <w:rPr>
          <w:rFonts w:ascii="Amiri" w:hAnsi="Amiri" w:eastAsia="Amiri" w:cs="Amiri"/>
          <w:color w:val="111111"/>
          <w:sz w:val="28"/>
          <w:sz w:val="28"/>
          <w:szCs w:val="28"/>
          <w:rtl w:val="true"/>
          <w:lang w:bidi="ar-SA"/>
        </w:rPr>
        <w:t xml:space="preserve">، إلّا أنّ كلام التذكرة يدلّ على انفعال الأعلى فقط مع عدم التساوي ، وما هنا يقتضي انفعال السافل أيضا ، وكأنّه يرى الفرق بين الاتصال الحاصل بالميزاب ونحوه وبين ما يكون بالساقية في الأرض المنحدرة </w:t>
      </w:r>
    </w:p>
    <w:p>
      <w:pPr>
        <w:pStyle w:val="BookText"/>
        <w:rPr/>
      </w:pPr>
      <w:r>
        <w:rPr>
          <w:rFonts w:ascii="Amiri" w:hAnsi="Amiri" w:eastAsia="Amiri" w:cs="Amiri"/>
          <w:color w:val="111111"/>
          <w:sz w:val="28"/>
          <w:sz w:val="28"/>
          <w:szCs w:val="28"/>
          <w:rtl w:val="true"/>
          <w:lang w:bidi="ar-SA"/>
        </w:rPr>
        <w:t>حيث إنّ اتصال الحمام في الأغلب يكون على الوجه الأوّل وقد فرض اتصال الغديرين بالوجه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هذا الفرق بعض المتأخّرين ، وليس بذاك ، سيّما بعد الحكم بانفعال الأعلى في مسألة الغديرين ؛ فإنّ المقتضي لعدم انفعال السافل منهما عندهم هو صدق الوحدة ، وذلك يقتضي عدم انفعال الأعلى أيضا ؛ إذ لا معنى </w:t>
      </w:r>
      <w:r>
        <w:rPr>
          <w:rStyle w:val="FootnoteAnchor"/>
          <w:rtl w:val="true"/>
        </w:rPr>
        <w:footnoteReference w:id="179"/>
      </w:r>
      <w:r>
        <w:rPr>
          <w:rFonts w:ascii="Amiri" w:hAnsi="Amiri" w:eastAsia="Amiri" w:cs="Amiri"/>
          <w:color w:val="111111"/>
          <w:sz w:val="28"/>
          <w:sz w:val="28"/>
          <w:szCs w:val="28"/>
          <w:rtl w:val="true"/>
          <w:lang w:bidi="ar-SA"/>
        </w:rPr>
        <w:t xml:space="preserve">لصدقها بالنظر إلى بعض الأجزاء دون بعض ، فليتأمّل هذا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اكتفى والدي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 المجموع من المادّة والحوض مقدار الكرّ مع التواصل مطلقا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بعض مشايخنا المعاصرين </w:t>
      </w:r>
      <w:r>
        <w:rPr>
          <w:rStyle w:val="FootnoteAnchor"/>
          <w:rtl w:val="true"/>
        </w:rPr>
        <w:footnoteReference w:id="182"/>
      </w:r>
      <w:r>
        <w:rPr>
          <w:rFonts w:ascii="Amiri" w:hAnsi="Amiri" w:eastAsia="Amiri" w:cs="Amiri"/>
          <w:color w:val="111111"/>
          <w:sz w:val="28"/>
          <w:sz w:val="28"/>
          <w:szCs w:val="28"/>
          <w:rtl w:val="true"/>
          <w:lang w:bidi="ar-SA"/>
        </w:rPr>
        <w:t>،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المجازفات العجيبة ما يوجد في كلام بعض المتأخّرين من أنّ بلوغ المجموع قدر الكرّ كاف مطلقا إجماعا ، وأنّ إطلاق الأصحاب اشتراط كرّية المادّة مبنيّ على الغالب من كثرة الأخذ من ماء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 هذا الكلام وبين عدّ بعض آخر إطلاق اشتراط الكرّية في المادّة قولا مغايرا للتفصيل باستواء السطوح وعدمه ، كما قرّرناه ؛ إذ مقتضى ذلك وجود القائل باشتراط كرّية المادّة وحدها وإن استوت السطوح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المطلقين للاشتراط بنوه على الغالب من عدم الاستواء ، وإلّا فلا معنى لاكتفائهم ببلوغ المجموع في الغديرين </w:t>
      </w:r>
      <w:bookmarkStart w:id="200" w:name="pg8731_77076"/>
    </w:p>
    <w:p>
      <w:pPr>
        <w:pStyle w:val="BookText"/>
        <w:rPr/>
      </w:pPr>
      <w:bookmarkEnd w:id="200"/>
      <w:r>
        <w:rPr>
          <w:rFonts w:ascii="IRNazanin" w:hAnsi="IRNazanin" w:eastAsia="IRNazanin"/>
          <w:color w:val="111111"/>
          <w:sz w:val="28"/>
          <w:sz w:val="28"/>
          <w:szCs w:val="28"/>
          <w:rtl w:val="true"/>
          <w:lang w:bidi="fa-IR"/>
        </w:rPr>
        <w:t>وعدمه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ينبّه على ذلك أنّ الشهيد رحمه‌اللّه في الذكرى حيث شبّه الماء القليل المتّصل بالكثير العالي عليه بماء الحمّام </w:t>
      </w:r>
      <w:r>
        <w:rPr>
          <w:rStyle w:val="FootnoteAnchor"/>
          <w:rtl w:val="true"/>
        </w:rPr>
        <w:footnoteReference w:id="183"/>
      </w:r>
      <w:r>
        <w:rPr>
          <w:rFonts w:ascii="Amiri" w:hAnsi="Amiri" w:eastAsia="Amiri" w:cs="Amiri"/>
          <w:color w:val="111111"/>
          <w:sz w:val="28"/>
          <w:sz w:val="28"/>
          <w:szCs w:val="28"/>
          <w:rtl w:val="true"/>
          <w:lang w:bidi="ar-SA"/>
        </w:rPr>
        <w:t xml:space="preserve">عند ذكره الحكم المنقول عنه سابقا أعني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الملاقاة بعد الاتصال ولو بساقية لم ينجس القليل مع مساواة السطحين أو علوّ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فوصل قوله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أطلق اشتراط كرّية المادّة ، فعلم أنّه بناه </w:t>
      </w:r>
      <w:r>
        <w:rPr>
          <w:rStyle w:val="FootnoteAnchor"/>
          <w:rtl w:val="true"/>
        </w:rPr>
        <w:footnoteReference w:id="184"/>
      </w:r>
      <w:r>
        <w:rPr>
          <w:rFonts w:ascii="IRNazanin" w:hAnsi="IRNazanin" w:eastAsia="IRNazanin"/>
          <w:color w:val="111111"/>
          <w:sz w:val="28"/>
          <w:sz w:val="28"/>
          <w:szCs w:val="28"/>
          <w:rtl w:val="true"/>
          <w:lang w:bidi="fa-IR"/>
        </w:rPr>
        <w:t xml:space="preserve">على ما فرضه من علوّها على الحوض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3139989_653776707"/>
      <w:bookmarkStart w:id="202" w:name="_Toc69"/>
      <w:bookmarkEnd w:id="201"/>
      <w:r>
        <w:rPr>
          <w:rtl w:val="true"/>
        </w:rPr>
        <w:t xml:space="preserve">مسألة </w:t>
      </w:r>
      <w:r>
        <w:rPr>
          <w:rtl w:val="true"/>
        </w:rPr>
        <w:t>[</w:t>
      </w:r>
      <w:r>
        <w:rPr/>
        <w:t>7</w:t>
      </w:r>
      <w:r>
        <w:rPr>
          <w:rtl w:val="true"/>
        </w:rPr>
        <w:t>] :</w:t>
      </w:r>
      <w:bookmarkEnd w:id="202"/>
    </w:p>
    <w:p>
      <w:pPr>
        <w:pStyle w:val="Heading6"/>
        <w:numPr>
          <w:ilvl w:val="5"/>
          <w:numId w:val="1"/>
        </w:numPr>
        <w:rPr/>
      </w:pPr>
      <w:bookmarkStart w:id="203" w:name="__RefHeading___Toc3139991_653776707"/>
      <w:bookmarkStart w:id="204" w:name="_Toc70"/>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لا ريب في تنجيس الواقف بل مطلق الماء وإن كثير بتغيّره بالنجاسة في أحد أوصافه الثلاثة ، وهو مذهب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حريز بن عبد اللّه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الماء على ريح الجيفة فتوضّأ من الماء واشرب ، فإذا تغيّر الماء وتغيّر الطعم فلا تتوضّأ منه ولا تشرب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حمّاد بن عيسى عن ابراهيم بن عمير اليماني عن أبي خالد القمّاط ، أنّه سمع أبا عبد اللّه عليه‌السلام يقول في الماء يمرّ به الرجل وهو يقع فيه الميتة الجيفة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تغيّر ريحه وطعمه فلا تشرب </w:t>
      </w:r>
    </w:p>
    <w:p>
      <w:pPr>
        <w:pStyle w:val="BookText"/>
        <w:rPr/>
      </w:pPr>
      <w:r>
        <w:rPr>
          <w:rFonts w:ascii="Amiri" w:hAnsi="Amiri" w:eastAsia="Amiri" w:cs="Amiri"/>
          <w:color w:val="111111"/>
          <w:sz w:val="28"/>
          <w:sz w:val="28"/>
          <w:szCs w:val="28"/>
          <w:rtl w:val="true"/>
          <w:lang w:bidi="ar-SA"/>
        </w:rPr>
        <w:t xml:space="preserve">ولا تتوضّأ منه وإن لم يتغيّر ريحه وطعمه فاشرب وتوضّأ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هذا فأكثر الأصحاب على أنّ المعتبر من التغيّر ما يظهر للحس ، فلو كانت النجاسة مسلوبة الصفات لم تؤثّر في الماء وإن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رحمه‌اللّه إلى وجوب تقدير النجاسة على أوصاف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الماء يتغيّر بها على ذلك التقدير حكم بنجاسته وإلّا فهو باق على الطهارة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وحجّته على ما حكاه بعض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التغيّر الذي هو مناط النجاسة دائر مع وجود الأوصاف ؛ فإذا فقدت وجب تقديرها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بشي‌ء ؛ إذ لا تزيد على إعادة المدّعى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وفخر المحققين وافق والده على ذلك ، واحتجّ له بوجود المقتضي ، وهو صيرورة الماء مقهورا ؛ لأنّه كلّما لم يكن الماء مقهورا لم يتغيّر بها على تقدير المخالفة ، وينعكس بعكس النقيض إلى قولنا كلّما تغير على تقدير المخالفة كان مقهورا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أيضا ؛ لتوجّه المنع إلى كلّية الاولى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وجوب التقدير يفضي إلى جواز الاستعمال وإن زادت النجاسة على الماء أضعافا وهو كالمعلوم البطلان ، فوجب تقدير الأوصاف ؛ لأنها مناط التنجيس وعدمه ، فهو استبعاد قريب ، لكنّه لا ينهض </w:t>
      </w:r>
      <w:r>
        <w:rPr>
          <w:rStyle w:val="FootnoteAnchor"/>
          <w:rtl w:val="true"/>
        </w:rPr>
        <w:footnoteReference w:id="191"/>
      </w:r>
      <w:r>
        <w:rPr>
          <w:rFonts w:ascii="Amiri" w:hAnsi="Amiri" w:eastAsia="Amiri" w:cs="Amiri"/>
          <w:color w:val="111111"/>
          <w:sz w:val="28"/>
          <w:sz w:val="28"/>
          <w:szCs w:val="28"/>
          <w:rtl w:val="true"/>
          <w:lang w:bidi="ar-SA"/>
        </w:rPr>
        <w:t xml:space="preserve">دليلا </w:t>
      </w:r>
      <w:bookmarkStart w:id="205" w:name="pg8731_77078"/>
    </w:p>
    <w:p>
      <w:pPr>
        <w:pStyle w:val="BookText"/>
        <w:rPr/>
      </w:pPr>
      <w:bookmarkEnd w:id="205"/>
      <w:r>
        <w:rPr>
          <w:rFonts w:ascii="Amiri" w:hAnsi="Amiri" w:eastAsia="Amiri" w:cs="Amiri"/>
          <w:color w:val="111111"/>
          <w:sz w:val="28"/>
          <w:sz w:val="28"/>
          <w:szCs w:val="28"/>
          <w:rtl w:val="true"/>
          <w:lang w:bidi="ar-SA"/>
        </w:rPr>
        <w:t>على المدّعى ؛ إذ معلوميّة المنع من الاستعمال حيث تستهلك النجاسة الماء لكونها أضعافه لا يقتضي وجوب التقدير والمنع من الاستعمال مع أكثرية الماء أو مساواته المانعة من استهلاك النجاسة له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بان بما ذكرناه أنّ الأظهر مختار الأكثر ، وإن كان في القول الآخر احتياط في الجملة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139993_653776707"/>
      <w:bookmarkStart w:id="207" w:name="_Toc71"/>
      <w:bookmarkEnd w:id="206"/>
      <w:r>
        <w:rPr>
          <w:rtl w:val="true"/>
        </w:rPr>
        <w:t xml:space="preserve">فروع </w:t>
      </w:r>
      <w:r>
        <w:rPr>
          <w:rtl w:val="true"/>
        </w:rPr>
        <w:t>:</w:t>
      </w:r>
      <w:bookmarkEnd w:id="207"/>
    </w:p>
    <w:p>
      <w:pPr>
        <w:pStyle w:val="Heading6"/>
        <w:numPr>
          <w:ilvl w:val="5"/>
          <w:numId w:val="1"/>
        </w:numPr>
        <w:rPr/>
      </w:pPr>
      <w:bookmarkStart w:id="208" w:name="__RefHeading___Toc3139995_653776707"/>
      <w:bookmarkStart w:id="209" w:name="_Toc72"/>
      <w:bookmarkEnd w:id="208"/>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209"/>
    </w:p>
    <w:p>
      <w:pPr>
        <w:pStyle w:val="BookText"/>
        <w:rPr/>
      </w:pPr>
      <w:r>
        <w:rPr>
          <w:rFonts w:ascii="Amiri" w:hAnsi="Amiri" w:eastAsia="Amiri" w:cs="Amiri"/>
          <w:color w:val="111111"/>
          <w:sz w:val="28"/>
          <w:sz w:val="28"/>
          <w:szCs w:val="28"/>
          <w:rtl w:val="true"/>
          <w:lang w:bidi="ar-SA"/>
        </w:rPr>
        <w:t xml:space="preserve">لو اشتمل الماء على صفة تمنع من ظهور التغيّر فيه كما لو كان متغيّرا بطاهر أحمر </w:t>
      </w:r>
      <w:r>
        <w:rPr>
          <w:rStyle w:val="FootnoteAnchor"/>
          <w:rtl w:val="true"/>
        </w:rPr>
        <w:footnoteReference w:id="192"/>
      </w:r>
      <w:r>
        <w:rPr>
          <w:rFonts w:ascii="Amiri" w:hAnsi="Amiri" w:eastAsia="Amiri" w:cs="Amiri"/>
          <w:color w:val="111111"/>
          <w:sz w:val="28"/>
          <w:sz w:val="28"/>
          <w:szCs w:val="28"/>
          <w:rtl w:val="true"/>
          <w:lang w:bidi="ar-SA"/>
        </w:rPr>
        <w:t xml:space="preserve">ووقع فيه دم ، فالذي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بوجوب تقدير خلوّ الماء عن ذلك الوصف ؛ لأنّ التغيير حينئذ على تقدير حصوله حقيقيّ </w:t>
      </w:r>
      <w:r>
        <w:rPr>
          <w:rStyle w:val="FootnoteAnchor"/>
          <w:rtl w:val="true"/>
        </w:rPr>
        <w:footnoteReference w:id="193"/>
      </w:r>
      <w:r>
        <w:rPr>
          <w:rFonts w:ascii="Amiri" w:hAnsi="Amiri" w:eastAsia="Amiri" w:cs="Amiri"/>
          <w:color w:val="111111"/>
          <w:sz w:val="28"/>
          <w:sz w:val="28"/>
          <w:szCs w:val="28"/>
          <w:rtl w:val="true"/>
          <w:lang w:bidi="ar-SA"/>
        </w:rPr>
        <w:t xml:space="preserve">، غاية ما هناك أنّه مستور على الحسّ وقد نبّه على ذلك الشهيد رحمه‌اللّه في البيان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3139997_653776707"/>
      <w:bookmarkStart w:id="211" w:name="_Toc73"/>
      <w:bookmarkEnd w:id="210"/>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211"/>
    </w:p>
    <w:p>
      <w:pPr>
        <w:pStyle w:val="BookText"/>
        <w:rPr/>
      </w:pPr>
      <w:r>
        <w:rPr>
          <w:rFonts w:ascii="Amiri" w:hAnsi="Amiri" w:eastAsia="Amiri" w:cs="Amiri"/>
          <w:color w:val="111111"/>
          <w:sz w:val="28"/>
          <w:sz w:val="28"/>
          <w:szCs w:val="28"/>
          <w:rtl w:val="true"/>
          <w:lang w:bidi="ar-SA"/>
        </w:rPr>
        <w:t>هل المعتبر على القول بتقدير المخالفة هو الوصف الأشدّ ، كحدّة الخلّ وذكا المسك وسواد الحبر ؛ لمناسبة النجاسة تغليظ الحكم؟ أو الوسط ؛ لأنّه الأغلب؟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العلّامة في النهاية الأوّل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ما هو الأحوط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12" w:name="pg8731_77079"/>
    </w:p>
    <w:p>
      <w:pPr>
        <w:pStyle w:val="BookText"/>
        <w:rPr/>
      </w:pPr>
      <w:bookmarkEnd w:id="212"/>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فرض مخالف أشدّ أخذا بالاحتياط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الثاني بعض المتأخّرين وهو الأجود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واستقرب بعض الأصحاب اعتبار أوصاف الماء وسطا </w:t>
      </w:r>
      <w:r>
        <w:rPr>
          <w:rStyle w:val="FootnoteAnchor"/>
          <w:rtl w:val="true"/>
        </w:rPr>
        <w:footnoteReference w:id="197"/>
      </w:r>
      <w:r>
        <w:rPr>
          <w:rFonts w:ascii="Amiri" w:hAnsi="Amiri" w:eastAsia="Amiri" w:cs="Amiri"/>
          <w:color w:val="111111"/>
          <w:sz w:val="28"/>
          <w:sz w:val="28"/>
          <w:szCs w:val="28"/>
          <w:rtl w:val="true"/>
          <w:lang w:bidi="ar-SA"/>
        </w:rPr>
        <w:t xml:space="preserve">؛ نظرا إلى شدّة اختلافها في قبول التغيّر وعدمه ، كالعذوبة والملوحة والرقّة والغلظة والصفاء والكدرة ، وهو محتمل حيث </w:t>
      </w:r>
      <w:r>
        <w:rPr>
          <w:rStyle w:val="FootnoteAnchor"/>
          <w:rtl w:val="true"/>
        </w:rPr>
        <w:footnoteReference w:id="198"/>
      </w:r>
      <w:r>
        <w:rPr>
          <w:rFonts w:ascii="Amiri" w:hAnsi="Amiri" w:eastAsia="Amiri" w:cs="Amiri"/>
          <w:color w:val="111111"/>
          <w:sz w:val="28"/>
          <w:sz w:val="28"/>
          <w:szCs w:val="28"/>
          <w:rtl w:val="true"/>
          <w:lang w:bidi="ar-SA"/>
        </w:rPr>
        <w:t>لا يكون الماء على الوصف القويّ ؛ إذ لا معنى لتقديره حينئذ بما هو دونه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139999_653776707"/>
      <w:bookmarkStart w:id="214" w:name="_Toc74"/>
      <w:bookmarkEnd w:id="21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214"/>
    </w:p>
    <w:p>
      <w:pPr>
        <w:pStyle w:val="BookText"/>
        <w:rPr/>
      </w:pPr>
      <w:r>
        <w:rPr>
          <w:rFonts w:ascii="Amiri" w:hAnsi="Amiri" w:eastAsia="Amiri" w:cs="Amiri"/>
          <w:color w:val="111111"/>
          <w:sz w:val="28"/>
          <w:sz w:val="28"/>
          <w:szCs w:val="28"/>
          <w:rtl w:val="true"/>
          <w:lang w:bidi="ar-SA"/>
        </w:rPr>
        <w:t>لو تغيّرت رائحة الماء بمرور رائحة النجاسة القريبة لم ينجس ؛ لأنّ الرائحة ليست بنجاسة فلا تؤثّر تنجيسا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140001_653776707"/>
      <w:bookmarkStart w:id="216" w:name="_Toc75"/>
      <w:bookmarkEnd w:id="215"/>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216"/>
    </w:p>
    <w:p>
      <w:pPr>
        <w:pStyle w:val="BookText"/>
        <w:rPr/>
      </w:pPr>
      <w:r>
        <w:rPr>
          <w:rFonts w:ascii="Amiri" w:hAnsi="Amiri" w:eastAsia="Amiri" w:cs="Amiri"/>
          <w:color w:val="111111"/>
          <w:sz w:val="28"/>
          <w:sz w:val="28"/>
          <w:szCs w:val="28"/>
          <w:rtl w:val="true"/>
          <w:lang w:bidi="ar-SA"/>
        </w:rPr>
        <w:t>لو حصل التغيّر في أحد الأوصاف بالمتنجّس لا النجاسة وبقي معه الإطلاق لم ينجس ، كما لو تغيّر طعمه بالدبس النجس من غير أن تؤثّر نجاسته فيه أو تخرجه عن 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في ذلك خلاف ضعيف يأتي الكلام عليه </w:t>
      </w:r>
      <w:r>
        <w:rPr>
          <w:rStyle w:val="FootnoteAnchor"/>
          <w:rtl w:val="true"/>
        </w:rPr>
        <w:footnoteReference w:id="199"/>
      </w:r>
      <w:r>
        <w:rPr>
          <w:rFonts w:ascii="Amiri" w:hAnsi="Amiri" w:eastAsia="Amiri" w:cs="Amiri"/>
          <w:color w:val="111111"/>
          <w:sz w:val="28"/>
          <w:sz w:val="28"/>
          <w:szCs w:val="28"/>
          <w:rtl w:val="true"/>
          <w:lang w:bidi="ar-SA"/>
        </w:rPr>
        <w:t>في بحث المضاف</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140003_653776707"/>
      <w:bookmarkStart w:id="218" w:name="_Toc76"/>
      <w:bookmarkEnd w:id="217"/>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2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استناد التغيّر إلى النجاسة لم ينجس ؛ لأنّ أصالة الطهارة لا تدفع بالشكّ</w:t>
      </w:r>
      <w:r>
        <w:rPr>
          <w:rFonts w:eastAsia="Amiri" w:cs="Amiri" w:ascii="Amiri" w:hAnsi="Amiri"/>
          <w:color w:val="111111"/>
          <w:sz w:val="28"/>
          <w:szCs w:val="28"/>
          <w:rtl w:val="true"/>
          <w:lang w:bidi="ar-SA"/>
        </w:rPr>
        <w:t xml:space="preserve">. </w:t>
      </w:r>
      <w:bookmarkStart w:id="219" w:name="pg8731_77080"/>
    </w:p>
    <w:p>
      <w:pPr>
        <w:pStyle w:val="Heading6"/>
        <w:numPr>
          <w:ilvl w:val="5"/>
          <w:numId w:val="1"/>
        </w:numPr>
        <w:rPr/>
      </w:pPr>
      <w:bookmarkStart w:id="220" w:name="__RefHeading___Toc3140005_653776707"/>
      <w:bookmarkStart w:id="221" w:name="_Toc77"/>
      <w:bookmarkEnd w:id="219"/>
      <w:bookmarkEnd w:id="220"/>
      <w:r>
        <w:rPr>
          <w:rtl w:val="true"/>
        </w:rPr>
        <w:t xml:space="preserve">مسألة </w:t>
      </w:r>
      <w:r>
        <w:rPr>
          <w:rtl w:val="true"/>
        </w:rPr>
        <w:t>[</w:t>
      </w:r>
      <w:r>
        <w:rPr/>
        <w:t>8</w:t>
      </w:r>
      <w:r>
        <w:rPr>
          <w:rtl w:val="true"/>
        </w:rPr>
        <w:t>] :</w:t>
      </w:r>
      <w:bookmarkEnd w:id="221"/>
    </w:p>
    <w:p>
      <w:pPr>
        <w:pStyle w:val="Heading6"/>
        <w:numPr>
          <w:ilvl w:val="5"/>
          <w:numId w:val="1"/>
        </w:numPr>
        <w:rPr/>
      </w:pPr>
      <w:bookmarkStart w:id="222" w:name="__RefHeading___Toc3140007_653776707"/>
      <w:bookmarkStart w:id="223" w:name="_Toc7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إذا نجس القليل الواقف فلتطهيره طرق يتوقّف بيانها على تمهيد مقدمة ، وهي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 في تطهير الماء مجرّد اتّصال المطهّر به؟ أو لا بدّ من الممازجة؟</w:t>
      </w:r>
    </w:p>
    <w:p>
      <w:pPr>
        <w:pStyle w:val="BookText"/>
        <w:rPr/>
      </w:pPr>
      <w:r>
        <w:rPr>
          <w:rFonts w:ascii="Amiri" w:hAnsi="Amiri" w:eastAsia="Amiri" w:cs="Amiri"/>
          <w:color w:val="111111"/>
          <w:sz w:val="28"/>
          <w:sz w:val="28"/>
          <w:szCs w:val="28"/>
          <w:rtl w:val="true"/>
          <w:lang w:bidi="ar-SA"/>
        </w:rPr>
        <w:t>فقد اختلف في ذلك كلام الأصحاب ، وظهر من فتوى جماعة منهم فيه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صرّح </w:t>
      </w:r>
      <w:r>
        <w:rPr>
          <w:rStyle w:val="FootnoteAnchor"/>
          <w:rtl w:val="true"/>
        </w:rPr>
        <w:footnoteReference w:id="200"/>
      </w:r>
      <w:r>
        <w:rPr>
          <w:rFonts w:ascii="Amiri" w:hAnsi="Amiri" w:eastAsia="Amiri" w:cs="Amiri"/>
          <w:color w:val="111111"/>
          <w:sz w:val="28"/>
          <w:sz w:val="28"/>
          <w:szCs w:val="28"/>
          <w:rtl w:val="true"/>
          <w:lang w:bidi="ar-SA"/>
        </w:rPr>
        <w:t xml:space="preserve">باشتراط الامتزاج المحقّق في المعتبر ؛ فإنّه ذهب في مسألة الغديرين إلى أنّ اتّصال القليل النجس منهما بالكثير الطاهر غير كاف في تطهيره </w:t>
      </w:r>
      <w:r>
        <w:rPr>
          <w:rStyle w:val="FootnoteAnchor"/>
          <w:rtl w:val="true"/>
        </w:rPr>
        <w:footnoteReference w:id="201"/>
      </w:r>
      <w:r>
        <w:rPr>
          <w:rFonts w:ascii="Amiri" w:hAnsi="Amiri" w:eastAsia="Amiri" w:cs="Amiri"/>
          <w:color w:val="111111"/>
          <w:sz w:val="28"/>
          <w:sz w:val="28"/>
          <w:szCs w:val="28"/>
          <w:rtl w:val="true"/>
          <w:lang w:bidi="ar-SA"/>
        </w:rPr>
        <w:t>، وقد سبق نقل عبارته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بعدم اعتباره وجعل المناط مجرد الاتصال ، الفاضل الشيخ علي </w:t>
      </w:r>
      <w:r>
        <w:rPr>
          <w:rStyle w:val="FootnoteAnchor"/>
          <w:rtl w:val="true"/>
        </w:rPr>
        <w:footnoteReference w:id="202"/>
      </w:r>
      <w:r>
        <w:rPr>
          <w:rFonts w:ascii="Amiri" w:hAnsi="Amiri" w:eastAsia="Amiri" w:cs="Amiri"/>
          <w:color w:val="111111"/>
          <w:sz w:val="28"/>
          <w:sz w:val="28"/>
          <w:szCs w:val="28"/>
          <w:rtl w:val="true"/>
          <w:lang w:bidi="ar-SA"/>
        </w:rPr>
        <w:t xml:space="preserve">ووالدي </w:t>
      </w:r>
      <w:r>
        <w:rPr>
          <w:rStyle w:val="FootnoteAnchor"/>
          <w:rtl w:val="true"/>
        </w:rPr>
        <w:footnoteReference w:id="203"/>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المنتهى في مسألة الغديرين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وصل بين الغديرين بساقية اتّحدا ، واعتبر الكرّية فيهما مع الساقية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أحدهما أقلّ من الآخر ولاقته نجاسة فوصل بغدير بالغ كرّا ، 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بقاؤه على النجاسة ؛ لأنّه ممتاز عن الطاهر ، مع أنّه لو مازجه وقهره لنجّسه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نظر ؛ فإنّ الاتّفاق واقع على أنّ تطهير ما نقص عن الكرّ بإلقاء كرّ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 المداخلة ممتنعة ، فالمعتبر إذن الاتصال الموجود هنا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كرّ فوقعت فيه نجاسة ، ثمّ وصل بغدير بالغ كرّا فالأولى زوال النجاسة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ما يقرب من هذا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وصل بين الغديرين بساقية اتّحدا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أحدهما نجسا فالأقرب بقاؤه على حكمه مع الاتصال ، وانتقاله إلى الطهارة مع الممازجة ؛ لأنّ النجس لو غلب الطاهر نجّسه مع الممازجة ، فمع التميّز يبقى على حاله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في بحث ماء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والحوض الصغير من الحمّام إذا نجس لم يطهر بإجراء المادّة إليه ما لم تغلب عليه بحيث تستولي عليه ؛ لأنّ الصادق عليه‌السلام حكم بأنّه بمنزلة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ينجّس الجاري لم يطهر إلّا باستيلاء الماء عليه بحيث يزيل انفعاله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مثله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في التحرير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تنجس الحوض الصغير في الحمّام لم يطهر باجراء المادّة إليه بل بتكاثرها على مائه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ما في هذه الفتاوى من الاختلاف مع اتّحاد الموضوع أو تماثله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للشهيد رحمه‌اللّه ما يقرب من ذلك فإنّه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 القليل بمطهّر الكثير ممازجا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وصل بكرّ مماسّة لم يطهر ؛ للتميّز المقتضي لاختصاص كلّ بحكمه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اللمعة بالاكتفاء بمجرّد الملاقاة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 لك من الكلام الذي حكيناه مظهر الاحتجاج من الجانبين ، وما رأيت من بسط القول فيه سوى الشيخ علي </w:t>
      </w:r>
      <w:r>
        <w:rPr>
          <w:rStyle w:val="FootnoteAnchor"/>
          <w:rtl w:val="true"/>
        </w:rPr>
        <w:footnoteReference w:id="214"/>
      </w:r>
      <w:r>
        <w:rPr>
          <w:rFonts w:ascii="Amiri" w:hAnsi="Amiri" w:eastAsia="Amiri" w:cs="Amiri"/>
          <w:color w:val="111111"/>
          <w:sz w:val="28"/>
          <w:sz w:val="28"/>
          <w:szCs w:val="28"/>
          <w:rtl w:val="true"/>
          <w:lang w:bidi="ar-SA"/>
        </w:rPr>
        <w:t xml:space="preserve">ووالدي </w:t>
      </w:r>
      <w:r>
        <w:rPr>
          <w:rStyle w:val="FootnoteAnchor"/>
          <w:rtl w:val="true"/>
        </w:rPr>
        <w:footnoteReference w:id="215"/>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احتجّا لما ذهبا إليه من الاكتفاء بالاتصال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وعدم تحقّق الامتزاج ؛ لأنّه إن اريد به امتزاج مجموع الأجزاء بالمجموع لم يتحقّق الحكم بالطهارة ؛ لعدم العلم بذلك ، بل ربّما 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البعض لم يكن المطهّر للبعض الآخر الامتزاج بل مجرّد الاتّصال ، فيلزم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بعدم طهارته أو القول بالاكتفاء بمجرّد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الأجزاء الملاقية للطاهر تطهر بمجرد الاتّصال قطعا ، فتطهر الأجزاء التي تليها لاتّصالها بالكثير الطاهر ، وكذا القول في بقية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يحتجّ به لهذا القول ، وقد اشتمل على وجوه ثلاثة لا أرى واحدا منها سليما من جرح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التمسّك بالأصل ، فلأنّه لا معنى له في مثل هذا المقام ؛ لمعارضة أصالة بقاء النجاسة له ، ولو فرض وجود دليل يصلح مخرجا عنها لكان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تحقّق الامتزاج ، فلأنّ محصّله انحصار ما يحتمل إرادته منه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امتزاج مجموع أجزاء المطهّر بمجموع أجزاء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العلم به على تقدير امكان حصوله ، فلا يجوز جعله مناطا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البعض بالبعض ، وحينئذ فالبعض الغير الممتزج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 بعدم طهارته وهو باطل قطعا ؛ إذ الاتفاق واقع على أنّه ليس وراء الامتزاج المذكور شرط آخر لطهر الجميع ، أو يقال بطهارته بمجرّد الاتصال ، فيلزم القول به مطلقا ؛ إذا الفرق بين الأبعاض غير معقول ، فيكون اعتبار الامتزاج على هذا التقدير مستلزما لعدم اعتباره وهو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إرادة امتزاج البعض ، وأنّ الباقي يطهر حينئذ ، ويمنع اقتضاء ذلك ؛ للاكتفاء بالاتّصال مطلقا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بالطّهارة وعدمها تابع للدلالة الشرعيّة ، وليس للعقل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إنّما حكمنا بطهر الأجزاء الباقية بغير امتزاج من الماء </w:t>
      </w:r>
      <w:r>
        <w:rPr>
          <w:rStyle w:val="FootnoteAnchor"/>
          <w:rtl w:val="true"/>
        </w:rPr>
        <w:footnoteReference w:id="217"/>
      </w:r>
      <w:r>
        <w:rPr>
          <w:rFonts w:ascii="Amiri" w:hAnsi="Amiri" w:eastAsia="Amiri" w:cs="Amiri"/>
          <w:color w:val="111111"/>
          <w:sz w:val="28"/>
          <w:sz w:val="28"/>
          <w:szCs w:val="28"/>
          <w:rtl w:val="true"/>
          <w:lang w:bidi="ar-SA"/>
        </w:rPr>
        <w:t xml:space="preserve">الممتزج ظاهرا لقيام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الاتفاق على حصول الطهارة للمجموع حينئذ كما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يستلزم الحكم بطهارة الأجزاء وإن لم يحصل فيها </w:t>
      </w:r>
    </w:p>
    <w:p>
      <w:pPr>
        <w:pStyle w:val="BookText"/>
        <w:rPr/>
      </w:pPr>
      <w:r>
        <w:rPr>
          <w:rFonts w:ascii="Amiri" w:hAnsi="Amiri" w:eastAsia="Amiri" w:cs="Amiri"/>
          <w:color w:val="111111"/>
          <w:sz w:val="28"/>
          <w:sz w:val="28"/>
          <w:szCs w:val="28"/>
          <w:rtl w:val="true"/>
          <w:lang w:bidi="ar-SA"/>
        </w:rPr>
        <w:t>غير الاتّصال ، فمن أين يلزمنا الحكم بطهارة ما لم يحصل فيه امتزاج أصلا بمجرّد الاتصال؟ وهو خلاف مورد الدليل ، وليس هناك نصّ على علّة مشتركة توجب اشتراكهما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واضح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أمتن الوجوه وأقربها ، إلّا أنّه موقوف على وجود دليل نقليّ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الماء مطهّر لنفسه بقول مطلق ، ولا أراه موجودا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مرّ من الاحتجاج لكون الماء مطهّرا بالآيتين إنّما يقتضي ثبوت ذلك في الجملة ؛ إذ لا عموم فيهما ؛ فلا بدّ في اثباته من ضميمة الاجماع على عدم الفصل ، وذلك لا يتأتّى في موضع النزاع ؛ لظهور الخلاف فيه ، ولما دلّ النصّ والاجماع على أنّ وقوع النجاسة في الكثير أو وقوعه عليها لا يمنع من استعماله ، ولا يثمر </w:t>
      </w:r>
      <w:r>
        <w:rPr>
          <w:rStyle w:val="FootnoteAnchor"/>
          <w:rtl w:val="true"/>
        </w:rPr>
        <w:footnoteReference w:id="219"/>
      </w:r>
      <w:r>
        <w:rPr>
          <w:rFonts w:ascii="Amiri" w:hAnsi="Amiri" w:eastAsia="Amiri" w:cs="Amiri"/>
          <w:color w:val="111111"/>
          <w:sz w:val="28"/>
          <w:sz w:val="28"/>
          <w:szCs w:val="28"/>
          <w:rtl w:val="true"/>
          <w:lang w:bidi="ar-SA"/>
        </w:rPr>
        <w:t xml:space="preserve">فيه تنجيسا وإن كثرت ما لم يغيّره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جميع أجزائه ، إذا لم يتميّز النجاسة فيها ، وهو يقتضي إلغاء حكمها ، حيث يشيع في أجزاء الماء ، وتصير مستهلكة به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جرم كان ذلك دالّا بمفهوم الموافقة على أنّ الماء النجس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في الماء ، أو وقع الماء عليه وصار مستهلكا فيه بحيث شاعت الأجزاء ولم يتميّز ، وجب الحكم بطهارته ؛ لما ذكر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الامتزاج الذي نعتبره في حصول التطهير</w:t>
      </w:r>
      <w:r>
        <w:rPr>
          <w:rFonts w:eastAsia="Amiri" w:cs="Amiri" w:ascii="Amiri" w:hAnsi="Amiri"/>
          <w:color w:val="111111"/>
          <w:sz w:val="28"/>
          <w:szCs w:val="28"/>
          <w:rtl w:val="true"/>
          <w:lang w:bidi="ar-SA"/>
        </w:rPr>
        <w:t xml:space="preserve">. </w:t>
      </w:r>
      <w:bookmarkStart w:id="224" w:name="pg8731_77085"/>
    </w:p>
    <w:p>
      <w:pPr>
        <w:pStyle w:val="BookText"/>
        <w:rPr/>
      </w:pPr>
      <w:bookmarkEnd w:id="224"/>
      <w:r>
        <w:rPr>
          <w:rFonts w:ascii="Amiri" w:hAnsi="Amiri" w:eastAsia="Amiri" w:cs="Amiri"/>
          <w:color w:val="111111"/>
          <w:sz w:val="28"/>
          <w:sz w:val="28"/>
          <w:szCs w:val="28"/>
          <w:rtl w:val="true"/>
          <w:lang w:bidi="ar-SA"/>
        </w:rPr>
        <w:t xml:space="preserve">وقد ظهر بذلك قوّة القول باعتباره ، واتّضح فساد قول بعض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للامتزاج معنى محصّل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طرق تطهير الواقف القليل </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3140009_653776707"/>
      <w:bookmarkStart w:id="226" w:name="_Toc79"/>
      <w:bookmarkEnd w:id="225"/>
      <w:r>
        <w:rPr>
          <w:rtl w:val="true"/>
        </w:rPr>
        <w:t>[</w:t>
      </w:r>
      <w:r>
        <w:rPr/>
        <w:t>1</w:t>
      </w:r>
      <w:r>
        <w:rPr>
          <w:rtl w:val="true"/>
        </w:rPr>
        <w:t xml:space="preserve">] - </w:t>
      </w:r>
      <w:r>
        <w:rPr>
          <w:rtl w:val="true"/>
        </w:rPr>
        <w:t>إلقاء الكرّ عليه</w:t>
      </w:r>
      <w:r>
        <w:rPr>
          <w:rtl w:val="true"/>
        </w:rPr>
        <w:t>.</w:t>
      </w:r>
      <w:bookmarkEnd w:id="226"/>
    </w:p>
    <w:p>
      <w:pPr>
        <w:pStyle w:val="BookText"/>
        <w:rPr/>
      </w:pPr>
      <w:r>
        <w:rPr>
          <w:rFonts w:ascii="Amiri" w:hAnsi="Amiri" w:eastAsia="Amiri" w:cs="Amiri"/>
          <w:color w:val="111111"/>
          <w:sz w:val="28"/>
          <w:sz w:val="28"/>
          <w:szCs w:val="28"/>
          <w:rtl w:val="true"/>
          <w:lang w:bidi="ar-SA"/>
        </w:rPr>
        <w:t>واعتبر كثير من الأصحاب فيه الدفعة ، وأطلق آخرون ، واضطربت فتاوى البعض فيه ، كاعتبار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إمّا أن يعتبر في عدم انفعال مقدار الكرّ استواء سطحه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يشترط في التطهير حصول الامتزاج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حصول النجاسة </w:t>
      </w:r>
      <w:r>
        <w:rPr>
          <w:rStyle w:val="FootnoteAnchor"/>
          <w:rtl w:val="true"/>
        </w:rPr>
        <w:footnoteReference w:id="222"/>
      </w:r>
      <w:r>
        <w:rPr>
          <w:rFonts w:ascii="Amiri" w:hAnsi="Amiri" w:eastAsia="Amiri" w:cs="Amiri"/>
          <w:color w:val="111111"/>
          <w:sz w:val="28"/>
          <w:sz w:val="28"/>
          <w:szCs w:val="28"/>
          <w:rtl w:val="true"/>
          <w:lang w:bidi="ar-SA"/>
        </w:rPr>
        <w:t xml:space="preserve">عن مجرّد الملاقاة ، أو مع التغيّر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 صور أربع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w:t>
      </w:r>
      <w:r>
        <w:rPr>
          <w:rStyle w:val="FootnoteAnchor"/>
          <w:rtl w:val="true"/>
        </w:rPr>
        <w:footnoteReference w:id="225"/>
      </w:r>
      <w:r>
        <w:rPr>
          <w:rFonts w:ascii="Amiri" w:hAnsi="Amiri" w:eastAsia="Amiri" w:cs="Amiri"/>
          <w:color w:val="111111"/>
          <w:sz w:val="28"/>
          <w:sz w:val="28"/>
          <w:szCs w:val="28"/>
          <w:rtl w:val="true"/>
          <w:lang w:bidi="ar-SA"/>
        </w:rPr>
        <w:t>في عدم انفعال الكرّ استواء السطح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والمتّجه حينئذ اشتراط الدفعة في الإلقاء ؛ لأنّ وقوعه تدريجا يقتضي خروجه عن المساواة ، فتنفعل </w:t>
      </w:r>
      <w:r>
        <w:rPr>
          <w:rStyle w:val="FootnoteAnchor"/>
          <w:rtl w:val="true"/>
        </w:rPr>
        <w:footnoteReference w:id="226"/>
      </w:r>
      <w:r>
        <w:rPr>
          <w:rFonts w:ascii="Amiri" w:hAnsi="Amiri" w:eastAsia="Amiri" w:cs="Amiri"/>
          <w:color w:val="111111"/>
          <w:sz w:val="28"/>
          <w:sz w:val="28"/>
          <w:szCs w:val="28"/>
          <w:rtl w:val="true"/>
          <w:lang w:bidi="ar-SA"/>
        </w:rPr>
        <w:t>الأجزاء التي يصيبها الماء النجس وينقص الطاهر عن الكرّ ، فلا يصلح لإفادة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المتغيّر وغيره ؛ لاشتراك الكلّ في التأثير في القليل ، والمفروض صيرورة الأجزاء بعدم المساواة في معنى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يهمل </w:t>
      </w:r>
      <w:r>
        <w:rPr>
          <w:rStyle w:val="FootnoteAnchor"/>
          <w:rtl w:val="true"/>
        </w:rPr>
        <w:footnoteReference w:id="227"/>
      </w:r>
      <w:r>
        <w:rPr>
          <w:rFonts w:ascii="Amiri" w:hAnsi="Amiri" w:eastAsia="Amiri" w:cs="Amiri"/>
          <w:color w:val="111111"/>
          <w:sz w:val="28"/>
          <w:sz w:val="28"/>
          <w:szCs w:val="28"/>
          <w:rtl w:val="true"/>
          <w:lang w:bidi="ar-SA"/>
        </w:rPr>
        <w:t xml:space="preserve">اعتبار المساواة ولكن يشترط </w:t>
      </w:r>
      <w:r>
        <w:rPr>
          <w:rStyle w:val="FootnoteAnchor"/>
          <w:rtl w:val="true"/>
        </w:rPr>
        <w:footnoteReference w:id="228"/>
      </w:r>
      <w:r>
        <w:rPr>
          <w:rFonts w:ascii="IRNazanin" w:hAnsi="IRNazanin" w:eastAsia="IRNazanin"/>
          <w:color w:val="111111"/>
          <w:sz w:val="28"/>
          <w:sz w:val="28"/>
          <w:szCs w:val="28"/>
          <w:rtl w:val="true"/>
          <w:lang w:bidi="fa-IR"/>
        </w:rPr>
        <w:t>الامتزاج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عدم اعتبار الدفعة حينئذ ، بل ما يحصل به ممازجة الطاهر بالنجس واستهلاكه له </w:t>
      </w:r>
      <w:r>
        <w:rPr>
          <w:rStyle w:val="FootnoteAnchor"/>
          <w:rtl w:val="true"/>
        </w:rPr>
        <w:footnoteReference w:id="229"/>
      </w:r>
      <w:r>
        <w:rPr>
          <w:rFonts w:ascii="Amiri" w:hAnsi="Amiri" w:eastAsia="Amiri" w:cs="Amiri"/>
          <w:color w:val="111111"/>
          <w:sz w:val="28"/>
          <w:sz w:val="28"/>
          <w:szCs w:val="28"/>
          <w:rtl w:val="true"/>
          <w:lang w:bidi="ar-SA"/>
        </w:rPr>
        <w:t>حتى لو فرض حصول ذلك قبل إتمام إلقاء الكرّ لم يحتج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يفرّق </w:t>
      </w:r>
      <w:r>
        <w:rPr>
          <w:rStyle w:val="FootnoteAnchor"/>
          <w:rtl w:val="true"/>
        </w:rPr>
        <w:footnoteReference w:id="230"/>
      </w:r>
      <w:r>
        <w:rPr>
          <w:rFonts w:ascii="Amiri" w:hAnsi="Amiri" w:eastAsia="Amiri" w:cs="Amiri"/>
          <w:color w:val="111111"/>
          <w:sz w:val="28"/>
          <w:sz w:val="28"/>
          <w:szCs w:val="28"/>
          <w:rtl w:val="true"/>
          <w:lang w:bidi="ar-SA"/>
        </w:rPr>
        <w:t>هنا أيضا بين المتغيّر وغيره ، لكن يعتبر في المتغيّر مع الممازجة زوال تغيّره ، فيجب أن يلقى عليه من مقدار الكرّ ما يحصل به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قدّر قوّة المتغيّر بحيث يلزم منه تغيّر شي‌ء من أجزاء الكرّ حال وقوعها عليه ، وجب مراعاة ما يؤمن معه ذلك ؛ إمّا بتكثير </w:t>
      </w:r>
      <w:r>
        <w:rPr>
          <w:rStyle w:val="FootnoteAnchor"/>
          <w:rtl w:val="true"/>
        </w:rPr>
        <w:footnoteReference w:id="231"/>
      </w:r>
      <w:r>
        <w:rPr>
          <w:rFonts w:ascii="Amiri" w:hAnsi="Amiri" w:eastAsia="Amiri" w:cs="Amiri"/>
          <w:color w:val="111111"/>
          <w:sz w:val="28"/>
          <w:sz w:val="28"/>
          <w:szCs w:val="28"/>
          <w:rtl w:val="true"/>
          <w:lang w:bidi="ar-SA"/>
        </w:rPr>
        <w:t>الأجزاء أو بإلقاء الجميع دفعة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يشترط الممازجة ولا يعتبر المساواة وتكون </w:t>
      </w:r>
    </w:p>
    <w:p>
      <w:pPr>
        <w:pStyle w:val="BookText"/>
        <w:rPr/>
      </w:pPr>
      <w:r>
        <w:rPr>
          <w:rFonts w:ascii="Amiri" w:hAnsi="Amiri" w:eastAsia="Amiri" w:cs="Amiri"/>
          <w:color w:val="111111"/>
          <w:sz w:val="28"/>
          <w:sz w:val="28"/>
          <w:szCs w:val="28"/>
          <w:rtl w:val="true"/>
          <w:lang w:bidi="ar-SA"/>
        </w:rPr>
        <w:t xml:space="preserve">نجاسة الماء بمجرد الملاقاة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حينئذ الاكتفاء بمجرّد الاتّصال ، فإذا حصل بأقلّ مسمّاه كفى ، ولم يحتج إلى الزيادة عنه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كان الماء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حينئذ اندفاع التغيّر ، كما في صورة اشتراط الامتزاج ، ومع فرض تأثير التغيّر في بعض الأجزاء تتعيّن الدفعة أو ما جرى مجراها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تقدّم منّا الميل إلى اعتبار المساواة فاشتراط الدفعة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ووالدي رحمه‌اللّه لمّا لم ير اعتبار المساواة ، وفهم ذلك أيضا من ظاهر كلام أكثر الأصحاب على ما سلف ذكره ، استوجه عدم اشتراط الدفعة ، وحاول حمل كلام من ذكرها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الاتصال منها ؛ نظرا إلى أنّ إلقاءه مفرّقا بحيث يقطع بين أجزائه ، يوجب تعدّد دفعات الإلقاء ، ومع اتّصال بعضه ببعض يصدق الدفعة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أحطت خبرا بما حقّقناه علمت عدم استقامة هذا الحمل ؛ لأنّ كلام العلّامة رحمه‌اللّه في مادّة الحمّام يدلّ على انفعال السافل من الماء غير المستوي وإن كان مجموعه بالغا مقدار الكرّ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الدفعة بمعناها الظاهر المشهور متعيّن على ذلك التقدير كما ذكرناه ، فلا وجه للعدول بكلامه عن الظاهر وارتكاب التكلّف الذي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من الدفعة </w:t>
      </w:r>
      <w:r>
        <w:rPr>
          <w:rStyle w:val="FootnoteAnchor"/>
          <w:rtl w:val="true"/>
        </w:rPr>
        <w:footnoteReference w:id="234"/>
      </w:r>
      <w:r>
        <w:rPr>
          <w:rFonts w:ascii="Amiri" w:hAnsi="Amiri" w:eastAsia="Amiri" w:cs="Amiri"/>
          <w:color w:val="111111"/>
          <w:sz w:val="28"/>
          <w:sz w:val="28"/>
          <w:szCs w:val="28"/>
          <w:rtl w:val="true"/>
          <w:lang w:bidi="ar-SA"/>
        </w:rPr>
        <w:t>ما لا يخرج به الماء عن كونه متساوي السطح ، ومآله إلى ما يبقى به صدق الاجتماع والوحدة عرفا ؛ لما عرفت من أنّ الموجب لاعتبارها هو التحرّز من انفعال بعض أجزاء الماء ، وهو إنّما يكون بخروجه عن الوحدة المعتبرة ، فلا يرد حينئذ ما أورده بعض الأصحاب من أنّ الدفعة لا يتحقّق لها معنى لتعذّر الحقيقة وعدم الدليل على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يوجد في كلام بعض المتأخّرين من تعليل اعتبارها بالنصّ فغريب ؛ إذ لم ينقل أحد من الأصحاب في الاحتجاج على ذلك خبرا ، ولا هو موجود في كتب الأخبار المعروفة ، وما رأينا في كتب الاستدلال مثل المنتهى في كثرة التتبّع للأخبار والاحتجاج بها ، ومع ذلك فلم يستدلّ فيه على اعتبارها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على طهارة الكثير المتغيّر بالقاء الكرّ دفعة بأنّ الطاري غير قابل للنجاسة لكثرته ، والمتغيّر مستهلك فيه فيطهر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أحال الاحتجاج لحكم القليل ، على ما ذكره في الكثير حيث إنّه في كلامه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إلى هذا الاستدلال شيخه المحقّق فاحتجّ في المعتبر لطهارة القليل غير المتغيّر بالقاء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الطاري لا يقبل النجاسة ، والنجس مستهلك به فيطهر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دلالة واضحة على ما قلناه من عدم وجود دليل يدلّ على خصوص </w:t>
      </w:r>
      <w:bookmarkStart w:id="227" w:name="pg8731_77089"/>
    </w:p>
    <w:p>
      <w:pPr>
        <w:pStyle w:val="BookText"/>
        <w:rPr/>
      </w:pPr>
      <w:bookmarkEnd w:id="227"/>
      <w:r>
        <w:rPr>
          <w:rFonts w:ascii="Amiri" w:hAnsi="Amiri" w:eastAsia="Amiri" w:cs="Amiri"/>
          <w:color w:val="111111"/>
          <w:sz w:val="28"/>
          <w:sz w:val="28"/>
          <w:szCs w:val="28"/>
          <w:rtl w:val="true"/>
          <w:lang w:bidi="ar-SA"/>
        </w:rPr>
        <w:t>طريق تطهير الماء ، وإلّا لكان أحقّ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الطرق لتطهير القليل أيضا </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140011_653776707"/>
      <w:bookmarkStart w:id="229" w:name="_Toc80"/>
      <w:bookmarkEnd w:id="228"/>
      <w:r>
        <w:rPr>
          <w:rtl w:val="true"/>
        </w:rPr>
        <w:t>[</w:t>
      </w:r>
      <w:r>
        <w:rPr/>
        <w:t>2</w:t>
      </w:r>
      <w:r>
        <w:rPr>
          <w:rtl w:val="true"/>
        </w:rPr>
        <w:t xml:space="preserve">] - </w:t>
      </w:r>
      <w:r>
        <w:rPr>
          <w:rtl w:val="true"/>
        </w:rPr>
        <w:t>إلقاؤه في الكرّ</w:t>
      </w:r>
      <w:r>
        <w:rPr>
          <w:rtl w:val="true"/>
        </w:rPr>
        <w:t>.</w:t>
      </w:r>
      <w:bookmarkEnd w:id="229"/>
    </w:p>
    <w:p>
      <w:pPr>
        <w:pStyle w:val="BookText"/>
        <w:rPr/>
      </w:pPr>
      <w:r>
        <w:rPr>
          <w:rFonts w:ascii="Amiri" w:hAnsi="Amiri" w:eastAsia="Amiri" w:cs="Amiri"/>
          <w:color w:val="111111"/>
          <w:sz w:val="28"/>
          <w:sz w:val="28"/>
          <w:szCs w:val="28"/>
          <w:rtl w:val="true"/>
          <w:lang w:bidi="ar-SA"/>
        </w:rPr>
        <w:t>وحينئذ إن كان متغيّرا اعتبر في طهره الامتزاج ؛ لأنّ طهارته موقوفة على زوال تغيّره ، وهو لا يحصل بدون 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متغيّرا بني اعتبار الامتزاج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بدّ من صيرورته بحيث يساوي سطحه سطح الكرّ ، أو يكون ماء الكرّ أعلى</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140013_653776707"/>
      <w:bookmarkStart w:id="231" w:name="_Toc81"/>
      <w:bookmarkEnd w:id="230"/>
      <w:r>
        <w:rPr>
          <w:rtl w:val="true"/>
        </w:rPr>
        <w:t>[</w:t>
      </w:r>
      <w:r>
        <w:rPr/>
        <w:t>3</w:t>
      </w:r>
      <w:r>
        <w:rPr>
          <w:rtl w:val="true"/>
        </w:rPr>
        <w:t xml:space="preserve">] - </w:t>
      </w:r>
      <w:r>
        <w:rPr>
          <w:rtl w:val="true"/>
        </w:rPr>
        <w:t xml:space="preserve">ومنها </w:t>
      </w:r>
      <w:r>
        <w:rPr>
          <w:rtl w:val="true"/>
        </w:rPr>
        <w:t xml:space="preserve">: </w:t>
      </w:r>
      <w:r>
        <w:rPr>
          <w:rtl w:val="true"/>
        </w:rPr>
        <w:t>اتصاله بالنابع المساوي له أو الأعلى منه</w:t>
      </w:r>
      <w:r>
        <w:rPr>
          <w:rtl w:val="true"/>
        </w:rPr>
        <w:t>.</w:t>
      </w:r>
      <w:bookmarkEnd w:id="231"/>
    </w:p>
    <w:p>
      <w:pPr>
        <w:pStyle w:val="BookText"/>
        <w:rPr/>
      </w:pPr>
      <w:r>
        <w:rPr>
          <w:rFonts w:ascii="Amiri" w:hAnsi="Amiri" w:eastAsia="Amiri" w:cs="Amiri"/>
          <w:color w:val="111111"/>
          <w:sz w:val="28"/>
          <w:sz w:val="28"/>
          <w:szCs w:val="28"/>
          <w:rtl w:val="true"/>
          <w:lang w:bidi="ar-SA"/>
        </w:rPr>
        <w:t xml:space="preserve">وفي معناه الجاري عن </w:t>
      </w:r>
      <w:r>
        <w:rPr>
          <w:rStyle w:val="FootnoteAnchor"/>
          <w:rtl w:val="true"/>
        </w:rPr>
        <w:footnoteReference w:id="236"/>
      </w:r>
      <w:r>
        <w:rPr>
          <w:rFonts w:ascii="Amiri" w:hAnsi="Amiri" w:eastAsia="Amiri" w:cs="Amiri"/>
          <w:color w:val="111111"/>
          <w:sz w:val="28"/>
          <w:sz w:val="28"/>
          <w:szCs w:val="28"/>
          <w:rtl w:val="true"/>
          <w:lang w:bidi="ar-SA"/>
        </w:rPr>
        <w:t>مادّة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في اعتبار الامتزاج أو </w:t>
      </w:r>
      <w:r>
        <w:rPr>
          <w:rStyle w:val="FootnoteAnchor"/>
          <w:rtl w:val="true"/>
        </w:rPr>
        <w:footnoteReference w:id="237"/>
      </w:r>
      <w:r>
        <w:rPr>
          <w:rFonts w:ascii="Amiri" w:hAnsi="Amiri" w:eastAsia="Amiri" w:cs="Amiri"/>
          <w:color w:val="111111"/>
          <w:sz w:val="28"/>
          <w:sz w:val="28"/>
          <w:szCs w:val="28"/>
          <w:rtl w:val="true"/>
          <w:lang w:bidi="ar-SA"/>
        </w:rPr>
        <w:t>الاكتفاء بمجرّة الاتصال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w:t>
      </w:r>
      <w:r>
        <w:rPr>
          <w:rStyle w:val="FootnoteAnchor"/>
          <w:rtl w:val="true"/>
        </w:rPr>
        <w:footnoteReference w:id="238"/>
      </w:r>
      <w:r>
        <w:rPr>
          <w:rFonts w:ascii="Amiri" w:hAnsi="Amiri" w:eastAsia="Amiri" w:cs="Amiri"/>
          <w:color w:val="111111"/>
          <w:sz w:val="28"/>
          <w:sz w:val="28"/>
          <w:szCs w:val="28"/>
          <w:rtl w:val="true"/>
          <w:lang w:bidi="ar-SA"/>
        </w:rPr>
        <w:t>اشتراط بلوغ النابع مقدار الكرّ وعدمه على الخلاف الآتي</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140015_653776707"/>
      <w:bookmarkStart w:id="233" w:name="_Toc82"/>
      <w:bookmarkEnd w:id="232"/>
      <w:r>
        <w:rPr>
          <w:rtl w:val="true"/>
        </w:rPr>
        <w:t>[</w:t>
      </w:r>
      <w:r>
        <w:rPr/>
        <w:t>4</w:t>
      </w:r>
      <w:r>
        <w:rPr>
          <w:rtl w:val="true"/>
        </w:rPr>
        <w:t xml:space="preserve">] - </w:t>
      </w:r>
      <w:r>
        <w:rPr>
          <w:rtl w:val="true"/>
        </w:rPr>
        <w:t xml:space="preserve">ومنها </w:t>
      </w:r>
      <w:r>
        <w:rPr>
          <w:rtl w:val="true"/>
        </w:rPr>
        <w:t xml:space="preserve">: </w:t>
      </w:r>
      <w:r>
        <w:rPr>
          <w:rtl w:val="true"/>
        </w:rPr>
        <w:t>نزول ماء الغيث عليه</w:t>
      </w:r>
      <w:r>
        <w:rPr>
          <w:rtl w:val="true"/>
        </w:rPr>
        <w:t>.</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ماء الغيث</w:t>
      </w:r>
      <w:r>
        <w:rPr>
          <w:rStyle w:val="FootnoteAnchor"/>
          <w:rtl w:val="true"/>
        </w:rPr>
        <w:footnoteReference w:id="23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القدر الذي لا ينفعل منه </w:t>
      </w:r>
      <w:r>
        <w:rPr>
          <w:rStyle w:val="FootnoteAnchor"/>
          <w:rtl w:val="true"/>
        </w:rPr>
        <w:footnoteReference w:id="240"/>
      </w:r>
      <w:r>
        <w:rPr>
          <w:rFonts w:ascii="Amiri" w:hAnsi="Amiri" w:eastAsia="Amiri" w:cs="Amiri"/>
          <w:color w:val="111111"/>
          <w:sz w:val="28"/>
          <w:sz w:val="28"/>
          <w:szCs w:val="28"/>
          <w:rtl w:val="true"/>
          <w:lang w:bidi="ar-SA"/>
        </w:rPr>
        <w:t>بالملاقاة خلاف يأتي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اشتراط ممازجته له وغلبته </w:t>
      </w:r>
      <w:r>
        <w:rPr>
          <w:rStyle w:val="FootnoteAnchor"/>
          <w:rtl w:val="true"/>
        </w:rPr>
        <w:footnoteReference w:id="241"/>
      </w:r>
      <w:r>
        <w:rPr>
          <w:rFonts w:ascii="Amiri" w:hAnsi="Amiri" w:eastAsia="Amiri" w:cs="Amiri"/>
          <w:color w:val="111111"/>
          <w:sz w:val="28"/>
          <w:sz w:val="28"/>
          <w:szCs w:val="28"/>
          <w:rtl w:val="true"/>
          <w:lang w:bidi="ar-SA"/>
        </w:rPr>
        <w:t>عليه كغيره</w:t>
      </w:r>
      <w:r>
        <w:rPr>
          <w:rFonts w:eastAsia="Amiri" w:cs="Amiri" w:ascii="Amiri" w:hAnsi="Amiri"/>
          <w:color w:val="111111"/>
          <w:sz w:val="28"/>
          <w:szCs w:val="28"/>
          <w:rtl w:val="true"/>
          <w:lang w:bidi="ar-SA"/>
        </w:rPr>
        <w:t xml:space="preserve">. </w:t>
      </w:r>
      <w:bookmarkStart w:id="234" w:name="pg8731_77090"/>
    </w:p>
    <w:p>
      <w:pPr>
        <w:pStyle w:val="BookText"/>
        <w:rPr/>
      </w:pPr>
      <w:bookmarkEnd w:id="234"/>
      <w:r>
        <w:rPr>
          <w:rFonts w:ascii="Amiri" w:hAnsi="Amiri" w:eastAsia="Amiri" w:cs="Amiri"/>
          <w:color w:val="111111"/>
          <w:sz w:val="28"/>
          <w:sz w:val="28"/>
          <w:szCs w:val="28"/>
          <w:rtl w:val="true"/>
          <w:lang w:bidi="ar-SA"/>
        </w:rPr>
        <w:t>وعلى القول الآخر يمكن أن يكتفى بمجرّد وقوعه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زوال التغيّر به على تقدير وجوده</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140017_653776707"/>
      <w:bookmarkStart w:id="236" w:name="_Toc83"/>
      <w:bookmarkEnd w:id="235"/>
      <w:r>
        <w:rPr>
          <w:rtl w:val="true"/>
        </w:rPr>
        <w:t xml:space="preserve">فروع </w:t>
      </w:r>
      <w:r>
        <w:rPr>
          <w:rtl w:val="true"/>
        </w:rPr>
        <w:t>:</w:t>
      </w:r>
      <w:bookmarkEnd w:id="236"/>
    </w:p>
    <w:p>
      <w:pPr>
        <w:pStyle w:val="Heading6"/>
        <w:numPr>
          <w:ilvl w:val="5"/>
          <w:numId w:val="1"/>
        </w:numPr>
        <w:rPr/>
      </w:pPr>
      <w:bookmarkStart w:id="237" w:name="__RefHeading___Toc3140019_653776707"/>
      <w:bookmarkStart w:id="238" w:name="_Toc84"/>
      <w:bookmarkEnd w:id="237"/>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238"/>
    </w:p>
    <w:p>
      <w:pPr>
        <w:pStyle w:val="BookText"/>
        <w:rPr/>
      </w:pPr>
      <w:r>
        <w:rPr>
          <w:rFonts w:ascii="Amiri" w:hAnsi="Amiri" w:eastAsia="Amiri" w:cs="Amiri"/>
          <w:color w:val="111111"/>
          <w:sz w:val="28"/>
          <w:sz w:val="28"/>
          <w:szCs w:val="28"/>
          <w:rtl w:val="true"/>
          <w:lang w:bidi="ar-SA"/>
        </w:rPr>
        <w:t xml:space="preserve">وحيث يعتبر في تطهير المتغيّر إلقاء الكرّ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أزال</w:t>
      </w:r>
      <w:r>
        <w:rPr>
          <w:rStyle w:val="FootnoteAnchor"/>
          <w:rtl w:val="true"/>
        </w:rPr>
        <w:footnoteReference w:id="242"/>
      </w:r>
      <w:r>
        <w:rPr>
          <w:rFonts w:ascii="Amiri" w:hAnsi="Amiri" w:eastAsia="Amiri" w:cs="Amiri"/>
          <w:color w:val="111111"/>
          <w:sz w:val="28"/>
          <w:sz w:val="28"/>
          <w:szCs w:val="28"/>
          <w:rtl w:val="true"/>
          <w:lang w:bidi="ar-SA"/>
        </w:rPr>
        <w:t xml:space="preserve">تغيّره فذاك ، وإن بقي فيه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يبلغ غير المتغيّر منه قدر الكرّ مجتمعا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طهارته تمويجه </w:t>
      </w:r>
      <w:r>
        <w:rPr>
          <w:rStyle w:val="FootnoteAnchor"/>
          <w:rtl w:val="true"/>
        </w:rPr>
        <w:footnoteReference w:id="243"/>
      </w:r>
      <w:r>
        <w:rPr>
          <w:rFonts w:ascii="Amiri" w:hAnsi="Amiri" w:eastAsia="Amiri" w:cs="Amiri"/>
          <w:color w:val="111111"/>
          <w:sz w:val="28"/>
          <w:sz w:val="28"/>
          <w:szCs w:val="28"/>
          <w:rtl w:val="true"/>
          <w:lang w:bidi="ar-SA"/>
        </w:rPr>
        <w:t>بحيث يمتزج المتغيّر بغيره ويزول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لكلّ من المتغيّر وغير المتغيّر حكمه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التقريب حينئذ بمشكل</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140021_653776707"/>
      <w:bookmarkStart w:id="240" w:name="_Toc85"/>
      <w:bookmarkEnd w:id="239"/>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240"/>
    </w:p>
    <w:p>
      <w:pPr>
        <w:pStyle w:val="BookText"/>
        <w:rPr/>
      </w:pPr>
      <w:r>
        <w:rPr>
          <w:rFonts w:ascii="Amiri" w:hAnsi="Amiri" w:eastAsia="Amiri" w:cs="Amiri"/>
          <w:color w:val="111111"/>
          <w:sz w:val="28"/>
          <w:sz w:val="28"/>
          <w:szCs w:val="28"/>
          <w:rtl w:val="true"/>
          <w:lang w:bidi="ar-SA"/>
        </w:rPr>
        <w:t>لو كان القليل النجس في كوز أو نحوه توقّف طهره على دخول المطهّر إليه ليستولي عليه ويمازجه ، ويلزم من ذلك عدم طهارته إذا كان مملوّا ؛ لعدم إمكان التداخل ، فيبقى الامتياز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للمطهّر قوة وانصباب بحيث يدافع </w:t>
      </w:r>
      <w:r>
        <w:rPr>
          <w:rStyle w:val="FootnoteAnchor"/>
          <w:rtl w:val="true"/>
        </w:rPr>
        <w:footnoteReference w:id="244"/>
      </w:r>
      <w:r>
        <w:rPr>
          <w:rFonts w:ascii="Amiri" w:hAnsi="Amiri" w:eastAsia="Amiri" w:cs="Amiri"/>
          <w:color w:val="111111"/>
          <w:sz w:val="28"/>
          <w:sz w:val="28"/>
          <w:szCs w:val="28"/>
          <w:rtl w:val="true"/>
          <w:lang w:bidi="ar-SA"/>
        </w:rPr>
        <w:t>ما في الكوز فيمكن طهارته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يعلم معه عدم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ماء الكوز على وصفه المباين للمطهّر كالعذوبة والمطهّر مالح ، أو الحرارة وهو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غمس الكوز بمائه النجس في الكثير الطاهر طهر مع الامتزاج ولا تكفي المماسّة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w:t>
      </w:r>
      <w:r>
        <w:rPr>
          <w:rStyle w:val="FootnoteAnchor"/>
          <w:rtl w:val="true"/>
        </w:rPr>
        <w:footnoteReference w:id="245"/>
      </w:r>
      <w:r>
        <w:rPr>
          <w:rFonts w:ascii="Amiri" w:hAnsi="Amiri" w:eastAsia="Amiri" w:cs="Amiri"/>
          <w:color w:val="111111"/>
          <w:sz w:val="28"/>
          <w:sz w:val="28"/>
          <w:szCs w:val="28"/>
          <w:rtl w:val="true"/>
          <w:lang w:bidi="ar-SA"/>
        </w:rPr>
        <w:t xml:space="preserve">أكثريّة الطاهر ، نعم يشترط المكث ليتحقّق الامتزاج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وجه لترك اعتبار دخول المطهّر كما ذكرناه مع تعرّضه لاشتراط المكث ؛ فإنّه يأبى الاعتذار عنه بدلالة </w:t>
      </w:r>
      <w:r>
        <w:rPr>
          <w:rStyle w:val="FootnoteAnchor"/>
          <w:rtl w:val="true"/>
        </w:rPr>
        <w:footnoteReference w:id="247"/>
      </w:r>
      <w:r>
        <w:rPr>
          <w:rFonts w:ascii="Amiri" w:hAnsi="Amiri" w:eastAsia="Amiri" w:cs="Amiri"/>
          <w:color w:val="111111"/>
          <w:sz w:val="28"/>
          <w:sz w:val="28"/>
          <w:szCs w:val="28"/>
          <w:rtl w:val="true"/>
          <w:lang w:bidi="ar-SA"/>
        </w:rPr>
        <w:t>اشتراط الممازجة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غمس كوز فيه ماء نجس في ماء طاهر كثير طهر إذا دخل الماء فيه ، سواء كان الإناء ضيّق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يكفي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واسعه من غير مضيّ زمان ما لم يكن </w:t>
      </w:r>
      <w:r>
        <w:rPr>
          <w:rStyle w:val="FootnoteAnchor"/>
          <w:rtl w:val="true"/>
        </w:rPr>
        <w:footnoteReference w:id="248"/>
      </w:r>
      <w:r>
        <w:rPr>
          <w:rFonts w:ascii="Amiri" w:hAnsi="Amiri" w:eastAsia="Amiri" w:cs="Amiri"/>
          <w:color w:val="111111"/>
          <w:sz w:val="28"/>
          <w:sz w:val="28"/>
          <w:szCs w:val="28"/>
          <w:rtl w:val="true"/>
          <w:lang w:bidi="ar-SA"/>
        </w:rPr>
        <w:t xml:space="preserve">متغيّرا ، فيشترط مضيّ ما يظنّ فيه زواله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أنّه بعد البناء على الاكتفاء بالاتصال لا وجه لاشتراط دخول الماء فيه ، كما لا يشترط مضيّ الزمان ، بل المعتبر اتّصال الكثير به عاليا </w:t>
      </w:r>
      <w:r>
        <w:rPr>
          <w:rStyle w:val="FootnoteAnchor"/>
          <w:rtl w:val="true"/>
        </w:rPr>
        <w:footnoteReference w:id="250"/>
      </w:r>
      <w:r>
        <w:rPr>
          <w:rFonts w:ascii="Amiri" w:hAnsi="Amiri" w:eastAsia="Amiri" w:cs="Amiri"/>
          <w:color w:val="111111"/>
          <w:sz w:val="28"/>
          <w:sz w:val="28"/>
          <w:szCs w:val="28"/>
          <w:rtl w:val="true"/>
          <w:lang w:bidi="ar-SA"/>
        </w:rPr>
        <w:t>عليه ، أو مساويا له كما مرّ</w:t>
      </w:r>
      <w:r>
        <w:rPr>
          <w:rFonts w:eastAsia="Amiri" w:cs="Amiri" w:ascii="Amiri" w:hAnsi="Amiri"/>
          <w:color w:val="111111"/>
          <w:sz w:val="28"/>
          <w:szCs w:val="28"/>
          <w:rtl w:val="true"/>
          <w:lang w:bidi="ar-SA"/>
        </w:rPr>
        <w:t xml:space="preserve">. </w:t>
      </w:r>
      <w:bookmarkStart w:id="241" w:name="pg8731_77092"/>
    </w:p>
    <w:p>
      <w:pPr>
        <w:pStyle w:val="Heading6"/>
        <w:numPr>
          <w:ilvl w:val="5"/>
          <w:numId w:val="1"/>
        </w:numPr>
        <w:rPr/>
      </w:pPr>
      <w:bookmarkStart w:id="242" w:name="__RefHeading___Toc3140023_653776707"/>
      <w:bookmarkStart w:id="243" w:name="_Toc86"/>
      <w:bookmarkEnd w:id="241"/>
      <w:bookmarkEnd w:id="242"/>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243"/>
    </w:p>
    <w:p>
      <w:pPr>
        <w:pStyle w:val="BookText"/>
        <w:rPr/>
      </w:pPr>
      <w:r>
        <w:rPr>
          <w:rFonts w:ascii="Amiri" w:hAnsi="Amiri" w:eastAsia="Amiri" w:cs="Amiri"/>
          <w:color w:val="111111"/>
          <w:sz w:val="28"/>
          <w:sz w:val="28"/>
          <w:szCs w:val="28"/>
          <w:rtl w:val="true"/>
          <w:lang w:bidi="ar-SA"/>
        </w:rPr>
        <w:t>حوض الحمّام إذا عرض له نجاسة ، فحكمه كغيره في توقّف طهارته على حصول أحد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في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مادّته </w:t>
      </w:r>
      <w:r>
        <w:rPr>
          <w:rStyle w:val="FootnoteAnchor"/>
          <w:rtl w:val="true"/>
        </w:rPr>
        <w:footnoteReference w:id="251"/>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زيادتها على الكرّ بمقدار ما يتوقّف عليه صدق الامتزاج تقريبا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ذلك أنّ إجراء المادّة عليه إنّما يكون مع علوّها ، فالأجزاء التي تتّصل بالحوض منها </w:t>
      </w:r>
      <w:r>
        <w:rPr>
          <w:rStyle w:val="FootnoteAnchor"/>
          <w:rtl w:val="true"/>
        </w:rPr>
        <w:footnoteReference w:id="253"/>
      </w:r>
      <w:r>
        <w:rPr>
          <w:rFonts w:ascii="Amiri" w:hAnsi="Amiri" w:eastAsia="Amiri" w:cs="Amiri"/>
          <w:color w:val="111111"/>
          <w:sz w:val="28"/>
          <w:sz w:val="28"/>
          <w:szCs w:val="28"/>
          <w:rtl w:val="true"/>
          <w:lang w:bidi="ar-SA"/>
        </w:rPr>
        <w:t>تنفصل في الحكم عنها لخروجها عن المساواة كما عرفت ، فيتوقف عدم انفعالها بملاقاة ماء الحوض على كرّية ما قبلها ليتحقّق لها مادّة تمنع من انفعالها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كلّ جزء يقع في الحوض قبل استهلاك ما به النجس ؛ فإنّ بقاءه على الطهارة مع إصابة النجس له يتوقّف على اتصاله بمادّة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إطلاق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الحوض بتكاثر المادّة على مائه وغلبتها عليه ، كما حكيناه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عند التحقيق بما قلناه ؛ لأنّ كرّية المادّة وحدها معتبرة عنده ، فيجب أن يبقى على الكرّية ما بقي الحوض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ذكرناه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إجراء المادّة إليه متساوية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في بعض البلاد من جعل موضع الاتصال في أسفل الحوض ، ويكون في الماء كثرة وعلوّ بحيث يجري بقوّة إلى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الحاجة إلى الزائد عن مقدار الكرّ ، بل يكفي مجرّد </w:t>
      </w:r>
      <w:bookmarkStart w:id="244" w:name="pg8731_77093"/>
    </w:p>
    <w:p>
      <w:pPr>
        <w:pStyle w:val="BookText"/>
        <w:rPr/>
      </w:pPr>
      <w:bookmarkEnd w:id="244"/>
      <w:r>
        <w:rPr>
          <w:rFonts w:ascii="Amiri" w:hAnsi="Amiri" w:eastAsia="Amiri" w:cs="Amiri"/>
          <w:color w:val="111111"/>
          <w:sz w:val="28"/>
          <w:sz w:val="28"/>
          <w:szCs w:val="28"/>
          <w:rtl w:val="true"/>
          <w:lang w:bidi="ar-SA"/>
        </w:rPr>
        <w:t>حصول الامتزاج بين المائين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بامعان </w:t>
      </w:r>
      <w:r>
        <w:rPr>
          <w:rStyle w:val="FootnoteAnchor"/>
          <w:rtl w:val="true"/>
        </w:rPr>
        <w:footnoteReference w:id="255"/>
      </w:r>
      <w:r>
        <w:rPr>
          <w:rFonts w:ascii="Amiri" w:hAnsi="Amiri" w:eastAsia="Amiri" w:cs="Amiri"/>
          <w:color w:val="111111"/>
          <w:sz w:val="28"/>
          <w:sz w:val="28"/>
          <w:szCs w:val="28"/>
          <w:rtl w:val="true"/>
          <w:lang w:bidi="ar-SA"/>
        </w:rPr>
        <w:t>النظر في هذه المباحث ؛ فإنّ كلام الأصحاب فيها غير منقّح ، والنصوص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فيها هو الذي أدّى إليه النظر ووصل إليه الفكر وما التوفيق إلّا باللّه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140025_653776707"/>
      <w:bookmarkStart w:id="246" w:name="_Toc87"/>
      <w:bookmarkEnd w:id="245"/>
      <w:r>
        <w:rPr>
          <w:rtl w:val="true"/>
        </w:rPr>
        <w:t xml:space="preserve">مسألة </w:t>
      </w:r>
      <w:r>
        <w:rPr>
          <w:rtl w:val="true"/>
        </w:rPr>
        <w:t>[</w:t>
      </w:r>
      <w:r>
        <w:rPr/>
        <w:t>9</w:t>
      </w:r>
      <w:r>
        <w:rPr>
          <w:rtl w:val="true"/>
        </w:rPr>
        <w:t>] :</w:t>
      </w:r>
      <w:bookmarkEnd w:id="246"/>
    </w:p>
    <w:p>
      <w:pPr>
        <w:pStyle w:val="BookText"/>
        <w:rPr/>
      </w:pPr>
      <w:r>
        <w:rPr>
          <w:rFonts w:ascii="Amiri" w:hAnsi="Amiri" w:eastAsia="Amiri" w:cs="Amiri"/>
          <w:color w:val="111111"/>
          <w:sz w:val="28"/>
          <w:sz w:val="28"/>
          <w:szCs w:val="28"/>
          <w:rtl w:val="true"/>
          <w:lang w:bidi="ar-SA"/>
        </w:rPr>
        <w:t>وفي طهر القليل باتمامه كرّا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الشيخ في الخلاف ، وابن الجنيد من المتقدّمين ، والفاضلان ، والشهيدان وكثير من المتأخّرين إلى عدم حصول الطهارة 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المرتضى في بعض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جماعة من الأصحاب منهم سلّار وابن ادريس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 بعدم الفرق بين إتمامه بطاهر ونجس ، وفارق بينهما فقصر الحكم بالطهارة على الإتمام بالطاهر ، ومطلق للحكم بحيث يتناول بظاهره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تبع المرتضى في هذا القول الشيخ علي من المتأخرين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محكوم بنجاسته شرعا فيتوقّف الحكم بارتفاعها على الدليل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تمسّك بالاستصحاب وقد نفيتم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يكون دليل الحكم المستصحب فيه مقيّدا بوقت ولا يعلم له رافع ، كاستصحاب مشروعيّة الصلاة للمتيمّم قبل وجود الماء إذا وجده في أثناء الصلاة ، لا ما يكون دليله متناولا لجميع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ما دلّ على نجاسة القليل بالملاقاة من الأخبار ليس فيه تقييد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الأخبار على ما دلّ بمفهومه ، وقد مرّ أنه محتاج </w:t>
      </w:r>
      <w:r>
        <w:rPr>
          <w:rStyle w:val="FootnoteAnchor"/>
          <w:rtl w:val="true"/>
        </w:rPr>
        <w:footnoteReference w:id="260"/>
      </w:r>
      <w:r>
        <w:rPr>
          <w:rFonts w:ascii="Amiri" w:hAnsi="Amiri" w:eastAsia="Amiri" w:cs="Amiri"/>
          <w:color w:val="111111"/>
          <w:sz w:val="28"/>
          <w:sz w:val="28"/>
          <w:szCs w:val="28"/>
          <w:rtl w:val="true"/>
          <w:lang w:bidi="ar-SA"/>
        </w:rPr>
        <w:t xml:space="preserve">إلى ضميمة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الفصل بين أنواع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ما يستند في حكمه إلى الإجماع يكون من قبيل المقيّد ، لانتفاء الإجماع في الحالة التي هي محلّ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الاجماع على عدم القول بالفصل يدفع هذا السؤال ؛ ضرورة أنّ الأخبار تفيد نجاسة الماء بقول مطلق من ملاقاة بعض النجاسات ، فيثبت </w:t>
      </w:r>
      <w:r>
        <w:rPr>
          <w:rStyle w:val="FootnoteAnchor"/>
          <w:rtl w:val="true"/>
        </w:rPr>
        <w:footnoteReference w:id="261"/>
      </w:r>
      <w:r>
        <w:rPr>
          <w:rFonts w:ascii="Amiri" w:hAnsi="Amiri" w:eastAsia="Amiri" w:cs="Amiri"/>
          <w:color w:val="111111"/>
          <w:sz w:val="28"/>
          <w:sz w:val="28"/>
          <w:szCs w:val="28"/>
          <w:rtl w:val="true"/>
          <w:lang w:bidi="ar-SA"/>
        </w:rPr>
        <w:t>مدّعانا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بالفصل بينه وبين غيره </w:t>
      </w:r>
      <w:r>
        <w:rPr>
          <w:rStyle w:val="FootnoteAnchor"/>
          <w:rtl w:val="true"/>
        </w:rPr>
        <w:footnoteReference w:id="262"/>
      </w:r>
      <w:r>
        <w:rPr>
          <w:rFonts w:ascii="IRNazanin" w:hAnsi="IRNazanin" w:eastAsia="IRNazanin"/>
          <w:color w:val="111111"/>
          <w:sz w:val="28"/>
          <w:sz w:val="28"/>
          <w:szCs w:val="28"/>
          <w:rtl w:val="true"/>
          <w:lang w:bidi="fa-IR"/>
        </w:rPr>
        <w:t xml:space="preserve">قائل </w:t>
      </w:r>
      <w:r>
        <w:rPr>
          <w:rStyle w:val="FootnoteAnchor"/>
          <w:rtl w:val="true"/>
        </w:rPr>
        <w:footnoteReference w:id="263"/>
      </w:r>
      <w:r>
        <w:rPr>
          <w:rFonts w:ascii="Amiri" w:hAnsi="Amiri" w:eastAsia="Amiri" w:cs="Amiri"/>
          <w:color w:val="111111"/>
          <w:sz w:val="28"/>
          <w:sz w:val="28"/>
          <w:szCs w:val="28"/>
          <w:rtl w:val="true"/>
          <w:lang w:bidi="ar-SA"/>
        </w:rPr>
        <w:t>، فيكون الحكم في الباقي كذلك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المرتضى رضي‌اللّه‌عنه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بلوغ الماء قدر الكرّ يوجب </w:t>
      </w:r>
    </w:p>
    <w:p>
      <w:pPr>
        <w:pStyle w:val="BookText"/>
        <w:rPr/>
      </w:pPr>
      <w:r>
        <w:rPr>
          <w:rFonts w:ascii="Amiri" w:hAnsi="Amiri" w:eastAsia="Amiri" w:cs="Amiri"/>
          <w:color w:val="111111"/>
          <w:sz w:val="28"/>
          <w:sz w:val="28"/>
          <w:szCs w:val="28"/>
          <w:rtl w:val="true"/>
          <w:lang w:bidi="ar-SA"/>
        </w:rPr>
        <w:t>استهلاكه للنجاسة فيستوي وقوعها قبل البلوغ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واقع على طهارة الماء الكثير إذا وجدت فيه نجاسة ، ولم يعلم هل كان وقوعها قبل بلوغ الكرّية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لتساوي الحالين ؛ إذ لو اختصّ الحكم ببعديّة الوقوع لم يكن للحكم بالطهارة وجه ؛ لأنّه كما يحتمل تأخّره عن البلوغ يحتمل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ابن ادريس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هذه الرواية مجمع عليها عند المخالف 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وبالعمومات الدالّة على طهارة الماء وجواز استعماله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الماء فأمسه جسدك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فلا اريد </w:t>
      </w:r>
      <w:r>
        <w:rPr>
          <w:rStyle w:val="FootnoteAnchor"/>
          <w:rtl w:val="true"/>
        </w:rPr>
        <w:footnoteReference w:id="264"/>
      </w:r>
      <w:r>
        <w:rPr>
          <w:rFonts w:ascii="Amiri" w:hAnsi="Amiri" w:eastAsia="Amiri" w:cs="Amiri"/>
          <w:color w:val="111111"/>
          <w:sz w:val="28"/>
          <w:sz w:val="28"/>
          <w:szCs w:val="28"/>
          <w:rtl w:val="true"/>
          <w:lang w:bidi="ar-SA"/>
        </w:rPr>
        <w:t xml:space="preserve">أن احثوا على رأسي ثلاثة حثيات </w:t>
      </w:r>
      <w:r>
        <w:rPr>
          <w:rStyle w:val="FootnoteAnchor"/>
          <w:rtl w:val="true"/>
        </w:rPr>
        <w:footnoteReference w:id="265"/>
      </w:r>
      <w:r>
        <w:rPr>
          <w:rFonts w:ascii="Amiri" w:hAnsi="Amiri" w:eastAsia="Amiri" w:cs="Amiri"/>
          <w:color w:val="111111"/>
          <w:sz w:val="28"/>
          <w:sz w:val="28"/>
          <w:szCs w:val="28"/>
          <w:rtl w:val="true"/>
          <w:lang w:bidi="ar-SA"/>
        </w:rPr>
        <w:t xml:space="preserve">فإذا إنّي قد طهرت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احتجاج المرتضى رحمه‌اللّه فبأنّ الأوّل منه قياس ؛ لأنّ الذي دلّ عليه النصّ إنّما هو استهلاك النجاسة الواقعة بعد البلوغ ، فإلحاق المتقدّمة عليه بها محض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الفارق بينهما موجود ؛ فإنّ الماء في صورة التأخّر طاهر ، فإذا وقعت النجاسة فيه قوي على دفعها بطهوريّته ، وفي صورة التقدّم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اجتماعه يكون منقهرا </w:t>
      </w:r>
      <w:r>
        <w:rPr>
          <w:rStyle w:val="FootnoteAnchor"/>
          <w:rtl w:val="true"/>
        </w:rPr>
        <w:footnoteReference w:id="267"/>
      </w:r>
      <w:r>
        <w:rPr>
          <w:rFonts w:ascii="Amiri" w:hAnsi="Amiri" w:eastAsia="Amiri" w:cs="Amiri"/>
          <w:color w:val="111111"/>
          <w:sz w:val="28"/>
          <w:sz w:val="28"/>
          <w:szCs w:val="28"/>
          <w:rtl w:val="true"/>
          <w:lang w:bidi="ar-SA"/>
        </w:rPr>
        <w:t>بالنجاسة ، فلا قوّة له على دفعها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ضعيف جدّا ؛ لأنّ الوجه في 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p>
    <w:p>
      <w:pPr>
        <w:pStyle w:val="BookText"/>
        <w:rPr/>
      </w:pP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الطهارة السالمة عن معارضة يقين النجاسة ؛ إذ عدم العلم بتقدّم الوقوع وتأخّره يقتضي الشك في التقدّم الذي هو السبب في النجاسة ، فلا جرم تكون النجاسة مشكوكا فيها فلا تعارض 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احتجاج ابن ادريس رحمه‌اللّه فبالمطالبة بإثبات الإجماع على وجه يصلح حجة ؛ إذ لا يكفي نقل مثله ممّن ظهر منهم في الإجماع ما أحوج إلى حمله على خلاف ظاهره الذي جرى عليه الاصطلاح ، كما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الاحتجاج بالإجماع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نقف على هذا في شي‌ء من كتب الأصحاب ، ولو وجد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ذكره المرتضى في مسائل متفرّدة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اثنان أو ثلاثة ممّن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مثل هذا إجماعا غلط ؛ لأنّا </w:t>
      </w:r>
      <w:r>
        <w:rPr>
          <w:rStyle w:val="FootnoteAnchor"/>
          <w:rtl w:val="true"/>
        </w:rPr>
        <w:footnoteReference w:id="268"/>
      </w:r>
      <w:r>
        <w:rPr>
          <w:rFonts w:ascii="Amiri" w:hAnsi="Amiri" w:eastAsia="Amiri" w:cs="Amiri"/>
          <w:color w:val="111111"/>
          <w:sz w:val="28"/>
          <w:sz w:val="28"/>
          <w:szCs w:val="28"/>
          <w:rtl w:val="true"/>
          <w:lang w:bidi="ar-SA"/>
        </w:rPr>
        <w:t xml:space="preserve">لسنا بدعوى المائة نعلم دخول الإمام فيهم ، فكيف بفتوى </w:t>
      </w:r>
      <w:r>
        <w:rPr>
          <w:rStyle w:val="FootnoteAnchor"/>
          <w:rtl w:val="true"/>
        </w:rPr>
        <w:footnoteReference w:id="269"/>
      </w:r>
      <w:r>
        <w:rPr>
          <w:rFonts w:ascii="Amiri" w:hAnsi="Amiri" w:eastAsia="Amiri" w:cs="Amiri"/>
          <w:color w:val="111111"/>
          <w:sz w:val="28"/>
          <w:sz w:val="28"/>
          <w:szCs w:val="28"/>
          <w:rtl w:val="true"/>
          <w:lang w:bidi="ar-SA"/>
        </w:rPr>
        <w:t xml:space="preserve">الثلاثة والأربعة </w:t>
      </w:r>
      <w:r>
        <w:rPr>
          <w:rStyle w:val="FootnoteAnchor"/>
          <w:rtl w:val="true"/>
        </w:rPr>
        <w:footnoteReference w:id="2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والخبر الأوّل غير مرويّ في كتب الأخبار ، بل هو من الأحاديث المرسلة التي لا تعويل عليها ، ودعواه </w:t>
      </w:r>
      <w:r>
        <w:rPr>
          <w:rStyle w:val="FootnoteAnchor"/>
          <w:rtl w:val="true"/>
        </w:rPr>
        <w:footnoteReference w:id="271"/>
      </w:r>
      <w:r>
        <w:rPr>
          <w:rFonts w:ascii="Amiri" w:hAnsi="Amiri" w:eastAsia="Amiri" w:cs="Amiri"/>
          <w:color w:val="111111"/>
          <w:sz w:val="28"/>
          <w:sz w:val="28"/>
          <w:szCs w:val="28"/>
          <w:rtl w:val="true"/>
          <w:lang w:bidi="ar-SA"/>
        </w:rPr>
        <w:t>الإجماع على العمل بمضمونه من المخالف والمؤالف عجيبة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رحمه‌اللّه في جوابه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نروه مسندا ، والذي رواه مرسلا المرتضى رحمه‌اللّه والشيخ أبو جعفر ، وآحاد ممّن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المرسل لا يعمل به ، وكتب الحديث عن الأئمة عليهم‌السلام 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المخالفون فلم أعرف به عاملا سوى ما يحكى عن ابن حيّ ، وهو زيديّ منقطع المذهب ، وما رأيت </w:t>
      </w:r>
    </w:p>
    <w:p>
      <w:pPr>
        <w:pStyle w:val="BookText"/>
        <w:rPr/>
      </w:pPr>
      <w:r>
        <w:rPr>
          <w:rFonts w:ascii="Amiri" w:hAnsi="Amiri" w:eastAsia="Amiri" w:cs="Amiri"/>
          <w:color w:val="111111"/>
          <w:sz w:val="28"/>
          <w:sz w:val="28"/>
          <w:szCs w:val="28"/>
          <w:rtl w:val="true"/>
          <w:lang w:bidi="ar-SA"/>
        </w:rPr>
        <w:t>أعجب ممّن يدّعي إجماع المخالف والمؤالف فيما لا يوجد إلّا نادرا ، فإذن الرواية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فرووا عن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صريح في أنّ بلوغه كرّا هو المانع لتأثّره بالنجاسة ، ولا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لا ينجّسه شي‌ء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كان ثابتا فيه ، ومنجّسا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رحمه‌اللّه قال لقولهم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طالعنا كتب الأخبار المنسوبة إليهم فلم نر هذا اللفظ ، وإنّما رأينا ما ذكرناه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غلط من غلط في هذه المسألة لتوهّمه أنّ معنى اللفظين واحد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جيّد ليس عليه في تحقيق المقام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الاحتجاج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 ؛ لأنّها مخصوصة بالماء الطاهر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طهارة المتنازع تناولته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يستطرف هاهنا قول المحقّق في جوابه </w:t>
      </w:r>
      <w:r>
        <w:rPr>
          <w:rStyle w:val="FootnoteAnchor"/>
          <w:rtl w:val="true"/>
        </w:rPr>
        <w:footnoteReference w:id="274"/>
      </w:r>
      <w:r>
        <w:rPr>
          <w:rFonts w:ascii="Amiri" w:hAnsi="Amiri" w:eastAsia="Amiri" w:cs="Amiri"/>
          <w:color w:val="111111"/>
          <w:sz w:val="28"/>
          <w:sz w:val="28"/>
          <w:szCs w:val="28"/>
          <w:rtl w:val="true"/>
          <w:lang w:bidi="ar-SA"/>
        </w:rPr>
        <w:t>عن هذا الاحتجاج بمثل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يستجيز محصّل أن يقول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على رأسي ثلاث حثيات ممّا يجتمع من غسالة البول والدم وميلغة الكلب؟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اعتماد الشيخ علي في ترجيح هذا القول إنّما هو على الاستدلال </w:t>
      </w:r>
      <w:bookmarkStart w:id="247" w:name="pg8731_77098"/>
    </w:p>
    <w:p>
      <w:pPr>
        <w:pStyle w:val="BookText"/>
        <w:rPr/>
      </w:pPr>
      <w:bookmarkEnd w:id="247"/>
      <w:r>
        <w:rPr>
          <w:rFonts w:ascii="Amiri" w:hAnsi="Amiri" w:eastAsia="Amiri" w:cs="Amiri"/>
          <w:color w:val="111111"/>
          <w:sz w:val="28"/>
          <w:sz w:val="28"/>
          <w:szCs w:val="28"/>
          <w:rtl w:val="true"/>
          <w:lang w:bidi="ar-SA"/>
        </w:rPr>
        <w:t xml:space="preserve">بالحديث الأوّل ، حيث استضعف الطعن فيه ، وهو ضعف على ضعف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3140027_653776707"/>
      <w:bookmarkStart w:id="249" w:name="_Toc88"/>
      <w:bookmarkEnd w:id="248"/>
      <w:r>
        <w:rPr>
          <w:rtl w:val="true"/>
        </w:rPr>
        <w:t xml:space="preserve">مسألة </w:t>
      </w:r>
      <w:r>
        <w:rPr>
          <w:rtl w:val="true"/>
        </w:rPr>
        <w:t>[</w:t>
      </w:r>
      <w:r>
        <w:rPr/>
        <w:t>10</w:t>
      </w:r>
      <w:r>
        <w:rPr>
          <w:rtl w:val="true"/>
        </w:rPr>
        <w:t>] :</w:t>
      </w:r>
      <w:bookmarkEnd w:id="249"/>
    </w:p>
    <w:p>
      <w:pPr>
        <w:pStyle w:val="Heading6"/>
        <w:numPr>
          <w:ilvl w:val="5"/>
          <w:numId w:val="1"/>
        </w:numPr>
        <w:rPr/>
      </w:pPr>
      <w:bookmarkStart w:id="250" w:name="__RefHeading___Toc3140029_653776707"/>
      <w:bookmarkStart w:id="251" w:name="_Toc89"/>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قد بيّنا أنّ المقتضي لتنجيس الكثير</w:t>
      </w:r>
      <w:r>
        <w:rPr>
          <w:rStyle w:val="FootnoteAnchor"/>
          <w:rtl w:val="true"/>
        </w:rPr>
        <w:footnoteReference w:id="276"/>
      </w:r>
      <w:r>
        <w:rPr>
          <w:rFonts w:ascii="Amiri" w:hAnsi="Amiri" w:eastAsia="Amiri" w:cs="Amiri"/>
          <w:color w:val="111111"/>
          <w:sz w:val="28"/>
          <w:sz w:val="28"/>
          <w:szCs w:val="28"/>
          <w:rtl w:val="true"/>
          <w:lang w:bidi="ar-SA"/>
        </w:rPr>
        <w:t>هو التغيّر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تغيّر أحد أوصافه بالنجاسة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يستوعبه التغيّر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 عدم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يبلغ غير المتغيّر قدر الكرّ مجتمعا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والأخير ينجس الجميع ، ويطهّر بما مرّ في طريق تطهير القليل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الوسط يختصّ التنجيس بالمتغيّر ويطهر بالتموّج والتمازج إن زال التغيّر معه ، وإلّا فبمطهّر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القول بطهارة القليل بالإتمام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المتغيّر بمجرّد زوال التغيّر ولو من نفسه ، أو من تصفيق الرياح ، أو من إلقاء أجسام طاهرة غير الماء ، أو لطول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بحصول الطهارة بذلك بعض من قال بطهر المتمّم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العلّامة رحمه‌اللّه في النهاية الاكتفاء بزوال التغيّر مع تصريحه بعدم الطهارة بالمتمّم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بأنّ المقتضي للنجاسة هو التغيّر وقد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بيّن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لا بدّ من المطهّر إمّا مقارنا للزوال ، أو متأخّرا عنه حيث يحصل بغير </w:t>
      </w:r>
      <w:r>
        <w:rPr>
          <w:rStyle w:val="FootnoteAnchor"/>
          <w:rtl w:val="true"/>
        </w:rPr>
        <w:footnoteReference w:id="278"/>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ظاهر ممّا سلف تحقيقه فلا يحتاج إلى إعادة تفصيله</w:t>
      </w:r>
      <w:r>
        <w:rPr>
          <w:rFonts w:eastAsia="Amiri" w:cs="Amiri" w:ascii="Amiri" w:hAnsi="Amiri"/>
          <w:color w:val="111111"/>
          <w:sz w:val="28"/>
          <w:szCs w:val="28"/>
          <w:rtl w:val="true"/>
          <w:lang w:bidi="ar-SA"/>
        </w:rPr>
        <w:t xml:space="preserve">. </w:t>
      </w:r>
      <w:bookmarkStart w:id="252" w:name="pg8731_77099"/>
    </w:p>
    <w:p>
      <w:pPr>
        <w:pStyle w:val="Heading6"/>
        <w:numPr>
          <w:ilvl w:val="5"/>
          <w:numId w:val="1"/>
        </w:numPr>
        <w:rPr/>
      </w:pPr>
      <w:bookmarkStart w:id="253" w:name="__RefHeading___Toc3140031_653776707"/>
      <w:bookmarkStart w:id="254" w:name="_Toc90"/>
      <w:bookmarkEnd w:id="252"/>
      <w:bookmarkEnd w:id="253"/>
      <w:r>
        <w:rPr>
          <w:rtl w:val="true"/>
        </w:rPr>
        <w:t xml:space="preserve">فروع </w:t>
      </w:r>
      <w:r>
        <w:rPr>
          <w:rtl w:val="true"/>
        </w:rPr>
        <w:t>:</w:t>
      </w:r>
      <w:bookmarkEnd w:id="254"/>
    </w:p>
    <w:p>
      <w:pPr>
        <w:pStyle w:val="Heading6"/>
        <w:numPr>
          <w:ilvl w:val="5"/>
          <w:numId w:val="1"/>
        </w:numPr>
        <w:rPr/>
      </w:pPr>
      <w:bookmarkStart w:id="255" w:name="__RefHeading___Toc3140033_653776707"/>
      <w:bookmarkStart w:id="256" w:name="_Toc91"/>
      <w:bookmarkEnd w:id="255"/>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256"/>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 التغيّر عن القليل أو الكثير بغير الماء طهر بإلقاء الكرّ عليه وإن لم يزل به التغيّر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طهارة الكثير لو وقع في أحد جوانبه كرّ علم عدم 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الأوّل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النظر نظر ؛ لأنّه مصرّح في هذا الكتاب باشتراط الممازجة في حصول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حكينا ذلك عنه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w:t>
      </w:r>
      <w:r>
        <w:rPr>
          <w:rStyle w:val="FootnoteAnchor"/>
          <w:rtl w:val="true"/>
        </w:rPr>
        <w:footnoteReference w:id="280"/>
      </w:r>
      <w:r>
        <w:rPr>
          <w:rFonts w:ascii="Amiri" w:hAnsi="Amiri" w:eastAsia="Amiri" w:cs="Amiri"/>
          <w:color w:val="111111"/>
          <w:sz w:val="28"/>
          <w:sz w:val="28"/>
          <w:szCs w:val="28"/>
          <w:rtl w:val="true"/>
          <w:lang w:bidi="ar-SA"/>
        </w:rPr>
        <w:t>أنّه ليس بين هذا الفرع وبين ما ذكره في حوض الحمّام من عدم الاكتفاء بمجرد الاتصال إلّا أسطر قليلة ، وحكم الغديرين غير بعيد عنه أيضا ، وقد اعتبر فيه الممازجة ، فلا ندري ما وجه التوقّف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فالأظهر عدم حصول الطهارة بدونها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140035_653776707"/>
      <w:bookmarkStart w:id="258" w:name="_Toc92"/>
      <w:bookmarkEnd w:id="257"/>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258"/>
    </w:p>
    <w:p>
      <w:pPr>
        <w:pStyle w:val="BookText"/>
        <w:rPr/>
      </w:pPr>
      <w:r>
        <w:rPr>
          <w:rFonts w:ascii="Amiri" w:hAnsi="Amiri" w:eastAsia="Amiri" w:cs="Amiri"/>
          <w:color w:val="111111"/>
          <w:sz w:val="28"/>
          <w:sz w:val="28"/>
          <w:szCs w:val="28"/>
          <w:rtl w:val="true"/>
          <w:lang w:bidi="ar-SA"/>
        </w:rPr>
        <w:t>إذا جمد الكثير لحق بالجامدات على الأصحّ ، فينجس بملاقاة النجاسة المحلّ الملاقي منه ، ويطهر باتّصال الكثير به بعد زوال العين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القيت النجاسة وما يكتنفها أو موضع ملاقاتها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عين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ما عداه على الطهارة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لاقت النجاسة ما زاد على الكرّ من الماء الجامد فالأقرب عدم التنجيس ما لم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لذلك بأنّ الجمود لم يخرجه </w:t>
      </w:r>
      <w:bookmarkStart w:id="259" w:name="pg8731_77100"/>
    </w:p>
    <w:p>
      <w:pPr>
        <w:pStyle w:val="BookText"/>
        <w:rPr/>
      </w:pPr>
      <w:bookmarkEnd w:id="259"/>
      <w:r>
        <w:rPr>
          <w:rFonts w:ascii="Amiri" w:hAnsi="Amiri" w:eastAsia="Amiri" w:cs="Amiri"/>
          <w:color w:val="111111"/>
          <w:sz w:val="28"/>
          <w:sz w:val="28"/>
          <w:szCs w:val="28"/>
          <w:rtl w:val="true"/>
          <w:lang w:bidi="ar-SA"/>
        </w:rPr>
        <w:t xml:space="preserve">عن حقيقته بل هو مؤكّد لثبوتها ؛ فإنّ الآثار الصادرة عن الحقيقة كلما قربت </w:t>
      </w:r>
      <w:r>
        <w:rPr>
          <w:rStyle w:val="FootnoteAnchor"/>
          <w:rtl w:val="true"/>
        </w:rPr>
        <w:footnoteReference w:id="281"/>
      </w:r>
      <w:r>
        <w:rPr>
          <w:rFonts w:ascii="Amiri" w:hAnsi="Amiri" w:eastAsia="Amiri" w:cs="Amiri"/>
          <w:color w:val="111111"/>
          <w:sz w:val="28"/>
          <w:sz w:val="28"/>
          <w:szCs w:val="28"/>
          <w:rtl w:val="true"/>
          <w:lang w:bidi="ar-SA"/>
        </w:rPr>
        <w:t>كانت آكد في ثبوتها ، والبرودة من معلولات طبيعة الماء ، وهي تقتضي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ذلك مخرجا له عن الحقيقة كان داخلا في 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ضعيف جدّا ؛ لأنّ الجمود يخرجه عن الاسم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الحكم بعدم انفعال مقدار الكرّ معلّق به ، فيزول بزواله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الحكم في التحرير </w:t>
      </w:r>
      <w:r>
        <w:rPr>
          <w:rStyle w:val="FootnoteAnchor"/>
          <w:rtl w:val="true"/>
        </w:rPr>
        <w:footnoteReference w:id="283"/>
      </w:r>
      <w:r>
        <w:rPr>
          <w:rFonts w:ascii="Amiri" w:hAnsi="Amiri" w:eastAsia="Amiri" w:cs="Amiri"/>
          <w:color w:val="111111"/>
          <w:sz w:val="28"/>
          <w:sz w:val="28"/>
          <w:szCs w:val="28"/>
          <w:rtl w:val="true"/>
          <w:lang w:bidi="ar-SA"/>
        </w:rPr>
        <w:t xml:space="preserve">ورجع في النهاية </w:t>
      </w:r>
      <w:r>
        <w:rPr>
          <w:rStyle w:val="FootnoteAnchor"/>
          <w:rtl w:val="true"/>
        </w:rPr>
        <w:footnoteReference w:id="284"/>
      </w:r>
      <w:r>
        <w:rPr>
          <w:rFonts w:ascii="IRNazanin" w:hAnsi="IRNazanin" w:eastAsia="IRNazanin"/>
          <w:color w:val="111111"/>
          <w:sz w:val="28"/>
          <w:sz w:val="28"/>
          <w:szCs w:val="28"/>
          <w:rtl w:val="true"/>
          <w:lang w:bidi="fa-IR"/>
        </w:rPr>
        <w:t>عن هذا القول فاستقرب ما اخترناه</w:t>
      </w:r>
      <w:r>
        <w:rPr>
          <w:rFonts w:eastAsia="IRNazanin" w:cs="IRNazanin"/>
          <w:color w:val="111111"/>
          <w:sz w:val="28"/>
          <w:szCs w:val="28"/>
          <w:rtl w:val="true"/>
          <w:lang w:bidi="fa-IR"/>
        </w:rPr>
        <w:t>.</w:t>
      </w:r>
    </w:p>
    <w:p>
      <w:pPr>
        <w:pStyle w:val="Heading6"/>
        <w:numPr>
          <w:ilvl w:val="5"/>
          <w:numId w:val="1"/>
        </w:numPr>
        <w:rPr/>
      </w:pPr>
      <w:bookmarkStart w:id="260" w:name="__RefHeading___Toc3140037_653776707"/>
      <w:bookmarkStart w:id="261" w:name="_Toc93"/>
      <w:bookmarkEnd w:id="260"/>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261"/>
    </w:p>
    <w:p>
      <w:pPr>
        <w:pStyle w:val="BookText"/>
        <w:rPr/>
      </w:pPr>
      <w:r>
        <w:rPr>
          <w:rFonts w:ascii="Amiri" w:hAnsi="Amiri" w:eastAsia="Amiri" w:cs="Amiri"/>
          <w:color w:val="111111"/>
          <w:sz w:val="28"/>
          <w:sz w:val="28"/>
          <w:szCs w:val="28"/>
          <w:rtl w:val="true"/>
          <w:lang w:bidi="ar-SA"/>
        </w:rPr>
        <w:t xml:space="preserve">إذا جمد القليل وقلنا بعدم خروج الجامد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بنجاسة جميعه نظرا إلى أنّه ماء قليل ، ومن حكمه انفعال جميع أجزائه بملاقاة النجاسة؟ أو يكون في حكم الجامدات فيختصّ التنجيس بموضع الملاقاة كما قلناه نحن في الكثير؟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استقرب في المنتهى الثاني ووجّهه بأنّ جموده يمنع من شياع النجاسة فيه </w:t>
      </w:r>
      <w:bookmarkStart w:id="262" w:name="pg8731_77101"/>
    </w:p>
    <w:p>
      <w:pPr>
        <w:pStyle w:val="BookText"/>
        <w:rPr/>
      </w:pPr>
      <w:bookmarkEnd w:id="262"/>
      <w:r>
        <w:rPr>
          <w:rFonts w:ascii="Amiri" w:hAnsi="Amiri" w:eastAsia="Amiri" w:cs="Amiri"/>
          <w:color w:val="111111"/>
          <w:sz w:val="28"/>
          <w:sz w:val="28"/>
          <w:szCs w:val="28"/>
          <w:rtl w:val="true"/>
          <w:lang w:bidi="ar-SA"/>
        </w:rPr>
        <w:t xml:space="preserve">فلا يتعدّى موضع الملاقاة ، بخلاف الماء القليل الذي يسري إلى جميع أجزائه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وتردّد في التحرير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فطريق تطهيره ما ذكرناه في الكثير</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140039_653776707"/>
      <w:bookmarkStart w:id="264" w:name="_Toc94"/>
      <w:bookmarkEnd w:id="263"/>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في الماء القليل المائع الملاصق لما زاد عن الكرّ من الثلج نجاسة ففي نجاسته نظر ؛ فإنّه يمكن أن يقال ماء متّصل بالكرّ فلا يقبل التنجيس ، ويمكن أن يقال ماء قليل متّصل بالجامد اتّصال مماسّة لا ممازجة واتّحاد ، فأشبه المتّصل بغير الماء في انفعاله عن النجاسة لقلّته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وتردّده هذا مبنيّ على ما ذهب إليه من عدم انفعال الجامد الكثير بالملاقاة كما عرفته ، وقد ظهر لك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الحقّ نجاسة ما هذا شأنه ، وينجس معه المحلّ الذي يتّصل به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تطهيره مركّب من طريقي تطهير القليل والجامد</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140041_653776707"/>
      <w:bookmarkStart w:id="266" w:name="_Toc95"/>
      <w:bookmarkEnd w:id="265"/>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2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عرض الجمود للماء بعد النجاسة توقّف طهره على عوده مائعا ؛ لأنّ الظاهر امتناع مداخلة أجزاء المطهّر له بحيث يستوعب جميع أجزائه وفيها ما هو باق على الجمود ، وطهارته موقوفة على ذلك البحث</w:t>
      </w:r>
      <w:r>
        <w:rPr>
          <w:rFonts w:eastAsia="Amiri" w:cs="Amiri" w:ascii="Amiri" w:hAnsi="Amiri"/>
          <w:color w:val="111111"/>
          <w:sz w:val="28"/>
          <w:szCs w:val="28"/>
          <w:rtl w:val="true"/>
          <w:lang w:bidi="ar-SA"/>
        </w:rPr>
        <w:t xml:space="preserve">. </w:t>
      </w:r>
      <w:bookmarkStart w:id="267" w:name="pg8731_77102"/>
    </w:p>
    <w:p>
      <w:pPr>
        <w:pStyle w:val="Heading6"/>
        <w:numPr>
          <w:ilvl w:val="5"/>
          <w:numId w:val="1"/>
        </w:numPr>
        <w:rPr/>
      </w:pPr>
      <w:bookmarkStart w:id="268" w:name="__RefHeading___Toc3140043_653776707"/>
      <w:bookmarkStart w:id="269" w:name="_Toc96"/>
      <w:bookmarkEnd w:id="267"/>
      <w:bookmarkEnd w:id="268"/>
      <w:r>
        <w:rPr>
          <w:rtl w:val="true"/>
        </w:rPr>
        <w:t xml:space="preserve">[ </w:t>
      </w:r>
      <w:r>
        <w:rPr>
          <w:rtl w:val="true"/>
        </w:rPr>
        <w:t xml:space="preserve">البحث </w:t>
      </w:r>
      <w:r>
        <w:rPr>
          <w:rtl w:val="true"/>
        </w:rPr>
        <w:t xml:space="preserve">] </w:t>
      </w:r>
      <w:r>
        <w:rPr>
          <w:rtl w:val="true"/>
        </w:rPr>
        <w:t xml:space="preserve">الثاني </w:t>
      </w:r>
      <w:r>
        <w:rPr>
          <w:rtl w:val="true"/>
        </w:rPr>
        <w:t xml:space="preserve">: </w:t>
      </w:r>
      <w:r>
        <w:rPr>
          <w:rtl w:val="true"/>
        </w:rPr>
        <w:t>في ماء البئر</w:t>
      </w:r>
      <w:bookmarkEnd w:id="269"/>
    </w:p>
    <w:p>
      <w:pPr>
        <w:pStyle w:val="Heading6"/>
        <w:numPr>
          <w:ilvl w:val="5"/>
          <w:numId w:val="1"/>
        </w:numPr>
        <w:rPr/>
      </w:pPr>
      <w:bookmarkStart w:id="270" w:name="__RefHeading___Toc3140045_653776707"/>
      <w:bookmarkStart w:id="271" w:name="_Toc97"/>
      <w:bookmarkEnd w:id="270"/>
      <w:r>
        <w:rPr>
          <w:rtl w:val="true"/>
        </w:rPr>
        <w:t xml:space="preserve">مسألة </w:t>
      </w:r>
      <w:r>
        <w:rPr>
          <w:rtl w:val="true"/>
        </w:rPr>
        <w:t>[</w:t>
      </w:r>
      <w:r>
        <w:rPr/>
        <w:t>1</w:t>
      </w:r>
      <w:r>
        <w:rPr>
          <w:rtl w:val="true"/>
        </w:rPr>
        <w:t>] :</w:t>
      </w:r>
      <w:bookmarkEnd w:id="271"/>
    </w:p>
    <w:p>
      <w:pPr>
        <w:pStyle w:val="BookText"/>
        <w:rPr/>
      </w:pPr>
      <w:r>
        <w:rPr>
          <w:rFonts w:ascii="Amiri" w:hAnsi="Amiri" w:eastAsia="Amiri" w:cs="Amiri"/>
          <w:color w:val="111111"/>
          <w:sz w:val="28"/>
          <w:sz w:val="28"/>
          <w:szCs w:val="28"/>
          <w:rtl w:val="true"/>
          <w:lang w:bidi="ar-SA"/>
        </w:rPr>
        <w:t>اختلف علماؤنا في نجاسة البئر بالملاقاة ، فقال أكثرهم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أبي عقيل من المتقدّمين </w:t>
      </w:r>
      <w:r>
        <w:rPr>
          <w:rStyle w:val="FootnoteAnchor"/>
          <w:rtl w:val="true"/>
        </w:rPr>
        <w:footnoteReference w:id="288"/>
      </w:r>
      <w:r>
        <w:rPr>
          <w:rFonts w:ascii="Amiri" w:hAnsi="Amiri" w:eastAsia="Amiri" w:cs="Amiri"/>
          <w:color w:val="111111"/>
          <w:sz w:val="28"/>
          <w:sz w:val="28"/>
          <w:szCs w:val="28"/>
          <w:rtl w:val="true"/>
          <w:lang w:bidi="ar-SA"/>
        </w:rPr>
        <w:t xml:space="preserve">، والعلّامة </w:t>
      </w:r>
      <w:r>
        <w:rPr>
          <w:rStyle w:val="FootnoteAnchor"/>
          <w:rtl w:val="true"/>
        </w:rPr>
        <w:footnoteReference w:id="289"/>
      </w:r>
      <w:r>
        <w:rPr>
          <w:rFonts w:ascii="Amiri" w:hAnsi="Amiri" w:eastAsia="Amiri" w:cs="Amiri"/>
          <w:color w:val="111111"/>
          <w:sz w:val="28"/>
          <w:sz w:val="28"/>
          <w:szCs w:val="28"/>
          <w:rtl w:val="true"/>
          <w:lang w:bidi="ar-SA"/>
        </w:rPr>
        <w:t>رحمه‌اللّه وأكثر المتأخّرين إلى أنّه لا ينفعل بدون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اعتمد والدي أخيرا بعد ذهابه في بعض كتبه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والقولان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حكى عنه بعضهم القول بالنجاسة ، لكن لا يجب إعادة الوضوء الواقع منه ولا الصلاة ولا غسل ما لاقاه إذا حصلت هذه الامور قبل العلم بالنجاسة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هذه الحكاية حاكيها إلى كتابي الحديث ، ثمّ حكم بسقوط هذا القول لمخالفته لأصول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ظهر لي أنّ الحكاية وهم ؛ لأنّ كلام الشيخ لا يخلو عن ركاكة في التأدية توهم </w:t>
      </w:r>
      <w:r>
        <w:rPr>
          <w:rStyle w:val="FootnoteAnchor"/>
          <w:rtl w:val="true"/>
        </w:rPr>
        <w:footnoteReference w:id="290"/>
      </w:r>
      <w:r>
        <w:rPr>
          <w:rFonts w:ascii="Amiri" w:hAnsi="Amiri" w:eastAsia="Amiri" w:cs="Amiri"/>
          <w:color w:val="111111"/>
          <w:sz w:val="28"/>
          <w:sz w:val="28"/>
          <w:szCs w:val="28"/>
          <w:rtl w:val="true"/>
          <w:lang w:bidi="ar-SA"/>
        </w:rPr>
        <w:t>غير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فهمته من كلامه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بعدم الانفعال بمجرّد الملاقاة ، لكنّه يوجب النزح ، فالمستعمل لمائها بعد ملاقاة النجاسة له وقبل العلم بها لا يجب عليه الإعادة أصلا ، سواء في ذلك الوضوء والصلاة وغسل النجاسات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له بعد العلم بالملاقاة يلزمه إعادة الوضوء والصلاة ؛ لأنّه منهي عن استعماله قبل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يفسد العبادة ، فيقع الوضوء فاسدا ، ويتبعه فساد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غيرهما من العبادات المترتّبة على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يذكر في كلامه غير الوضوء والصلاة إلّا أنّ تعليله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الوضوء والصلاة بالذّكر ؛ لأنّه ذكر الأخبار الدالّة على عدم وجوب إعادتهما حيث يكون الاستعمال قبل العلم بالنجاسة ، وأراد بيان عدم منافاتهما لما صار إليه من وجوب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وتدبّره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الذاهبين إلى انفعاله بالملاقاة لم يفرّقوا بين قليل الماء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الشيخ أبي الحسن محمد بن محمد البصروي القول باختصاص الانفعال بما نقص منه عن الكرّ ، فما يبلغه لا ينجس إلّا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عندي أنّه لا ينجس بدون التغيّر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الاستبصار عن محمّد بن اسماعيل في الصحيح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لا يفسده شي‌ء إلّا أن يتغيّر ريحه أو طعمه ، فينزح حتى يذهب الريح ويطيب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التهذيب عن محمّد بن اسماعيل بن بزيع في الصحيح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زياداته عن </w:t>
      </w:r>
      <w:r>
        <w:rPr>
          <w:rStyle w:val="FootnoteAnchor"/>
          <w:rtl w:val="true"/>
        </w:rPr>
        <w:footnoteReference w:id="293"/>
      </w:r>
      <w:r>
        <w:rPr>
          <w:rFonts w:ascii="Amiri" w:hAnsi="Amiri" w:eastAsia="Amiri" w:cs="Amiri"/>
          <w:color w:val="111111"/>
          <w:sz w:val="28"/>
          <w:sz w:val="28"/>
          <w:szCs w:val="28"/>
          <w:rtl w:val="true"/>
          <w:lang w:bidi="ar-SA"/>
        </w:rPr>
        <w:t xml:space="preserve">محمد بن اسماعيل في الصحيح أيضا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لا يفسده شي‌ء إلّا أن يتغيّر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الصحيح عن علي بن جعفر ، عن أخيه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بئر ماء وقع فيها زنبيل من عذرة يابسة أو رطبة أو زنبيل من سرقين ، أيصلح الوضوء منها؟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عمّار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تقع في البئر فيتوضّأ الرجل منها ويصلّي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أيعيد الصلاة ويغسل ثوبه؟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الصلاة ولا يغسل ثوبه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عنه أيضا ، عن أبي عبد اللّه عليه‌السلام </w:t>
      </w:r>
      <w:r>
        <w:rPr>
          <w:rStyle w:val="FootnoteAnchor"/>
          <w:rtl w:val="true"/>
        </w:rPr>
        <w:footnoteReference w:id="297"/>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يغسل الثوب ولا تعاد الصلاة ممّا وقع في البئر إلّا أن ينتن ، فإن أنتن غسل الثوب وأعاد الصلاة ونزحت البئر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وصفه العلّامة في المنتهى بالصحّة وهو قريب وإن كان في طريقه حمّاد وهو اسم مشترك بين جماعة فيهم الثقة وغيره ؛ لأنّ الظاهر </w:t>
      </w:r>
    </w:p>
    <w:p>
      <w:pPr>
        <w:pStyle w:val="BookText"/>
        <w:rPr/>
      </w:pPr>
      <w:r>
        <w:rPr>
          <w:rFonts w:ascii="Amiri" w:hAnsi="Amiri" w:eastAsia="Amiri" w:cs="Amiri"/>
          <w:color w:val="111111"/>
          <w:sz w:val="28"/>
          <w:sz w:val="28"/>
          <w:szCs w:val="28"/>
          <w:rtl w:val="true"/>
          <w:lang w:bidi="ar-SA"/>
        </w:rPr>
        <w:t xml:space="preserve">إرادة أحد الثقتين منه أعني حمّاد بن عيسى وحمّاد بن عثمان وربما رجح الأوّل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بالنجاسة مطلقا بما رواه الشيخ في الصحيح عن محمّد ابن اسماعيل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عليه‌السلام عن البئر تكون في المنزل للوضوء ، فيقطر فيها قطرات من بول أو دم ، أو يسقط فيها شي‌ء من عذرة ، كالبعرة أو نحوها ما الذي يطهّرها حتّى يحلّ الوضوء منها للصلاة؟ فوقّع عليه‌السلام في كتابي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طاهرة لما حسن تقريره </w:t>
      </w:r>
      <w:r>
        <w:rPr>
          <w:rStyle w:val="FootnoteAnchor"/>
          <w:rtl w:val="true"/>
        </w:rPr>
        <w:footnoteReference w:id="301"/>
      </w:r>
      <w:r>
        <w:rPr>
          <w:rFonts w:ascii="IRNazanin" w:hAnsi="IRNazanin" w:eastAsia="IRNazanin"/>
          <w:color w:val="111111"/>
          <w:sz w:val="28"/>
          <w:sz w:val="28"/>
          <w:szCs w:val="28"/>
          <w:rtl w:val="true"/>
          <w:lang w:bidi="fa-IR"/>
        </w:rPr>
        <w:t>على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عن علي بن يقطين ، عن أبي الحسن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البئر يقع فيها </w:t>
      </w:r>
      <w:r>
        <w:rPr>
          <w:rStyle w:val="FootnoteAnchor"/>
          <w:rtl w:val="true"/>
        </w:rPr>
        <w:footnoteReference w:id="302"/>
      </w:r>
      <w:r>
        <w:rPr>
          <w:rFonts w:ascii="Amiri" w:hAnsi="Amiri" w:eastAsia="Amiri" w:cs="Amiri"/>
          <w:color w:val="111111"/>
          <w:sz w:val="28"/>
          <w:sz w:val="28"/>
          <w:szCs w:val="28"/>
          <w:rtl w:val="true"/>
          <w:lang w:bidi="ar-SA"/>
        </w:rPr>
        <w:t xml:space="preserve">الحمامة والدجاجة أو الفأرة أو الكلب أو الهرّة؟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أن تنزح منها دلاء فإنّ ذلك يطهّرها إن شاء اللّه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تكن نجسة لما كان لإسناد التطهير إلى النزح معنى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يعفور ، وعنبسة بن مصعب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البئر وأنت جنب فلم تجد دلوا ولا شيئا يغترف به فتيمّم بالصعيد الطيّب فإنّ ربّ الماء ربّ الصعيد ، ولا تقع في البئر </w:t>
      </w:r>
    </w:p>
    <w:p>
      <w:pPr>
        <w:pStyle w:val="BookText"/>
        <w:rPr/>
      </w:pPr>
      <w:r>
        <w:rPr>
          <w:rFonts w:ascii="IRNazanin" w:hAnsi="IRNazanin" w:eastAsia="IRNazanin"/>
          <w:color w:val="111111"/>
          <w:sz w:val="28"/>
          <w:sz w:val="28"/>
          <w:szCs w:val="28"/>
          <w:rtl w:val="true"/>
          <w:lang w:bidi="fa-IR"/>
        </w:rPr>
        <w:t xml:space="preserve">ولا تفسد على القوم ماءهم </w:t>
      </w:r>
      <w:r>
        <w:rPr>
          <w:rFonts w:eastAsia="IRNazanin" w:cs="IRNazanin"/>
          <w:color w:val="111111"/>
          <w:sz w:val="28"/>
          <w:szCs w:val="28"/>
          <w:rtl w:val="true"/>
          <w:lang w:bidi="fa-IR"/>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 الملاقاة توجب الانفعال لم يكن النزول في </w:t>
      </w:r>
      <w:r>
        <w:rPr>
          <w:rStyle w:val="FootnoteAnchor"/>
          <w:rtl w:val="true"/>
        </w:rPr>
        <w:footnoteReference w:id="305"/>
      </w:r>
      <w:r>
        <w:rPr>
          <w:rFonts w:ascii="Amiri" w:hAnsi="Amiri" w:eastAsia="Amiri" w:cs="Amiri"/>
          <w:color w:val="111111"/>
          <w:sz w:val="28"/>
          <w:sz w:val="28"/>
          <w:szCs w:val="28"/>
          <w:rtl w:val="true"/>
          <w:lang w:bidi="ar-SA"/>
        </w:rPr>
        <w:t>البئر مقتضيا لحصول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وإن كان ظاهرا في حصول النجاسة باعتبار تقرير السائل ، إلّا أنّ معارضته بروايته السابقة في حجّتنا توجب المصير إلى الجمع أو الترجيح ، ولا ريب أنّ دلالة تلك أقوى من حيث الصراحة وتعدّد الجهة والتعليل ؛ فإنّه نفى فيها الإفساد عن ماء البئر من كلّ شي‌ء بدون التغيّر ، وهو شامل بعمومه لإفساد النجاسة إن لم يكن مرادا لخصوصه منه ؛ نظرا إلى 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الطهارة مع التغيّر بالنزح إلى زواله ، وهو يدلّ على عدم تأثير الملاقاة ، وإلّا لكان الواجب فيما له مقدّر نزح أكثر الأمرين ممّا يزول به التغيّر ويستوفى به المقدّر ؛ لأنّ توقف الطهارة على نزح القدر مع عدم التغيّر يقتضي توقّفها عليه مع حصوله بطريق أولى ، فحيث يزول التغيّر قبل استيفائه يكون الإكمال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فاكتفاؤه في الخبر بزوال التغيّر دليل واضح على أنّ التأثير للتغيّر لا غير ، وقد علم بذلك تعدّد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لرواية النجاسة هذه المزيّة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تأويلها إن أمكن وإلّا فاطراحها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بالبعيد أن يحمل </w:t>
      </w:r>
      <w:r>
        <w:rPr>
          <w:rStyle w:val="FootnoteAnchor"/>
          <w:rtl w:val="true"/>
        </w:rPr>
        <w:footnoteReference w:id="306"/>
      </w:r>
      <w:r>
        <w:rPr>
          <w:rFonts w:ascii="Amiri" w:hAnsi="Amiri" w:eastAsia="Amiri" w:cs="Amiri"/>
          <w:color w:val="111111"/>
          <w:sz w:val="28"/>
          <w:sz w:val="28"/>
          <w:szCs w:val="28"/>
          <w:rtl w:val="true"/>
          <w:lang w:bidi="ar-SA"/>
        </w:rPr>
        <w:t xml:space="preserve">الطهارة فيها على المعنى اللّغوي أعني النظافة ، </w:t>
      </w:r>
    </w:p>
    <w:p>
      <w:pPr>
        <w:pStyle w:val="BookText"/>
        <w:rPr/>
      </w:pPr>
      <w:r>
        <w:rPr>
          <w:rFonts w:ascii="Amiri" w:hAnsi="Amiri" w:eastAsia="Amiri" w:cs="Amiri"/>
          <w:color w:val="111111"/>
          <w:sz w:val="28"/>
          <w:sz w:val="28"/>
          <w:szCs w:val="28"/>
          <w:rtl w:val="true"/>
          <w:lang w:bidi="ar-SA"/>
        </w:rPr>
        <w:t>ويراد بحلّ الوضوء منها زوال المرجوحية على استعمالها ؛ إذ لا ريب في رجحان النزح في الجملة فيكون الاستعمال فيه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فباحتمال إرادة المعنى اللغوي من الطهارة فلا يدلّ على حصول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 الأصحاب أنّ ثبوت الحقيقة الشرعيّة يمنع من الحمل على اللّغوية بتقدير تسليمه غير مجد ؛ لأنّ المعروف بينهم أنّ المعنى الشرعي للطهارة لا يتناول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الحديث لم يثبت عندي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الإفساد أعمّ من النجاسة ، فلا دلالة للنهي عنه على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يكون المراد به ما يترتّب على الوقوع من إثارة الطين ، والحمأة ، وتغيّر الماء ، مع حاجة النّاس إليه في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الإفساد وقع في حديثي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يقال على أحدهما يمكن إيراده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السقوط ؛ لأنّ الإفساد في خبر الطهارة عام ؛ لوقوعه في سياق النّفي فيتناول إفساد النجاسة بعمومه ، إذ هو خاصّ به كما ذكرناه ، بخلافه في حديث النجاسة ؛ فإنّ النهي عنه لا يدلّ على حصول جميع أنواعه ليشمل ما يكون منها بواسطة النجاسة ، بل إنّما يدلّ على حصوله في الجملة فيجوز أن يراد به ما يكون بغير النجاسة ، لا سيّما بقرينة الوقوع ، فلا يكون له دلالة على المدّعى ، وذلك ظاهر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البصروي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صالح الثّوري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في الرّكى </w:t>
      </w:r>
      <w:r>
        <w:rPr>
          <w:rStyle w:val="FootnoteAnchor"/>
          <w:rtl w:val="true"/>
        </w:rPr>
        <w:footnoteReference w:id="307"/>
      </w:r>
      <w:r>
        <w:rPr>
          <w:rFonts w:ascii="Amiri" w:hAnsi="Amiri" w:eastAsia="Amiri" w:cs="Amiri"/>
          <w:color w:val="111111"/>
          <w:sz w:val="28"/>
          <w:sz w:val="28"/>
          <w:szCs w:val="28"/>
          <w:rtl w:val="true"/>
          <w:lang w:bidi="ar-SA"/>
        </w:rPr>
        <w:t xml:space="preserve">كرّا لم ينجّسه </w:t>
      </w:r>
      <w:bookmarkStart w:id="272" w:name="pg8731_77108"/>
    </w:p>
    <w:p>
      <w:pPr>
        <w:pStyle w:val="BookText"/>
        <w:rPr/>
      </w:pPr>
      <w:bookmarkEnd w:id="272"/>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بالرّكى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مع ذلك بعموم ما دلّ على اشتراط بلوغ الماء مقدار الكرّ في عدم انفعاله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ضعيفة السند ، وعن الاحتجاج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مخصوص بخبر محمّد بن اسماعيل ؛ فإنّ تعليل عدم النجاسة بالملاقاة فيه بالمادّة يقتضي عدم الفرق بين القليل والكثير</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140047_653776707"/>
      <w:bookmarkStart w:id="274" w:name="_Toc98"/>
      <w:bookmarkEnd w:id="273"/>
      <w:r>
        <w:rPr>
          <w:rtl w:val="true"/>
        </w:rPr>
        <w:t xml:space="preserve">مسألة </w:t>
      </w:r>
      <w:r>
        <w:rPr>
          <w:rtl w:val="true"/>
        </w:rPr>
        <w:t>[</w:t>
      </w:r>
      <w:r>
        <w:rPr/>
        <w:t>2</w:t>
      </w:r>
      <w:r>
        <w:rPr>
          <w:rtl w:val="true"/>
        </w:rPr>
        <w:t>] :</w:t>
      </w:r>
      <w:bookmarkEnd w:id="274"/>
    </w:p>
    <w:p>
      <w:pPr>
        <w:pStyle w:val="BookText"/>
        <w:rPr/>
      </w:pPr>
      <w:r>
        <w:rPr>
          <w:rFonts w:ascii="Amiri" w:hAnsi="Amiri" w:eastAsia="Amiri" w:cs="Amiri"/>
          <w:color w:val="111111"/>
          <w:sz w:val="28"/>
          <w:sz w:val="28"/>
          <w:szCs w:val="28"/>
          <w:rtl w:val="true"/>
          <w:lang w:bidi="ar-SA"/>
        </w:rPr>
        <w:t>أكثر القائلين بعدم انفعال البئر بالملاقاة ذهبوا إلى استحباب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بوجوبه ، بناء على القول بالطهارة ، وقد علمت أنّه </w:t>
      </w:r>
      <w:r>
        <w:rPr>
          <w:rStyle w:val="FootnoteAnchor"/>
          <w:rtl w:val="true"/>
        </w:rPr>
        <w:footnoteReference w:id="309"/>
      </w:r>
      <w:r>
        <w:rPr>
          <w:rFonts w:ascii="Amiri" w:hAnsi="Amiri" w:eastAsia="Amiri" w:cs="Amiri"/>
          <w:color w:val="111111"/>
          <w:sz w:val="28"/>
          <w:sz w:val="28"/>
          <w:szCs w:val="28"/>
          <w:rtl w:val="true"/>
          <w:lang w:bidi="ar-SA"/>
        </w:rPr>
        <w:t>الظاهر من مذهبه في كتابي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هذا القول العلّامة رحمه‌اللّه في المنتهى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عليه الأخبار الكثيرة الواردة بالأمر به ، وهو للوجوب عندهم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تلك الأخبار وإن كانت كثيرة إلّا أنّ الغالب عليها الاختلاف ، والإجمال ، وضعف الأسناد ، وذلك أمارة الاستحباب ، إذ التساهل في الواجب بمثل هذا القدر غير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الاكتفاء بمزيل التغيّر في خبر محمّد </w:t>
      </w:r>
      <w:r>
        <w:rPr>
          <w:rStyle w:val="FootnoteAnchor"/>
          <w:rtl w:val="true"/>
        </w:rPr>
        <w:footnoteReference w:id="311"/>
      </w:r>
      <w:r>
        <w:rPr>
          <w:rFonts w:ascii="Amiri" w:hAnsi="Amiri" w:eastAsia="Amiri" w:cs="Amiri"/>
          <w:color w:val="111111"/>
          <w:sz w:val="28"/>
          <w:sz w:val="28"/>
          <w:szCs w:val="28"/>
          <w:rtl w:val="true"/>
          <w:lang w:bidi="ar-SA"/>
        </w:rPr>
        <w:t xml:space="preserve">بن اسماعيل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عدم تأثير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عدم وجوب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معنى لوجوب نزح القدر مع عدم التغيّر وعدمه معه</w:t>
      </w:r>
      <w:r>
        <w:rPr>
          <w:rFonts w:eastAsia="Amiri" w:cs="Amiri" w:ascii="Amiri" w:hAnsi="Amiri"/>
          <w:color w:val="111111"/>
          <w:sz w:val="28"/>
          <w:szCs w:val="28"/>
          <w:rtl w:val="true"/>
          <w:lang w:bidi="ar-SA"/>
        </w:rPr>
        <w:t xml:space="preserve">. </w:t>
      </w:r>
      <w:bookmarkStart w:id="275" w:name="pg8731_77109"/>
    </w:p>
    <w:p>
      <w:pPr>
        <w:pStyle w:val="BookText"/>
        <w:rPr/>
      </w:pPr>
      <w:bookmarkEnd w:id="275"/>
      <w:r>
        <w:rPr>
          <w:rFonts w:ascii="Amiri" w:hAnsi="Amiri" w:eastAsia="Amiri" w:cs="Amiri"/>
          <w:color w:val="111111"/>
          <w:sz w:val="28"/>
          <w:sz w:val="28"/>
          <w:szCs w:val="28"/>
          <w:rtl w:val="true"/>
          <w:lang w:bidi="ar-SA"/>
        </w:rPr>
        <w:t>وأمّا القائلون بالانفعال بالملاقاة فجعلوا النّزح طريقا للتطهير مع الطرق المذكورة سابقا في تطهير الواقف ، على خلاف يأتي</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3140049_653776707"/>
      <w:bookmarkStart w:id="277" w:name="_Toc99"/>
      <w:bookmarkEnd w:id="276"/>
      <w:r>
        <w:rPr>
          <w:rtl w:val="true"/>
        </w:rPr>
        <w:t xml:space="preserve">مسألة </w:t>
      </w:r>
      <w:r>
        <w:rPr>
          <w:rtl w:val="true"/>
        </w:rPr>
        <w:t>[</w:t>
      </w:r>
      <w:r>
        <w:rPr/>
        <w:t>3</w:t>
      </w:r>
      <w:r>
        <w:rPr>
          <w:rtl w:val="true"/>
        </w:rPr>
        <w:t>] :</w:t>
      </w:r>
      <w:bookmarkEnd w:id="277"/>
    </w:p>
    <w:p>
      <w:pPr>
        <w:pStyle w:val="BookText"/>
        <w:rPr/>
      </w:pPr>
      <w:r>
        <w:rPr>
          <w:rFonts w:ascii="Amiri" w:hAnsi="Amiri" w:eastAsia="Amiri" w:cs="Amiri"/>
          <w:color w:val="111111"/>
          <w:sz w:val="28"/>
          <w:sz w:val="28"/>
          <w:szCs w:val="28"/>
          <w:rtl w:val="true"/>
          <w:lang w:bidi="ar-SA"/>
        </w:rPr>
        <w:t xml:space="preserve">ينزح جميع الماء 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البعير ولا نعرف في ذلك من الأصحاب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في البئر شي‌ء صغير فمات فيها فانزح منها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مات فيها بعير أو صبّ فيها خمر فلينزح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هذا الحديث معتبر إلّا أنّ في بلوغه حدّ الصحة نظر ؛ لأنّ فيه محمّد ابن عبد الجبّار ، ولم يوثّقه غير الشيخ وتبعه العلّامة رضوان اللّه عليه ، وليس ذلك بكاف على ما مرّ بيانه في مسألة كمّية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في الاستبصار مع هذا الخبر بما رواه في الصحيح عن عبد اللّه بن سنان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سقط في البئر دابّة صغيرة أو نزل فيها جنب نزح منها سبع دلاء ، وإن مات فيها ثور أو صبّ فيها خمر نزح </w:t>
      </w:r>
      <w:r>
        <w:rPr>
          <w:rStyle w:val="FootnoteAnchor"/>
          <w:rtl w:val="true"/>
        </w:rPr>
        <w:footnoteReference w:id="313"/>
      </w:r>
      <w:r>
        <w:rPr>
          <w:rFonts w:ascii="Amiri" w:hAnsi="Amiri" w:eastAsia="Amiri" w:cs="Amiri"/>
          <w:color w:val="111111"/>
          <w:sz w:val="28"/>
          <w:sz w:val="28"/>
          <w:szCs w:val="28"/>
          <w:rtl w:val="true"/>
          <w:lang w:bidi="ar-SA"/>
        </w:rPr>
        <w:t xml:space="preserve">الماء كلّه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فيه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في التهذيب بزيادة يمكن الاحتجاج </w:t>
      </w:r>
    </w:p>
    <w:p>
      <w:pPr>
        <w:pStyle w:val="BookText"/>
        <w:rPr/>
      </w:pPr>
      <w:r>
        <w:rPr>
          <w:rFonts w:ascii="Amiri" w:hAnsi="Amiri" w:eastAsia="Amiri" w:cs="Amiri"/>
          <w:color w:val="111111"/>
          <w:sz w:val="28"/>
          <w:sz w:val="28"/>
          <w:szCs w:val="28"/>
          <w:rtl w:val="true"/>
          <w:lang w:bidi="ar-SA"/>
        </w:rPr>
        <w:t xml:space="preserve">بها ، ولعلّها سقطت من سهو القلم ؛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فيها ثور أو نحوه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حكاية الأصحاب له ، فنقله المحقّق </w:t>
      </w:r>
      <w:r>
        <w:rPr>
          <w:rStyle w:val="FootnoteAnchor"/>
          <w:rtl w:val="true"/>
        </w:rPr>
        <w:footnoteReference w:id="316"/>
      </w:r>
      <w:r>
        <w:rPr>
          <w:rFonts w:ascii="Amiri" w:hAnsi="Amiri" w:eastAsia="Amiri" w:cs="Amiri"/>
          <w:color w:val="111111"/>
          <w:sz w:val="28"/>
          <w:sz w:val="28"/>
          <w:szCs w:val="28"/>
          <w:rtl w:val="true"/>
          <w:lang w:bidi="ar-SA"/>
        </w:rPr>
        <w:t xml:space="preserve">في المعتبر بدون الزيادة ، والعلّامة حكاه بها في المنتهى والمختلف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نزح الجميع للثّور يقتضي إيجابه للبعير بطريق أولى ؛ لاشتراكهما في الطهارة والحل حال الحياة ، وثبوت النّجاسة بالموت ، وزيادة البعير بكبر الحجم ، وليس وراء نزح الجميع أمر آخر يمكن اعتباره للزيادة ، فيحتمل أن يكون نظر الشيخ إلى هذا في الاحتجاج بالخبر لا إلى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بسند لا يخلو من اعتبار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ابن سعيد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عليهم‌السلام عمّا يقع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الحمار والجمل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 من ماء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الشيخ على أنّه جواب عن حكم الحمار ، وأنّه عوّل في حكم الجمل على ما عرف من وجوب نزح الماء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حمل رديّ لا ينبغي التعويل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الراوي وهو عمرو بن سعيد فطحيّ ، وتبعه على ذلك العلّامة في المنتهى ، والشهيد في الذكرى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 لأنّ الذي ذكر في بعض كتب الرجال من طريق ضعيف أنّه فطحيّ هو عمرو بن سعيد المدائني </w:t>
      </w:r>
      <w:bookmarkStart w:id="278" w:name="pg8731_77111"/>
    </w:p>
    <w:p>
      <w:pPr>
        <w:pStyle w:val="BookText"/>
        <w:rPr/>
      </w:pPr>
      <w:bookmarkEnd w:id="278"/>
      <w:r>
        <w:rPr>
          <w:rFonts w:ascii="Amiri" w:hAnsi="Amiri" w:eastAsia="Amiri" w:cs="Amiri"/>
          <w:color w:val="111111"/>
          <w:sz w:val="28"/>
          <w:sz w:val="28"/>
          <w:szCs w:val="28"/>
          <w:rtl w:val="true"/>
          <w:lang w:bidi="ar-SA"/>
        </w:rPr>
        <w:t>من أصحاب الرضا عليه‌السلام ، وهذه الرواية عن الباقر عليه‌السلام ، والرّاوي لها عن عمرو ابن سعيد عمر بن يزيد ، وهو من أصحاب الصادق عليه‌السلام والكاظم عليه‌السلام ، فليس ذلك محلّ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فالرّد باعتباره متوجّه ؛ لأنّه وإن لم يكن فطحيّا لكنّه مجهول </w:t>
      </w:r>
      <w:r>
        <w:rPr>
          <w:rStyle w:val="FootnoteAnchor"/>
          <w:rtl w:val="true"/>
        </w:rPr>
        <w:footnoteReference w:id="320"/>
      </w:r>
      <w:r>
        <w:rPr>
          <w:rFonts w:ascii="Amiri" w:hAnsi="Amiri" w:eastAsia="Amiri" w:cs="Amiri"/>
          <w:color w:val="111111"/>
          <w:sz w:val="28"/>
          <w:sz w:val="28"/>
          <w:szCs w:val="28"/>
          <w:rtl w:val="true"/>
          <w:lang w:bidi="ar-SA"/>
        </w:rPr>
        <w:t>إذ لم يذكره غير الشيخ في كتاب الرجال ، مقتصرا على وصفه بالثّقفيّ الكوفيّ ، وعدّه في أصحاب الصادق عليه‌السلام وذلك يحقّق ما ذكرناه من المغايرة أيضا لو احتيج إليه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3140051_653776707"/>
      <w:bookmarkStart w:id="280" w:name="_Toc100"/>
      <w:bookmarkEnd w:id="279"/>
      <w:r>
        <w:rPr>
          <w:rtl w:val="true"/>
        </w:rPr>
        <w:t xml:space="preserve">مسألة </w:t>
      </w:r>
      <w:r>
        <w:rPr>
          <w:rtl w:val="true"/>
        </w:rPr>
        <w:t>[</w:t>
      </w:r>
      <w:r>
        <w:rPr/>
        <w:t>4</w:t>
      </w:r>
      <w:r>
        <w:rPr>
          <w:rtl w:val="true"/>
        </w:rPr>
        <w:t>] :</w:t>
      </w:r>
      <w:bookmarkEnd w:id="280"/>
    </w:p>
    <w:p>
      <w:pPr>
        <w:pStyle w:val="BookText"/>
        <w:rPr/>
      </w:pPr>
      <w:r>
        <w:rPr>
          <w:rFonts w:ascii="Amiri" w:hAnsi="Amiri" w:eastAsia="Amiri" w:cs="Amiri"/>
          <w:color w:val="111111"/>
          <w:sz w:val="28"/>
          <w:sz w:val="28"/>
          <w:szCs w:val="28"/>
          <w:rtl w:val="true"/>
          <w:lang w:bidi="ar-SA"/>
        </w:rPr>
        <w:t>وينزح الجميع لموت الثور ، وهو قول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رضوان اللّه عليه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الشيخين وأتباعهما لم يذكروا حكمه ، لكنّهم أوجبوا نزح كرّ للبقرة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صاحب الصّحاح اطلاق البقرة على الذكر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الكرّ حينئذ</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العرف الآن لا يوافق ما نقله صاحب الصّحاح </w:t>
      </w:r>
      <w:r>
        <w:rPr>
          <w:rStyle w:val="FootnoteAnchor"/>
          <w:rtl w:val="true"/>
        </w:rPr>
        <w:footnoteReference w:id="323"/>
      </w:r>
      <w:r>
        <w:rPr>
          <w:rFonts w:ascii="Amiri" w:hAnsi="Amiri" w:eastAsia="Amiri" w:cs="Amiri"/>
          <w:color w:val="111111"/>
          <w:sz w:val="28"/>
          <w:sz w:val="28"/>
          <w:szCs w:val="28"/>
          <w:rtl w:val="true"/>
          <w:lang w:bidi="ar-SA"/>
        </w:rPr>
        <w:t xml:space="preserve">، وهو مقدّم على اللّغة ، ولكن لا نعلم تقدّمه بحيث يكون موجودا في عصرهم ، فلا يبعد ما ذكره رحمه‌اللّه ، مع أنّ عبارة المفيد في المقنعة 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لفظ البقرة </w:t>
      </w:r>
      <w:bookmarkStart w:id="281" w:name="pg8731_77112"/>
    </w:p>
    <w:p>
      <w:pPr>
        <w:pStyle w:val="BookText"/>
        <w:rPr/>
      </w:pPr>
      <w:bookmarkEnd w:id="281"/>
      <w:r>
        <w:rPr>
          <w:rFonts w:ascii="Amiri" w:hAnsi="Amiri" w:eastAsia="Amiri" w:cs="Amiri"/>
          <w:color w:val="111111"/>
          <w:sz w:val="28"/>
          <w:sz w:val="28"/>
          <w:szCs w:val="28"/>
          <w:rtl w:val="true"/>
          <w:lang w:bidi="ar-SA"/>
        </w:rPr>
        <w:t xml:space="preserve">متناولا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مات فيها حمار أو بقرة أو فرس وأشباهها من الدّوابّ ، ولم يتغيّر بموته الماء نزح منها كرّ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دخول الثور في الأشباه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حكى الشيخ رحمه‌اللّه هذه العبارة في التهذيب ذكر على سبيل الاستدلال لمضمونها رواية عمرو بن سعيد بن هلال السابقة ، وفيه إيذان بالموافقة عليه ، وقد عرفت أنّه في الاستبصار احتجّ بخبر عبد اللّه بن سنان المتضمّن لنزح الجميع للثور على حكم البعير ، وهو يقتضي القول بمضمونه في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بنزح الجميع له هو الأصحّ ؛ لدلالة النصّ الصحيح عليه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140053_653776707"/>
      <w:bookmarkStart w:id="283" w:name="_Toc101"/>
      <w:bookmarkEnd w:id="282"/>
      <w:r>
        <w:rPr>
          <w:rtl w:val="true"/>
        </w:rPr>
        <w:t xml:space="preserve">مسألة </w:t>
      </w:r>
      <w:r>
        <w:rPr>
          <w:rtl w:val="true"/>
        </w:rPr>
        <w:t>[</w:t>
      </w:r>
      <w:r>
        <w:rPr/>
        <w:t>5</w:t>
      </w:r>
      <w:r>
        <w:rPr>
          <w:rtl w:val="true"/>
        </w:rPr>
        <w:t>] :</w:t>
      </w:r>
      <w:bookmarkEnd w:id="283"/>
    </w:p>
    <w:p>
      <w:pPr>
        <w:pStyle w:val="Heading6"/>
        <w:numPr>
          <w:ilvl w:val="5"/>
          <w:numId w:val="1"/>
        </w:numPr>
        <w:rPr/>
      </w:pPr>
      <w:bookmarkStart w:id="284" w:name="__RefHeading___Toc3140055_653776707"/>
      <w:bookmarkStart w:id="285" w:name="_Toc102"/>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وينزح لوقوع الخمر أيضا الماء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إقرانه </w:t>
      </w:r>
      <w:r>
        <w:rPr>
          <w:rStyle w:val="FootnoteAnchor"/>
          <w:rtl w:val="true"/>
        </w:rPr>
        <w:footnoteReference w:id="325"/>
      </w:r>
      <w:r>
        <w:rPr>
          <w:rFonts w:ascii="Amiri" w:hAnsi="Amiri" w:eastAsia="Amiri" w:cs="Amiri"/>
          <w:color w:val="111111"/>
          <w:sz w:val="28"/>
          <w:sz w:val="28"/>
          <w:szCs w:val="28"/>
          <w:rtl w:val="true"/>
          <w:lang w:bidi="ar-SA"/>
        </w:rPr>
        <w:t>مع البعير والثور في حديثي الحلبي وابن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أيضا في الصحيح عن معاوية بن عمّار ، عن أبي عبد اللّه عليه‌السلام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فيها الصبيّ ، أو يصبّ فيها بول أو خمر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الماء كله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في التمسّك بهذه الرواية ما أورده بعض الأصحاب من تضمّنها نزح الجميع للبول ،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حملها الشيخ على حصول التغيّر به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w:t>
      </w:r>
    </w:p>
    <w:p>
      <w:pPr>
        <w:pStyle w:val="BookText"/>
        <w:rPr/>
      </w:pPr>
      <w:r>
        <w:rPr>
          <w:rFonts w:ascii="Amiri" w:hAnsi="Amiri" w:eastAsia="Amiri" w:cs="Amiri"/>
          <w:color w:val="111111"/>
          <w:sz w:val="28"/>
          <w:sz w:val="28"/>
          <w:szCs w:val="28"/>
          <w:rtl w:val="true"/>
          <w:lang w:bidi="ar-SA"/>
        </w:rPr>
        <w:t xml:space="preserve">العلّامة في المختلف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المحقّق في المعتبر على الاستحباب بالنسبة إلى البول </w:t>
      </w:r>
      <w:r>
        <w:rPr>
          <w:rStyle w:val="FootnoteAnchor"/>
          <w:rtl w:val="true"/>
        </w:rPr>
        <w:footnoteReference w:id="329"/>
      </w:r>
      <w:r>
        <w:rPr>
          <w:rFonts w:ascii="Amiri" w:hAnsi="Amiri" w:eastAsia="Amiri" w:cs="Amiri"/>
          <w:color w:val="111111"/>
          <w:sz w:val="28"/>
          <w:sz w:val="28"/>
          <w:szCs w:val="28"/>
          <w:rtl w:val="true"/>
          <w:lang w:bidi="ar-SA"/>
        </w:rPr>
        <w:t>، بناء على القول بوجوب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أنسب من حمل الشيخ ، فيراد منه الأكمليّة على القول بالاستحباب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التقديرين لا بدّ من التجوّز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القدر المشترك بين المعنيين المعتبرين في البول والخمر ، ويكون اللفظ مجملا فيهما </w:t>
      </w:r>
      <w:r>
        <w:rPr>
          <w:rStyle w:val="FootnoteAnchor"/>
          <w:rtl w:val="true"/>
        </w:rPr>
        <w:footnoteReference w:id="331"/>
      </w:r>
      <w:r>
        <w:rPr>
          <w:rFonts w:ascii="Amiri" w:hAnsi="Amiri" w:eastAsia="Amiri" w:cs="Amiri"/>
          <w:color w:val="111111"/>
          <w:sz w:val="28"/>
          <w:sz w:val="28"/>
          <w:szCs w:val="28"/>
          <w:rtl w:val="true"/>
          <w:lang w:bidi="ar-SA"/>
        </w:rPr>
        <w:t>موكول البيان إلى الأخبار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حمل المحقّق أنسب ، لأنّ كلام الشيخ إنّما يتم على القول بوجوب النزح ؛ إذ الواجب مع التغيّر على القول باستحقاقه </w:t>
      </w:r>
      <w:r>
        <w:rPr>
          <w:rStyle w:val="FootnoteAnchor"/>
          <w:rtl w:val="true"/>
        </w:rPr>
        <w:footnoteReference w:id="332"/>
      </w:r>
      <w:r>
        <w:rPr>
          <w:rFonts w:ascii="Amiri" w:hAnsi="Amiri" w:eastAsia="Amiri" w:cs="Amiri"/>
          <w:color w:val="111111"/>
          <w:sz w:val="28"/>
          <w:sz w:val="28"/>
          <w:szCs w:val="28"/>
          <w:rtl w:val="true"/>
          <w:lang w:bidi="ar-SA"/>
        </w:rPr>
        <w:t>هو النزح إلى أن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علمائنا لم يفرّقوا بين القليل من الخمر والكثير ، فحكموا بنزح الجميع لكلّ ما يقع منه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رحمه‌اللّه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للقطرة من الخمر عشرون دلوا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قطرت فيها قطرة دم أو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والخمر والميّت ولحم الخنزير في ذلك كلّه واحد ، ينزح منه عشرون دلوا ، فإن غلب الرّيح نزحت حتى تطيب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اخرى عن كردويه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البئر يقع فيها قطرة دم أو نبيذ مسكر أو بول أو خمر؟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ثلاثون دلوا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في تأويلهما كلام ضعيف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المحقّق في المعتبر نوع ميل إلى العمل بهما في القطرة ، والفرق بينهما وبين 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بأنّه ليس أثر القطرة في التنجيس كأثر ما يصبّ صبّا ؛ فإنّه يشيع في الماء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العلّامة رضوان اللّه عليه في المنتهى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زرارة اشتملت على حكم التغيّر ومن المستبعد بل المحال حصول التغيّر عن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يفرّق واحد من أصحابنا بين قليل الخمر وكثيره إلّا من شذّ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واهية بكلا وجهيها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نعرف أنّ الرواية مشتملة على حكم التغيّر ، ولكن ما الّذي يقتضي صرفه إلى الخمر ليلزم المستبعد أو المحال مع عدم الاقتصار في الرواية عليه ، بل قد جمع فيها بينه وبين الميّت ولحم الخنزير ، فأيّ مانع من إرادة التغيّر الحاصل من الميّت وقرينه مع كونه الظاهر بقرينة الحال؟</w:t>
      </w:r>
    </w:p>
    <w:p>
      <w:pPr>
        <w:pStyle w:val="BookText"/>
        <w:rPr/>
      </w:pPr>
      <w:r>
        <w:rPr>
          <w:rFonts w:ascii="IRNazanin" w:hAnsi="IRNazanin" w:eastAsia="IRNazanin"/>
          <w:color w:val="111111"/>
          <w:sz w:val="28"/>
          <w:sz w:val="28"/>
          <w:szCs w:val="28"/>
          <w:rtl w:val="true"/>
          <w:lang w:bidi="fa-IR"/>
        </w:rPr>
        <w:t>ومع التنزّل فلا أقلّ من الاحتمال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الضّعف بحيث لا يحتاج إلى التبيين</w:t>
      </w:r>
      <w:r>
        <w:rPr>
          <w:rFonts w:eastAsia="Amiri" w:cs="Amiri" w:ascii="Amiri" w:hAnsi="Amiri"/>
          <w:color w:val="111111"/>
          <w:sz w:val="28"/>
          <w:szCs w:val="28"/>
          <w:rtl w:val="true"/>
          <w:lang w:bidi="ar-SA"/>
        </w:rPr>
        <w:t xml:space="preserve">. </w:t>
      </w:r>
      <w:bookmarkStart w:id="286" w:name="pg8731_77115"/>
    </w:p>
    <w:p>
      <w:pPr>
        <w:pStyle w:val="BookText"/>
        <w:rPr/>
      </w:pPr>
      <w:bookmarkEnd w:id="286"/>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الاول لا تتناول القطرة لعدم صدق الانصباب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بعض الأصحاب عدم التناول مكابرة ، فالأخبار </w:t>
      </w:r>
      <w:r>
        <w:rPr>
          <w:rStyle w:val="FootnoteAnchor"/>
          <w:rtl w:val="true"/>
        </w:rPr>
        <w:footnoteReference w:id="339"/>
      </w:r>
      <w:r>
        <w:rPr>
          <w:rFonts w:ascii="Amiri" w:hAnsi="Amiri" w:eastAsia="Amiri" w:cs="Amiri"/>
          <w:color w:val="111111"/>
          <w:sz w:val="28"/>
          <w:sz w:val="28"/>
          <w:szCs w:val="28"/>
          <w:rtl w:val="true"/>
          <w:lang w:bidi="ar-SA"/>
        </w:rPr>
        <w:t>الواردة في حكم القطرة لا ينافيها بحيث تحتاج إلى تأويلها أو ردّها بل العمل بها ممكن إلّا أنّ ما تضمّن حكم القطرة ضعيف السّند فلا يصلح لإثبات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 هذا أن يكون ممّا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على القول بنزح الجميع له فتأمّل</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140057_653776707"/>
      <w:bookmarkStart w:id="288" w:name="_Toc103"/>
      <w:bookmarkEnd w:id="287"/>
      <w:r>
        <w:rPr>
          <w:rtl w:val="true"/>
        </w:rPr>
        <w:t xml:space="preserve">فرع </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دخول العصير بعد الاشتداد في حكم الخمر لشبهه به إن قلنا بنجاسته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 لأنّه قياس</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3140059_653776707"/>
      <w:bookmarkStart w:id="290" w:name="_Toc104"/>
      <w:bookmarkEnd w:id="289"/>
      <w:r>
        <w:rPr>
          <w:rtl w:val="true"/>
        </w:rPr>
        <w:t xml:space="preserve">مسألة </w:t>
      </w:r>
      <w:r>
        <w:rPr>
          <w:rtl w:val="true"/>
        </w:rPr>
        <w:t>[</w:t>
      </w:r>
      <w:r>
        <w:rPr/>
        <w:t>6</w:t>
      </w:r>
      <w:r>
        <w:rPr>
          <w:rtl w:val="true"/>
        </w:rPr>
        <w:t>] :</w:t>
      </w:r>
      <w:bookmarkEnd w:id="290"/>
    </w:p>
    <w:p>
      <w:pPr>
        <w:pStyle w:val="BookText"/>
        <w:rPr/>
      </w:pPr>
      <w:r>
        <w:rPr>
          <w:rFonts w:ascii="Amiri" w:hAnsi="Amiri" w:eastAsia="Amiri" w:cs="Amiri"/>
          <w:color w:val="111111"/>
          <w:sz w:val="28"/>
          <w:sz w:val="28"/>
          <w:szCs w:val="28"/>
          <w:rtl w:val="true"/>
          <w:lang w:bidi="ar-SA"/>
        </w:rPr>
        <w:t>ألحق الشيخان وجمع من الأصحاب جميع المسكرات بالخمر في وجوب نزح الجميع</w:t>
      </w:r>
      <w:r>
        <w:rPr>
          <w:rStyle w:val="FootnoteAnchor"/>
          <w:rtl w:val="true"/>
        </w:rPr>
        <w:footnoteReference w:id="341"/>
      </w:r>
      <w:r>
        <w:rPr>
          <w:rFonts w:ascii="Amiri" w:hAnsi="Amiri" w:eastAsia="Amiri" w:cs="Amiri"/>
          <w:color w:val="111111"/>
          <w:sz w:val="28"/>
          <w:sz w:val="28"/>
          <w:szCs w:val="28"/>
          <w:rtl w:val="true"/>
          <w:lang w:bidi="ar-SA"/>
        </w:rPr>
        <w:t xml:space="preserve">، والشيخ وجماعة الفقّاع أيضا </w:t>
      </w:r>
      <w:r>
        <w:rPr>
          <w:rStyle w:val="FootnoteAnchor"/>
          <w:rtl w:val="true"/>
        </w:rPr>
        <w:footnoteReference w:id="342"/>
      </w:r>
      <w:r>
        <w:rPr>
          <w:rFonts w:ascii="Amiri" w:hAnsi="Amiri" w:eastAsia="Amiri" w:cs="Amiri"/>
          <w:color w:val="111111"/>
          <w:sz w:val="28"/>
          <w:sz w:val="28"/>
          <w:szCs w:val="28"/>
          <w:rtl w:val="true"/>
          <w:lang w:bidi="ar-SA"/>
        </w:rPr>
        <w:t>، ولم نقف في ذلك على نصّ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 له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عدم الاطلاع على حديث يدلّ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مسكر خمر كما وردت به الأخبار ، وبأنّ الفقّاع خمر لدلالة </w:t>
      </w:r>
      <w:bookmarkStart w:id="291" w:name="pg8731_77116"/>
    </w:p>
    <w:p>
      <w:pPr>
        <w:pStyle w:val="BookText"/>
        <w:rPr/>
      </w:pPr>
      <w:bookmarkEnd w:id="291"/>
      <w:r>
        <w:rPr>
          <w:rFonts w:ascii="Amiri" w:hAnsi="Amiri" w:eastAsia="Amiri" w:cs="Amiri"/>
          <w:color w:val="111111"/>
          <w:sz w:val="28"/>
          <w:sz w:val="28"/>
          <w:szCs w:val="28"/>
          <w:rtl w:val="true"/>
          <w:lang w:bidi="ar-SA"/>
        </w:rPr>
        <w:t xml:space="preserve">الروايات الكثيرة عليه ، فثبت للجميع حكمه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كثير ممّن تأخّر عنه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نظر ؛ لأنّ الأخبار التي أشار إليها ليست صريحة في صدق اسم الخمر حقيقة على ما ذكر ، بل هي محتملة للتجوّز باعتبار الاشتراك في التحريم ، لأنها مسوقة لبيانه ، والإنكار على من يزعم </w:t>
      </w:r>
      <w:r>
        <w:rPr>
          <w:rStyle w:val="FootnoteAnchor"/>
          <w:rtl w:val="true"/>
        </w:rPr>
        <w:footnoteReference w:id="344"/>
      </w:r>
      <w:r>
        <w:rPr>
          <w:rFonts w:ascii="Amiri" w:hAnsi="Amiri" w:eastAsia="Amiri" w:cs="Amiri"/>
          <w:color w:val="111111"/>
          <w:sz w:val="28"/>
          <w:sz w:val="28"/>
          <w:szCs w:val="28"/>
          <w:rtl w:val="true"/>
          <w:lang w:bidi="ar-SA"/>
        </w:rPr>
        <w:t>اختصاص التحريم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أصالة كون الاستعمال حقيقة لا ينفع بعد ثبوت كون اللّفظ حقيقة في معنى آخر لرجحان المجاز على الاشتراك والنقل وما نحن فيه من هذا القبيل</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3140061_653776707"/>
      <w:bookmarkStart w:id="293" w:name="_Toc105"/>
      <w:bookmarkEnd w:id="292"/>
      <w:r>
        <w:rPr>
          <w:rtl w:val="true"/>
        </w:rPr>
        <w:t xml:space="preserve">مسألة </w:t>
      </w:r>
      <w:r>
        <w:rPr>
          <w:rtl w:val="true"/>
        </w:rPr>
        <w:t>[</w:t>
      </w:r>
      <w:r>
        <w:rPr/>
        <w:t>7</w:t>
      </w:r>
      <w:r>
        <w:rPr>
          <w:rtl w:val="true"/>
        </w:rPr>
        <w:t>] :</w:t>
      </w:r>
      <w:bookmarkEnd w:id="2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الشيخ نزح الجميع للمنيّ أيضا</w:t>
      </w:r>
      <w:r>
        <w:rPr>
          <w:rStyle w:val="FootnoteAnchor"/>
          <w:rtl w:val="true"/>
        </w:rPr>
        <w:footnoteReference w:id="345"/>
      </w:r>
      <w:r>
        <w:rPr>
          <w:rFonts w:ascii="Amiri" w:hAnsi="Amiri" w:eastAsia="Amiri" w:cs="Amiri"/>
          <w:color w:val="111111"/>
          <w:sz w:val="28"/>
          <w:sz w:val="28"/>
          <w:szCs w:val="28"/>
          <w:rtl w:val="true"/>
          <w:lang w:bidi="ar-SA"/>
        </w:rPr>
        <w:t>، وتبعه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خالية عنه ، وقد ذكر كثير من الأصحاب عدم النصّ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في الذكرى عن الشيخ أبي عليّ بن الشيخ في شرح نهاية والده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على ما يدلّ بمنطوقه على وجوب نزح الماء بالمنيّ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محكوم بنجاسته ولم يثبت طهارته بإخراج بعضه فيجب نزحه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bookmarkStart w:id="294" w:name="pg8731_77117"/>
    </w:p>
    <w:p>
      <w:pPr>
        <w:pStyle w:val="BookText"/>
        <w:rPr/>
      </w:pPr>
      <w:bookmarkEnd w:id="294"/>
      <w:r>
        <w:rPr>
          <w:rFonts w:ascii="Amiri" w:hAnsi="Amiri" w:eastAsia="Amiri" w:cs="Amiri"/>
          <w:color w:val="111111"/>
          <w:sz w:val="28"/>
          <w:sz w:val="28"/>
          <w:szCs w:val="28"/>
          <w:rtl w:val="true"/>
          <w:lang w:bidi="ar-SA"/>
        </w:rPr>
        <w:t xml:space="preserve">يعود في قسم ما لم يتناوله نصّ على التعيين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إنّما يتمشّى على القول بالنجاسة ، وتوقّف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فيه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نزح الجميع ، وسيأتي ذكر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استدرك رحمه‌اللّه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القول بالطهارة ووجوب النزح ، أو استحبابه فلا يتمّ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140063_653776707"/>
      <w:bookmarkStart w:id="296" w:name="_Toc106"/>
      <w:bookmarkEnd w:id="295"/>
      <w:r>
        <w:rPr>
          <w:rtl w:val="true"/>
        </w:rPr>
        <w:t xml:space="preserve">مسألة </w:t>
      </w:r>
      <w:r>
        <w:rPr>
          <w:rtl w:val="true"/>
        </w:rPr>
        <w:t>[</w:t>
      </w:r>
      <w:r>
        <w:rPr/>
        <w:t>8</w:t>
      </w:r>
      <w:r>
        <w:rPr>
          <w:rtl w:val="true"/>
        </w:rPr>
        <w:t>] :</w:t>
      </w:r>
      <w:bookmarkEnd w:id="296"/>
    </w:p>
    <w:p>
      <w:pPr>
        <w:pStyle w:val="BookText"/>
        <w:rPr/>
      </w:pPr>
      <w:r>
        <w:rPr>
          <w:rFonts w:ascii="Amiri" w:hAnsi="Amiri" w:eastAsia="Amiri" w:cs="Amiri"/>
          <w:color w:val="111111"/>
          <w:sz w:val="28"/>
          <w:sz w:val="28"/>
          <w:szCs w:val="28"/>
          <w:rtl w:val="true"/>
          <w:lang w:bidi="ar-SA"/>
        </w:rPr>
        <w:t xml:space="preserve">وذهب الشيخ رحمه‌اللّه وجماعة من المتأخّرين عنه إلى وجوب نزح الجميع أيضا للدّماء الثلاثة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يظفر في ذلك بخبر ولا ادّعاه أحد من الأصحاب بل اعترفوا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العلّامة رضوان اللّه عليه في المختلف بنحو احتجاج المحقّق لحكم المنيّ </w:t>
      </w:r>
      <w:r>
        <w:rPr>
          <w:rStyle w:val="FootnoteAnchor"/>
          <w:rtl w:val="true"/>
        </w:rPr>
        <w:footnoteReference w:id="349"/>
      </w:r>
      <w:r>
        <w:rPr>
          <w:rFonts w:ascii="IRNazanin" w:hAnsi="IRNazanin" w:eastAsia="IRNazanin"/>
          <w:color w:val="111111"/>
          <w:sz w:val="28"/>
          <w:sz w:val="28"/>
          <w:szCs w:val="28"/>
          <w:rtl w:val="true"/>
          <w:lang w:bidi="fa-IR"/>
        </w:rPr>
        <w:t>، وقد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واقتصر في المنتهى على الاعتراف بعدم الظفر فيه بحديث مرويّ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الشيخ نظر إلى اختصاص دم الحيض بوجوب إزالة قليله وكثيره عن الثوب فغلّظ حكمه في البئر وألحق به الدّمين الأخيرين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التعلّق ضعيف ، فالأصل أنّ حكمه حكم بقيّة الدّماء عملا </w:t>
      </w:r>
      <w:bookmarkStart w:id="297" w:name="pg8731_77118"/>
    </w:p>
    <w:p>
      <w:pPr>
        <w:pStyle w:val="BookText"/>
        <w:rPr/>
      </w:pPr>
      <w:bookmarkEnd w:id="297"/>
      <w:r>
        <w:rPr>
          <w:rFonts w:ascii="Amiri" w:hAnsi="Amiri" w:eastAsia="Amiri" w:cs="Amiri"/>
          <w:color w:val="111111"/>
          <w:sz w:val="28"/>
          <w:sz w:val="28"/>
          <w:szCs w:val="28"/>
          <w:rtl w:val="true"/>
          <w:lang w:bidi="ar-SA"/>
        </w:rPr>
        <w:t xml:space="preserve">بالأحاديث المطلقة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رحمه‌اللّه من ضعف التعلّق بمثل هذا التوجيه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تسويته بينه وبين غيره من الدماء عملا بإطلاق الأخبار ففيه نظر يأتيك بيان وجهه في البحث عمّا ينزح لغيرها من الدّماء</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3140065_653776707"/>
      <w:bookmarkStart w:id="299" w:name="_Toc107"/>
      <w:bookmarkEnd w:id="298"/>
      <w:r>
        <w:rPr>
          <w:rtl w:val="true"/>
        </w:rPr>
        <w:t xml:space="preserve">مسألة </w:t>
      </w:r>
      <w:r>
        <w:rPr>
          <w:rtl w:val="true"/>
        </w:rPr>
        <w:t>[</w:t>
      </w:r>
      <w:r>
        <w:rPr/>
        <w:t>9</w:t>
      </w:r>
      <w:r>
        <w:rPr>
          <w:rtl w:val="true"/>
        </w:rPr>
        <w:t>] :</w:t>
      </w:r>
      <w:bookmarkEnd w:id="299"/>
    </w:p>
    <w:p>
      <w:pPr>
        <w:pStyle w:val="BookText"/>
        <w:rPr/>
      </w:pPr>
      <w:r>
        <w:rPr>
          <w:rFonts w:ascii="Amiri" w:hAnsi="Amiri" w:eastAsia="Amiri" w:cs="Amiri"/>
          <w:color w:val="111111"/>
          <w:sz w:val="28"/>
          <w:sz w:val="28"/>
          <w:szCs w:val="28"/>
          <w:rtl w:val="true"/>
          <w:lang w:bidi="ar-SA"/>
        </w:rPr>
        <w:t xml:space="preserve">وحكى العلّامة في المختلف والشهيد في الذكرى عن أبي الصلاح إيجاب نزح الجميع لبول ما لا يؤكل لحمه ولروثه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الشهيد في الحكاية استثناء بول الرجل والصبيّ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 لأنّهم حكوا عنه هناك ما يقتضي 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وعزي إلى القاضي سعد الدين ابن البرّاج ايجابه لعرق الإبل الجلّالة ، وعرق الجنب من حرام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في الذكرى عن البصروي إيجابه لخروج الكلب والخنزير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إيجابه للفيل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الدروس إلى القاضي أيضا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00" w:name="pg8731_77119"/>
    </w:p>
    <w:p>
      <w:pPr>
        <w:pStyle w:val="BookText"/>
        <w:rPr/>
      </w:pPr>
      <w:bookmarkEnd w:id="300"/>
      <w:r>
        <w:rPr>
          <w:rFonts w:ascii="Amiri" w:hAnsi="Amiri" w:eastAsia="Amiri" w:cs="Amiri"/>
          <w:color w:val="111111"/>
          <w:sz w:val="28"/>
          <w:sz w:val="28"/>
          <w:szCs w:val="28"/>
          <w:rtl w:val="true"/>
          <w:lang w:bidi="ar-SA"/>
        </w:rPr>
        <w:t>والكلّ ضعيف ؛ لانتفاء الدليل عليه ، وخلوّ الأخبار منه ، ولعلّهم بنوا ذلك على إيجاب نزح الجميع لما لا نصّ فيه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140067_653776707"/>
      <w:bookmarkStart w:id="302" w:name="_Toc108"/>
      <w:bookmarkEnd w:id="301"/>
      <w:r>
        <w:rPr>
          <w:rtl w:val="true"/>
        </w:rPr>
        <w:t xml:space="preserve">مسألة </w:t>
      </w:r>
      <w:r>
        <w:rPr>
          <w:rtl w:val="true"/>
        </w:rPr>
        <w:t>[</w:t>
      </w:r>
      <w:r>
        <w:rPr/>
        <w:t>10</w:t>
      </w:r>
      <w:r>
        <w:rPr>
          <w:rtl w:val="true"/>
        </w:rPr>
        <w:t>] :</w:t>
      </w:r>
      <w:bookmarkEnd w:id="302"/>
    </w:p>
    <w:p>
      <w:pPr>
        <w:pStyle w:val="BookText"/>
        <w:rPr/>
      </w:pPr>
      <w:r>
        <w:rPr>
          <w:rFonts w:ascii="Amiri" w:hAnsi="Amiri" w:eastAsia="Amiri" w:cs="Amiri"/>
          <w:color w:val="111111"/>
          <w:sz w:val="28"/>
          <w:sz w:val="28"/>
          <w:szCs w:val="28"/>
          <w:rtl w:val="true"/>
          <w:lang w:bidi="ar-SA"/>
        </w:rPr>
        <w:t>وينزح لموت الحمار كرّ على المعروف بين الأصحاب ، لا نعلم فيه خلافا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رضوان اللّه عليه في المنتهى أنّه مذهب أكثر أصحابنا </w:t>
      </w:r>
      <w:r>
        <w:rPr>
          <w:rStyle w:val="FootnoteAnchor"/>
          <w:rtl w:val="true"/>
        </w:rPr>
        <w:footnoteReference w:id="357"/>
      </w:r>
      <w:r>
        <w:rPr>
          <w:rFonts w:ascii="Amiri" w:hAnsi="Amiri" w:eastAsia="Amiri" w:cs="Amiri"/>
          <w:color w:val="111111"/>
          <w:sz w:val="28"/>
          <w:sz w:val="28"/>
          <w:szCs w:val="28"/>
          <w:rtl w:val="true"/>
          <w:lang w:bidi="ar-SA"/>
        </w:rPr>
        <w:t xml:space="preserve">، ونسبه المحقّق في المعتبر إلى الشيخين والمرتضى وابني بابويه وأتباعهم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رواية عمرو بن سعيد ، عن أبي جعفر عليه‌السلام ، وإن ضعف سندها فالشهرة تؤيّدها ؛ فإنّي لم أعرف من الأصحاب رادّا لها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فيها بطريق التسوية بين الجمل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 لأنّ حصول التعارض في بعض مدلوها لا يسقط استعمالها في الباقي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أجاب بعض الأصحاب بأنّه من الجائز أن يكون الجواب وقع عن الحمار دون الجمل ، إلّا أنّ هذا ضعيف ؛ لأنّه يلزم منه التعمية في الجواب ، وهو ينافي حكمة المجيب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هذا الكلام نظر ؛ لأنّ حصول التعارض في بعض المدلول </w:t>
      </w:r>
      <w:bookmarkStart w:id="303" w:name="pg8731_77120"/>
    </w:p>
    <w:p>
      <w:pPr>
        <w:pStyle w:val="BookText"/>
        <w:rPr/>
      </w:pPr>
      <w:bookmarkEnd w:id="303"/>
      <w:r>
        <w:rPr>
          <w:rFonts w:ascii="Amiri" w:hAnsi="Amiri" w:eastAsia="Amiri" w:cs="Amiri"/>
          <w:color w:val="111111"/>
          <w:sz w:val="28"/>
          <w:sz w:val="28"/>
          <w:szCs w:val="28"/>
          <w:rtl w:val="true"/>
          <w:lang w:bidi="ar-SA"/>
        </w:rPr>
        <w:t>مع رجحان المعارض يوجب الحمل على إرادة خلاف الظاهر مع إمكانه ، وإلّا فالاطراح وما تضمّنته هذه الرواية من نزح الكرّ وقع جوابا للسؤال عن مجموع الأمرين ، وعبارة الجواب متّحدة ، فكيف يمكن التأويل أو الردّ في بعضها وإبقاء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اللازم من التأويل أن يكون المجيب أراد من اللفظ الواحد ظاهره ، بالنظر إلى بعض ما تضمّنه السؤال وخلاف ظاهره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تعمية أقوى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لزمه ما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الإطراح أن يكون السائل توهّم ما ليس بمراد ، ومعه كيف يبقى الوثوق في البعض الآخر؟</w:t>
      </w:r>
    </w:p>
    <w:p>
      <w:pPr>
        <w:pStyle w:val="BookText"/>
        <w:rPr/>
      </w:pPr>
      <w:r>
        <w:rPr>
          <w:rFonts w:ascii="Amiri" w:hAnsi="Amiri" w:eastAsia="Amiri" w:cs="Amiri"/>
          <w:color w:val="111111"/>
          <w:sz w:val="28"/>
          <w:sz w:val="28"/>
          <w:szCs w:val="28"/>
          <w:rtl w:val="true"/>
          <w:lang w:bidi="ar-SA"/>
        </w:rPr>
        <w:t>على أنّك قد علمت آنفا أنّه ردّ هذه الرواية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الانجبار بالشهرة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على ما اخترناه سهل إذ يكفي في إثبات الندبيّة هذا القدر</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140069_653776707"/>
      <w:bookmarkStart w:id="305" w:name="_Toc109"/>
      <w:bookmarkEnd w:id="304"/>
      <w:r>
        <w:rPr>
          <w:rtl w:val="true"/>
        </w:rPr>
        <w:t xml:space="preserve">مسألة </w:t>
      </w:r>
      <w:r>
        <w:rPr>
          <w:rtl w:val="true"/>
        </w:rPr>
        <w:t>[</w:t>
      </w:r>
      <w:r>
        <w:rPr/>
        <w:t>11</w:t>
      </w:r>
      <w:r>
        <w:rPr>
          <w:rtl w:val="true"/>
        </w:rPr>
        <w:t>] :</w:t>
      </w:r>
      <w:bookmarkEnd w:id="305"/>
    </w:p>
    <w:p>
      <w:pPr>
        <w:pStyle w:val="BookText"/>
        <w:rPr/>
      </w:pPr>
      <w:r>
        <w:rPr>
          <w:rFonts w:ascii="Amiri" w:hAnsi="Amiri" w:eastAsia="Amiri" w:cs="Amiri"/>
          <w:color w:val="111111"/>
          <w:sz w:val="28"/>
          <w:sz w:val="28"/>
          <w:szCs w:val="28"/>
          <w:rtl w:val="true"/>
          <w:lang w:bidi="ar-SA"/>
        </w:rPr>
        <w:t>وذهب كثير من الأصحاب كالمحقّق والعلّامة والشهيد إلى أنّ حكم البغل حكم الحمار في نزح الكرّ لموته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المحقّق برواية عمرو بن سعيد السابقة ، فإنّه حكاها في المعتبر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يقع في البئر حتى بلغت الحمار والجمل والبغل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 من ماء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على إدراج البغل في الرواية إلّا في هذا الكتاب ، وبعض تصانيف المتأخّرين ، وعندي أنّه اتّباع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الشيخ في التهذيب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والاستبصار </w:t>
      </w:r>
      <w:r>
        <w:rPr>
          <w:rStyle w:val="FootnoteAnchor"/>
          <w:rtl w:val="true"/>
        </w:rPr>
        <w:footnoteReference w:id="363"/>
      </w:r>
      <w:r>
        <w:rPr>
          <w:rFonts w:ascii="Amiri" w:hAnsi="Amiri" w:eastAsia="Amiri" w:cs="Amiri"/>
          <w:color w:val="111111"/>
          <w:sz w:val="28"/>
          <w:sz w:val="28"/>
          <w:szCs w:val="28"/>
          <w:rtl w:val="true"/>
          <w:lang w:bidi="ar-SA"/>
        </w:rPr>
        <w:t>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وحكاها في التهذيب مرّة ثانية كذلك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العلّامة رضوان اللّه عليه في المنتهى والمختلف خالية عنه أيضا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الشهيد فقال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كرّ للحمار والبغل في الأظهر عن الباقر عليه‌السلام ، وليس في بعض الروايات البغل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هذا يحتمل أن يريد به اختلاف متن الرواية </w:t>
      </w:r>
      <w:r>
        <w:rPr>
          <w:rStyle w:val="FootnoteAnchor"/>
          <w:rtl w:val="true"/>
        </w:rPr>
        <w:footnoteReference w:id="367"/>
      </w:r>
      <w:r>
        <w:rPr>
          <w:rFonts w:ascii="Amiri" w:hAnsi="Amiri" w:eastAsia="Amiri" w:cs="Amiri"/>
          <w:color w:val="111111"/>
          <w:sz w:val="28"/>
          <w:sz w:val="28"/>
          <w:szCs w:val="28"/>
          <w:rtl w:val="true"/>
          <w:lang w:bidi="ar-SA"/>
        </w:rPr>
        <w:t>في كلام الأصحاب على 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إرادة اختلافها في كتب الحديث ، أو اختلاف الروايات بأن تكون متعدّدة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التصفّح والاعتبار يشهدان بنفي هذا الاحتمال ، ومن كان له أدنى ممارسة لا يخالجه في ذلك شك خصوصا بعد العلم بطريقة الشهيد رحمه‌اللّه في الاستدلال ، وقناعته بالشهرة المجرّدة ، فضلا عن أن تكون منضمّة إلى خبر ضعيف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اكتفى في الاحتجاج للبغل بالخبر ومصيره إلى الحكم بمساواته للحمار بنقل المحقّق الحديث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يعرف من الأصحاب رادّا له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وإن نازع في ذلك </w:t>
      </w:r>
      <w:bookmarkStart w:id="306" w:name="pg8731_77122"/>
    </w:p>
    <w:p>
      <w:pPr>
        <w:pStyle w:val="BookText"/>
        <w:rPr/>
      </w:pPr>
      <w:bookmarkEnd w:id="306"/>
      <w:r>
        <w:rPr>
          <w:rFonts w:ascii="Amiri" w:hAnsi="Amiri" w:eastAsia="Amiri" w:cs="Amiri"/>
          <w:color w:val="111111"/>
          <w:sz w:val="28"/>
          <w:sz w:val="28"/>
          <w:szCs w:val="28"/>
          <w:rtl w:val="true"/>
          <w:lang w:bidi="ar-SA"/>
        </w:rPr>
        <w:t xml:space="preserve">بعض من يعرف الحقّ بالرّجال ، فنحن من وراء الطلب لبيان هذه الروايات </w:t>
      </w:r>
      <w:r>
        <w:rPr>
          <w:rStyle w:val="FootnoteAnchor"/>
          <w:rtl w:val="true"/>
        </w:rPr>
        <w:footnoteReference w:id="370"/>
      </w:r>
      <w:r>
        <w:rPr>
          <w:rFonts w:ascii="Amiri" w:hAnsi="Amiri" w:eastAsia="Amiri" w:cs="Amiri"/>
          <w:color w:val="111111"/>
          <w:sz w:val="28"/>
          <w:sz w:val="28"/>
          <w:szCs w:val="28"/>
          <w:rtl w:val="true"/>
          <w:lang w:bidi="ar-SA"/>
        </w:rPr>
        <w:t xml:space="preserve">التي يدّعى </w:t>
      </w:r>
      <w:r>
        <w:rPr>
          <w:rStyle w:val="FootnoteAnchor"/>
          <w:rtl w:val="true"/>
        </w:rPr>
        <w:footnoteReference w:id="371"/>
      </w:r>
      <w:r>
        <w:rPr>
          <w:rFonts w:ascii="Amiri" w:hAnsi="Amiri" w:eastAsia="Amiri" w:cs="Amiri"/>
          <w:color w:val="111111"/>
          <w:sz w:val="28"/>
          <w:sz w:val="28"/>
          <w:szCs w:val="28"/>
          <w:rtl w:val="true"/>
          <w:lang w:bidi="ar-SA"/>
        </w:rPr>
        <w:t>ورودها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يوجد في كلام بعض المتأخّرين أنّ البغل مذكور بدل الحمار </w:t>
      </w:r>
      <w:r>
        <w:rPr>
          <w:rStyle w:val="FootnoteAnchor"/>
          <w:rtl w:val="true"/>
        </w:rPr>
        <w:footnoteReference w:id="372"/>
      </w:r>
      <w:r>
        <w:rPr>
          <w:rFonts w:ascii="Amiri" w:hAnsi="Amiri" w:eastAsia="Amiri" w:cs="Amiri"/>
          <w:color w:val="111111"/>
          <w:sz w:val="28"/>
          <w:sz w:val="28"/>
          <w:szCs w:val="28"/>
          <w:rtl w:val="true"/>
          <w:lang w:bidi="ar-SA"/>
        </w:rPr>
        <w:t>في موضع من التهذيب ، ونحن قد أكثرنا تصفّحه فيما عندنا من النسخ له فلم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تكلّف المحقّق للجواب عن الاعتراض على الحديث بذكر الجمل كما عرفته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العلّامة رضوان اللّه عليه لم يستدلّ على هذا المدّعى بما استدلّ به المحقّق ؛ لما ذكرناه من عدم التعرّض للبغل في الرواية التي حكاها ، ولكنّه استدلّ له بوجه ضعيف أيضا وسنذكره في بيان ما ينزح للبقرة ، والفرس ، حيث سوّى بين الجميع في الحكم ، وجعله دليلا على الكلّ</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3140071_653776707"/>
      <w:bookmarkStart w:id="308" w:name="_Toc110"/>
      <w:bookmarkEnd w:id="307"/>
      <w:r>
        <w:rPr>
          <w:rtl w:val="true"/>
        </w:rPr>
        <w:t xml:space="preserve">مسألة </w:t>
      </w:r>
      <w:r>
        <w:rPr>
          <w:rtl w:val="true"/>
        </w:rPr>
        <w:t>[</w:t>
      </w:r>
      <w:r>
        <w:rPr/>
        <w:t>12</w:t>
      </w:r>
      <w:r>
        <w:rPr>
          <w:rtl w:val="true"/>
        </w:rPr>
        <w:t>] :</w:t>
      </w:r>
      <w:bookmarkEnd w:id="308"/>
    </w:p>
    <w:p>
      <w:pPr>
        <w:pStyle w:val="BookText"/>
        <w:rPr/>
      </w:pPr>
      <w:r>
        <w:rPr>
          <w:rFonts w:ascii="Amiri" w:hAnsi="Amiri" w:eastAsia="Amiri" w:cs="Amiri"/>
          <w:color w:val="111111"/>
          <w:sz w:val="28"/>
          <w:sz w:val="28"/>
          <w:szCs w:val="28"/>
          <w:rtl w:val="true"/>
          <w:lang w:bidi="ar-SA"/>
        </w:rPr>
        <w:t xml:space="preserve">ومن الأصحاب من ذهب إلى أنّ البقرة والفرس ينزح لموت كلّ منهما الكر كالحمار ، واختاره العلّامة والشهيد من المتأخرين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وأنكره المحقّق في المعتبر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له عن المفيد والمرتضى والشيخ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نطالبهم بدليل ذلك ، فإن احتجّوا برواية عمرو بن سعيد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مقصورة على الجمل والحمار والبغل ، فمن أين يلزم في البقرة والفرس؟ </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مثلها في العظم ، طالبناهم بدليل التخطّي إلى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عرفوه؟ لا 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ساغ البناء على المماثلة في العظم لكانت البقرة كالثّور ، ولكان الجاموس كالجمل ، وربما كانت فرس في عظم الجمل فلا تعلّق إذا بهذا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فالأوجه أن يجعل الفرس والبقرة في قسم ما لم يتناوله نصّ على الخصوص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علمك قد أحاط باشتمال صحيحة عبد اللّه بن سنان السابقة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الثور على ذكر نحوه معه ، ولا ريب أنّ البقرة أظهر مماثلة له من غيرها ، فتكون تلك الرواية دالّة على نزح الجميع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يلحق بها الفرس ؛ لنحو التقريب الذي ذكرناه في الاحتجاج بالرواية لحكم الجمل ، بل هو هنا أظهر باعتبار كراهة اللّحم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الاحتجاج برواية عمرو بن سعيد على هذا الحكم ربما يظهر من كلام الشيخ في التهذيب ، فإنّه لمّا حكى عبارة المقنعة المتضمّنة لنزح الكرّ لموت الحمار أو البقرة ، أو الفرس وأشباهها من الدوابّ أردفها بهذه الرواية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الشهيد في الذكرى على الاحتجاج له بالشهرة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العلّامة رضوان اللّه عليه فاستدلّ له في المنتهى بما رواه الشيخ في الصحيح </w:t>
      </w:r>
    </w:p>
    <w:p>
      <w:pPr>
        <w:pStyle w:val="BookText"/>
        <w:rPr/>
      </w:pPr>
      <w:r>
        <w:rPr>
          <w:rFonts w:ascii="Amiri" w:hAnsi="Amiri" w:eastAsia="Amiri" w:cs="Amiri"/>
          <w:color w:val="111111"/>
          <w:sz w:val="28"/>
          <w:sz w:val="28"/>
          <w:szCs w:val="28"/>
          <w:rtl w:val="true"/>
          <w:lang w:bidi="ar-SA"/>
        </w:rPr>
        <w:t xml:space="preserve">عن زرارة ، ومحمّد بن مسلم وبريد بن معاوية العجلي ، عن أبي عبد اللّه وأبي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الدّابة ، والفأرة ، والكلب ، والطير ، فيموت؟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ثمّ ينزح من البئر دلاء ، ثمّ اشرب وتوضّأ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ذلك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بالدّابة في الحديث كلّ ما يركب ؛ لأنّ الجوهري ذكر أنها اسم لكلّ ما يدبّ على الأرض ، واسم لكلّ ما يركب ، ولا يمكن الحمل على الأوّل وإلّا لعمّ وهو باطل ، فيجب الحمل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أداة التعريف في الدّابة ليست للعهد لعدم سبق معهود ، فإمّا أن يكون للعموم كما ذهب إليه بعض ، أو لتعريف الماهيّة ، على ما هو الحق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يلزم العموم في كلّ مركوب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فظاهر ، وأمّا على الثاني فلأنّ تعليق الحكم على الماهيّة يستدعي ثبوته في جميع صور وجودها ، وإلّا لم يكن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ثبت العموم دخل فيه الحمار ، والفرس ، والبغل ، والإبل ، والبقر نادرا ، غير أنّ الإبل والثور خرجا بما دلّ بمنطوقه على نزح الجميع فيكون الحكم ثابتا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التسوية بين المعدودات في الرواية لا يقدح في العمل بها ؛ لأنّ ما يستثنى منها بدليل منفصل يخرج ، فيبقى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التسوية حاصلة من حيث وجوب نزع الدّلاء ، وإن افترقت بالقلّة والكثرة ، وذلك شي‌ء لم يتعرّض له في الحديث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بالدّلاء ما يبلغ الكرّ وإن كان ذلك ليس بظاهر من اللفظ ، </w:t>
      </w:r>
      <w:bookmarkStart w:id="309" w:name="pg8731_77125"/>
    </w:p>
    <w:p>
      <w:pPr>
        <w:pStyle w:val="BookText"/>
        <w:rPr/>
      </w:pPr>
      <w:bookmarkEnd w:id="309"/>
      <w:r>
        <w:rPr>
          <w:rFonts w:ascii="Amiri" w:hAnsi="Amiri" w:eastAsia="Amiri" w:cs="Amiri"/>
          <w:color w:val="111111"/>
          <w:sz w:val="28"/>
          <w:sz w:val="28"/>
          <w:szCs w:val="28"/>
          <w:rtl w:val="true"/>
          <w:lang w:bidi="ar-SA"/>
        </w:rPr>
        <w:t xml:space="preserve">إلّا أنّ ضرورة الجمع بين المطلق والمقيّد يقتضيه ، والإتيان بصيغة جمع الكثرة يساعد على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يجوز إرادة الكثرة والقلّة معا من لفظ الدّلاء ، باعتبار عدم مناسبة الكثرة لبعض ما تضمّنه السؤال على ما يأتي بيانه من الاكتفاء للفأرة والطير بما دون 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جواز إرادة المعنيين كونه حقيقة في أحدهما مجازا في الآخر إن قلنا به ؛ فإنّ الجمع بين إرادتي الحقيقة والمجاز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يمكن أن يراد منه معنى مجازي مشترك بينهما ، وهو مطلق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قرّب به الاستدلال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لاحظته بأدنى نظر تعلم ما فيه من التعسّف والانحراف عن سنن التحقيق ؛ فإنّا إذا سلّمنا إرادة المركوب من لفظ الدّابة ، وأنّ التعريف فيها يفيد العموم ، فلا ريب أنّ ظاهر الحديث استواء جميع ما تضمّنه السؤال في مقدار النزح لا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فالعدول عنه في بعض ذلك إلى القول بخلاف ما دلّ عليه يقتضي قصر الجواب على بعض ما تضمّنه السؤال من غير قرينة ولا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يعلم أنّ المراد بالدّلاء ما يبلغ الكرّ؟ ولو دلّ على ذلك دليل لم يكن لارتكاب هذا الشطط وجه ؛ إذ من البيّن أنّ الدّاعي إلى تجشّم هذه الحجة عدم الدليل على الحكم</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140073_653776707"/>
      <w:bookmarkStart w:id="311" w:name="_Toc111"/>
      <w:bookmarkEnd w:id="310"/>
      <w:r>
        <w:rPr>
          <w:rtl w:val="true"/>
        </w:rPr>
        <w:t xml:space="preserve">مسألة </w:t>
      </w:r>
      <w:r>
        <w:rPr>
          <w:rtl w:val="true"/>
        </w:rPr>
        <w:t>[</w:t>
      </w:r>
      <w:r>
        <w:rPr/>
        <w:t>13</w:t>
      </w:r>
      <w:r>
        <w:rPr>
          <w:rtl w:val="true"/>
        </w:rPr>
        <w:t>] :</w:t>
      </w:r>
      <w:bookmarkEnd w:id="3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وينزح لموت الإنسان سبعون دلوا في المشهور ، بحيث لا يعرف فيه مخالف ، </w:t>
      </w:r>
    </w:p>
    <w:p>
      <w:pPr>
        <w:pStyle w:val="BookText"/>
        <w:rPr/>
      </w:pPr>
      <w:r>
        <w:rPr>
          <w:rFonts w:ascii="Amiri" w:hAnsi="Amiri" w:eastAsia="Amiri" w:cs="Amiri"/>
          <w:color w:val="111111"/>
          <w:sz w:val="28"/>
          <w:sz w:val="28"/>
          <w:szCs w:val="28"/>
          <w:rtl w:val="true"/>
          <w:lang w:bidi="ar-SA"/>
        </w:rPr>
        <w:t xml:space="preserve">ونسبه في المعتبر إلى علمائنا القائلين بالتنجيس </w:t>
      </w:r>
      <w:r>
        <w:rPr>
          <w:rStyle w:val="FootnoteAnchor"/>
          <w:rtl w:val="true"/>
        </w:rPr>
        <w:footnoteReference w:id="379"/>
      </w:r>
      <w:r>
        <w:rPr>
          <w:rFonts w:ascii="Amiri" w:hAnsi="Amiri" w:eastAsia="Amiri" w:cs="Amiri"/>
          <w:color w:val="111111"/>
          <w:sz w:val="28"/>
          <w:sz w:val="28"/>
          <w:szCs w:val="28"/>
          <w:rtl w:val="true"/>
          <w:lang w:bidi="ar-SA"/>
        </w:rPr>
        <w:t xml:space="preserve">، وذكر نحوه في المنتهى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له برواية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رجل ذبح طيرا فوقع بدمه في البئر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ذكيّا فهو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ذلك مما يقع في بئر الماء فيموت فيه ، فأكبره الانسان ينزح منها سبعون دلوا ، وأقلّه العصفور ينزح منها دلو واحد ، وما سوى ذلك فيما بين هذين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الاستدلال بهذه الرواية إشكال من حيث عدم صحة سندها ؛ فإنّ فيه جماعة من الفطحيّة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العلّامة في المنتهى إلى الشيخ الاحتجاج بها ، واستضعفه لذلك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وجّهها المحقّق في المعتبر بأنّ الرواة وإن كانوا من الفطحيّة إلّا أنّهم ثقاة ، مع سلامتها عن المعارض ، وكونها معمولا عليها بين الأصحاب عملا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وقبول الخبر بين الأصحاب مع عدم الرّاد له يخرجه إلى كونه حجّة فلا يعتدّ إذا بمخالف فيه ، ولو عدل إلى غيره لكان عدولا عن المجمع على الطهارة به إلى الشاذّ الذي ليس بمشهور ، وهو باطل بخبر عمر بن حنظلة المتضمّن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اجتمع عليه أصحابك واترك الشاذّ الذي ليس بمشهور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التوجيه نظر واضح ؛ لأنّه إن كان الإجماع واقعا على مضمون الخبر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عدل عنه إلى غيره لكان عدولا عن المجمع على الطهارة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الحجة ولا حاجة إلى التكلّف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يتحقّق الإجماع الذي ينهض بانفراده حجة لم تكف الاعتبارات التي قرّبها في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حجّيّة مثلها في مواضع ، فقناعته بها هاهنا لا يخلو عن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الأكثر إلى عدم الفرق في ذلك بين المسلم والكافر ؛ نظرا إلى 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ابن إدريس رضوان اللّه عليه بينهما فأوجب للكافر نزح الجميع ، بناء على وجوبه لما لا نصّ فيه </w:t>
      </w:r>
      <w:r>
        <w:rPr>
          <w:rStyle w:val="FootnoteAnchor"/>
          <w:rtl w:val="true"/>
        </w:rPr>
        <w:footnoteReference w:id="384"/>
      </w:r>
      <w:r>
        <w:rPr>
          <w:rFonts w:ascii="Amiri" w:hAnsi="Amiri" w:eastAsia="Amiri" w:cs="Amiri"/>
          <w:color w:val="111111"/>
          <w:sz w:val="28"/>
          <w:sz w:val="28"/>
          <w:szCs w:val="28"/>
          <w:rtl w:val="true"/>
          <w:lang w:bidi="ar-SA"/>
        </w:rPr>
        <w:t xml:space="preserve">، ونسبه في الذكرى إلى الشيخ أبي علي أيضا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المحقّق في المعتبر عن ابن إدريس الاحتجاج على ما صار إليه ، بأنّ الكافر نجس ، فعند ملاقاته حيّا يجب نزح البئر أجمع ، والموت لا يطهّر ، فلا يزول وجوب نزح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تمسّك بالعموم هنا لكان معارضا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لارتماس الجنب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يشترط الإسلام ، إذ لا يقدم أحد من الأصحاب على القول في الجنب بنزح سبع ولو كان كافرا ، وكما اشترط هنا الإسلام فكذا ثمّ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وناقشه بالمنع من وجوب نزح الجميع لملاقاة الكافر ، فإن تمسّك فيه بعدم الدليل على مقدّر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 لأنّ لفظ الإنسان إذا كان متناولا للمسلم والكافر جرى مجرى النطق بهما ، فإذا وجب في موته سبعون لم يجب في مباشرته أكثر ؛ لأن الموت يتضمّن المباشرة ، فيعلم نفي ما زاد من مفهوم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 معارضته بالجنب غير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الارتماس من الجنابة إنّما يراد للطهارة ، فيكون ذلك قرينة دالّة على من له عناية بالطهارة وهو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إمّا أن يكون هنا دليل يمنع من تنزيل خبر الجنب على الكافر والمسلم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فالامتناع إنّما هو لذلك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قلنا بموجبه سواء كان كافرا أو مسلما ، فإنّا لم نره زاد على الاستبعاد شيئا ، والاستبعاد ليس حجة في بطلان المستبعد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الدليل العمل بالعموم في الموضعين ، وامتناعنا من استعمال أحد العمومين في العموم لا يلزم منه اطراح العموم الآخر ؛ لأنّا نتوهّم لأحد العمومين مخصّصا ، فالتوقّف عنه إنّما هو لهذا الوهم ، فإن صحّ ، وإلّا قلنا به مطلقا ، فالإلزام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ليس بنقض على مسألتنا بل نقض على استعمال اللام في الاستغراق أين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لا ينزّل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 ولا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لم ننزّل الجنب على العموم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المناقشة بأسرها ضعيفة ؛ لأنّ الحيثيّة معتبرة في جميع موجبات النزح ، فمعنى وجوب نزح السبعين لموت الإنسان أنّ نجاسة موته يقتضي ذلك ، فالعموم الواقع فيه إنّما يدلّ على تساوي المسلم والكافر في الاكتفاء لنجاسة موتهما بنزح السبعين ، فإذا انضمّ إلى ذلك جهة اخرى للنجاسة كالكفر ونحوه لم يكن للّفظ دلالة على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لو كان بدن المسلم متنجّسا بشي‌ء من النجاسات وكانت العين غير موجودة لم يكف نزح المقدّر </w:t>
      </w:r>
    </w:p>
    <w:p>
      <w:pPr>
        <w:pStyle w:val="BookText"/>
        <w:rPr/>
      </w:pPr>
      <w:r>
        <w:rPr>
          <w:rFonts w:ascii="Amiri" w:hAnsi="Amiri" w:eastAsia="Amiri" w:cs="Amiri"/>
          <w:color w:val="111111"/>
          <w:sz w:val="28"/>
          <w:sz w:val="28"/>
          <w:szCs w:val="28"/>
          <w:rtl w:val="true"/>
          <w:lang w:bidi="ar-SA"/>
        </w:rPr>
        <w:t>عن الأمرين؟ ولو تمّ ما ذكروه لاقتضى الاكتفاء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فالكفر أمر عرضي للإنسان كملاقاة النجاسة ، ولكلّ منهما تأثير في بدنه بالتنجيس ، لكنّ الأوّل يشمل ، والثاني يختص بما يلاقيه ، فكما أنّ العموم غير متناول لنجاسة الملاقاة ، لا يتناول نجاسة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المعارضة في محلّها ؛ إذ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الحيثيّة متبادرة من اللفظ ولذلك فرّقوا بين المسلم والكافر في مسألة الجنب ، فينبغي مثل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الارتماس من الجنابة إنّما يراد للطهارة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 لخلوّ أكثر الأخبار الواردة في الجنب عن ذكر الاغتسال ، وإنّما ذكر فيها النزول والوقوع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أن يكون هنا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جوابه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الدليل العمل بالعموم في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ليس بنقض على مسألتنا بل نقض على استعمال اللام في الاستغراق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واه جدا ؛ لأنّ اللازم من عدم عموم لفظ الجنب لنجاسة الكفر عدم تناول الزاني والسارق ونحوهما لغير حيثيّة الزنا والسرقة بحيث يكون الحدّ المذكور لكلّ واحد منهما كافيا عنه وعن غيره ، وهذا ممّا لا ريب فيه ، ونحن لا ندّعي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الحيثيّة ترشدك إلى ردّ كلام المحقّق في هذا المقام من أصله ؛ لابتنائه على إغفالها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ظاهر كلام المحقّق </w:t>
      </w:r>
      <w:r>
        <w:rPr>
          <w:rStyle w:val="FootnoteAnchor"/>
          <w:rtl w:val="true"/>
        </w:rPr>
        <w:footnoteReference w:id="387"/>
      </w:r>
      <w:r>
        <w:rPr>
          <w:rFonts w:ascii="Amiri" w:hAnsi="Amiri" w:eastAsia="Amiri" w:cs="Amiri"/>
          <w:color w:val="111111"/>
          <w:sz w:val="28"/>
          <w:sz w:val="28"/>
          <w:szCs w:val="28"/>
          <w:rtl w:val="true"/>
          <w:lang w:bidi="ar-SA"/>
        </w:rPr>
        <w:t xml:space="preserve">وابن إدريس </w:t>
      </w:r>
      <w:r>
        <w:rPr>
          <w:rStyle w:val="FootnoteAnchor"/>
          <w:rtl w:val="true"/>
        </w:rPr>
        <w:footnoteReference w:id="388"/>
      </w:r>
      <w:r>
        <w:rPr>
          <w:rFonts w:ascii="Amiri" w:hAnsi="Amiri" w:eastAsia="Amiri" w:cs="Amiri"/>
          <w:color w:val="111111"/>
          <w:sz w:val="28"/>
          <w:sz w:val="28"/>
          <w:szCs w:val="28"/>
          <w:rtl w:val="true"/>
          <w:lang w:bidi="ar-SA"/>
        </w:rPr>
        <w:t xml:space="preserve">أنّ محلّ الخلاف </w:t>
      </w:r>
    </w:p>
    <w:p>
      <w:pPr>
        <w:pStyle w:val="BookText"/>
        <w:rPr/>
      </w:pPr>
      <w:r>
        <w:rPr>
          <w:rFonts w:ascii="Amiri" w:hAnsi="Amiri" w:eastAsia="Amiri" w:cs="Amiri"/>
          <w:color w:val="111111"/>
          <w:sz w:val="28"/>
          <w:sz w:val="28"/>
          <w:szCs w:val="28"/>
          <w:rtl w:val="true"/>
          <w:lang w:bidi="ar-SA"/>
        </w:rPr>
        <w:t>هو الوقوع حيّا ، والموت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صريحة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 جمع من الأصحاب أنّ موضع النزاع هو الوقوع ميّتا فرجّحوا فيه التسوية ، ثمّ ذكروا وقوعه حيّا وموته ، وحكموا فيه بالفرق ، واستندوا في الحكم الأوّل إلى العموم ، واحتجّوا للثاني بأن مباشرة الكافر حيّا سبب في نجاسة الماء ، وملاقاته ميّتا سبب آخر فثبت لكلّ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العموم الذي تمسّكوا به في المسألة الاولى لو تمّ فإنّما يدلّ على الثانية ، فلا وجه للاحتجاج به أوّلا والمصير إلى خلافه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توهّموا أنّ حاصل احتجاج ابن إدريس يرجع إلى أنّ وجوب نزح الجميع لوقوعه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وجوبه مع الوقوع ميّتا بطريق أولى لزيادة نجاسته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عنه بمنع بقاء النجاسة بعد الموت ؛ لأنّها مسبّبة عن الاعتقاد ، وقد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الجواب بعضهم بأنّ أحكام الكفر باقية بعد الموت ، ومن ثمّ لا يغسّل ، ولا يدفن في مقابر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التحقيق في الجواب أنّه استدلال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نصّ في صورة الوقوع ميّتا ، فهذا الجواب مردود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في ردّ الجواب الأوّل فمقبول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عدم الفرق بين المسألتين ؛ لاجتماع الحيثيّتين في كلّ منهما ، أعني نجاسة الموت ونجاسة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عموم النّص يتناولهما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الاكتفاء في المسألتين بنزح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مخصوصا بحيثيّة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بالنظر إليها ، ويكون حكم نجاسة الكفر فيهما مسكوتا عنه فيلحق بما لا نصّ 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أغرب العلّامة في المختلف هاهنا حيث منع بقاء نجاسة الكافر بعد الموت ، وحكم بوجوب نزح السبعين بناء على القول بالتنجيس لوقوعه ميّتا </w:t>
      </w:r>
    </w:p>
    <w:p>
      <w:pPr>
        <w:pStyle w:val="BookText"/>
        <w:rPr/>
      </w:pPr>
      <w:r>
        <w:rPr>
          <w:rFonts w:ascii="Amiri" w:hAnsi="Amiri" w:eastAsia="Amiri" w:cs="Amiri"/>
          <w:color w:val="111111"/>
          <w:sz w:val="28"/>
          <w:sz w:val="28"/>
          <w:szCs w:val="28"/>
          <w:rtl w:val="true"/>
          <w:lang w:bidi="ar-SA"/>
        </w:rPr>
        <w:t>نظرا إلى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حيّا ومات فكذلك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أحاط خبرا بما حقّقناه لم يخالجه شك في فساد التسوية التي ذكرها بعد منعه لبقاء نجاسة الكفر بعد الموت وجعله مورد الحديث الوقوع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أفصح به تمسّكه في حكم الوقوع ميّتا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من ذلك كون نزح السبعين واجبا لنجاسة الموت فقط ، إذ ليس هناك غيرها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وقع حيّا ومات ، اقترن بها أمر آخر غير منصوص عنده وهو المباشرة حيّا ، فيجب لها ما يجب لغير المنصوص ، فكيف يقول بعد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إن وقع حيّا ومات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مراد ابن إدريس من قوله في احتجاجه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نجس فعند ملاقاته حيّا يجب نزح البئر أجمع ، والموت لا يطهّر فلا يزول وجوب نزح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سبق نقل المحقّق 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مباشرة الكافر حيّا مما لا نصّ فيه ، فيثبت لها حكمه وهو نزح الجميع عنده ، فإذا وقع الكافر حيا ومات في البئر وجب نزح الجميع لصدق المباشرة حيّا ، والموت بعده لا يصلح مزيلا له ؛ لأنّه غير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فهمه المحقّق منه أيضا ، حيث 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لمّا كان عامّا دلّ على الاكتفاء بالسبعين لمباشرة الكافر حيّا وميّتا ؛ إذ الموت في البئر يتضمّن المباشرة في حال الحياة ، فيعلم الاكتفاء بها المباشرة وحدها حيث يخرج حيّا بطريق أولى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فمن تأمّل كلامهما لم يرتب في أنّ المراد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فهمه بعض الأصحاب من كلام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 وجوابهم عنه </w:t>
      </w:r>
      <w:bookmarkStart w:id="312" w:name="pg8731_77132"/>
    </w:p>
    <w:p>
      <w:pPr>
        <w:pStyle w:val="BookText"/>
        <w:rPr/>
      </w:pPr>
      <w:bookmarkEnd w:id="312"/>
      <w:r>
        <w:rPr>
          <w:rFonts w:ascii="Amiri" w:hAnsi="Amiri" w:eastAsia="Amiri" w:cs="Amiri"/>
          <w:color w:val="111111"/>
          <w:sz w:val="28"/>
          <w:sz w:val="28"/>
          <w:szCs w:val="28"/>
          <w:rtl w:val="true"/>
          <w:lang w:bidi="ar-SA"/>
        </w:rPr>
        <w:t xml:space="preserve">بمنع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سبق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بالتدبّر في هذه المسألة ؛ فإنّ كلام الأصحاب فيها كثير الاضطراب</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140075_653776707"/>
      <w:bookmarkStart w:id="314" w:name="_Toc112"/>
      <w:bookmarkEnd w:id="313"/>
      <w:r>
        <w:rPr>
          <w:rtl w:val="true"/>
        </w:rPr>
        <w:t xml:space="preserve">مسألة </w:t>
      </w:r>
      <w:r>
        <w:rPr>
          <w:rtl w:val="true"/>
        </w:rPr>
        <w:t>[</w:t>
      </w:r>
      <w:r>
        <w:rPr/>
        <w:t>14</w:t>
      </w:r>
      <w:r>
        <w:rPr>
          <w:rtl w:val="true"/>
        </w:rPr>
        <w:t>] :</w:t>
      </w:r>
      <w:bookmarkEnd w:id="314"/>
    </w:p>
    <w:p>
      <w:pPr>
        <w:pStyle w:val="BookText"/>
        <w:rPr/>
      </w:pPr>
      <w:r>
        <w:rPr>
          <w:rFonts w:ascii="Amiri" w:hAnsi="Amiri" w:eastAsia="Amiri" w:cs="Amiri"/>
          <w:color w:val="111111"/>
          <w:sz w:val="28"/>
          <w:sz w:val="28"/>
          <w:szCs w:val="28"/>
          <w:rtl w:val="true"/>
          <w:lang w:bidi="ar-SA"/>
        </w:rPr>
        <w:t xml:space="preserve">وينزح للدم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دلوا عند الشيخ وجماعة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للكثير عشر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المرتضى في المصباح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ما بين الدّلو الواحدة إلى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لقول الشيخ على حجّة ، ولا لقول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المفيد فقد احتجّ له الشيخ في التهذيب بما رواه في الصحيح عن محمّد بن اسماعيل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عليه‌السلام عن البئر يكون في المنزل للوضوء ، فيقطر فيها قطرات من بول أو دم ، أو يسقط فيها شي‌ء من عذرة كالبعرة أو نحوها ، ما الذي يطهّرها حتى يحلّ الوضوء منها للصلاة؟ فوقّع عليه‌السلام في كتابي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من هذا الخبر 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عدد يضاف إلى هذا الجمع عشرة ، فيجب أن نأخذ به ونصير إليه ؛ إذ لا دليل على ما دونه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الاحتجاج فاسد من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الحديث إشعار بالكثرة التي هي موضع البحث ، بل ظاهره إرادة القلّة ، وقد قال هو في الاستبصار أنّ هذا الحديث يدلّ على حكم القليل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القلّة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الدّلاء جمع قلّة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الأمر كذلك الانحصار جموع القلّة في أوزان أربعة مشهورة أو خمسة ، عند بعضهم ، وليس هو منها ، فيكون من جموع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الاستبصار أنّه جمع كثرة يدلّ على ما فوق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عمّا يجب لموت الكلب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الدّلاء على جمع القلّة يقتضي الاجتزاء بأقلّ مدلولاته وهو الثلاثة ؛ لأنّ اطلاق اللفظ يدلّ على أنّ المطلوب تحصيل الماهيّة بأيّ فرد اتّفق ، مما يتحقّق معه ، فإذا حصلت بالأقلّ كان الزائد منفيّا بالأصل ، فمن أين يجب الحمل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يعلم فساد التعليل بأنّه لا دليل على ما دونه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المحقّق اعترض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نسلّم أنّ أكثر عدد يضاف إلى الجمع عشرة ، لكن لا نسلّم أنّه إذا جرّد عن الإضافة يكون حاله كذلك ، فإنّه لا يعلم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يخبر عن زيادة عن عشرة ، ولا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أكثر من عشرة ؛ فإنّ دعوى ذلك باطلة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وردّه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الإضافة هاهنا وإن جرّدت لفظا لكنّها مقدّرة ، وإلّا لزم تأخير البيان عن وقت الحاجة إليه ، وحينئذ فلا بدّ من إضمار عدد يضاف إليه تقديرا ، فيحمل على العشرة التي هي أقلّ ما يصلح إضافته إلى هذا الجمع ؛ أخذا بالمتيقّن ، وحوالة على الأصل من براءة الذمّة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يلزم من عدم تقدير الإضافة تأخير البيان عن وقت الحاجة لو لم يدلّ اللفظ بدونها على شي‌ء ، والأمر ليس كذلك ؛ فإنّ له ولأمثاله من صيغ المجموع الواقعة في هذه المقامات معنى يتبادر منها عند الاطلاق ، وهو أيّ مقدار كان ممّا يصدق عليه ولو أقلّها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وجوب التقدير ليس على تعيّن العشرة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التوجيه فاسد ؛ إذ هي الأكثر لا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الشيخ أيضا وهو بصدد الانتصار لكلامه ، فكيف يوجّهه بما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 في المختلف كلاما أعجب من هذا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لكلام الشيخ ، ومناقشته له بنحو ما ذكره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يحتجّ من وجه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جمع كثرة ، وأقلّه ما زاد على العشرة بواحد فيحمل عليه ؛ عملا بالبراءة الأصليّة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مقتضى هذا الاحتجاج كون الواجب إحدى عشرة ، والمدّعى هو العشرة ، فأين هو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المشايخ الثلاثة رووا في الصحيح عن عليّ بن جعفر ، </w:t>
      </w:r>
      <w:bookmarkStart w:id="315" w:name="pg8731_77135"/>
    </w:p>
    <w:p>
      <w:pPr>
        <w:pStyle w:val="BookText"/>
        <w:rPr/>
      </w:pPr>
      <w:bookmarkEnd w:id="315"/>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ذبح شاة فاضطربت فوقعت في بئر ماء وأوداجها تشخب دما هل يتوضّأ من تلك البئر؟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ما بين الثلاثين إلى الأربعين دلوا ، ثم يتوضّأ منها ولا بأس به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بهذه الرواية جماعة من الأصحاب ،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ظاهر البعض كون العمل بمضمونها في مطلق الدم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نظر ؛ إذ ليس فيها ما يقتضي العموم ، فينبغي أن يكون العمل بها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ما عداه بغير المنصوص</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140077_653776707"/>
      <w:bookmarkStart w:id="317" w:name="_Toc113"/>
      <w:bookmarkEnd w:id="316"/>
      <w:r>
        <w:rPr>
          <w:rtl w:val="true"/>
        </w:rPr>
        <w:t xml:space="preserve">مسألة </w:t>
      </w:r>
      <w:r>
        <w:rPr>
          <w:rtl w:val="true"/>
        </w:rPr>
        <w:t>[</w:t>
      </w:r>
      <w:r>
        <w:rPr/>
        <w:t>15</w:t>
      </w:r>
      <w:r>
        <w:rPr>
          <w:rtl w:val="true"/>
        </w:rPr>
        <w:t>] :</w:t>
      </w:r>
      <w:bookmarkEnd w:id="317"/>
    </w:p>
    <w:p>
      <w:pPr>
        <w:pStyle w:val="BookText"/>
        <w:rPr/>
      </w:pPr>
      <w:r>
        <w:rPr>
          <w:rFonts w:ascii="Amiri" w:hAnsi="Amiri" w:eastAsia="Amiri" w:cs="Amiri"/>
          <w:color w:val="111111"/>
          <w:sz w:val="28"/>
          <w:sz w:val="28"/>
          <w:szCs w:val="28"/>
          <w:rtl w:val="true"/>
          <w:lang w:bidi="ar-SA"/>
        </w:rPr>
        <w:t xml:space="preserve">وأوجب الشيخ نزح الخمسين للعذرة الرطبة </w:t>
      </w:r>
      <w:r>
        <w:rPr>
          <w:rStyle w:val="FootnoteAnchor"/>
          <w:rtl w:val="true"/>
        </w:rPr>
        <w:footnoteReference w:id="400"/>
      </w:r>
      <w:r>
        <w:rPr>
          <w:rFonts w:ascii="Amiri" w:hAnsi="Amiri" w:eastAsia="Amiri" w:cs="Amiri"/>
          <w:color w:val="111111"/>
          <w:sz w:val="28"/>
          <w:sz w:val="28"/>
          <w:szCs w:val="28"/>
          <w:rtl w:val="true"/>
          <w:lang w:bidi="ar-SA"/>
        </w:rPr>
        <w:t xml:space="preserve">، 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العذرة رطبة ، أو ذابت وتقطّعت فيها نزح منها خمسون دلوا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المرتضى أنّه قال في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ذابت وتقطّعت فخمسون دلوا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بعد حكايته لهذه الأقوال عن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فصّله الثلاثة لم أقف به على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التخيير بين الأربعين والخمسين في الذائبة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الصدوق رضوان اللّه عليه فإنّه 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ذابت فيها </w:t>
      </w:r>
    </w:p>
    <w:p>
      <w:pPr>
        <w:pStyle w:val="BookText"/>
        <w:rPr/>
      </w:pPr>
      <w:r>
        <w:rPr>
          <w:rFonts w:ascii="Amiri" w:hAnsi="Amiri" w:eastAsia="Amiri" w:cs="Amiri"/>
          <w:color w:val="111111"/>
          <w:sz w:val="28"/>
          <w:sz w:val="28"/>
          <w:szCs w:val="28"/>
          <w:rtl w:val="true"/>
          <w:lang w:bidi="ar-SA"/>
        </w:rPr>
        <w:t xml:space="preserve">استقي منها أربعون دلوا إلى خمسين دلوا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المقنع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المحقّق لذلك برواية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العذرة تقع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 دلاء ، فإن ذابت فأربعون ، أو خمسون دلوا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لو صحّ طريق الرواية ،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بالذوبان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الأجزاء وشيوعها في الماء بحيث يستهلكها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الأصحاب الاكتفاء بذوبان بعض الأجزاء ؛ نظرا إلى أنّ القلّة والكثرة غير معتبرة ، فلو سقط مقدار البعض الذائب منفردا وذاب لأثّر ، فانضمام غيره إليه لا يمنعه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هذه الرواية ، وأنّها تتضمن ما قاله الصدوق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ويمكن التعدية إلى الرطبة ؛ للاشتراك في شياع الأجزاء ، ولأنّها تصير حينئذ رطبة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هذا الكلام ظاهر ؛ فإنّا نمنع من اقتضاء الرطوبة </w:t>
      </w:r>
      <w:r>
        <w:rPr>
          <w:rStyle w:val="FootnoteAnchor"/>
          <w:rtl w:val="true"/>
        </w:rPr>
        <w:footnoteReference w:id="407"/>
      </w:r>
      <w:r>
        <w:rPr>
          <w:rFonts w:ascii="Amiri" w:hAnsi="Amiri" w:eastAsia="Amiri" w:cs="Amiri"/>
          <w:color w:val="111111"/>
          <w:sz w:val="28"/>
          <w:sz w:val="28"/>
          <w:szCs w:val="28"/>
          <w:rtl w:val="true"/>
          <w:lang w:bidi="ar-SA"/>
        </w:rPr>
        <w:t>شيوع الأجزاء مطلقا ، نعم هي أقرب إلى ذلك من اليابسة ، ولو سلّم لم يكن للتعدية معنى ؛ لصدق الذّوبان حينئذ ، فيستغنى عن اعتبار الرطوبة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ولأنها تصير حينئذ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محصّل له</w:t>
      </w:r>
      <w:r>
        <w:rPr>
          <w:rFonts w:eastAsia="Amiri" w:cs="Amiri" w:ascii="Amiri" w:hAnsi="Amiri"/>
          <w:color w:val="111111"/>
          <w:sz w:val="28"/>
          <w:szCs w:val="28"/>
          <w:rtl w:val="true"/>
          <w:lang w:bidi="ar-SA"/>
        </w:rPr>
        <w:t xml:space="preserve">. </w:t>
      </w:r>
      <w:bookmarkStart w:id="318" w:name="pg8731_77137"/>
    </w:p>
    <w:p>
      <w:pPr>
        <w:pStyle w:val="Heading6"/>
        <w:numPr>
          <w:ilvl w:val="5"/>
          <w:numId w:val="1"/>
        </w:numPr>
        <w:rPr/>
      </w:pPr>
      <w:bookmarkStart w:id="319" w:name="__RefHeading___Toc3140079_653776707"/>
      <w:bookmarkStart w:id="320" w:name="_Toc114"/>
      <w:bookmarkEnd w:id="318"/>
      <w:bookmarkEnd w:id="319"/>
      <w:r>
        <w:rPr>
          <w:rtl w:val="true"/>
        </w:rPr>
        <w:t xml:space="preserve">مسألة </w:t>
      </w:r>
      <w:r>
        <w:rPr>
          <w:rtl w:val="true"/>
        </w:rPr>
        <w:t>[</w:t>
      </w:r>
      <w:r>
        <w:rPr/>
        <w:t>16</w:t>
      </w:r>
      <w:r>
        <w:rPr>
          <w:rtl w:val="true"/>
        </w:rPr>
        <w:t>] :</w:t>
      </w:r>
      <w:bookmarkEnd w:id="320"/>
    </w:p>
    <w:p>
      <w:pPr>
        <w:pStyle w:val="Heading6"/>
        <w:numPr>
          <w:ilvl w:val="5"/>
          <w:numId w:val="1"/>
        </w:numPr>
        <w:rPr/>
      </w:pPr>
      <w:bookmarkStart w:id="321" w:name="__RefHeading___Toc3140081_653776707"/>
      <w:bookmarkStart w:id="322" w:name="_Toc115"/>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وينزح لبول الرجل أربعون دلوا 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إلى رواية عليّ بن أبي حمزة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بول الصبيّ الفطيم يقع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وطريقها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حكم الخمر تضمّن صحيحة معاوية بن عمّار نزح الجميع إذا بال فيها صبيّ أو صبّ فيها بول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كردويه هناك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ثلاثين للقطرة من البول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صحيحة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دلاء للقطرات من البول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واستقرب العلّامة في المنتهى العمل برواية محمّد بن اسماعيل هذه ؛ لسلامة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الدلاء في البول على رواية كردويه ؛ فإنّها لا بأس بها ، ورواية معاوية بن عمّار تحمل على التغيّر في البول ، أو على الاستحباب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استقربه بعيد ؛ لأنّ رواية كردويه ضعيفة السند ، كما مرّت الإشارة إليه ، فكيف يحمل إطلاق الدّلاء في صحيحة محمّد بن اسماعيل عليها مع ما فيه </w:t>
      </w:r>
    </w:p>
    <w:p>
      <w:pPr>
        <w:pStyle w:val="BookText"/>
        <w:rPr/>
      </w:pPr>
      <w:r>
        <w:rPr>
          <w:rFonts w:ascii="Amiri" w:hAnsi="Amiri" w:eastAsia="Amiri" w:cs="Amiri"/>
          <w:color w:val="111111"/>
          <w:sz w:val="28"/>
          <w:sz w:val="28"/>
          <w:szCs w:val="28"/>
          <w:rtl w:val="true"/>
          <w:lang w:bidi="ar-SA"/>
        </w:rPr>
        <w:t>من الإشكال باعتبار اشتمالها على قطرات الدم وغيرها؟ وظاهر الجواب التسوية بين الكلّ ، وهو لا يقول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بعد أن ذكر رواية ابن أبي حمزة وروايتي معاوية ابن عمّار وكردويه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والترجيح لجانب الاولى ؛ لاشتهارها في العمل ، وشذوذ غيرها بين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واقفي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إنّما هو في زمن موسى عليه‌السلام فلا يقدح في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الوهن لو كان حاصلا وقت الأخذ عنه لانجبرت بعمل الأصحاب وقبولهم لها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قال نظر واضح ؛ لأنّ حال الشهرة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كثير من المواضع عدم اعتبارها ، كما قد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أبي حمزة إنّما تغيّر في زمن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عجيب ؛ إذ ليس الاعتبار في عدالة الراوي بحال التحمّل ، بل بزمان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بمجرّد إسنادها إلى الصادق عليه‌السلام أنّ روايته لها وقعت قبل تغيّره؟ ما هذا إلّا محض التوهّم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الجزم بإرادة ابن أبي حمزة البطائني الذي هو واقفي لا وجه له ؛ لاشتراك الاسم بينه وبين ابن أبي حمزة الثمالي ، ولا قرينة واضحة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والثمالي حكى الكشّي عند حمدويه ابن أبي نصير </w:t>
      </w:r>
      <w:r>
        <w:rPr>
          <w:rStyle w:val="FootnoteAnchor"/>
          <w:rtl w:val="true"/>
        </w:rPr>
        <w:footnoteReference w:id="414"/>
      </w:r>
      <w:r>
        <w:rPr>
          <w:rFonts w:ascii="Amiri" w:hAnsi="Amiri" w:eastAsia="Amiri" w:cs="Amiri"/>
          <w:color w:val="111111"/>
          <w:sz w:val="28"/>
          <w:sz w:val="28"/>
          <w:szCs w:val="28"/>
          <w:rtl w:val="true"/>
          <w:lang w:bidi="ar-SA"/>
        </w:rPr>
        <w:t xml:space="preserve">توثيقه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323" w:name="pg8731_77139"/>
    </w:p>
    <w:p>
      <w:pPr>
        <w:pStyle w:val="BookText"/>
        <w:rPr/>
      </w:pPr>
      <w:bookmarkEnd w:id="323"/>
      <w:r>
        <w:rPr>
          <w:rFonts w:ascii="Amiri" w:hAnsi="Amiri" w:eastAsia="Amiri" w:cs="Amiri"/>
          <w:color w:val="111111"/>
          <w:sz w:val="28"/>
          <w:sz w:val="28"/>
          <w:szCs w:val="28"/>
          <w:rtl w:val="true"/>
          <w:lang w:bidi="ar-SA"/>
        </w:rPr>
        <w:t xml:space="preserve">إذا تقرّر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العمل بصحيحة معاوية بن عمّار في الكثير ؛ لدلالة الانصباب عليه كما سبق في الخمر ، وبصحيحة محمّد بن اسماعيل في القليل ؛ لما علمت من ظهور القطرات فيه ، إلّا أن يتحقّق إجماع على خلافه ، لا مجرّد عدم ظهور القائل به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فكون النزح على سبيل الاستحباب مسهّل الخطب</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140083_653776707"/>
      <w:bookmarkStart w:id="325" w:name="_Toc116"/>
      <w:bookmarkEnd w:id="324"/>
      <w:r>
        <w:rPr>
          <w:rtl w:val="true"/>
        </w:rPr>
        <w:t xml:space="preserve">فرعان </w:t>
      </w:r>
      <w:r>
        <w:rPr>
          <w:rtl w:val="true"/>
        </w:rPr>
        <w:t>:</w:t>
      </w:r>
      <w:bookmarkEnd w:id="325"/>
    </w:p>
    <w:p>
      <w:pPr>
        <w:pStyle w:val="Heading6"/>
        <w:numPr>
          <w:ilvl w:val="5"/>
          <w:numId w:val="1"/>
        </w:numPr>
        <w:rPr/>
      </w:pPr>
      <w:bookmarkStart w:id="326" w:name="__RefHeading___Toc3140085_653776707"/>
      <w:bookmarkStart w:id="327" w:name="_Toc117"/>
      <w:bookmarkEnd w:id="326"/>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327"/>
    </w:p>
    <w:p>
      <w:pPr>
        <w:pStyle w:val="BookText"/>
        <w:rPr/>
      </w:pPr>
      <w:r>
        <w:rPr>
          <w:rFonts w:ascii="Amiri" w:hAnsi="Amiri" w:eastAsia="Amiri" w:cs="Amiri"/>
          <w:color w:val="111111"/>
          <w:sz w:val="28"/>
          <w:sz w:val="28"/>
          <w:szCs w:val="28"/>
          <w:rtl w:val="true"/>
          <w:lang w:bidi="ar-SA"/>
        </w:rPr>
        <w:t>أكثر الأصحاب فرّقوا بين الرجل والمرأة في هذا الحكم ، لاعتمادهم على رواية عليّ بن أبي حمزة وموردها بول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إلى التسوية بينهما فحكم بنزح الأربعين لبولها أيضا ؛ محتجّا بتناول لفظ الإنسان لها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رحمه‌اللّه عند حكايته لذلك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نسلّم أنّها إنسان ونطالبه أين وجد الأربعين معلّقة على بول الإنسان ، ولا ريب أنّه وهم منه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العلّامة رحمه‌اللّه أنّه مع إنكاره في المنتهى والمختلف على ابن إدريس في التسوية المذكورة </w:t>
      </w:r>
      <w:r>
        <w:rPr>
          <w:rStyle w:val="FootnoteAnchor"/>
          <w:rtl w:val="true"/>
        </w:rPr>
        <w:footnoteReference w:id="418"/>
      </w:r>
      <w:r>
        <w:rPr>
          <w:rFonts w:ascii="Amiri" w:hAnsi="Amiri" w:eastAsia="Amiri" w:cs="Amiri"/>
          <w:color w:val="111111"/>
          <w:sz w:val="28"/>
          <w:sz w:val="28"/>
          <w:szCs w:val="28"/>
          <w:rtl w:val="true"/>
          <w:lang w:bidi="ar-SA"/>
        </w:rPr>
        <w:t xml:space="preserve">، قال بها في التحرير ، حيث نفي الفرق بين بول المسلم والكافر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عدم الفرق بين الذكر والانثى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28" w:name="pg8731_77140"/>
    </w:p>
    <w:p>
      <w:pPr>
        <w:pStyle w:val="BookText"/>
        <w:rPr/>
      </w:pPr>
      <w:bookmarkEnd w:id="328"/>
      <w:r>
        <w:rPr>
          <w:rFonts w:ascii="Amiri" w:hAnsi="Amiri" w:eastAsia="Amiri" w:cs="Amiri"/>
          <w:color w:val="111111"/>
          <w:sz w:val="28"/>
          <w:sz w:val="28"/>
          <w:szCs w:val="28"/>
          <w:rtl w:val="true"/>
          <w:lang w:bidi="ar-SA"/>
        </w:rPr>
        <w:t xml:space="preserve">ثمّ إنّ الفارقين بينهما اختلفوا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فأوجب المحقّق في المعتبر لبولها نزح ثلاثين ، واحتجّ له برواية كردويه السابقة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وألحقه جماعة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بروايتي معاوية بن عمار ، ومحمّد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 لإطلاق البول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آت على ما استقربه العلّامة في المنتهى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عليه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بول المرأة والرجل إن عملنا برواية محمّد بن بزيع ، أو برواية كردويه ، وإن عملنا برواية عليّ بن حمزة حصل الفرق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3140087_653776707"/>
      <w:bookmarkStart w:id="330" w:name="_Toc118"/>
      <w:bookmarkEnd w:id="329"/>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330"/>
    </w:p>
    <w:p>
      <w:pPr>
        <w:pStyle w:val="BookText"/>
        <w:rPr/>
      </w:pPr>
      <w:r>
        <w:rPr>
          <w:rFonts w:ascii="Amiri" w:hAnsi="Amiri" w:eastAsia="Amiri" w:cs="Amiri"/>
          <w:color w:val="111111"/>
          <w:sz w:val="28"/>
          <w:sz w:val="28"/>
          <w:szCs w:val="28"/>
          <w:rtl w:val="true"/>
          <w:lang w:bidi="ar-SA"/>
        </w:rPr>
        <w:t>ظاهر الأصحاب أنّه لا خلاف في عدم الفرق بين بول المسلم والكافر حتّى من ابن إدريس ، مع ذهابه إلى الفرق في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المتأخّرين الفرق ؛ فإنّ لنجاسة الكفر تأثيرا ، ولهذا لو وقع في البئر ماء متنجّس بملاقاة بدن الكافر لوجب له النزح ، فكيف يكتفى للبول مع ملاقاته لبدنه بأربعين؟ والحكم إنّما هو منوط بنجاسة البول لا بنجاسة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وارد في سائر فضلاته كعذرته ، وبوله ، ومثله دم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يتنبّه لهذا الاعتبار كيف يقول بالتسوية في مسألة الميّت وقد قال بها من هذا كلامه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منه أنّ بعضا آخر احتمل الفرق في العذرة ؛ نظرا إلى زيادة نجاسة </w:t>
      </w:r>
      <w:bookmarkStart w:id="331" w:name="pg8731_77141"/>
    </w:p>
    <w:p>
      <w:pPr>
        <w:pStyle w:val="BookText"/>
        <w:rPr/>
      </w:pPr>
      <w:bookmarkEnd w:id="331"/>
      <w:r>
        <w:rPr>
          <w:rFonts w:ascii="Amiri" w:hAnsi="Amiri" w:eastAsia="Amiri" w:cs="Amiri"/>
          <w:color w:val="111111"/>
          <w:sz w:val="28"/>
          <w:sz w:val="28"/>
          <w:szCs w:val="28"/>
          <w:rtl w:val="true"/>
          <w:lang w:bidi="ar-SA"/>
        </w:rPr>
        <w:t xml:space="preserve">عذرة الكافر بمجاورته </w:t>
      </w:r>
      <w:r>
        <w:rPr>
          <w:rStyle w:val="FootnoteAnchor"/>
          <w:rtl w:val="true"/>
        </w:rPr>
        <w:footnoteReference w:id="422"/>
      </w:r>
      <w:r>
        <w:rPr>
          <w:rFonts w:ascii="Amiri" w:hAnsi="Amiri" w:eastAsia="Amiri" w:cs="Amiri"/>
          <w:color w:val="111111"/>
          <w:sz w:val="28"/>
          <w:sz w:val="28"/>
          <w:szCs w:val="28"/>
          <w:rtl w:val="true"/>
          <w:lang w:bidi="ar-SA"/>
        </w:rPr>
        <w:t>، وجزم في البول بعدم الفرق ؛ لعموم لفظ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الحيثيّة معتبرة في الجميع كما أشرنا إليه في مسألة موت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عدم الاكتفاء بالمقدّر لحيثيّته عند مصاحبة اخرى لها ؛ لما سيأتي من عدم تداخل المنزوحات عند تعدّد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ملاقاة النجاسة لنجاسة اخرى على وجه مؤثّر توجب لها قوّة واعتبارا زائدا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الدّال على نزح مقدار مخصوص لها غير متناول لما سواها فكيف يكون كافيا عن الجميع بتقدير الاجتماع؟</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140089_653776707"/>
      <w:bookmarkStart w:id="333" w:name="_Toc119"/>
      <w:bookmarkEnd w:id="332"/>
      <w:r>
        <w:rPr>
          <w:rtl w:val="true"/>
        </w:rPr>
        <w:t xml:space="preserve">مسألة </w:t>
      </w:r>
      <w:r>
        <w:rPr>
          <w:rtl w:val="true"/>
        </w:rPr>
        <w:t>[</w:t>
      </w:r>
      <w:r>
        <w:rPr/>
        <w:t>17</w:t>
      </w:r>
      <w:r>
        <w:rPr>
          <w:rtl w:val="true"/>
        </w:rPr>
        <w:t>] :</w:t>
      </w:r>
      <w:bookmarkEnd w:id="333"/>
    </w:p>
    <w:p>
      <w:pPr>
        <w:pStyle w:val="BookText"/>
        <w:rPr/>
      </w:pPr>
      <w:r>
        <w:rPr>
          <w:rFonts w:ascii="Amiri" w:hAnsi="Amiri" w:eastAsia="Amiri" w:cs="Amiri"/>
          <w:color w:val="111111"/>
          <w:sz w:val="28"/>
          <w:sz w:val="28"/>
          <w:szCs w:val="28"/>
          <w:rtl w:val="true"/>
          <w:lang w:bidi="ar-SA"/>
        </w:rPr>
        <w:t xml:space="preserve">وأوجب الشيخان وجماعة نزح الأربعين لموت الكلب والسنّور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رضوان اللّه عليه في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وقع فيها كلب أو سنّور فانزح منها ثلاثين دلوا إلى أربعين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سبع دلاء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 فيها كلب نزح منها ثلاثون دلوا إلى أربعين دلوا ، وإن وقع فيها سنّور نزح منها سبع دلاء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على ما ذهب إليه بما رواه الحسين بن سعيد ، عن القاسم ، عن عليّ </w:t>
      </w:r>
      <w:r>
        <w:rPr>
          <w:rStyle w:val="FootnoteAnchor"/>
          <w:rtl w:val="true"/>
        </w:rPr>
        <w:footnoteReference w:id="4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تقع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والسّنور عشرون أو ثلاثون أو أربعون دلوا ، والكلب وشبهه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تقع في البئر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سنّورا أو أكبر منه نزحت منها ثلاثين دلوا أو أربعين دلوا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 كيف عملتم على أربعين دلوا ، وليس في هذين الخبرين القطع عليها ، بل إنّما تضمّناها على جهة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عملتم بغيرهما ممّا يتضمّن الأقلّ من هذا المقدار؟</w:t>
      </w:r>
    </w:p>
    <w:p>
      <w:pPr>
        <w:pStyle w:val="BookText"/>
        <w:rPr/>
      </w:pPr>
      <w:r>
        <w:rPr>
          <w:rFonts w:ascii="Amiri" w:hAnsi="Amiri" w:eastAsia="Amiri" w:cs="Amiri"/>
          <w:color w:val="111111"/>
          <w:sz w:val="28"/>
          <w:sz w:val="28"/>
          <w:szCs w:val="28"/>
          <w:rtl w:val="true"/>
          <w:lang w:bidi="ar-SA"/>
        </w:rPr>
        <w:t xml:space="preserve">لأنّا إذا عملنا على ما ذكرناه من نزح الأربعين فلا خلاف بين أصحابنا في جواز استعمال ما بقي من الماء ، وتكون أيضا الأخبار التي تتضمّن أقلّ من ذلك داخلة في جملة ، وإذا عملنا غير ذلك نكون دافعين لهذين الخبرين جملة ، وصائرين إلى المختلف فيه ، فلأجل هذا عملنا على نهاية ما وردت به الأخبار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حاصل كلامه ، وهو ظاهر الضعف ، بيّن الوهن ، مع أنّ في طريق الروايتين ضعفا ؛ فإنّ القاسم وعليّا وسماعة من الواقفيّة </w:t>
      </w:r>
      <w:r>
        <w:rPr>
          <w:rStyle w:val="FootnoteAnchor"/>
          <w:rtl w:val="true"/>
        </w:rPr>
        <w:footnoteReference w:id="430"/>
      </w:r>
      <w:r>
        <w:rPr>
          <w:rFonts w:ascii="Amiri" w:hAnsi="Amiri" w:eastAsia="Amiri" w:cs="Amiri"/>
          <w:color w:val="111111"/>
          <w:sz w:val="28"/>
          <w:sz w:val="28"/>
          <w:szCs w:val="28"/>
          <w:rtl w:val="true"/>
          <w:lang w:bidi="ar-SA"/>
        </w:rPr>
        <w:t>على 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الثانية عثمان بن عيسى وهو منهم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الصدوق استند في الحكم الذي ذكره في المقنع إلى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ظاهرة بالنسبة إلى السنّور ، وأمّا الكلب ففي استفادة حكمه منها توقّف ؛ لأنّ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جدّا ، فيشكل التمسّك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في من لا يحضره الفقيه في الكلب فلم يقف </w:t>
      </w:r>
      <w:r>
        <w:rPr>
          <w:rStyle w:val="FootnoteAnchor"/>
          <w:rtl w:val="true"/>
        </w:rPr>
        <w:footnoteReference w:id="431"/>
      </w:r>
      <w:r>
        <w:rPr>
          <w:rFonts w:ascii="Amiri" w:hAnsi="Amiri" w:eastAsia="Amiri" w:cs="Amiri"/>
          <w:color w:val="111111"/>
          <w:sz w:val="28"/>
          <w:sz w:val="28"/>
          <w:szCs w:val="28"/>
          <w:rtl w:val="true"/>
          <w:lang w:bidi="ar-SA"/>
        </w:rPr>
        <w:t>على رواية تدلّ عليه ، والروايتان السابقتان تضمّنتا السنّور ، وفي الاولى التخيير بين العشرين وبين ما ذكره ، فلا يصلحان مستندا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يدلّان على ما ذهب إليه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ليس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بالسبع التي أشار إليها في المقنع ، وأفتى بها في من لا يحضره الفقيه لعلّها رواية عمرو بن سعيد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عليه‌السلام عمّا يقع في البئر ما بين الفأرة والسّنور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وراويها مجهول على 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هذا الباب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اسامة زيد الشحّام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الفأرة والسّنور والدجاجة والكلب والطير؟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يتفسّخ </w:t>
      </w:r>
      <w:r>
        <w:rPr>
          <w:rStyle w:val="FootnoteAnchor"/>
          <w:rtl w:val="true"/>
        </w:rPr>
        <w:footnoteReference w:id="434"/>
      </w:r>
      <w:r>
        <w:rPr>
          <w:rFonts w:ascii="Amiri" w:hAnsi="Amiri" w:eastAsia="Amiri" w:cs="Amiri"/>
          <w:color w:val="111111"/>
          <w:sz w:val="28"/>
          <w:sz w:val="28"/>
          <w:szCs w:val="28"/>
          <w:rtl w:val="true"/>
          <w:lang w:bidi="ar-SA"/>
        </w:rPr>
        <w:t xml:space="preserve">أو يتغيّر طعم الماء فيكفيك خمس دلاء ، وإن تغيّر الماء فخذ منه حتى يذهب الرّيح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الفضل البقباق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في البئر يقع فيها الفأرة أو الدّابّة أو الكلب أو الطير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ثمّ ينزح من البئر دلاء ، ثمّ يشرب منه ويتوضّأ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ومحمّد بن مسلم ، وبريد بن معاوية العجلي ، عن أبي عبد اللّه عليه‌السلام وأبي جعفر عليه‌السلام </w:t>
      </w:r>
      <w:r>
        <w:rPr>
          <w:rStyle w:val="FootnoteAnchor"/>
          <w:rtl w:val="true"/>
        </w:rPr>
        <w:footnoteReference w:id="437"/>
      </w:r>
      <w:r>
        <w:rPr>
          <w:rFonts w:ascii="Amiri" w:hAnsi="Amiri" w:eastAsia="Amiri" w:cs="Amiri"/>
          <w:color w:val="111111"/>
          <w:sz w:val="28"/>
          <w:sz w:val="28"/>
          <w:szCs w:val="28"/>
          <w:rtl w:val="true"/>
          <w:lang w:bidi="ar-SA"/>
        </w:rPr>
        <w:t>وهي مثل رواية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أيضا في احتجاج العلّامة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للفرس والبقرة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يقطين عن أبي الحسن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البئر يقع فيها الحمامة والدجاجة أو الفأرة أو الكلب أو الهرّة؟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أن تنزح منها دلاء فإنّ ذلك يطهّرها إن شاء اللّه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تقدّمت أيضا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الكلب في البئر نزحت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فيها ثمّ اخرج منها حيّا ينزح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بئر يقع فيها كلب أو فأرة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كلّها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الشيخ في الاستبصار الجمع بين هذه الروايات وبين ما احتجّ به على وجوب الأربعين ، فحمل الرواية الاولى على خروج الكلب حيّا ، وحمل الروايات الثلاث التي بعدها على إرادة الأربعين من لفظ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بأنّه جمع كثرة وهو لما زاد على العشرة ، فلا يمنع أن يكون المراد به الأربعين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في الأخبار الأربعة وجها آخر ، وهو أن يكون الإمام عليه‌السلام أجاب عن حكم بعض ما تضمّنه السؤال من الفأرة والطير ، وعوّل في حكم الباقي على المعروف من مذهبه أو غيره من الأخبار التي شاعت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هذه المحامل من الضعف والتكلّف ، لا سيّما مع عدم صحّة إسناد الروايتين اللّتين احتجّ بهما على ما صار إليه ، وكون أكثر هذه الروايات معتبرة الطريق ؛ فإنّ رواية زيد الشحام صحيحة السند ، وكذا رواية زرارة ومن معه ، ورواية عليّ بن يقطين موصوفة بالصحّة في كلام جماعة من الأصحاب ، وقد تقدّم ذكر ذلك أيضا عند ذكرها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متوقّفون فيه من حيث اشتمال طريقها على محمّد بن أبي حمزة ، ولم يوثّقه الشيخ ولا النجاشي ، وإنّما حكى الكشّي توثيقه عن حمدويه بن نصير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نكتفي بهذا القدر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الأخيرتان فحملهما الشيخ على حصول التغيّر ، ولا بأس به ، لكن يجب تقييده عندنا بالتغيّر الذي يتوقّف زواله على نزح الجميع كما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بالتنجيس أو وجوب النزح فيمكن إجراء الكلام على إطلاقه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المحقّق أيضا للكلام على أكثر هذه الأخبار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اسامة قويّة السّند لكنّها متروكة بين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زرارة غير مقدّرة ، فيحتمل أن يكون إشارة إلى ما ذكر في رواية أبي اسامة الحسين </w:t>
      </w:r>
      <w:bookmarkStart w:id="334" w:name="pg8731_77146"/>
    </w:p>
    <w:p>
      <w:pPr>
        <w:pStyle w:val="BookText"/>
        <w:rPr/>
      </w:pPr>
      <w:bookmarkEnd w:id="334"/>
      <w:r>
        <w:rPr>
          <w:rFonts w:ascii="Amiri" w:hAnsi="Amiri" w:eastAsia="Amiri" w:cs="Amiri"/>
          <w:color w:val="111111"/>
          <w:sz w:val="28"/>
          <w:sz w:val="28"/>
          <w:szCs w:val="28"/>
          <w:rtl w:val="true"/>
          <w:lang w:bidi="ar-SA"/>
        </w:rPr>
        <w:t xml:space="preserve">ابن سعيد عن القاسم عن عليّ ، ورواية أبي مريم محتملة ؛ إذ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عمّار وإن كان ثقة لكنّه فطحيّ ، فلا يعمل بها مع وجود المعارض السليم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وأنت تعلم أنّ الأمر عندنا سهل ؛ لأنّ المندوب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الآبار مختلفة في الكثرة والقلّة والقوّة والضعف ، والغرض من النزح تنظيفها ، فلا جرم يحصل الاختلاف في المقدار الذي يتحقّق معه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السرّ في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عند التحقيق أدلّ دليل على عدم الانفعال ، وأنّ النزح على جهة الاستحباب</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140091_653776707"/>
      <w:bookmarkStart w:id="336" w:name="_Toc120"/>
      <w:bookmarkEnd w:id="335"/>
      <w:r>
        <w:rPr>
          <w:rtl w:val="true"/>
        </w:rPr>
        <w:t xml:space="preserve">مسألة </w:t>
      </w:r>
      <w:r>
        <w:rPr>
          <w:rtl w:val="true"/>
        </w:rPr>
        <w:t>[</w:t>
      </w:r>
      <w:r>
        <w:rPr/>
        <w:t>18</w:t>
      </w:r>
      <w:r>
        <w:rPr>
          <w:rtl w:val="true"/>
        </w:rPr>
        <w:t>] :</w:t>
      </w:r>
      <w:bookmarkEnd w:id="336"/>
    </w:p>
    <w:p>
      <w:pPr>
        <w:pStyle w:val="BookText"/>
        <w:rPr/>
      </w:pPr>
      <w:r>
        <w:rPr>
          <w:rFonts w:ascii="Amiri" w:hAnsi="Amiri" w:eastAsia="Amiri" w:cs="Amiri"/>
          <w:color w:val="111111"/>
          <w:sz w:val="28"/>
          <w:sz w:val="28"/>
          <w:szCs w:val="28"/>
          <w:rtl w:val="true"/>
          <w:lang w:bidi="ar-SA"/>
        </w:rPr>
        <w:t>وألحق الشيخان بالكلب ما أشبهه في قدر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من الشبيه الخنزير والثعلب والشاة والغزال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لذلك الشيخ في التهذيب بالرواية السابقة في موت الكلب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والكلب وشبهه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إذا سلّمنا لهم الأصل نطالبهم بالدليل على إرادة المشابهة في قدر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تنزّلنا إلى الموافقة لمنعنا حصول هذه المشابهة في أكثر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والعيان شاهدنا العدل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رحمه‌اللّه بعد حكاية كلام الشيخ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 الثعلب يشبه </w:t>
      </w:r>
    </w:p>
    <w:p>
      <w:pPr>
        <w:pStyle w:val="BookText"/>
        <w:rPr/>
      </w:pP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الكلب فهو بعيد عن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إنّما أحالت في الشبه على الكلب ، فالاستدلال إذا ضعيف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أنّ الصّدوق رحمه‌اللّه قال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وقعت شاة وما أشبهها في بئر نزح منها تسعة دلاء إلى عشرة دلاء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وقعت في البئر شاة فانزح سبعة أدل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استند في الحكم الأوّل إلى رواية اسحاق بن عمّار عن جعفر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ومثلها تموت في البئر ينزح منها دلوان وثلاثة ، فإذا كانت شاة وما أشبهها فتسعة وعشرة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رواية عمرو بن سعيد بن هلال عن أبي جعفر عليه‌السلام وقد تقدّمت في حكم السّنور </w:t>
      </w:r>
      <w:r>
        <w:rPr>
          <w:rStyle w:val="FootnoteAnchor"/>
          <w:rtl w:val="true"/>
        </w:rPr>
        <w:footnoteReference w:id="451"/>
      </w:r>
      <w:r>
        <w:rPr>
          <w:rFonts w:ascii="Amiri" w:hAnsi="Amiri" w:eastAsia="Amiri" w:cs="Amiri"/>
          <w:color w:val="111111"/>
          <w:sz w:val="28"/>
          <w:sz w:val="28"/>
          <w:szCs w:val="28"/>
          <w:rtl w:val="true"/>
          <w:lang w:bidi="ar-SA"/>
        </w:rPr>
        <w:t>حيث دلّت على السبع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المحقّق في المعتبر العمل بالرواية الاولى ؛ معلّلا له بسلامة سندها وضعف رواية عمرو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منه عجيب ؛ فإنّ ضعف رواية عمرو بن سعيد بواسطته حيث إنّه مجهول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كلوب وهو مجهول الحال أيضا ، </w:t>
      </w:r>
      <w:bookmarkStart w:id="337" w:name="pg8731_77148"/>
    </w:p>
    <w:p>
      <w:pPr>
        <w:pStyle w:val="BookText"/>
        <w:rPr/>
      </w:pPr>
      <w:bookmarkEnd w:id="337"/>
      <w:r>
        <w:rPr>
          <w:rFonts w:ascii="Amiri" w:hAnsi="Amiri" w:eastAsia="Amiri" w:cs="Amiri"/>
          <w:color w:val="111111"/>
          <w:sz w:val="28"/>
          <w:sz w:val="28"/>
          <w:szCs w:val="28"/>
          <w:rtl w:val="true"/>
          <w:lang w:bidi="ar-SA"/>
        </w:rPr>
        <w:t xml:space="preserve">وإسحاق 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حكى عن الشيخين والمرتضى إيجاب نزح الأربعين للشاة ، وأنّ الشيخ احتجّ لذلك بمشابهتها للكلب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بأنّ احتجاجه بالمشابهة ليس بصريح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فالصريح أولى ؛ لأنّه استدلال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عندي أنّ المشابهة غير ثابتة ، والأخبار كلّها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التوقّف عن العمل بها حيث يقال بالوجوب</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140093_653776707"/>
      <w:bookmarkStart w:id="339" w:name="_Toc121"/>
      <w:bookmarkEnd w:id="338"/>
      <w:r>
        <w:rPr>
          <w:rtl w:val="true"/>
        </w:rPr>
        <w:t xml:space="preserve">مسألة </w:t>
      </w:r>
      <w:r>
        <w:rPr>
          <w:rtl w:val="true"/>
        </w:rPr>
        <w:t>[</w:t>
      </w:r>
      <w:r>
        <w:rPr/>
        <w:t>19</w:t>
      </w:r>
      <w:r>
        <w:rPr>
          <w:rtl w:val="true"/>
        </w:rPr>
        <w:t>] :</w:t>
      </w:r>
      <w:bookmarkEnd w:id="339"/>
    </w:p>
    <w:p>
      <w:pPr>
        <w:pStyle w:val="BookText"/>
        <w:rPr/>
      </w:pPr>
      <w:r>
        <w:rPr>
          <w:rFonts w:ascii="Amiri" w:hAnsi="Amiri" w:eastAsia="Amiri" w:cs="Amiri"/>
          <w:color w:val="111111"/>
          <w:sz w:val="28"/>
          <w:sz w:val="28"/>
          <w:szCs w:val="28"/>
          <w:rtl w:val="true"/>
          <w:lang w:bidi="ar-SA"/>
        </w:rPr>
        <w:t>وينزح ثلاثون دلوا لوقوع ماء المطر وفيه البول والعذرة وأبوال الدّواب وأرواثها وخرء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فيه إلى رواية كردويه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عليه‌السلام عن بئر يدخلها ماء المطر فيه البول والعذرة وأبوال الدوابّ وأرواثها وخرء الكلاب؟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ثلاثون دلوا وإن كانت مبخّرة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بعض الأصحاب على هذا الحكم إشكالا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الاستفصال عن النجاسات المذكورة يقتضي تساوي جميع محتملاتها في الحكم ، فيستوي حال العذرة رطبة ويابسة ، وحال البول إذا كان بول رجل أو غيره ، وقد حكموا بنزح خمسين للعذرة الرطبة وأربعين لبول الرجل مع انفراد كلّ منهما فكيف يجتزي بالثلاثين مع انضمام أحدهما إلى الآخر ، وانضمام غيرهما إليهما </w:t>
      </w:r>
      <w:bookmarkStart w:id="340" w:name="pg8731_77149"/>
    </w:p>
    <w:p>
      <w:pPr>
        <w:pStyle w:val="BookText"/>
        <w:rPr/>
      </w:pPr>
      <w:bookmarkEnd w:id="340"/>
      <w:r>
        <w:rPr>
          <w:rFonts w:ascii="Amiri" w:hAnsi="Amiri" w:eastAsia="Amiri" w:cs="Amiri"/>
          <w:color w:val="111111"/>
          <w:sz w:val="28"/>
          <w:sz w:val="28"/>
          <w:szCs w:val="28"/>
          <w:rtl w:val="true"/>
          <w:lang w:bidi="ar-SA"/>
        </w:rPr>
        <w:t>وهو مقتض لزيادة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بالحمل على استهلاك ماء المطر لأعيان النجاسات ، ولا بعد في أن يكون ماء النجاسة أخفّ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على تقدير الاستهلاك لا يبقى بين ماء المطر وغيره فرق ، وقد فرّقوا مع أنّ لفظ الرواية ظاهر في كون الأعيان باقية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إبقاء الرواية على إطلاقها ، وعدم الالتفات إلى مثل هذا الإشكال ؛ فإنّه استبعاد غير مسموع بعد قيام الدليل ، خصوصا في أحكام البئر ؛ فإنّ التفريق بين المتماثل والجمع بين المتباين فيها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إنّما يتوجّه إذا كان دليل الحكم ناهضا بإثباته ، وليس الأمر كذلك هاهنا ؛ فإنّ 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 إذ لم يتعرّض له الأصحاب في كتب الرجال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140095_653776707"/>
      <w:bookmarkStart w:id="342" w:name="_Toc122"/>
      <w:bookmarkEnd w:id="341"/>
      <w:r>
        <w:rPr>
          <w:rtl w:val="true"/>
        </w:rPr>
        <w:t xml:space="preserve">مسألة </w:t>
      </w:r>
      <w:r>
        <w:rPr>
          <w:rtl w:val="true"/>
        </w:rPr>
        <w:t>[</w:t>
      </w:r>
      <w:r>
        <w:rPr/>
        <w:t>20</w:t>
      </w:r>
      <w:r>
        <w:rPr>
          <w:rtl w:val="true"/>
        </w:rPr>
        <w:t>] :</w:t>
      </w:r>
      <w:bookmarkEnd w:id="342"/>
    </w:p>
    <w:p>
      <w:pPr>
        <w:pStyle w:val="BookText"/>
        <w:rPr/>
      </w:pPr>
      <w:r>
        <w:rPr>
          <w:rFonts w:ascii="Amiri" w:hAnsi="Amiri" w:eastAsia="Amiri" w:cs="Amiri"/>
          <w:color w:val="111111"/>
          <w:sz w:val="28"/>
          <w:sz w:val="28"/>
          <w:szCs w:val="28"/>
          <w:rtl w:val="true"/>
          <w:lang w:bidi="ar-SA"/>
        </w:rPr>
        <w:t xml:space="preserve">وينزح للدم القليل عشر دلاء ، قاله الشيخ رحمه‌اللّه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جماعة منهم العلّامة في أكثر كتبه </w:t>
      </w:r>
      <w:r>
        <w:rPr>
          <w:rStyle w:val="FootnoteAnchor"/>
          <w:rtl w:val="true"/>
        </w:rPr>
        <w:footnoteReference w:id="456"/>
      </w:r>
      <w:r>
        <w:rPr>
          <w:rFonts w:ascii="Amiri" w:hAnsi="Amiri" w:eastAsia="Amiri" w:cs="Amiri"/>
          <w:color w:val="111111"/>
          <w:sz w:val="28"/>
          <w:sz w:val="28"/>
          <w:szCs w:val="28"/>
          <w:rtl w:val="true"/>
          <w:lang w:bidi="ar-SA"/>
        </w:rPr>
        <w:t xml:space="preserve">، وهو اختيار الصدوق في المقنع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قطر فيها قطرات من دم استقي منها دلاء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الدم قليلا نزح منها خمس دلاء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استناد الشيخ فيما قاله إلى صحيحة محمّد بن إسماعيل بن بزيع السابقة في حكم الدم الكثير ، حيث 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في القليل كما حكيناه هناك عنه </w:t>
      </w:r>
      <w:r>
        <w:rPr>
          <w:rStyle w:val="FootnoteAnchor"/>
          <w:rtl w:val="true"/>
        </w:rPr>
        <w:footnoteReference w:id="460"/>
      </w:r>
      <w:r>
        <w:rPr>
          <w:rFonts w:ascii="Amiri" w:hAnsi="Amiri" w:eastAsia="Amiri" w:cs="Amiri"/>
          <w:color w:val="111111"/>
          <w:sz w:val="28"/>
          <w:sz w:val="28"/>
          <w:szCs w:val="28"/>
          <w:rtl w:val="true"/>
          <w:lang w:bidi="ar-SA"/>
        </w:rPr>
        <w:t xml:space="preserve">، خلافا لما قرّره في التهذيب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ضميمة التقريب الذي ذكره فيه لدلالة لفظ الدلاء فيها على العشر حتّى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غير تامّ ، وأنّ ما قرّب به الدلالة بعيد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الصدوق في من لا يحضره الفقيه ؛ فإنّه مفاد الرواية ومآله إلى الاكتفاء بأقلّ ما يصدق معه مفهوم الجمع ، وهو الثلاثة وإن كان لفظ الدلاء على وزان جموع الكثرة ؛ فإنّ التفرقة بين الأمرين غير معتبرة في العرف المستمرّ لو ثبت كون الصّيغ حقايق فيها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علي بن جعفر في الصحيح عن أخيه أبي الحسن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ذبح دجاجة أو حمامة فوقعت في بئر ، هل يصلح أن يتوضّأ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دلاء يسيرة ، ثمّ يتوضّأ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وسألته عن رجل يستقي من بئر فرعف فيها هل 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يسيرة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في المعتبر المصير إلى هذا القول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في </w:t>
      </w:r>
      <w:bookmarkStart w:id="343" w:name="pg8731_77151"/>
    </w:p>
    <w:p>
      <w:pPr>
        <w:pStyle w:val="BookText"/>
        <w:rPr/>
      </w:pPr>
      <w:bookmarkEnd w:id="343"/>
      <w:r>
        <w:rPr>
          <w:rFonts w:ascii="IRNazanin" w:hAnsi="IRNazanin" w:eastAsia="IRNazanin"/>
          <w:color w:val="111111"/>
          <w:sz w:val="28"/>
          <w:sz w:val="28"/>
          <w:szCs w:val="28"/>
          <w:rtl w:val="true"/>
          <w:lang w:bidi="fa-IR"/>
        </w:rPr>
        <w:t xml:space="preserve">المنتهى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لقول المفيد على حجّة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140097_653776707"/>
      <w:bookmarkStart w:id="345" w:name="_Toc123"/>
      <w:bookmarkEnd w:id="344"/>
      <w:r>
        <w:rPr>
          <w:rtl w:val="true"/>
        </w:rPr>
        <w:t xml:space="preserve">مسألة </w:t>
      </w:r>
      <w:r>
        <w:rPr>
          <w:rtl w:val="true"/>
        </w:rPr>
        <w:t>[</w:t>
      </w:r>
      <w:r>
        <w:rPr/>
        <w:t>21</w:t>
      </w:r>
      <w:r>
        <w:rPr>
          <w:rtl w:val="true"/>
        </w:rPr>
        <w:t>] :</w:t>
      </w:r>
      <w:bookmarkEnd w:id="345"/>
    </w:p>
    <w:p>
      <w:pPr>
        <w:pStyle w:val="BookText"/>
        <w:rPr/>
      </w:pPr>
      <w:r>
        <w:rPr>
          <w:rFonts w:ascii="Amiri" w:hAnsi="Amiri" w:eastAsia="Amiri" w:cs="Amiri"/>
          <w:color w:val="111111"/>
          <w:sz w:val="28"/>
          <w:sz w:val="28"/>
          <w:szCs w:val="28"/>
          <w:rtl w:val="true"/>
          <w:lang w:bidi="ar-SA"/>
        </w:rPr>
        <w:t>وينزح العشرة للعذرة اليابسة في المشهور بين الأصحاب ، لا نعرف فيه خلافا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العذرة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 دلاء ، فإن ذابت فأربعون أو خمسون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في بيان ما ينزح للذايبة ، ولم نقف على حديث يدلّ على ذلك سواها ، وطريقها ضعيف ؛ لأنّ فيه عبد اللّه بن بحر ، وهو من جملة الضعفاء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فانضمام عدم ظهور المخالف في ذلك من الأصحاب إلى هذه الرواية كاف في إثبات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بالانفعال أو الوجوب لكان للتوقّف مجال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140099_653776707"/>
      <w:bookmarkStart w:id="347" w:name="_Toc124"/>
      <w:bookmarkEnd w:id="346"/>
      <w:r>
        <w:rPr>
          <w:rtl w:val="true"/>
        </w:rPr>
        <w:t xml:space="preserve">مسألة </w:t>
      </w:r>
      <w:r>
        <w:rPr>
          <w:rtl w:val="true"/>
        </w:rPr>
        <w:t>[</w:t>
      </w:r>
      <w:r>
        <w:rPr/>
        <w:t>22</w:t>
      </w:r>
      <w:r>
        <w:rPr>
          <w:rtl w:val="true"/>
        </w:rPr>
        <w:t>] :</w:t>
      </w:r>
      <w:bookmarkEnd w:id="347"/>
    </w:p>
    <w:p>
      <w:pPr>
        <w:pStyle w:val="BookText"/>
        <w:rPr/>
      </w:pPr>
      <w:r>
        <w:rPr>
          <w:rFonts w:ascii="Amiri" w:hAnsi="Amiri" w:eastAsia="Amiri" w:cs="Amiri"/>
          <w:color w:val="111111"/>
          <w:sz w:val="28"/>
          <w:sz w:val="28"/>
          <w:szCs w:val="28"/>
          <w:rtl w:val="true"/>
          <w:lang w:bidi="ar-SA"/>
        </w:rPr>
        <w:t>وينزح لموت الطير سبع دلاء ذكره الأصحاب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اسامة وأبي يوسف يعقوب بن عيثم عن أبي </w:t>
      </w:r>
    </w:p>
    <w:p>
      <w:pPr>
        <w:pStyle w:val="BookText"/>
        <w:rPr/>
      </w:pP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البئر الطير والدجاجة والفأرة فانزح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سعيد عن القاسم عن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الطير والدجاجة يقع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تقع في البئر أو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 قبل أن ينتن نزحت منها سبع دلاء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سقط في البئر دابّة صغيرة ، أو نزل فيها جنب 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روايات اخرى بخلاف ما تضمّنته هذه ، كرواية إسحاق بن عمّار عن أبي عبد اللّه عليه‌السلام عن أبيه أنّ عليّا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الدجاجة ومثلها يموت في البئر ينزح منها دلوان وثلاثة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زيد الشحّام السابقة فيما ينزح لموت الكلب ؛ فقد عدّ فيها الدجاجة والطير ، واكتفي بنزح خمس دلاء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348" w:name="pg8731_77153"/>
    </w:p>
    <w:p>
      <w:pPr>
        <w:pStyle w:val="BookText"/>
        <w:rPr/>
      </w:pPr>
      <w:bookmarkEnd w:id="348"/>
      <w:r>
        <w:rPr>
          <w:rFonts w:ascii="Amiri" w:hAnsi="Amiri" w:eastAsia="Amiri" w:cs="Amiri"/>
          <w:color w:val="111111"/>
          <w:sz w:val="28"/>
          <w:sz w:val="28"/>
          <w:szCs w:val="28"/>
          <w:rtl w:val="true"/>
          <w:lang w:bidi="ar-SA"/>
        </w:rPr>
        <w:t xml:space="preserve">وصحيحة زرارة ومحمّد بن مسلم وبريد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الفضل البقباق </w:t>
      </w:r>
      <w:r>
        <w:rPr>
          <w:rStyle w:val="FootnoteAnchor"/>
          <w:rtl w:val="true"/>
        </w:rPr>
        <w:footnoteReference w:id="473"/>
      </w:r>
      <w:r>
        <w:rPr>
          <w:rFonts w:ascii="Amiri" w:hAnsi="Amiri" w:eastAsia="Amiri" w:cs="Amiri"/>
          <w:color w:val="111111"/>
          <w:sz w:val="28"/>
          <w:sz w:val="28"/>
          <w:szCs w:val="28"/>
          <w:rtl w:val="true"/>
          <w:lang w:bidi="ar-SA"/>
        </w:rPr>
        <w:t xml:space="preserve">، ورواية عليّ بن يقطين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الثلاث نزح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كلّها مع صحيحة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بالنظر إلى ما تضمّن لفظ الدلاء سهل ؛ لأنّه مطلق فيحمل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الشيخ في الاستبصار بين ما دلّ على السبع وبين رواية إسحاق ابن عمّار بحمل روايات السبع على الفضل والاستحباب ، أو على حصول التفسّخ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ينبغي أن يكون الوجه في تأويل أخبار السبع هو مراعاة الجمع بينها وبين صحيحة زيد ، حيث دلّت على الاكتفاء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إسحاق فضعيفة السند ، كما نبّهنا عليه في حكم الشاة ؛ وحينئذ يمكن ترجيح الحمل على الثاني للتصريح باشتراط عدم التفسّخ في صحيحة زيد</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140101_653776707"/>
      <w:bookmarkStart w:id="350" w:name="_Toc125"/>
      <w:bookmarkEnd w:id="349"/>
      <w:r>
        <w:rPr>
          <w:rtl w:val="true"/>
        </w:rPr>
        <w:t xml:space="preserve">مسألة </w:t>
      </w:r>
      <w:r>
        <w:rPr>
          <w:rtl w:val="true"/>
        </w:rPr>
        <w:t>[</w:t>
      </w:r>
      <w:r>
        <w:rPr/>
        <w:t>23</w:t>
      </w:r>
      <w:r>
        <w:rPr>
          <w:rtl w:val="true"/>
        </w:rPr>
        <w:t>] :</w:t>
      </w:r>
      <w:bookmarkEnd w:id="3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الشيخ نزح السبع للفأرة إذا تفسّخت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عليه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تفسّخت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وانتفخت ، ولم يتغيّر بذلك الماء نزح منها سبع </w:t>
      </w:r>
    </w:p>
    <w:p>
      <w:pPr>
        <w:pStyle w:val="BookText"/>
        <w:rPr/>
      </w:pPr>
      <w:r>
        <w:rPr>
          <w:rFonts w:ascii="IRNazanin" w:hAnsi="IRNazanin" w:eastAsia="IRNazanin"/>
          <w:color w:val="111111"/>
          <w:sz w:val="28"/>
          <w:sz w:val="28"/>
          <w:szCs w:val="28"/>
          <w:rtl w:val="true"/>
          <w:lang w:bidi="fa-IR"/>
        </w:rPr>
        <w:t xml:space="preserve">دلاء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المرتضى في المصباح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سبع دلاء وقد روي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المقنع وأكثر ما روي في الفأرة إذا تفسّخت سبع دلاء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تفسّخت فسبع دلاء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ذلك مختلفة ، ففي أكثرها نزح السبع للفأرة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جملة منها في حكم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يقيّد نزح هذا المقدار بالتفسّخ أو التسلّخ ، وهو رواية أبي عيينة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الفأرة تقع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فلا بأس ، وإن تفسّخت فسبع دلاء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سعيد المكاري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الفأرة في البئر فتسلّخت فانزح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 الشيخ في الاستبصار إطلاق تلك الأخبار على هذا التقييد ، فاشترط في نزح السبع التفسّخ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ظنّ اتّحاد المعنى في الحديثين ، فاقتصر على التقييد بالتفسّخ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لظهور المغايرة بين التسلّخ والتفسّخ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 تقييد تلك الأخبار بهذين الخبرين أن يجعل مناط الحكم حصول أحد الوصفين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رحمه‌اللّه احتجّ في كتابي الأخبار للحمل على حصول التفسّخ </w:t>
      </w:r>
    </w:p>
    <w:p>
      <w:pPr>
        <w:pStyle w:val="BookText"/>
        <w:rPr/>
      </w:pPr>
      <w:r>
        <w:rPr>
          <w:rFonts w:ascii="Amiri" w:hAnsi="Amiri" w:eastAsia="Amiri" w:cs="Amiri"/>
          <w:color w:val="111111"/>
          <w:sz w:val="28"/>
          <w:sz w:val="28"/>
          <w:szCs w:val="28"/>
          <w:rtl w:val="true"/>
          <w:lang w:bidi="ar-SA"/>
        </w:rPr>
        <w:t>بالرواية المتضمّنة للتسلّخ ، ولم يتعرّض عند ذلك للأخرى ، لكنّه ذكرها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الخبرين المقيّدين ضعيف ، فربّما أشكل تقييد مطلق تلك الأخبار بهما ، إلّا أنّ الشيخ روى 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والوزغة يقع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ثلاثة دلاء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سنان عن أبي عبد اللّه عليه‌السلام مثله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يحصل تقييد ما دلّ على السبع بالتفسّخ طريقا للجمع بين الأخبار ، ويستشهد له بالروايتين أو بالاولى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يتوقّف على صحّة طريقهما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في التهذيب صريح في أن معوّله في التقييد على هذا الاعتبار </w:t>
      </w:r>
      <w:r>
        <w:rPr>
          <w:rStyle w:val="FootnoteAnchor"/>
          <w:rtl w:val="true"/>
        </w:rPr>
        <w:footnoteReference w:id="485"/>
      </w:r>
      <w:r>
        <w:rPr>
          <w:rFonts w:ascii="Amiri" w:hAnsi="Amiri" w:eastAsia="Amiri" w:cs="Amiri"/>
          <w:color w:val="111111"/>
          <w:sz w:val="28"/>
          <w:sz w:val="28"/>
          <w:szCs w:val="28"/>
          <w:rtl w:val="true"/>
          <w:lang w:bidi="ar-SA"/>
        </w:rPr>
        <w:t>، وكذا المحقّق في المعتبر ؛ فإنّه ذكر فيه الروايات الواردة بالثلاث والسبع ، وحمل ما تضمّن السبع على التفسّخ والاخرى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أبي سعيد المكاري تشهد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وحكاها بلفظ التفسّخ ، على خلاف ما رأيناه في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أبي سعيد لا يمنع من العمل بروايته على هذا الوجه ؛ لأنّها تجري هنا مجرى الأمارة الدالّة على الفرق وإن لم تكن حجّة في نفسها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صحيحة زيد الشحّام الدالّة على نزح الخمس </w:t>
      </w:r>
      <w:bookmarkStart w:id="351" w:name="pg8731_77156"/>
    </w:p>
    <w:p>
      <w:pPr>
        <w:pStyle w:val="BookText"/>
        <w:rPr/>
      </w:pPr>
      <w:bookmarkEnd w:id="351"/>
      <w:r>
        <w:rPr>
          <w:rFonts w:ascii="Amiri" w:hAnsi="Amiri" w:eastAsia="Amiri" w:cs="Amiri"/>
          <w:color w:val="111111"/>
          <w:sz w:val="28"/>
          <w:sz w:val="28"/>
          <w:szCs w:val="28"/>
          <w:rtl w:val="true"/>
          <w:lang w:bidi="ar-SA"/>
        </w:rPr>
        <w:t xml:space="preserve">للكلب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الفأرة أيضا ، واعتبر فيها للاكتفاء بالخمس في الجميع عدم التفسّخ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عاضدة لما دلّ على اعتبار التفسّخ في نزح السبع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المحقّق بينها وبين رواية أبي سعيد في استشهاده للجمع بين الأخبار كما حكيناه عنه ، وهو أجود من فعل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استناد المرتضى في الحكم بالسبع مطلقا إلى الأخبار الكثيرة الواردة كذلك ظنّا منه لتواترها ؛ فإنّه لا يقنع بدونه في العمل بالخبر المجرّد عن القرائن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أن يكون نظره في ذلك إلى عدم القول بما زاد عليها ، فرآه إجماعا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اعتبار التفسّخ أو على الاجتزاء بما دون السبع أخبار آحاد لا تثبت حكما عنده ، فيتعيّن السبع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المفيد رحمه‌اللّه من مساواة الانتفاخ للتفسّخ فقد تبعه فيه جماعة ، ولم نقف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المحقّق والعلّامة عن ابن إدريس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التفسّخ الانتفاخ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من أين أخذه والعرف واللغة على خلافه ، وقد قال المحقّق بعد حكايته أنّه غلط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3140103_653776707"/>
      <w:bookmarkStart w:id="353" w:name="_Toc126"/>
      <w:bookmarkEnd w:id="352"/>
      <w:r>
        <w:rPr>
          <w:rtl w:val="true"/>
        </w:rPr>
        <w:t xml:space="preserve">مسألة </w:t>
      </w:r>
      <w:r>
        <w:rPr>
          <w:rtl w:val="true"/>
        </w:rPr>
        <w:t>[</w:t>
      </w:r>
      <w:r>
        <w:rPr/>
        <w:t>24</w:t>
      </w:r>
      <w:r>
        <w:rPr>
          <w:rtl w:val="true"/>
        </w:rPr>
        <w:t>] :</w:t>
      </w:r>
      <w:bookmarkEnd w:id="3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الشيخان وجماعة نزح السبع لبول الصبيّ إذا كان قد أكل الطعام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54" w:name="pg8731_77157"/>
    </w:p>
    <w:p>
      <w:pPr>
        <w:pStyle w:val="BookText"/>
        <w:rPr/>
      </w:pPr>
      <w:bookmarkEnd w:id="354"/>
      <w:r>
        <w:rPr>
          <w:rFonts w:ascii="Amiri" w:hAnsi="Amiri" w:eastAsia="Amiri" w:cs="Amiri"/>
          <w:color w:val="111111"/>
          <w:sz w:val="28"/>
          <w:sz w:val="28"/>
          <w:szCs w:val="28"/>
          <w:rtl w:val="true"/>
          <w:lang w:bidi="ar-SA"/>
        </w:rPr>
        <w:t xml:space="preserve">وقال الصدوق في المقنع ومن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بال فيها صبيّ قد أكل الطعام فاستق منها ثلاثة دلاء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المرتضى ولم نقف لهذا القول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الأوّل فقد احتجّ له الشيخ بما رواه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 سبع دلاء إذا بال فيها الصبيّ أو وقعت فيها فأرة أو نحوها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مرسلة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نزح أربعين لبول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ينزح لوقوع بول الصبيّ الفطيم دلوا واحدة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معاوية بن عمّار نزح الجميع إذا بال فيها صبيّ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الشيخ الرواية الاولى على إرادة صبيّ لم يأكل الطعام ، وهو في غاية البعد ؛ لأنّ وصفه بالفطيم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ضعيفة فأمرها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مرّ حمل الأصحاب لها على الاستحباب ، أو حصول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لو كان على الاكتفاء بما دون مضمونها دليل واضح أو ثبت إجماع على عدم تعيّن ما دلّت عليه</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140105_653776707"/>
      <w:bookmarkStart w:id="356" w:name="_Toc127"/>
      <w:bookmarkEnd w:id="355"/>
      <w:r>
        <w:rPr>
          <w:rtl w:val="true"/>
        </w:rPr>
        <w:t xml:space="preserve">مسألة </w:t>
      </w:r>
      <w:r>
        <w:rPr>
          <w:rtl w:val="true"/>
        </w:rPr>
        <w:t>[</w:t>
      </w:r>
      <w:r>
        <w:rPr/>
        <w:t>25</w:t>
      </w:r>
      <w:r>
        <w:rPr>
          <w:rtl w:val="true"/>
        </w:rPr>
        <w:t>] :</w:t>
      </w:r>
      <w:bookmarkEnd w:id="3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وينزح السبع لوقوع الكلب وخروجه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أكثر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له أربعون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رواية أبي مريم السابقة فيما ينزح لموت الكلب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فيها ثمّ اخرج منها حيّا ينزح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هذه الرواية صحيح إلى أبي مريم ؛ وأمّا هو فلم أر توثيقه إلّا في كتاب النجاشي </w:t>
      </w:r>
      <w:r>
        <w:rPr>
          <w:rStyle w:val="FootnoteAnchor"/>
          <w:rtl w:val="true"/>
        </w:rPr>
        <w:footnoteReference w:id="496"/>
      </w:r>
      <w:r>
        <w:rPr>
          <w:rFonts w:ascii="Amiri" w:hAnsi="Amiri" w:eastAsia="Amiri" w:cs="Amiri"/>
          <w:color w:val="111111"/>
          <w:sz w:val="28"/>
          <w:sz w:val="28"/>
          <w:szCs w:val="28"/>
          <w:rtl w:val="true"/>
          <w:lang w:bidi="ar-SA"/>
        </w:rPr>
        <w:t xml:space="preserve">، وتبعه العلّامة في الخلاصة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يرى الاكتفاء بتعديل الواحد ، فلا يعتبر تزكيته عند من يشترط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ينحصر طريق تعديل هذا الرجل في شهادة النجاشي ، وذلك غير كاف بمجرّده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ابن إدريس أنّ هذه الرواية خبر واحد ، فلا تصلح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خلوّه عن الدليل ، فيلحق بغير المنصوص ، ويجب له نزح الجميع عنده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دلّ الدليل على الاكتفاء لموته بالأربعين وعدم وجوب الزيادة عليها حينئذ كان حال الخروج حيّا أولى بنفي الزائد ؛ إذ نجاسته في حال الموت أقوى منها في حال الحياة ، فنفي الزيادة مع النجاسة القويّة يقتضي انتفائها مع الضعيفة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جيّدة على أصل ابن إدريس في ترك العمل بخبر الواحد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لها بالمناقشة العلّامة في المختلف ، فمنع عدم أولويّة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بأنّ الأحكام الشرعيّة تتبع الاسم ، ولهذا أوجب في </w:t>
      </w:r>
    </w:p>
    <w:p>
      <w:pPr>
        <w:pStyle w:val="BookText"/>
        <w:rPr/>
      </w:pPr>
      <w:r>
        <w:rPr>
          <w:rFonts w:ascii="Amiri" w:hAnsi="Amiri" w:eastAsia="Amiri" w:cs="Amiri"/>
          <w:color w:val="111111"/>
          <w:sz w:val="28"/>
          <w:sz w:val="28"/>
          <w:szCs w:val="28"/>
          <w:rtl w:val="true"/>
          <w:lang w:bidi="ar-SA"/>
        </w:rPr>
        <w:t>الفأرة مع تفسّخها وتقطّع أجزائها وانفصالها بالكلّيّة نزح سبع دلاء ، وأوجب نزح الجميع في البعرة منها ؛ لعدم ثبوت النصّ هنا وثبوته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الأولوية هنا ثابتة ، ولم يعتدّ بها هو فلم يوجب نزح الجميع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المناقشة بشي‌ء ؛ فإنّ منع عدم قوّة نجاسته حيا بالنسبة إلى نجاسته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حاصل مراده من منع عدم أولوية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سبيل إليه بعد القول بأنّ الموت منجّس لكلّ ذي نفس سواء كان طاهرا أم لا ، وهو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الأحكام الشرعيّة تتبع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المدّعى أنّ الدليل الدالّ على تعيّن نزح الأربعين لموته يدلّ على تعيّن نزحها لوقوعه وخروجه حيّا ، وإنّما الغرض أنّ صورة الوقوع حيّا والخروج ليس عليها دليل معتمد ، فيكون من قبيل غير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إيجاب نزح الجميع لغير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هنا ؛ لدلالة الاكتفاء بالأربعين في صورة الموت على نفي الزائد عنها في هذه الصورة أيضا بطريق أولى ، كما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ما دون ذلك من دليل يصار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الأربعون لتوقّف يقين البراءة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إيجابها حينئذ ليس لمجرّد إيجابها في الصورة الاخرى ، بل بالتقريب الذي بيّناه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توجيه المنع من أنّه يجب نزح السبع للفأرة مع تفسّخها ، والجميع للبعرة منها ، مع أنّ الأولوية متحقّقة هناك ، ولم يلتفت ابن إدريس إليها فعجيب ؛ لأنّ المقتضي للاكتفاء بالسبع في صورة التفسّخ وجود النصّ وقيام الدليل عليه ، والموجب لنزح الجميع في البعرة فقد النصّ وعدم الدليل على </w:t>
      </w:r>
    </w:p>
    <w:p>
      <w:pPr>
        <w:pStyle w:val="BookText"/>
        <w:rPr/>
      </w:pPr>
      <w:r>
        <w:rPr>
          <w:rFonts w:ascii="Amiri" w:hAnsi="Amiri" w:eastAsia="Amiri" w:cs="Amiri"/>
          <w:color w:val="111111"/>
          <w:sz w:val="28"/>
          <w:sz w:val="28"/>
          <w:szCs w:val="28"/>
          <w:rtl w:val="true"/>
          <w:lang w:bidi="ar-SA"/>
        </w:rPr>
        <w:t>مقدار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ثبوت الأولوية يقتضي إلحاق غير المنصوص بالمنصوص لا العكس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يوجب نزح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تفريع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كونها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الكلام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لأن سوق الكلام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الحكم فجعل الأولويّة مقتضية للاكتفاء ، بالسبع للبعرة لكان له 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في هذا أيضا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للأولوية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ونجاسة الفأرة مغايرة بالذات لنجاسة البعرة قطعا ، وليس بينهما اشتراك في معنى يتصوّر تحقّق الأولوية بواسطته ، بخلاف نجاسة الكلب ميّتا وحيّا ؛ فإنّ متعلّقها متّحد بالذات ، وإنّما نشأت المغايرة بأمر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عروض هذا العارض يوجب قوّة النجاسة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حاصل وجه المغايرة إلى قوّة النجاسة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مدار الأولوية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في نفسه متّجه ، ولكن يحتمل أن يكون نظر العلّامة في إثبات الأولوية ، إلى أنّ تفسّخ الفأرة موجب لملاقاة ما في جوفها من البعرة للماء ، فيكون حكم التفسّخ مشتملا على ملاقاة البعرة مع زيادة اخرى ، فيتحقّق الأولوية بينه وبين وقوع البعرة ابتداء ؛ لأنّه أضعف حكما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 بوجوب نزح الجميع للتفسّخ لكونه أقوى من ملاقاة البعرة المقتضي له على ما أفهمه ظاهر كلام العلّامة ، أو يقال بالاكتفاء بالسبع للبعرة إذا وقعت ابتداء لكونها أضعف من صورة التفسّخ على ما هو الوجه في اعتبار الأولوية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يرد على هذا الاحتمال عدم ظهور استلزام التفسّخ لملاقاة البعرة ، </w:t>
      </w:r>
      <w:bookmarkStart w:id="357" w:name="pg8731_77161"/>
    </w:p>
    <w:p>
      <w:pPr>
        <w:pStyle w:val="BookText"/>
        <w:rPr/>
      </w:pPr>
      <w:bookmarkEnd w:id="357"/>
      <w:r>
        <w:rPr>
          <w:rFonts w:ascii="Amiri" w:hAnsi="Amiri" w:eastAsia="Amiri" w:cs="Amiri"/>
          <w:color w:val="111111"/>
          <w:sz w:val="28"/>
          <w:sz w:val="28"/>
          <w:szCs w:val="28"/>
          <w:rtl w:val="true"/>
          <w:lang w:bidi="ar-SA"/>
        </w:rPr>
        <w:t>ولو سلّم لاتّجه اعتبار الأولوية حينئذ والاكتفاء للبعرة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ابن إدريس رضوان اللّه عليه لا يعتبر الأولوية هنا بل يوجب للبعرة نزح الجميع </w:t>
      </w:r>
      <w:r>
        <w:rPr>
          <w:rStyle w:val="FootnoteAnchor"/>
          <w:rtl w:val="true"/>
        </w:rPr>
        <w:footnoteReference w:id="499"/>
      </w:r>
      <w:r>
        <w:rPr>
          <w:rFonts w:ascii="Amiri" w:hAnsi="Amiri" w:eastAsia="Amiri" w:cs="Amiri"/>
          <w:color w:val="111111"/>
          <w:sz w:val="28"/>
          <w:sz w:val="28"/>
          <w:szCs w:val="28"/>
          <w:rtl w:val="true"/>
          <w:lang w:bidi="ar-SA"/>
        </w:rPr>
        <w:t>يحتمل أن يكون نظره فيه إلى ما أشرنا إليه من عدم ظهور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ثبوته فالمناقشة إنّما تتوجّه عليه هناك لا هنا</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140107_653776707"/>
      <w:bookmarkStart w:id="359" w:name="_Toc128"/>
      <w:bookmarkEnd w:id="358"/>
      <w:r>
        <w:rPr>
          <w:rtl w:val="true"/>
        </w:rPr>
        <w:t xml:space="preserve">مسألة </w:t>
      </w:r>
      <w:r>
        <w:rPr>
          <w:rtl w:val="true"/>
        </w:rPr>
        <w:t>[</w:t>
      </w:r>
      <w:r>
        <w:rPr/>
        <w:t>26</w:t>
      </w:r>
      <w:r>
        <w:rPr>
          <w:rtl w:val="true"/>
        </w:rPr>
        <w:t>] :</w:t>
      </w:r>
      <w:bookmarkEnd w:id="359"/>
    </w:p>
    <w:p>
      <w:pPr>
        <w:pStyle w:val="BookText"/>
        <w:rPr/>
      </w:pPr>
      <w:r>
        <w:rPr>
          <w:rFonts w:ascii="Amiri" w:hAnsi="Amiri" w:eastAsia="Amiri" w:cs="Amiri"/>
          <w:color w:val="111111"/>
          <w:sz w:val="28"/>
          <w:sz w:val="28"/>
          <w:szCs w:val="28"/>
          <w:rtl w:val="true"/>
          <w:lang w:bidi="ar-SA"/>
        </w:rPr>
        <w:t>وينزح السبع أيضا لاغتسال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من الأصحاب منهم الفاضلان والشهيد رحمهم‌اللّه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واشترط ابن إدريس فيه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الشيخين تؤذن به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ما ورد من الأخبار في هذا الباب أربع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سقط في البئر دابّة صغيرة أو نزل فيها جنب ، 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الجنب البئر 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وقع فيها جنب ، </w:t>
      </w:r>
    </w:p>
    <w:p>
      <w:pPr>
        <w:pStyle w:val="BookText"/>
        <w:rPr/>
      </w:pPr>
      <w:r>
        <w:rPr>
          <w:rFonts w:ascii="IRNazanin" w:hAnsi="IRNazanin" w:eastAsia="IRNazanin"/>
          <w:color w:val="111111"/>
          <w:sz w:val="28"/>
          <w:sz w:val="28"/>
          <w:szCs w:val="28"/>
          <w:rtl w:val="true"/>
          <w:lang w:bidi="fa-IR"/>
        </w:rPr>
        <w:t xml:space="preserve">فانزح منها سبع دلاء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الجنب يدخل البئر فيغتسل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سبع دلاء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بخفيّ عدم دلالة شي‌ء منها على اعتبار الارتماس ، بل ولا على اعتبار الاغتسال ؛ فإنّ الثلاث الاول خالية من التعرّض له ومفروضة فيما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لا تنافيها ؛ لأنّ الغسل من أفراد ذلك المعنى العامّ الذي جعل مناطا للحكم في تلك الأخبار ، فتعلّق السؤال به في الرواية الأخيرة لا يدلّ على اختصاصه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من هذه الروايات محمول على إرادة الاغتسال جمعا بين الأخبار ، وهم 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منافاة بينها تدعو إلى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المتضمّنة للاغتسال ضعيفة السند ، فكيف يعدل من أجلها عن ظاهر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في عبارات القوم اشتراط هذا الحكم بخلوّ بدن الجنب من نجاسة عينيّة ، وقد استشكله لذلك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الجنب طاهر الجسد فأيّ سبب أوجب نزح السبع؟ وبأيّ اعتبار يفسد ماء البئر؟</w:t>
      </w:r>
    </w:p>
    <w:p>
      <w:pPr>
        <w:pStyle w:val="BookText"/>
        <w:rPr/>
      </w:pPr>
      <w:r>
        <w:rPr>
          <w:rFonts w:ascii="Amiri" w:hAnsi="Amiri" w:eastAsia="Amiri" w:cs="Amiri"/>
          <w:color w:val="111111"/>
          <w:sz w:val="28"/>
          <w:sz w:val="28"/>
          <w:szCs w:val="28"/>
          <w:rtl w:val="true"/>
          <w:lang w:bidi="ar-SA"/>
        </w:rPr>
        <w:t>فمن الأصحاب من دفعه بأنّه استبعاد غير مسموع بعد ورود النصّ ، لا سيّما مع ملاحظة ما اشتمل عليه البئر من الأحكام المختلفة ، ولأنّ المرجع في تأثير النجاسة إلى حكم الشارع ، وقد وجد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أجاب عنه بأن المقتضي للنزح هو كونه مستعملا في الطهارة </w:t>
      </w:r>
    </w:p>
    <w:p>
      <w:pPr>
        <w:pStyle w:val="BookText"/>
        <w:rPr/>
      </w:pPr>
      <w:r>
        <w:rPr>
          <w:rFonts w:ascii="Amiri" w:hAnsi="Amiri" w:eastAsia="Amiri" w:cs="Amiri"/>
          <w:color w:val="111111"/>
          <w:sz w:val="28"/>
          <w:sz w:val="28"/>
          <w:szCs w:val="28"/>
          <w:rtl w:val="true"/>
          <w:lang w:bidi="ar-SA"/>
        </w:rPr>
        <w:t>الكبرى ؛ فإنّ طهوريّته تزول بذلك وبالنزح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الجواب مرغوب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اعتبار الاغتسال وجعله متعلّق الحكم ، وقد علمت فساده ، وأنّ المعتبر من الروايات ورد بما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انتفاء الطهوريّة عن المستعمل موضع خلاف وقد قال بوجوب النزح هنا من لا يرى زوال الطهوريّة عن المستعمل فلا ينحسم مادّة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طعن به بعض المتأخّرين في هذا الجواب من أنّ صيرورة الماء بالاغتسال مستعملا يتوقّف على وقوعه على الوجه المعتبر وارتفاع حدثه ، وحديث عبد اللّه بن أبي يعفور عن الصادق عليه‌السلام المتضمّن للنهي عن نزوله إلى البئر </w:t>
      </w:r>
      <w:r>
        <w:rPr>
          <w:rStyle w:val="FootnoteAnchor"/>
          <w:rtl w:val="true"/>
        </w:rPr>
        <w:footnoteReference w:id="506"/>
      </w:r>
      <w:r>
        <w:rPr>
          <w:rFonts w:ascii="Amiri" w:hAnsi="Amiri" w:eastAsia="Amiri" w:cs="Amiri"/>
          <w:color w:val="111111"/>
          <w:sz w:val="28"/>
          <w:sz w:val="28"/>
          <w:szCs w:val="28"/>
          <w:rtl w:val="true"/>
          <w:lang w:bidi="ar-SA"/>
        </w:rPr>
        <w:t xml:space="preserve">يقتضي فساد غسله ، فلا يرتفع حدثه ، فليس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إنّما نهي في الحديث عن الوقوع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الخوف على النفس معه ، أو كونه مقتضيا لإثارة الطين والحماء ، فيغيّر الماء مع الحاجة إليه 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يحصل ذلك مع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الحكم في الحديث مفروض في بئر غير مملوكة للمغتسل ، كما يدلّ عليه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يفسد على القوم 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دلالة له على النهي حيث يكون البئر ملكا له ، فيمكن وقوع الغسل على الوجه المعتبر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في دفع الإشكال أوّلا من أنّه استبعاد غير مسموع ، بعد ورود النصّ مسموع ، حيث يكون النصّ نصّا لا مع قيام الاحتمال القريب ؛ فإنّ الخروج عن القواعد المقطوع بها والحال هذه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طهارة بدن الجنب من حيث هو ليست موضع خلاف ولا إشكال ، فلا بدّ في الحكم بتأثير ملاقاته بمجرّدها من نصّ صريح الدلالة بعيد عن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الأمر هنا ليس كذلك ؛ فإنّ الأخبار المذكورة ليس فيها تعرّض لاشتراط الخلوّ عن النجاسة ، وإنّما هو من تقييدات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توقّف فيه العلّامة رضوان اللّه عليه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نزح السبع للجنب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مع الخلوّ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إدريس بناء منه على أنّ المني يوجب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لمّا لم يقم عندنا دلالة على وجوب النزح للمنيّ ، لا جرم توقّفنا في هذا الاشتراط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الغالب من حال المجنبين عدم الانفكاك من آثار المنيّ فجاز أن يكون الأمر بالنزح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الحيثيّة في موجبات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قرّرتموه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كون المقتضي له في موضع النزاع هو ملاقاة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التلازم بين الأمرين ولم يكن تأثير النزول بمجرّده معهودا ولا مأنوسا ، والقواعد مستقرّة على خلافه صار الظاهر هو اعتبار الجهة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ممّا ذكرناه بمتحقّق في المواضع التي اعتبرنا فيها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بناظر في هذا الكلام يستبعده من حيث إنّ الشيخ وجماعة ممّن تأخّر عنه ذهبوا إلى وجوب نزح الجميع للمنيّ فكيف يكتفى له بالسبع؟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نقرّبه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النصّ فيه ، حتّى الشيخ أبي علي بن الشيخ فقد حكى ذلك عنه الشهيد رحمه‌اللّه </w:t>
      </w:r>
      <w:r>
        <w:rPr>
          <w:rStyle w:val="FootnoteAnchor"/>
          <w:rtl w:val="true"/>
        </w:rPr>
        <w:footnoteReference w:id="508"/>
      </w:r>
      <w:r>
        <w:rPr>
          <w:rFonts w:ascii="Amiri" w:hAnsi="Amiri" w:eastAsia="Amiri" w:cs="Amiri"/>
          <w:color w:val="111111"/>
          <w:sz w:val="28"/>
          <w:sz w:val="28"/>
          <w:szCs w:val="28"/>
          <w:rtl w:val="true"/>
          <w:lang w:bidi="ar-SA"/>
        </w:rPr>
        <w:t xml:space="preserve">وذكرناه عنه فيما سبق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فأثر هذا الإشكال من أصله إنّما يظهر قويّا على القول بالانفعال ، وأمّا على ما اخترناه فالأمر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القول بالوجوب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رضوان اللّه عليه في المنتهى بعد أن ذكر حاصل الإشكال على القول بالتنجيس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فلمّا أوجبنا النزح للتعبّد قلنا بالوجوب عملا بهذه الروايات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للأصحاب في صحّة الغسل من الجنب حينئذ بحيث يرتفع عنه الحدث خلافا ؛ مبنيّا على أنّ الحكم بالنزح معلّق على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العلّامة رضوان اللّه عليه في المختلف عن الشيخ القول بعدم ارتفاع الحدث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 بأنّ المقتضي لسلب الطهوريّة عن الماء تحمّله للنجاسة الحكميّة عن الجنب ، وهو إنّما يحصل بارتفاع حدث الجنابة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العلّامة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 الشيخ في القول بعدم ارتفاع الحدث حينئذ الشهيد في البيان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الشيخ على عدم طهارته للنهي في العبادة ، وتخيّل التناقض إن جعلنا النزح للاستعمال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360" w:name="pg8731_77166"/>
    </w:p>
    <w:p>
      <w:pPr>
        <w:pStyle w:val="BookText"/>
        <w:rPr/>
      </w:pPr>
      <w:bookmarkEnd w:id="360"/>
      <w:r>
        <w:rPr>
          <w:rFonts w:ascii="Amiri" w:hAnsi="Amiri" w:eastAsia="Amiri" w:cs="Amiri"/>
          <w:color w:val="111111"/>
          <w:sz w:val="28"/>
          <w:sz w:val="28"/>
          <w:szCs w:val="28"/>
          <w:rtl w:val="true"/>
          <w:lang w:bidi="ar-SA"/>
        </w:rPr>
        <w:t xml:space="preserve">وصرّح العلّامة في المنتهى والنهاية بارتفاع حدثه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يرجّح في التذكرة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حكى قول الشيخ ساكتا عليه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التحرير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ويعزى إلى بعض المتأخّرين الحكم بصحّة الغسل وارتفاع الحدث إن أوقعه بطريق الارتماس ، وأنّه مع الترتيب يصحّ منه ما قبل وصول مائه إلى البئر إن كان خارجا عن الماء ، وإلّا فما قارن به النيّة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والدي رحمه‌اللّه بالنظر إلى صورة الترتيب ؛ لتعليق الحكم على الاغتسال فلا يتحقّق إلّا بالإكمال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التمسّك بما حقّقناه يريح من حمل أعباء هذه التكلّفات</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140109_653776707"/>
      <w:bookmarkStart w:id="362" w:name="_Toc129"/>
      <w:bookmarkEnd w:id="361"/>
      <w:r>
        <w:rPr>
          <w:rtl w:val="true"/>
        </w:rPr>
        <w:t xml:space="preserve">مسألة </w:t>
      </w:r>
      <w:r>
        <w:rPr>
          <w:rtl w:val="true"/>
        </w:rPr>
        <w:t>[</w:t>
      </w:r>
      <w:r>
        <w:rPr/>
        <w:t>27</w:t>
      </w:r>
      <w:r>
        <w:rPr>
          <w:rtl w:val="true"/>
        </w:rPr>
        <w:t>] :</w:t>
      </w:r>
      <w:bookmarkEnd w:id="362"/>
    </w:p>
    <w:p>
      <w:pPr>
        <w:pStyle w:val="BookText"/>
        <w:rPr/>
      </w:pPr>
      <w:r>
        <w:rPr>
          <w:rFonts w:ascii="Amiri" w:hAnsi="Amiri" w:eastAsia="Amiri" w:cs="Amiri"/>
          <w:color w:val="111111"/>
          <w:sz w:val="28"/>
          <w:sz w:val="28"/>
          <w:szCs w:val="28"/>
          <w:rtl w:val="true"/>
          <w:lang w:bidi="ar-SA"/>
        </w:rPr>
        <w:t>وأوجب الشيخ والصدوق رضوان اللّه عليهما نزح السبع لسامّ أبرص إذا تفسّخ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ذلك من كلامهما في التهذيب ، ومن لا يحضره الفقيه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فلأنّه أورد رواية يعقوب بن عيثم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أبرص وجدناه قد تفسّخ في البئر؟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عليك أن تنزح منها سبع </w:t>
      </w:r>
    </w:p>
    <w:p>
      <w:pPr>
        <w:pStyle w:val="BookText"/>
        <w:rPr/>
      </w:pP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فثيابنا التي قد صلّينا فيها نغسلها ونعيد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جابر بن يزيد الجعفي أبا جعفر عليه‌السلام عن السامّ أبرص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الماء بالدلو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فيه إذا لم يكن تفسّخ ؛ لأنّه إذا تفسّخ نزح منها سبع دلاء على ما بيّناه في الخبر الأوّل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الصدوق فإنّه أورد الحديثين في الكتاب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قريب بعد بالقاعدة التي قرّرها في أوّله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يورد فيه إلّا ما يفتي به ويحكم بصحّته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واستوجه المحقّق في المعتبر الاستحباب ؛ استضعافا للرواية ، ولأنّ ما لا نفس له سائلة ليس ينجس ولا ينجس شي‌ء بموته فيه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رحمه‌اللّه في المنتهى بعد أن ذكر الروايتين وحمل رواية يعقوب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فلرواية جابر ، وأمّا ثانيا فلأنّها لو كانت نجسة بوقوعه لما اسقط عنه غسل الثوب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نظر ؛ لأنّ إسقاط غسل الثوب إنّما يدلّ على عدم وجوب النزح لرفع النجاسة ، لا على عدم الوجوب للتعبّد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ذلك وجها للحمل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w:t>
      </w:r>
      <w:r>
        <w:rPr>
          <w:rFonts w:eastAsia="Amiri" w:cs="Amiri" w:ascii="Amiri" w:hAnsi="Amiri"/>
          <w:color w:val="111111"/>
          <w:sz w:val="28"/>
          <w:szCs w:val="28"/>
          <w:rtl w:val="true"/>
          <w:lang w:bidi="ar-SA"/>
        </w:rPr>
        <w:t xml:space="preserve">- </w:t>
      </w:r>
      <w:bookmarkStart w:id="363" w:name="pg8731_77168"/>
    </w:p>
    <w:p>
      <w:pPr>
        <w:pStyle w:val="BookText"/>
        <w:rPr/>
      </w:pPr>
      <w:bookmarkEnd w:id="363"/>
      <w:r>
        <w:rPr>
          <w:rFonts w:ascii="Amiri" w:hAnsi="Amiri" w:eastAsia="Amiri" w:cs="Amiri"/>
          <w:color w:val="111111"/>
          <w:sz w:val="28"/>
          <w:sz w:val="28"/>
          <w:szCs w:val="28"/>
          <w:rtl w:val="true"/>
          <w:lang w:bidi="ar-SA"/>
        </w:rPr>
        <w:t>يصلح وجها له حيث يتسامحون في أدلّة السنن</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140111_653776707"/>
      <w:bookmarkStart w:id="365" w:name="_Toc130"/>
      <w:bookmarkEnd w:id="364"/>
      <w:r>
        <w:rPr>
          <w:rtl w:val="true"/>
        </w:rPr>
        <w:t xml:space="preserve">مسألة </w:t>
      </w:r>
      <w:r>
        <w:rPr>
          <w:rtl w:val="true"/>
        </w:rPr>
        <w:t>[</w:t>
      </w:r>
      <w:r>
        <w:rPr/>
        <w:t>28</w:t>
      </w:r>
      <w:r>
        <w:rPr>
          <w:rtl w:val="true"/>
        </w:rPr>
        <w:t>] :</w:t>
      </w:r>
      <w:bookmarkEnd w:id="365"/>
    </w:p>
    <w:p>
      <w:pPr>
        <w:pStyle w:val="BookText"/>
        <w:rPr/>
      </w:pPr>
      <w:r>
        <w:rPr>
          <w:rFonts w:ascii="Amiri" w:hAnsi="Amiri" w:eastAsia="Amiri" w:cs="Amiri"/>
          <w:color w:val="111111"/>
          <w:sz w:val="28"/>
          <w:sz w:val="28"/>
          <w:szCs w:val="28"/>
          <w:rtl w:val="true"/>
          <w:lang w:bidi="ar-SA"/>
        </w:rPr>
        <w:t>وينزح لذرق الدجاج 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الشيخان وجماعة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وقيّده المفيد رحمه‌اللّه والجماعة بالجلّال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بناء على القول بنجاسته مطلقا ، كما هو أحد القولين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لهذا الحكم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كثير من الأصحاب عدم النصّ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الحكم بالإطلاق عن الشيخ وبالقيد عن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القولين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فضعيف ؛ لأنّ ما ليس بجلّال ذرقه طاهر ، وكلّ رجيع طاهر لا يؤثّر في البئر تنجيسا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الجلّال فذرقه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تقدير نزحه بالخمسة في موضع المنع ، ونطالب قائله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ويقرب عندي أن يكون داخلا في قسم العذرة ينزح له عشرون ، وإن ذاب فأربعون أو خمسون ويحتمل أن ينزح ثلاثون لخبر المبخّرة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الحكم مطلقا ومقيّدا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القولين لم يصل إلينا حديث متعلّق بالنزح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الاحتجاج بأنّه ماء محكوم بنجاسته ، فلا يطهر بدون النزح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والتقدير مستفاد من رواية محمّد بن إسماعيل الصحيحة عن الرضا عليه‌السلام </w:t>
      </w:r>
    </w:p>
    <w:p>
      <w:pPr>
        <w:pStyle w:val="BookText"/>
        <w:rPr/>
      </w:pPr>
      <w:r>
        <w:rPr>
          <w:rFonts w:ascii="Amiri" w:hAnsi="Amiri" w:eastAsia="Amiri" w:cs="Amiri"/>
          <w:color w:val="111111"/>
          <w:sz w:val="28"/>
          <w:sz w:val="28"/>
          <w:szCs w:val="28"/>
          <w:rtl w:val="true"/>
          <w:lang w:bidi="ar-SA"/>
        </w:rPr>
        <w:t>وقد سأله عن البئر يكون في المنزل للوضوء فيقطر فيها قطرات من بول أو دم ، أو يسقط فيها شي‌ء من العذرة كالبعرة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يطهّرها حتّى يحلّ الوضوء منها للصلاة؟ فوقّع عليه‌السلام في كتابي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والاحتجاج به بعيد لعدم دلالته على التقدير ، وإنّما يستدلّ به على أنّه لا يجزي أقلّ من خمسة من حيث أنّه جمع كثرة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 الكلامين لا يخلو من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المحقّق فلأنّ لفظ العذرة مخصوص بفضلة الإنسان ، كما نصّ عليه أهل اللغة ، ومع ذلك فقد بيّنّا ضعف الرواية الواردة في حكم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المبخرة الذي احتمل نزح الثلاثين له هو خبر كردويه السابق فيما ينزح لماء المطر المصاحب للنجاسات المخصوصة </w:t>
      </w:r>
      <w:r>
        <w:rPr>
          <w:rStyle w:val="FootnoteAnchor"/>
          <w:rtl w:val="true"/>
        </w:rPr>
        <w:footnoteReference w:id="529"/>
      </w:r>
      <w:r>
        <w:rPr>
          <w:rFonts w:ascii="Amiri" w:hAnsi="Amiri" w:eastAsia="Amiri" w:cs="Amiri"/>
          <w:color w:val="111111"/>
          <w:sz w:val="28"/>
          <w:sz w:val="28"/>
          <w:szCs w:val="28"/>
          <w:rtl w:val="true"/>
          <w:lang w:bidi="ar-SA"/>
        </w:rPr>
        <w:t>، وقد علمت عدم نهوضه بإثبات الحكم لعدم صحّة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العلّامة رحمه‌اللّه فلابتناء احتجاجه على عموم لفظ العذرة أيضا ، وهو خاصّ كما ذكرنا ، ولأنّه موقوف على ثبوت كون جموع الكثرة حقايق فيها وليس بمعلوم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توقّف في ذلك هو في المنتهى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ثبوت كونها حقايق بالنظر إلى اللغة فالاستعمال العرفي مستمرّ على خلافه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اللازم من احتجاجه هذا تقدير ما ينزح لذلك بما زاد على العشر</w:t>
      </w:r>
      <w:r>
        <w:rPr>
          <w:rFonts w:eastAsia="Amiri" w:cs="Amiri" w:ascii="Amiri" w:hAnsi="Amiri"/>
          <w:color w:val="111111"/>
          <w:sz w:val="28"/>
          <w:szCs w:val="28"/>
          <w:rtl w:val="true"/>
          <w:lang w:bidi="ar-SA"/>
        </w:rPr>
        <w:t xml:space="preserve">. </w:t>
      </w:r>
      <w:bookmarkStart w:id="366" w:name="pg8731_77170"/>
    </w:p>
    <w:p>
      <w:pPr>
        <w:pStyle w:val="BookText"/>
        <w:rPr/>
      </w:pPr>
      <w:bookmarkEnd w:id="366"/>
      <w:r>
        <w:rPr>
          <w:rFonts w:ascii="Amiri" w:hAnsi="Amiri" w:eastAsia="Amiri" w:cs="Amiri"/>
          <w:color w:val="111111"/>
          <w:sz w:val="28"/>
          <w:sz w:val="28"/>
          <w:szCs w:val="28"/>
          <w:rtl w:val="true"/>
          <w:lang w:bidi="ar-SA"/>
        </w:rPr>
        <w:t>وربّما تشبّث به بعض للتقدير بالخمس بعد ضميمة الإجماع على نفي الزيادة عنها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 فإنّ ملاحظة هذا الإجماع يقتضي أن لا يكون لفظ الدلاء في الحديث مستعملا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وتلفيق الاحتجاج كان موقوفا عليه ، إذ هو بعض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فأمثال هذه الاحتجاجات تدلّ على قلّة التأمّل</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140113_653776707"/>
      <w:bookmarkStart w:id="368" w:name="_Toc131"/>
      <w:bookmarkEnd w:id="367"/>
      <w:r>
        <w:rPr>
          <w:rtl w:val="true"/>
        </w:rPr>
        <w:t xml:space="preserve">مسألة </w:t>
      </w:r>
      <w:r>
        <w:rPr>
          <w:rtl w:val="true"/>
        </w:rPr>
        <w:t>[</w:t>
      </w:r>
      <w:r>
        <w:rPr/>
        <w:t>29</w:t>
      </w:r>
      <w:r>
        <w:rPr>
          <w:rtl w:val="true"/>
        </w:rPr>
        <w:t>] :</w:t>
      </w:r>
      <w:bookmarkEnd w:id="368"/>
    </w:p>
    <w:p>
      <w:pPr>
        <w:pStyle w:val="BookText"/>
        <w:rPr/>
      </w:pPr>
      <w:r>
        <w:rPr>
          <w:rFonts w:ascii="Amiri" w:hAnsi="Amiri" w:eastAsia="Amiri" w:cs="Amiri"/>
          <w:color w:val="111111"/>
          <w:sz w:val="28"/>
          <w:sz w:val="28"/>
          <w:szCs w:val="28"/>
          <w:rtl w:val="true"/>
          <w:lang w:bidi="ar-SA"/>
        </w:rPr>
        <w:t xml:space="preserve">وينزح لموت الفأرة مع عدم التفسّخ ثلاث دلاء ، وهو اختيار الشيخ رحمه‌اللّه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المفيد وجماعة في ذلك عدم الانتفاخ أيضا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لها مع عدم التفسّخ دلو واحد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ما رواه الشيخ 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والوزغة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ثلاثة دلاء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سنان عن أبي عبد اللّه عليه‌السلام مثله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اشترطنا عدم التفسّخ ؛ لورود الأخبار الكثيرة بنزح السبع أيضا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وجها للجمع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التنبيه عليه في بعضها أيضا </w:t>
      </w:r>
      <w:bookmarkStart w:id="369" w:name="pg8731_77171"/>
    </w:p>
    <w:p>
      <w:pPr>
        <w:pStyle w:val="BookText"/>
        <w:rPr/>
      </w:pPr>
      <w:bookmarkEnd w:id="369"/>
      <w:r>
        <w:rPr>
          <w:rFonts w:ascii="Amiri" w:hAnsi="Amiri" w:eastAsia="Amiri" w:cs="Amiri"/>
          <w:color w:val="111111"/>
          <w:sz w:val="28"/>
          <w:sz w:val="28"/>
          <w:szCs w:val="28"/>
          <w:rtl w:val="true"/>
          <w:lang w:bidi="ar-SA"/>
        </w:rPr>
        <w:t>كما مرّ تحقيقه في حكم التفسّخ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الانتفاخ فقد بيّنا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الصدوقين لم نقف له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زيد الشحّام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ينزح لموت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خمس دلاء للفأرة مع عدم التفسّخ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الاستحباب عند من يوجب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الأكمليّة على القول بالندبيّة</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140115_653776707"/>
      <w:bookmarkStart w:id="371" w:name="_Toc132"/>
      <w:bookmarkEnd w:id="370"/>
      <w:r>
        <w:rPr>
          <w:rtl w:val="true"/>
        </w:rPr>
        <w:t xml:space="preserve">مسألة </w:t>
      </w:r>
      <w:r>
        <w:rPr>
          <w:rtl w:val="true"/>
        </w:rPr>
        <w:t>[</w:t>
      </w:r>
      <w:r>
        <w:rPr/>
        <w:t>30</w:t>
      </w:r>
      <w:r>
        <w:rPr>
          <w:rtl w:val="true"/>
        </w:rPr>
        <w:t>] :</w:t>
      </w:r>
      <w:bookmarkEnd w:id="371"/>
    </w:p>
    <w:p>
      <w:pPr>
        <w:pStyle w:val="BookText"/>
        <w:rPr/>
      </w:pPr>
      <w:r>
        <w:rPr>
          <w:rFonts w:ascii="Amiri" w:hAnsi="Amiri" w:eastAsia="Amiri" w:cs="Amiri"/>
          <w:color w:val="111111"/>
          <w:sz w:val="28"/>
          <w:sz w:val="28"/>
          <w:szCs w:val="28"/>
          <w:rtl w:val="true"/>
          <w:lang w:bidi="ar-SA"/>
        </w:rPr>
        <w:t>وينزح الثلاث لموت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كثير من الأصحاب كالشيخين والفاضلين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بخصوصها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احتجّ له المحقّق في المعتبر بما رواه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في البئر حيوان صغير فمات فيها فانزح منها دلاء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بأنّ أقلّ محتملات لفظ الدلاء هو الثلاث فينزّل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أراه وجوب النزح في الحيّة لأنّ لها نفسا سائلة وميتتها نجسة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هذا الاحتجاج العلّامة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تحمل على الثلاث أخذا بالمتيقّن في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القليل بوجود النفس </w:t>
      </w:r>
    </w:p>
    <w:p>
      <w:pPr>
        <w:pStyle w:val="BookText"/>
        <w:rPr/>
      </w:pPr>
      <w:r>
        <w:rPr>
          <w:rFonts w:ascii="IRNazanin" w:hAnsi="IRNazanin" w:eastAsia="IRNazanin"/>
          <w:color w:val="111111"/>
          <w:sz w:val="28"/>
          <w:sz w:val="28"/>
          <w:szCs w:val="28"/>
          <w:rtl w:val="true"/>
          <w:lang w:bidi="fa-IR"/>
        </w:rPr>
        <w:t xml:space="preserve">لها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واستبعد بعض المحقّقين من المتأخّرين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ما في قول العلّامة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المتيقّن في لفظ الدلاء هو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المنافاة لما حكيناه عنه آنفا في الاحتجاج بمثله على عدم إجزاء ما دون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في المختلف هذه الحجّة عند تقريره لدليل هذا الحكم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حجّته رواية عمّار الساباطي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يقع في بئر الماء فيموت فيه فأكبره الإنسان ينزح منها سبعون دلوا ، وأقلّها العصفور ينزح منها دلو واحد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فالحيّة يجب فيها أكثر من العصفور وإلّا لم يختصّ القلّة بالعصفور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نزح ثلاث لمساواتها الفأرة في قدر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عن جعفر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ومثلها يموت في البئر ينزح منها دلوان وثلاثة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الحيّة لا تزيد عن قدر الدجاجة في الجسم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التوجيهين الواقعين في هذه الحجّة من التكلّف والتعسّف ، مضافا إلى ضعف الروايتين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حاصل هذا الكلام الشهيد في الذكرى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مأخذ </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الاحتجاج الأوّل فليس ببعيد عن الصواب ، إلّا أنّ في نهوضه بإثبات الحكم على القول بالانفعال أو وجوب النزح نظرا من حيث عدم بلوغ سند الخبر حدّ الصحّة عندنا ، كما بيّناه في البحث عمّا ينزح لموت البعير ؛ إذ قد مرّ ذكره هناك فيشكل حينئذ إثبات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النفس للحيّة ، والقول بالانفعال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الاكتفاء به في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بالاستحباب فهو كاف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صحيح معاوية ابن عمّار السابق في حكم الفأرة من نزح الثلاث للوزغة أيضا </w:t>
      </w:r>
      <w:r>
        <w:rPr>
          <w:rStyle w:val="FootnoteAnchor"/>
          <w:rtl w:val="true"/>
        </w:rPr>
        <w:footnoteReference w:id="545"/>
      </w:r>
      <w:r>
        <w:rPr>
          <w:rFonts w:ascii="Amiri" w:hAnsi="Amiri" w:eastAsia="Amiri" w:cs="Amiri"/>
          <w:color w:val="111111"/>
          <w:sz w:val="28"/>
          <w:sz w:val="28"/>
          <w:szCs w:val="28"/>
          <w:rtl w:val="true"/>
          <w:lang w:bidi="ar-SA"/>
        </w:rPr>
        <w:t>فإنّه يدلّ على نزحها للحيّة بطريق أولى ؛ حيث إنّ الوزغة ليست ذات نفس قطعا ، وقد استحبّ لها النزح ، فالحيّة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حكى في المعتبر عن الشيخ علي بن بابويه أنّه 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فيها حيّة أو عقرب أو خنافس أو بنات وردان فاستق للحيّة دلوا وليس عليك فيما سواها شي‌ء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هذه العبارة بعينها عنه العلّامة رحمه‌اللّه في المنتهى إلّا أنّه لم يسندها إلى رسالته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بابويه رحمه‌اللّه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فيها حيّة </w:t>
      </w:r>
      <w:bookmarkStart w:id="372" w:name="pg8731_77174"/>
    </w:p>
    <w:p>
      <w:pPr>
        <w:pStyle w:val="BookText"/>
        <w:rPr/>
      </w:pPr>
      <w:bookmarkEnd w:id="372"/>
      <w:r>
        <w:rPr>
          <w:rFonts w:ascii="Amiri" w:hAnsi="Amiri" w:eastAsia="Amiri" w:cs="Amiri"/>
          <w:color w:val="111111"/>
          <w:sz w:val="28"/>
          <w:sz w:val="28"/>
          <w:szCs w:val="28"/>
          <w:rtl w:val="true"/>
          <w:lang w:bidi="ar-SA"/>
        </w:rPr>
        <w:t>أو عقرب أو خنافس أو بنات وردان فاستق منها للحيّة سبع دلاء وليس عليك فيما سواها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حجّته في ذلك كونها في قدر الفأرة أو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أنّ في الفأرة سبع دلاء فلا تزيد الحيّة عنها للبراءة ولا ينقص عنها للأولويّة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يذكرا له على الحكاية الاخرى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فساد الحجّة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الاختلاف الذي وقع في النقل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أنّ النسخة التي عندنا للرسالة خالية من كلا النقلين ، والذي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وقعت فيها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 منها للحيّة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النسخة قديمة وعليها آثار التصحيح والمعارضة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فيها ربّما لا يبقى في المسألة خلاف ؛ لأنّ لفظ الدلاء لا يبعد حمله عند الإطلاق على الثلاث ؛ لما مرّ تقريره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140117_653776707"/>
      <w:bookmarkStart w:id="374" w:name="_Toc133"/>
      <w:bookmarkEnd w:id="373"/>
      <w:r>
        <w:rPr>
          <w:rtl w:val="true"/>
        </w:rPr>
        <w:t xml:space="preserve">مسألة </w:t>
      </w:r>
      <w:r>
        <w:rPr>
          <w:rtl w:val="true"/>
        </w:rPr>
        <w:t>[</w:t>
      </w:r>
      <w:r>
        <w:rPr/>
        <w:t>31</w:t>
      </w:r>
      <w:r>
        <w:rPr>
          <w:rtl w:val="true"/>
        </w:rPr>
        <w:t>] :</w:t>
      </w:r>
      <w:bookmarkEnd w:id="374"/>
    </w:p>
    <w:p>
      <w:pPr>
        <w:pStyle w:val="BookText"/>
        <w:rPr/>
      </w:pPr>
      <w:r>
        <w:rPr>
          <w:rFonts w:ascii="Amiri" w:hAnsi="Amiri" w:eastAsia="Amiri" w:cs="Amiri"/>
          <w:color w:val="111111"/>
          <w:sz w:val="28"/>
          <w:sz w:val="28"/>
          <w:szCs w:val="28"/>
          <w:rtl w:val="true"/>
          <w:lang w:bidi="ar-SA"/>
        </w:rPr>
        <w:t xml:space="preserve">وأوجب الصدوق والشيخان وجمع من الأصحاب نزح الثلاث لموت الوزغة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للوزغة دلو واحدة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ابن إدريس رحمه‌اللّه ذلك كلّه فلم يوجب لها شيئا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واستوجه المحقّق في المعتبر استحباب النزح لها </w:t>
      </w:r>
      <w:r>
        <w:rPr>
          <w:rStyle w:val="FootnoteAnchor"/>
          <w:rtl w:val="true"/>
        </w:rPr>
        <w:footnoteReference w:id="552"/>
      </w:r>
      <w:r>
        <w:rPr>
          <w:rFonts w:ascii="Amiri" w:hAnsi="Amiri" w:eastAsia="Amiri" w:cs="Amiri"/>
          <w:color w:val="111111"/>
          <w:sz w:val="28"/>
          <w:sz w:val="28"/>
          <w:szCs w:val="28"/>
          <w:rtl w:val="true"/>
          <w:lang w:bidi="ar-SA"/>
        </w:rPr>
        <w:t xml:space="preserve">، واختاره العلّامة رحمه‌اللّه في كثير من كتبه تفريعا على القول بالانفعال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بما رواه في الصحيح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الفأرة والوزغة تقع في البئر؟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ثلاث دلاء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مثله ابن سنان في الصحيح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صار أبو الصلاح إلى رواية يعقوب بن عيثم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بئر في مائها ريح يخرج منها قطع جلود؟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إنّ الوزغ ربّما طرح جلده ، إنّما يكفيك من ذلك دلو واحدة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دلالة صريحة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 ، بل لا دلالة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إدريس بأنّه لا نفس له سائلة فلا ينجس الماء بموته فيه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لا يعمل بالأخبار فلا حجّيّة فيها عنده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عنه الاحتجاج بما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ما أفتى به الجماعة من النزح اعتمادا على رواية شاذّة مخالفة لأصول المذهب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واحتجّ المحقّق رحمه‌اللّه بأنّ ما لا نفس له سائلة ليس بنجس ولا ينجس شي‌ء بموته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 أنّ له سمّا فيكره لذلك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هذا علّل العلّامة عليه الرحمة الحكم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منه في المختلف التوقّف حيث حكى الأقوال في المسألة والحجج من غير تعرّض لها بترجيح أو ردّ إلّا احتجاج ابن إدريس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عنه التمسّك في عدم الوجوب بأنّه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ويجوز أن يكون الأمر بالنزح من حيث الطبّ </w:t>
      </w:r>
      <w:r>
        <w:rPr>
          <w:rStyle w:val="FootnoteAnchor"/>
          <w:rtl w:val="true"/>
        </w:rPr>
        <w:footnoteReference w:id="560"/>
      </w:r>
      <w:r>
        <w:rPr>
          <w:rFonts w:ascii="Amiri" w:hAnsi="Amiri" w:eastAsia="Amiri" w:cs="Amiri"/>
          <w:color w:val="111111"/>
          <w:sz w:val="28"/>
          <w:sz w:val="28"/>
          <w:szCs w:val="28"/>
          <w:rtl w:val="true"/>
          <w:lang w:bidi="ar-SA"/>
        </w:rPr>
        <w:t xml:space="preserve">لحصول الضرر في الماء بالسمّ لا من حيث النجاسة ، ولا شكّ أنّ السلامة من الضرر أمر مطلوب للشارع فلا استبعاد في إيجاب النزح لهذا الغرض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الكلام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الصدوق والشيخين مبنيّ على ما سيأتي نقله عنهم في باب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حكمهم بنجاسة الوزغ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ذلك التقدير حسن ، لكنّ القول بنجاسته ضعيف ،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الحكم بوجوب النزح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يزول بالتكلّفات التي ذكرها العلّامة إلّا أن يجعل الوجوب للتعبّد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يحتاج إليها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اخترناه فالأمر هيّن ؛ لأنّ التنظيف </w:t>
      </w:r>
      <w:r>
        <w:rPr>
          <w:rStyle w:val="FootnoteAnchor"/>
          <w:rtl w:val="true"/>
        </w:rPr>
        <w:footnoteReference w:id="562"/>
      </w:r>
      <w:r>
        <w:rPr>
          <w:rFonts w:ascii="Amiri" w:hAnsi="Amiri" w:eastAsia="Amiri" w:cs="Amiri"/>
          <w:color w:val="111111"/>
          <w:sz w:val="28"/>
          <w:sz w:val="28"/>
          <w:szCs w:val="28"/>
          <w:rtl w:val="true"/>
          <w:lang w:bidi="ar-SA"/>
        </w:rPr>
        <w:t xml:space="preserve">مطلوب ، ولا شكّ في تأثير الميّتة في بعض أجزاء الماء ولو قليلا فيستخبث في الجملة ، لا سيّما فيما هو معدّ للشرب ونحوه ، فيحسن تنظيفه بإخراج ماء يزول معه الاستخباث ، وهذا </w:t>
      </w:r>
      <w:bookmarkStart w:id="375" w:name="pg8731_77177"/>
    </w:p>
    <w:p>
      <w:pPr>
        <w:pStyle w:val="BookText"/>
        <w:rPr/>
      </w:pPr>
      <w:bookmarkEnd w:id="375"/>
      <w:r>
        <w:rPr>
          <w:rFonts w:ascii="Amiri" w:hAnsi="Amiri" w:eastAsia="Amiri" w:cs="Amiri"/>
          <w:color w:val="111111"/>
          <w:sz w:val="28"/>
          <w:sz w:val="28"/>
          <w:szCs w:val="28"/>
          <w:rtl w:val="true"/>
          <w:lang w:bidi="ar-SA"/>
        </w:rPr>
        <w:t xml:space="preserve">القدر من الاعتبار كاف مع الحديثين الصحيحين </w:t>
      </w:r>
      <w:r>
        <w:rPr>
          <w:rStyle w:val="FootnoteAnchor"/>
          <w:rtl w:val="true"/>
        </w:rPr>
        <w:footnoteReference w:id="563"/>
      </w:r>
      <w:r>
        <w:rPr>
          <w:rFonts w:ascii="Amiri" w:hAnsi="Amiri" w:eastAsia="Amiri" w:cs="Amiri"/>
          <w:color w:val="111111"/>
          <w:sz w:val="28"/>
          <w:sz w:val="28"/>
          <w:szCs w:val="28"/>
          <w:rtl w:val="true"/>
          <w:lang w:bidi="ar-SA"/>
        </w:rPr>
        <w:t>في إثبات الاستحباب</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140119_653776707"/>
      <w:bookmarkStart w:id="377" w:name="_Toc134"/>
      <w:bookmarkEnd w:id="376"/>
      <w:r>
        <w:rPr>
          <w:rtl w:val="true"/>
        </w:rPr>
        <w:t xml:space="preserve">مسألة </w:t>
      </w:r>
      <w:r>
        <w:rPr>
          <w:rtl w:val="true"/>
        </w:rPr>
        <w:t>[</w:t>
      </w:r>
      <w:r>
        <w:rPr/>
        <w:t>32</w:t>
      </w:r>
      <w:r>
        <w:rPr>
          <w:rtl w:val="true"/>
        </w:rPr>
        <w:t>] :</w:t>
      </w:r>
      <w:bookmarkEnd w:id="377"/>
    </w:p>
    <w:p>
      <w:pPr>
        <w:pStyle w:val="BookText"/>
        <w:rPr/>
      </w:pPr>
      <w:r>
        <w:rPr>
          <w:rFonts w:ascii="Amiri" w:hAnsi="Amiri" w:eastAsia="Amiri" w:cs="Amiri"/>
          <w:color w:val="111111"/>
          <w:sz w:val="28"/>
          <w:sz w:val="28"/>
          <w:szCs w:val="28"/>
          <w:rtl w:val="true"/>
          <w:lang w:bidi="ar-SA"/>
        </w:rPr>
        <w:t xml:space="preserve">وأوجب الشيخ نزح الثلاث لموت العقرب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جماعة منهم أبو الصلاح وابن زهرة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الصدوقان في الرسالة والمقنع وجوب شي‌ء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 ما تضمّن </w:t>
      </w:r>
      <w:r>
        <w:rPr>
          <w:rStyle w:val="FootnoteAnchor"/>
          <w:rtl w:val="true"/>
        </w:rPr>
        <w:footnoteReference w:id="567"/>
      </w:r>
      <w:r>
        <w:rPr>
          <w:rFonts w:ascii="Amiri" w:hAnsi="Amiri" w:eastAsia="Amiri" w:cs="Amiri"/>
          <w:color w:val="111111"/>
          <w:sz w:val="28"/>
          <w:sz w:val="28"/>
          <w:szCs w:val="28"/>
          <w:rtl w:val="true"/>
          <w:lang w:bidi="ar-SA"/>
        </w:rPr>
        <w:t>ذلك من عبارة الرسالة في حكم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الفاضلان بالاستحباب كما في الوزغة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الشيخ على ما في المختلف رواية هارون بن حمزة الغنوي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والعقرب وأشباه ذلك يقع في الماء فيخرج حيّا ، هل يشرب من ذلك الماء أو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ثلاث مرّات وقليله وكثيره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تشرب </w:t>
      </w:r>
      <w:r>
        <w:rPr>
          <w:rStyle w:val="FootnoteAnchor"/>
          <w:rtl w:val="true"/>
        </w:rPr>
        <w:footnoteReference w:id="569"/>
      </w:r>
      <w:r>
        <w:rPr>
          <w:rFonts w:ascii="Amiri" w:hAnsi="Amiri" w:eastAsia="Amiri" w:cs="Amiri"/>
          <w:color w:val="111111"/>
          <w:sz w:val="28"/>
          <w:sz w:val="28"/>
          <w:szCs w:val="28"/>
          <w:rtl w:val="true"/>
          <w:lang w:bidi="ar-SA"/>
        </w:rPr>
        <w:t>منه وتتوضّأ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الوزغ فإنّه لا ينتفع بما وقع فيه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الاستدلال بهذا الحديث نظر ، وتخريجه أنّ العقرب </w:t>
      </w:r>
    </w:p>
    <w:p>
      <w:pPr>
        <w:pStyle w:val="BookText"/>
        <w:rPr/>
      </w:pPr>
      <w:r>
        <w:rPr>
          <w:rFonts w:ascii="Amiri" w:hAnsi="Amiri" w:eastAsia="Amiri" w:cs="Amiri"/>
          <w:color w:val="111111"/>
          <w:sz w:val="28"/>
          <w:sz w:val="28"/>
          <w:szCs w:val="28"/>
          <w:rtl w:val="true"/>
          <w:lang w:bidi="ar-SA"/>
        </w:rPr>
        <w:t xml:space="preserve">ينزح لها مع خروجها حيّا ثلاث دلاء ، فمع الموت أولى ، ولأنّ المقتضي للنزح في الوزغة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العقرب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النافين لوجوب النزح أنّه حيوان لا نفس له سائلة فلا يجب بموته شي‌ء كالذباب والخنافس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عمّار الساباطي عن أبي عبد اللّه عليه‌السلام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الخنفساء والذباب والجراد والنملة </w:t>
      </w:r>
      <w:r>
        <w:rPr>
          <w:rStyle w:val="FootnoteAnchor"/>
          <w:rtl w:val="true"/>
        </w:rPr>
        <w:footnoteReference w:id="572"/>
      </w:r>
      <w:r>
        <w:rPr>
          <w:rFonts w:ascii="Amiri" w:hAnsi="Amiri" w:eastAsia="Amiri" w:cs="Amiri"/>
          <w:color w:val="111111"/>
          <w:sz w:val="28"/>
          <w:sz w:val="28"/>
          <w:szCs w:val="28"/>
          <w:rtl w:val="true"/>
          <w:lang w:bidi="ar-SA"/>
        </w:rPr>
        <w:t>وما أشبه ذلك يموت في البئر والزيت والسمن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به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مسكان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عمّا يقع في الآبار؟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الفأرة وأشباهها فينزح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يسقط في البئر ليس له دم مثل العقرب والخنافس وأشباه ذلك فلا بأس به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الفاضلان على الاستحباب بنحو ما احتجّا به في حكم الوزغة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في نفي الوجوب على حديث ابن مسكان المحكيّ في حجّة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الصحيح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ما يقرب من ذلك في المنتهى ووصف الحديث فيه أيضا بالصحّة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ابن سنان ، والمراد به محمّد وهو 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أسند الحديث عن ابن مسكان عن الصادق عليه‌السلام تبعا للتهذيب والإستبصار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رواه عن ابن مسكان عن أبي بصير عن أبي عبد اللّه عليه‌السلام </w:t>
      </w:r>
      <w:r>
        <w:rPr>
          <w:rStyle w:val="FootnoteAnchor"/>
          <w:rtl w:val="true"/>
        </w:rPr>
        <w:footnoteReference w:id="579"/>
      </w:r>
      <w:r>
        <w:rPr>
          <w:rFonts w:ascii="Amiri" w:hAnsi="Amiri" w:eastAsia="Amiri" w:cs="Amiri"/>
          <w:color w:val="111111"/>
          <w:sz w:val="28"/>
          <w:sz w:val="28"/>
          <w:szCs w:val="28"/>
          <w:rtl w:val="true"/>
          <w:lang w:bidi="ar-SA"/>
        </w:rPr>
        <w:t xml:space="preserve">، كما حكيناه وهو الصحيح ، فإنّ النجاشي ذكر في كتابه أنّ عبد اللّه بن مسكان روى عن أبي الحسن موسى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روى عن أبي عبد اللّه عليه‌السلام وليس يثبت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الكشّي بطريق الرواية أنّه لم يسمع من أبي عبد اللّه عليه‌السلام إلّا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فقد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فيه عن أبي النصر محمّد ابن مسعود العيّاشي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مسكان لا يدخل على أبي عبد اللّه عليه‌السلام شفقة إلّا يوفيه حقّ إجلاله </w:t>
      </w:r>
      <w:r>
        <w:rPr>
          <w:rStyle w:val="FootnoteAnchor"/>
          <w:rtl w:val="true"/>
        </w:rPr>
        <w:footnoteReference w:id="581"/>
      </w:r>
      <w:r>
        <w:rPr>
          <w:rFonts w:ascii="Amiri" w:hAnsi="Amiri" w:eastAsia="Amiri" w:cs="Amiri"/>
          <w:color w:val="111111"/>
          <w:sz w:val="28"/>
          <w:sz w:val="28"/>
          <w:szCs w:val="28"/>
          <w:rtl w:val="true"/>
          <w:lang w:bidi="ar-SA"/>
        </w:rPr>
        <w:t xml:space="preserve">، وكان يسمع من أصحابه ويأبى أن يدخل عليه إجلالا له وإعظاما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فالحديث في الكتابين منقطع الإسناد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وإن كان متّصلا إلّا أنّ أبا بصير مشترك بين الثقة وغيره</w:t>
      </w:r>
      <w:r>
        <w:rPr>
          <w:rFonts w:eastAsia="Amiri" w:cs="Amiri" w:ascii="Amiri" w:hAnsi="Amiri"/>
          <w:color w:val="111111"/>
          <w:sz w:val="28"/>
          <w:szCs w:val="28"/>
          <w:rtl w:val="true"/>
          <w:lang w:bidi="ar-SA"/>
        </w:rPr>
        <w:t xml:space="preserve">. </w:t>
      </w:r>
      <w:bookmarkStart w:id="378" w:name="pg8731_77180"/>
    </w:p>
    <w:p>
      <w:pPr>
        <w:pStyle w:val="BookText"/>
        <w:rPr/>
      </w:pPr>
      <w:bookmarkEnd w:id="378"/>
      <w:r>
        <w:rPr>
          <w:rFonts w:ascii="Amiri" w:hAnsi="Amiri" w:eastAsia="Amiri" w:cs="Amiri"/>
          <w:color w:val="111111"/>
          <w:sz w:val="28"/>
          <w:sz w:val="28"/>
          <w:szCs w:val="28"/>
          <w:rtl w:val="true"/>
          <w:lang w:bidi="ar-SA"/>
        </w:rPr>
        <w:t>وكيف كان فليس في تصحيح هذا الخبر كثير فائدة ؛ إذ ما تضمّنه من نفي التأثير عمّا عدّد فيه هو مقتضى الأصل ، فلا بدّ لمدّعي خلافه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الحجّة للشيخ لا يخلو من ضعف وقصور</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140121_653776707"/>
      <w:bookmarkStart w:id="380" w:name="_Toc135"/>
      <w:bookmarkEnd w:id="379"/>
      <w:r>
        <w:rPr>
          <w:rtl w:val="true"/>
        </w:rPr>
        <w:t xml:space="preserve">مسألة </w:t>
      </w:r>
      <w:r>
        <w:rPr>
          <w:rtl w:val="true"/>
        </w:rPr>
        <w:t>[</w:t>
      </w:r>
      <w:r>
        <w:rPr/>
        <w:t>33</w:t>
      </w:r>
      <w:r>
        <w:rPr>
          <w:rtl w:val="true"/>
        </w:rPr>
        <w:t>] :</w:t>
      </w:r>
      <w:bookmarkEnd w:id="380"/>
    </w:p>
    <w:p>
      <w:pPr>
        <w:pStyle w:val="Heading6"/>
        <w:numPr>
          <w:ilvl w:val="5"/>
          <w:numId w:val="1"/>
        </w:numPr>
        <w:rPr/>
      </w:pPr>
      <w:bookmarkStart w:id="381" w:name="__RefHeading___Toc3140123_653776707"/>
      <w:bookmarkStart w:id="382" w:name="_Toc13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وينزح لموت العصفور دلو واحدة ، على المشهور بين الأصحاب ، لا يعرف فيه خلاف إلّا من ظاهر كلام الصدوقين حيث قال الشيخ أبو جعفر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وأكبر ما يقع في البئر الإنسان فيموت فيها فينزح منها سبعون دلوا ، وأصغر ما يقع فيها الصعوة فنزح منها دلو واحدة ، وفيما بين الإنسان والصعوة على قدر ما يقع فيها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أبوه في الرسالة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والصعوة عصفور صغير ذكره في القاموس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المشهور رواية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البحث عمّا ينزح لموت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العصفور ينزح منها دلو واحد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فالاحتجاج بها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الصدوقان لم نقف له على دليل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العمل هنا برواية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w:t>
      </w:r>
    </w:p>
    <w:p>
      <w:pPr>
        <w:pStyle w:val="BookText"/>
        <w:rPr/>
      </w:pPr>
      <w:r>
        <w:rPr>
          <w:rFonts w:ascii="Amiri" w:hAnsi="Amiri" w:eastAsia="Amiri" w:cs="Amiri"/>
          <w:color w:val="111111"/>
          <w:sz w:val="28"/>
          <w:sz w:val="28"/>
          <w:szCs w:val="28"/>
          <w:rtl w:val="true"/>
          <w:lang w:bidi="ar-SA"/>
        </w:rPr>
        <w:t xml:space="preserve">في البئر شي‌ء صغير فمات فيها فانزح منها دلاء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احتجاج المحقّق بها في حكم الحيّة ، إلّا أنّه حكاها بلفظ حيوان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الكافي والتهذيب والاستبصار كما ذكرنا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 الاختلاف يظهر هنا ؛ لعدم دخول العصفور في لفظ الحيوان بالنظر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ذكرناه فتناول اللفظ له ظاهر ، فيقال بنزح ثلاث ؛ لأنّه أقلّ محتملات لفظ الدلاء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بمساواته لمطلق الطير لدخوله في عموم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الأصحاب فسّر العصفور بما دون الحمامة ، وهو الظاهر من تفسيرهم الطير بالحمامة ونحوها فما فوقها ، مضافا إلى عدم القول بالواسطة بين نزح الدلو والسبع في مطلق الطير إلّا أنّ الاقتصار على لفظ العصفور في عباراتهم قليل ، وأكثرهم عبّروا هنا بالعصفور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العبارات بما ماثله من الطير في مقدار الجسم أو بما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التعبير ينافي التفسير المذكور ، ويقتضي اختصاص لفظ العصفور بنوع من صغار الطيور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أنّه الأهليّ الذي يسكن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عليهم الحكم حينئذ ؛ </w:t>
      </w:r>
      <w:bookmarkStart w:id="383" w:name="pg8731_77182"/>
    </w:p>
    <w:p>
      <w:pPr>
        <w:pStyle w:val="BookText"/>
        <w:rPr/>
      </w:pPr>
      <w:bookmarkEnd w:id="383"/>
      <w:r>
        <w:rPr>
          <w:rFonts w:ascii="Amiri" w:hAnsi="Amiri" w:eastAsia="Amiri" w:cs="Amiri"/>
          <w:color w:val="111111"/>
          <w:sz w:val="28"/>
          <w:sz w:val="28"/>
          <w:szCs w:val="28"/>
          <w:rtl w:val="true"/>
          <w:lang w:bidi="ar-SA"/>
        </w:rPr>
        <w:t>لأنّ دليلهم خال من التعرّض للشبه ، وحيث إنّ اللفظ مخصوص عندهم بنوع معيّن ، فمن أين يثبتون الحكم للشبه؟ وهل هو إلّا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لو قدّرنا صحّة التعدية إلى الشبه نظرا إلى الاشتراك في المعنى لكان اللازم إلحاق مطلق الطير في حال صغره به ، كما ذهب إليه الشيخ نظام الدين الصهرشتي شارح النهاية على ما حكوه عنه </w:t>
      </w:r>
      <w:r>
        <w:rPr>
          <w:rStyle w:val="FootnoteAnchor"/>
          <w:rtl w:val="true"/>
        </w:rPr>
        <w:footnoteReference w:id="590"/>
      </w:r>
      <w:r>
        <w:rPr>
          <w:rFonts w:ascii="Amiri" w:hAnsi="Amiri" w:eastAsia="Amiri" w:cs="Amiri"/>
          <w:color w:val="111111"/>
          <w:sz w:val="28"/>
          <w:sz w:val="28"/>
          <w:szCs w:val="28"/>
          <w:rtl w:val="true"/>
          <w:lang w:bidi="ar-SA"/>
        </w:rPr>
        <w:t xml:space="preserve">، مع أنّ ظاهرهم خلافه ؛ إذ لا يعرف بينهم </w:t>
      </w:r>
      <w:r>
        <w:rPr>
          <w:rStyle w:val="FootnoteAnchor"/>
          <w:rtl w:val="true"/>
        </w:rPr>
        <w:footnoteReference w:id="591"/>
      </w:r>
      <w:r>
        <w:rPr>
          <w:rFonts w:ascii="Amiri" w:hAnsi="Amiri" w:eastAsia="Amiri" w:cs="Amiri"/>
          <w:color w:val="111111"/>
          <w:sz w:val="28"/>
          <w:sz w:val="28"/>
          <w:szCs w:val="28"/>
          <w:rtl w:val="true"/>
          <w:lang w:bidi="ar-SA"/>
        </w:rPr>
        <w:t>القول بذلك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 فيه المحقّق في المعتبر </w:t>
      </w:r>
      <w:r>
        <w:rPr>
          <w:rStyle w:val="FootnoteAnchor"/>
          <w:rtl w:val="true"/>
        </w:rPr>
        <w:footnoteReference w:id="592"/>
      </w:r>
      <w:r>
        <w:rPr>
          <w:rFonts w:ascii="Amiri" w:hAnsi="Amiri" w:eastAsia="Amiri" w:cs="Amiri"/>
          <w:color w:val="111111"/>
          <w:sz w:val="28"/>
          <w:sz w:val="28"/>
          <w:szCs w:val="28"/>
          <w:rtl w:val="true"/>
          <w:lang w:bidi="ar-SA"/>
        </w:rPr>
        <w:t xml:space="preserve">، مع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والمختصر </w:t>
      </w:r>
      <w:r>
        <w:rPr>
          <w:rStyle w:val="FootnoteAnchor"/>
          <w:rtl w:val="true"/>
        </w:rPr>
        <w:footnoteReference w:id="59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نطالبه بدليل التخطّي إلى المشابهة ، ولو وجده في كتب الشيخ أو كتب المفيد لم يكن حجّة ما لم يوجد الدليل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3140125_653776707"/>
      <w:bookmarkStart w:id="385" w:name="_Toc137"/>
      <w:bookmarkEnd w:id="384"/>
      <w:r>
        <w:rPr>
          <w:rtl w:val="true"/>
        </w:rPr>
        <w:t xml:space="preserve">فرع </w:t>
      </w:r>
      <w:r>
        <w:rPr>
          <w:rtl w:val="true"/>
        </w:rPr>
        <w:t>:</w:t>
      </w:r>
      <w:bookmarkEnd w:id="385"/>
    </w:p>
    <w:p>
      <w:pPr>
        <w:pStyle w:val="BookText"/>
        <w:rPr/>
      </w:pPr>
      <w:r>
        <w:rPr>
          <w:rFonts w:ascii="Amiri" w:hAnsi="Amiri" w:eastAsia="Amiri" w:cs="Amiri"/>
          <w:color w:val="111111"/>
          <w:sz w:val="28"/>
          <w:sz w:val="28"/>
          <w:szCs w:val="28"/>
          <w:rtl w:val="true"/>
          <w:lang w:bidi="ar-SA"/>
        </w:rPr>
        <w:t>استثنى الشيخ قطب الراوندي من هذا الحكم الخفّاش معلّلا بأنّه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المحقّق وغيره من الأصحاب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نطالبه من أين علم نجاسته؟ فإن التفت إلى كونه مسخا طالبناه بتحقيق كونه مسخا ، ثمّ بالدلالة على نجاسة المسخ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 xml:space="preserve">. </w:t>
      </w:r>
      <w:bookmarkStart w:id="386" w:name="pg8731_77183"/>
    </w:p>
    <w:p>
      <w:pPr>
        <w:pStyle w:val="Heading6"/>
        <w:numPr>
          <w:ilvl w:val="5"/>
          <w:numId w:val="1"/>
        </w:numPr>
        <w:rPr/>
      </w:pPr>
      <w:bookmarkStart w:id="387" w:name="__RefHeading___Toc3140127_653776707"/>
      <w:bookmarkStart w:id="388" w:name="_Toc138"/>
      <w:bookmarkEnd w:id="386"/>
      <w:bookmarkEnd w:id="387"/>
      <w:r>
        <w:rPr>
          <w:rtl w:val="true"/>
        </w:rPr>
        <w:t xml:space="preserve">مسألة </w:t>
      </w:r>
      <w:r>
        <w:rPr>
          <w:rtl w:val="true"/>
        </w:rPr>
        <w:t>[</w:t>
      </w:r>
      <w:r>
        <w:rPr/>
        <w:t>34</w:t>
      </w:r>
      <w:r>
        <w:rPr>
          <w:rtl w:val="true"/>
        </w:rPr>
        <w:t>] :</w:t>
      </w:r>
      <w:bookmarkEnd w:id="388"/>
    </w:p>
    <w:p>
      <w:pPr>
        <w:pStyle w:val="Heading6"/>
        <w:numPr>
          <w:ilvl w:val="5"/>
          <w:numId w:val="1"/>
        </w:numPr>
        <w:rPr/>
      </w:pPr>
      <w:bookmarkStart w:id="389" w:name="__RefHeading___Toc3140129_653776707"/>
      <w:bookmarkStart w:id="390" w:name="_Toc139"/>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وينزح لبول الرضيع أيضا دلو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الصدوقان </w:t>
      </w:r>
      <w:r>
        <w:rPr>
          <w:rStyle w:val="FootnoteAnchor"/>
          <w:rtl w:val="true"/>
        </w:rPr>
        <w:footnoteReference w:id="597"/>
      </w:r>
      <w:r>
        <w:rPr>
          <w:rFonts w:ascii="Amiri" w:hAnsi="Amiri" w:eastAsia="Amiri" w:cs="Amiri"/>
          <w:color w:val="111111"/>
          <w:sz w:val="28"/>
          <w:sz w:val="28"/>
          <w:szCs w:val="28"/>
          <w:rtl w:val="true"/>
          <w:lang w:bidi="ar-SA"/>
        </w:rPr>
        <w:t xml:space="preserve">والشيخان </w:t>
      </w:r>
      <w:r>
        <w:rPr>
          <w:rStyle w:val="FootnoteAnchor"/>
          <w:rtl w:val="true"/>
        </w:rPr>
        <w:footnoteReference w:id="598"/>
      </w:r>
      <w:r>
        <w:rPr>
          <w:rFonts w:ascii="Amiri" w:hAnsi="Amiri" w:eastAsia="Amiri" w:cs="Amiri"/>
          <w:color w:val="111111"/>
          <w:sz w:val="28"/>
          <w:sz w:val="28"/>
          <w:szCs w:val="28"/>
          <w:rtl w:val="true"/>
          <w:lang w:bidi="ar-SA"/>
        </w:rPr>
        <w:t>وكثير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له ثلاث دلاء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لما صار إليه برواية علي بن أبي حمزة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بول الصبيّ الفطيم يقع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واحد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ضعف سندها لا دلالة لها على المدّعى ؛ إذ موردها الفطيم ، والكلام في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متمحّل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دلّت هذه الرواية على الاكتفاء بالدلو للفطيم مع كون نجاسة بوله أغلظ فقد دلّت على الاكتفاء به للرضيع بطريق أولى ، ولا دليل على الاكتفاء بما دون الدلو ، مع أنّه غير معهود ، بل منفيّ بما تقدّم في رواية عمّار الساباطي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وأقلّه العصفور ينزح منها دلو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لقابله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يكتفون بالدلو لغير الرضيع ، فالمنطوق عندهم مطرح فكيف يجعل وسيلة للعمل بالمفهوم؟</w:t>
      </w:r>
    </w:p>
    <w:p>
      <w:pPr>
        <w:pStyle w:val="BookText"/>
        <w:rPr/>
      </w:pPr>
      <w:r>
        <w:rPr>
          <w:rFonts w:ascii="IRNazanin" w:hAnsi="IRNazanin" w:eastAsia="IRNazanin"/>
          <w:color w:val="111111"/>
          <w:sz w:val="28"/>
          <w:sz w:val="28"/>
          <w:szCs w:val="28"/>
          <w:rtl w:val="true"/>
          <w:lang w:bidi="fa-IR"/>
        </w:rPr>
        <w:t>وأمّا القول بالثلاث فلا نعرف مأخذه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أكثرهم فسّروا الرضيع بمن لم 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w:t>
      </w:r>
      <w:bookmarkStart w:id="391" w:name="pg8731_77184"/>
    </w:p>
    <w:p>
      <w:pPr>
        <w:pStyle w:val="BookText"/>
        <w:rPr/>
      </w:pPr>
      <w:bookmarkEnd w:id="391"/>
      <w:r>
        <w:rPr>
          <w:rFonts w:ascii="Amiri" w:hAnsi="Amiri" w:eastAsia="Amiri" w:cs="Amiri"/>
          <w:color w:val="111111"/>
          <w:sz w:val="28"/>
          <w:sz w:val="28"/>
          <w:szCs w:val="28"/>
          <w:rtl w:val="true"/>
          <w:lang w:bidi="ar-SA"/>
        </w:rPr>
        <w:t>بعض المتأخّرين بكونه غالبا على اللبن أو مساويا له ، فلا يضرّ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الرضيع من كان له من العمر دون الحولين سواء أكل في الحولين أو لا ، وسواء فطم فيهما أو لم يفطم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البحث في ذلك فرع وجود لفظ الرضيع في مستند الحكم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كلامهم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أعرف التفسير من أين نشأ؟ والرواية تتناول الفطيم ، فنحن نطالبهم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نقل؟ وكيف قدّر لبوله الدلو الواحدة </w:t>
      </w:r>
      <w:r>
        <w:rPr>
          <w:rStyle w:val="FootnoteAnchor"/>
          <w:rtl w:val="true"/>
        </w:rPr>
        <w:footnoteReference w:id="602"/>
      </w:r>
      <w:r>
        <w:rPr>
          <w:rFonts w:ascii="IRNazanin" w:hAnsi="IRNazanin" w:eastAsia="IRNazanin"/>
          <w:color w:val="111111"/>
          <w:sz w:val="28"/>
          <w:sz w:val="28"/>
          <w:szCs w:val="28"/>
          <w:rtl w:val="true"/>
          <w:lang w:bidi="fa-IR"/>
        </w:rPr>
        <w:t>؟</w:t>
      </w:r>
    </w:p>
    <w:p>
      <w:pPr>
        <w:pStyle w:val="Heading6"/>
        <w:numPr>
          <w:ilvl w:val="5"/>
          <w:numId w:val="1"/>
        </w:numPr>
        <w:rPr/>
      </w:pPr>
      <w:bookmarkStart w:id="392" w:name="__RefHeading___Toc3140131_653776707"/>
      <w:bookmarkStart w:id="393" w:name="_Toc140"/>
      <w:bookmarkEnd w:id="392"/>
      <w:r>
        <w:rPr>
          <w:rtl w:val="true"/>
        </w:rPr>
        <w:t xml:space="preserve">فرع </w:t>
      </w:r>
      <w:r>
        <w:rPr>
          <w:rtl w:val="true"/>
        </w:rPr>
        <w:t>:</w:t>
      </w:r>
      <w:bookmarkEnd w:id="393"/>
    </w:p>
    <w:p>
      <w:pPr>
        <w:pStyle w:val="BookText"/>
        <w:rPr/>
      </w:pPr>
      <w:r>
        <w:rPr>
          <w:rFonts w:ascii="Amiri" w:hAnsi="Amiri" w:eastAsia="Amiri" w:cs="Amiri"/>
          <w:color w:val="111111"/>
          <w:sz w:val="28"/>
          <w:sz w:val="28"/>
          <w:szCs w:val="28"/>
          <w:rtl w:val="true"/>
          <w:lang w:bidi="ar-SA"/>
        </w:rPr>
        <w:t xml:space="preserve">قيّد الشهيد رحمه‌اللّه في البيان الرضيع بابن المسلم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التفات إلى ما مرّ تحقيقه من اعتبار الحيثيّة في جميع موجبات النزح ، فإذا انضاف إلى الحيثيّة التي هي مورد النصّ حيثيّة اخرى لم يكن النصّ دالا على الاكتفاء بالمقدّر لهما ، والأمر هاهنا كذلك فإنّ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أنّ بول الرضيع من حيث هو بوله يكتفى له بالدلو ، فإذا انضمّ إليه ملاقاة بدن الكافر تعدّدت الحيثيّة ، والدليل لا يتناولهما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للشهيد وغيره اعتبار هذا المعنى في مواضع دون اخرى وليس بجيّد ؛ لأنّ المقتضي في الجميع واحد ، فإمّا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أو 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البيان بالتسوية بين المسلم والكافر في موت الإنسان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w:t>
      </w:r>
      <w:bookmarkStart w:id="394" w:name="pg8731_77185"/>
    </w:p>
    <w:p>
      <w:pPr>
        <w:pStyle w:val="BookText"/>
        <w:rPr/>
      </w:pPr>
      <w:bookmarkEnd w:id="394"/>
      <w:r>
        <w:rPr>
          <w:rFonts w:ascii="Amiri" w:hAnsi="Amiri" w:eastAsia="Amiri" w:cs="Amiri"/>
          <w:color w:val="111111"/>
          <w:sz w:val="28"/>
          <w:sz w:val="28"/>
          <w:szCs w:val="28"/>
          <w:rtl w:val="true"/>
          <w:lang w:bidi="ar-SA"/>
        </w:rPr>
        <w:t>الحكم في البول والعذرة وقيّد هاهنا كما حكيناه وهو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احتمل في العذرة الفرق بين فضلة المسلم والكافر ، وعلّله بزيادة النجاسة بمجاورته </w:t>
      </w:r>
      <w:r>
        <w:rPr>
          <w:rStyle w:val="FootnoteAnchor"/>
          <w:rtl w:val="true"/>
        </w:rPr>
        <w:footnoteReference w:id="605"/>
      </w:r>
      <w:r>
        <w:rPr>
          <w:rFonts w:ascii="Amiri" w:hAnsi="Amiri" w:eastAsia="Amiri" w:cs="Amiri"/>
          <w:color w:val="111111"/>
          <w:sz w:val="28"/>
          <w:sz w:val="28"/>
          <w:szCs w:val="28"/>
          <w:rtl w:val="true"/>
          <w:lang w:bidi="ar-SA"/>
        </w:rPr>
        <w:t>، ولم يتعرّض لهذا الاحتمال في غيرها</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140133_653776707"/>
      <w:bookmarkStart w:id="396" w:name="_Toc141"/>
      <w:bookmarkEnd w:id="395"/>
      <w:r>
        <w:rPr>
          <w:rtl w:val="true"/>
        </w:rPr>
        <w:t xml:space="preserve">تتمّة تشتمل على مسائل </w:t>
      </w:r>
      <w:r>
        <w:rPr>
          <w:rtl w:val="true"/>
        </w:rPr>
        <w:t>:</w:t>
      </w:r>
      <w:bookmarkEnd w:id="396"/>
    </w:p>
    <w:p>
      <w:pPr>
        <w:pStyle w:val="Heading6"/>
        <w:numPr>
          <w:ilvl w:val="5"/>
          <w:numId w:val="1"/>
        </w:numPr>
        <w:rPr/>
      </w:pPr>
      <w:bookmarkStart w:id="397" w:name="__RefHeading___Toc3140135_653776707"/>
      <w:bookmarkStart w:id="398" w:name="_Toc142"/>
      <w:bookmarkEnd w:id="397"/>
      <w:r>
        <w:rPr>
          <w:rtl w:val="true"/>
        </w:rPr>
        <w:t xml:space="preserve">[ </w:t>
      </w:r>
      <w:r>
        <w:rPr>
          <w:rtl w:val="true"/>
        </w:rPr>
        <w:t xml:space="preserve">المسألة </w:t>
      </w:r>
      <w:r>
        <w:rPr>
          <w:rtl w:val="true"/>
        </w:rPr>
        <w:t xml:space="preserve">] </w:t>
      </w:r>
      <w:r>
        <w:rPr>
          <w:rtl w:val="true"/>
        </w:rPr>
        <w:t xml:space="preserve">الاولى </w:t>
      </w:r>
      <w:r>
        <w:rPr>
          <w:rtl w:val="true"/>
        </w:rPr>
        <w:t>:</w:t>
      </w:r>
      <w:bookmarkEnd w:id="398"/>
    </w:p>
    <w:p>
      <w:pPr>
        <w:pStyle w:val="BookText"/>
        <w:rPr/>
      </w:pPr>
      <w:r>
        <w:rPr>
          <w:rFonts w:ascii="Amiri" w:hAnsi="Amiri" w:eastAsia="Amiri" w:cs="Amiri"/>
          <w:color w:val="111111"/>
          <w:sz w:val="28"/>
          <w:sz w:val="28"/>
          <w:szCs w:val="28"/>
          <w:rtl w:val="true"/>
          <w:lang w:bidi="ar-SA"/>
        </w:rPr>
        <w:t>صرّح جماعة من الأصحاب بعدم انحصار طريق تطهير البئر في النزح حيث يحكم بنجاسته ، بل هو طريق اختصّ به وشارك غيره من المياه في الطهارة بوصول الجاري إليه ووقوع ماء الغيث عليه وإلقاء الكرّ ، على 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المحقّق أنّ الأمر منحصر في النزح حيث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اجري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المتّصل بالجاري </w:t>
      </w:r>
      <w:r>
        <w:rPr>
          <w:rStyle w:val="FootnoteAnchor"/>
          <w:rtl w:val="true"/>
        </w:rPr>
        <w:footnoteReference w:id="606"/>
      </w:r>
      <w:r>
        <w:rPr>
          <w:rFonts w:ascii="Amiri" w:hAnsi="Amiri" w:eastAsia="Amiri" w:cs="Amiri"/>
          <w:color w:val="111111"/>
          <w:sz w:val="28"/>
          <w:sz w:val="28"/>
          <w:szCs w:val="28"/>
          <w:rtl w:val="true"/>
          <w:lang w:bidi="ar-SA"/>
        </w:rPr>
        <w:t xml:space="preserve">لم يطهر ؛ لأنّ الحكم متعلّق بالنزح ولم يحصل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بالانحصار يفهم من التعليل الذي ذكره ، وإلّا فالكلام الأوّل محتمل لأن يكون ناظرا إلى اشتراط الامتزاج في طهارة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نقله عنه في حكم الغديرين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التعليل ينادي بنفيه ويؤذن بنفي كلّ طريق سوى النزح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في أكثر كتبه هذا الطريق الذي ذكره في المعتبر وحكم بالطهارة به ، ففي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سيق إليها نهر من الماء الجاري وصارت متّصلة </w:t>
      </w:r>
    </w:p>
    <w:p>
      <w:pPr>
        <w:pStyle w:val="BookText"/>
        <w:rPr/>
      </w:pPr>
      <w:r>
        <w:rPr>
          <w:rFonts w:ascii="Amiri" w:hAnsi="Amiri" w:eastAsia="Amiri" w:cs="Amiri"/>
          <w:color w:val="111111"/>
          <w:sz w:val="28"/>
          <w:sz w:val="28"/>
          <w:szCs w:val="28"/>
          <w:rtl w:val="true"/>
          <w:lang w:bidi="ar-SA"/>
        </w:rPr>
        <w:t xml:space="preserve">به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لأنّ المتّصل بالجاري كأحد أجزائه فخرج عنه حكم البئر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اتّصلت بالنهر الجاري طهرت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واختلفت فتوى الشهيد رحمه‌اللّه في هذه المسألة ، فقال في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ينجس ماء البئر بالتغيّر ويطهر بمطهّر غيره وبالنزح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 نجاسته بالملاقاة أيضا ويطهر بما مرّ وبنزح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المقادير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اتّصلت بالجاري طهرت وكذا بالكثير مع الامتزاج ، أمّا لو تسنّما عليها من عل فالأولى عدم التطهير لعدم الاتّحاد في المسمّى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وامتزاجها بالجاري مطهّر لأنّه أقوى من جريان النزح باعتبار دخول ماءها في اسمه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ومنعه في المعتبر ؛ لأنّ الحكم متعلّق بالنزح ولم يحصل ، وكذا لو اتّصل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وردا من فوق عليها فالأقوى أنّه لا يكفي لعدم الاتّحاد في المسمّى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اشتراطه لعدم علوّ المطهّر في العبارتين الأخيرتين يخالف ما ذكره في الاولى من طهارته بمطهّر غيره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مساواته لغيره من المياه في الطهارة بما يمكن تحقّقه فيه </w:t>
      </w:r>
      <w:bookmarkStart w:id="399" w:name="pg8731_77187"/>
    </w:p>
    <w:p>
      <w:pPr>
        <w:pStyle w:val="BookText"/>
        <w:rPr/>
      </w:pPr>
      <w:bookmarkEnd w:id="399"/>
      <w:r>
        <w:rPr>
          <w:rFonts w:ascii="Amiri" w:hAnsi="Amiri" w:eastAsia="Amiri" w:cs="Amiri"/>
          <w:color w:val="111111"/>
          <w:sz w:val="28"/>
          <w:sz w:val="28"/>
          <w:szCs w:val="28"/>
          <w:rtl w:val="true"/>
          <w:lang w:bidi="ar-SA"/>
        </w:rPr>
        <w:t>من الطرق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الامتزاج بالمعنى الذي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فإنّ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مستهلكا مع المطهّر فلو كان عين نجاسة لم يبق له حكم ، فكيف وهو منجّس؟ ولا ريب أنّه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بالاكتفاء بمجرّد الاتّصال فلأنّ دليلهم على تقدير تماميّته لا يختصّ بشي‌ء دون شي‌ء ، إذ مرجعه إلى عموم مطهّريّة الماء ، فيدخل ماء البئر تحت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بالنزح لا ينافيه لكونه مبنيّا على الغالب من عدم التمكّن من التطهّر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في بعض الموارد فلا ريب أنّ النزح أسهل منه في الأغلب أيضا ، فلذلك اقتصروا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إيجاب النزح على القول بالانفعال أو مع حصول التغيّر ليس إلّا لإفادة الطهارة ، فإذا صار الماء طاهرا بمقتضى ذلك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عدم الدليل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للنزح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بوجوب النزح تعبّدا لم يتمّ القول بسقوطه بمجرّد الاتّصال وإن قلنا بالطهارة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الامتزاج فالظاهر السقوط ؛ لأنّ الاستهلاك يصيّره بمنزلة المعدوم ، ووجوب النزح إنّما تعلّق به في حال البقاء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ضعف تفصيل الشهيد رحمه‌اللّه لا سيّما بعد اشتراط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الاتّحاد مع ذلك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تمسّك به المحقّق فدفعه ظاهر بعد ما قرّرناه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140137_653776707"/>
      <w:bookmarkStart w:id="401" w:name="_Toc143"/>
      <w:bookmarkEnd w:id="400"/>
      <w:r>
        <w:rPr>
          <w:rtl w:val="true"/>
        </w:rPr>
        <w:t xml:space="preserve">[ </w:t>
      </w:r>
      <w:r>
        <w:rPr>
          <w:rtl w:val="true"/>
        </w:rPr>
        <w:t xml:space="preserve">المسألة </w:t>
      </w:r>
      <w:r>
        <w:rPr>
          <w:rtl w:val="true"/>
        </w:rPr>
        <w:t xml:space="preserve">] </w:t>
      </w:r>
      <w:r>
        <w:rPr>
          <w:rtl w:val="true"/>
        </w:rPr>
        <w:t xml:space="preserve">الثانية </w:t>
      </w:r>
      <w:r>
        <w:rPr>
          <w:rtl w:val="true"/>
        </w:rPr>
        <w:t>:</w:t>
      </w:r>
      <w:bookmarkEnd w:id="4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في البئر ما يوجب نزح الجميع وتعذّر نزحه لكثرة الماء فالمشهور </w:t>
      </w:r>
    </w:p>
    <w:p>
      <w:pPr>
        <w:pStyle w:val="BookText"/>
        <w:rPr/>
      </w:pP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يتراوح عليه أربعة رجال يوما ، كلّ اثنين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في المنتهى أنّه لا يعرف فيه مخالفا من القائلين بالتنجيس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له برواية عمّار الساباطي عن أبي عبد اللّه عليه‌السلام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بئر يقع فيها كلب أو فأرة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 عليها الماء فلينزف يوما إلى الليل ، ثمّ يقام عليها قوم يتراوحون اثنين اثنين فينزفون يوما إلى الليل وقد طهرت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الحجّة في نهاية الضعف ؛ لأنّ في طريق الرواية جماعة من الفطحيّة وقد تضمّنت ما 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إيجاب نزح الماء كلّه للكلب أو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تمحّل بعضهم لترويجها فأجاب عن الطعن من جهة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الجماعة الذين في طريقها من الفطحيّة ، مشهود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فتقبل روايتهم إذا لم يكن لها معارض من الحديث السليم ، وجعل إيجاب نزح الجميع لما عدّد فيها على حصول التغيّر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ما ذكروه ؛ لاقتضائه التراوح يومين ، ولم أر من تنبّه له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التهذيب </w:t>
      </w:r>
      <w:r>
        <w:rPr>
          <w:rStyle w:val="FootnoteAnchor"/>
          <w:rtl w:val="true"/>
        </w:rPr>
        <w:footnoteReference w:id="616"/>
      </w:r>
      <w:r>
        <w:rPr>
          <w:rFonts w:ascii="Amiri" w:hAnsi="Amiri" w:eastAsia="Amiri" w:cs="Amiri"/>
          <w:color w:val="111111"/>
          <w:sz w:val="28"/>
          <w:sz w:val="28"/>
          <w:szCs w:val="28"/>
          <w:rtl w:val="true"/>
          <w:lang w:bidi="ar-SA"/>
        </w:rPr>
        <w:t xml:space="preserve">ومحكيّة في متن الرواية في الكتب الفقهيّة إلّا المعتبر فإنّه خال منها على ما رأينا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فالتمسّك في هذا الحكم بمثل هذه الرواية في غاية الإشكال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للشيخ في التهذيب الاحتجاج له بطريق آخر في نهاية الغرابة ، </w:t>
      </w:r>
    </w:p>
    <w:p>
      <w:pPr>
        <w:pStyle w:val="BookText"/>
        <w:rPr/>
      </w:pPr>
      <w:r>
        <w:rPr>
          <w:rFonts w:ascii="Amiri" w:hAnsi="Amiri" w:eastAsia="Amiri" w:cs="Amiri"/>
          <w:color w:val="111111"/>
          <w:sz w:val="28"/>
          <w:sz w:val="28"/>
          <w:szCs w:val="28"/>
          <w:rtl w:val="true"/>
          <w:lang w:bidi="ar-SA"/>
        </w:rPr>
        <w:t xml:space="preserve">وحكاه عنه المحقّق في المعتبر </w:t>
      </w:r>
      <w:r>
        <w:rPr>
          <w:rStyle w:val="FootnoteAnchor"/>
          <w:rtl w:val="true"/>
        </w:rPr>
        <w:footnoteReference w:id="618"/>
      </w:r>
      <w:r>
        <w:rPr>
          <w:rFonts w:ascii="Amiri" w:hAnsi="Amiri" w:eastAsia="Amiri" w:cs="Amiri"/>
          <w:color w:val="111111"/>
          <w:sz w:val="28"/>
          <w:sz w:val="28"/>
          <w:szCs w:val="28"/>
          <w:rtl w:val="true"/>
          <w:lang w:bidi="ar-SA"/>
        </w:rPr>
        <w:t xml:space="preserve">والعلّامة في المنتهى </w:t>
      </w:r>
      <w:r>
        <w:rPr>
          <w:rStyle w:val="FootnoteAnchor"/>
          <w:rtl w:val="true"/>
        </w:rPr>
        <w:footnoteReference w:id="619"/>
      </w:r>
      <w:r>
        <w:rPr>
          <w:rFonts w:ascii="Amiri" w:hAnsi="Amiri" w:eastAsia="Amiri" w:cs="Amiri"/>
          <w:color w:val="111111"/>
          <w:sz w:val="28"/>
          <w:sz w:val="28"/>
          <w:szCs w:val="28"/>
          <w:rtl w:val="true"/>
          <w:lang w:bidi="ar-SA"/>
        </w:rPr>
        <w:t>وبيّنا ضعفه وهو غنيّ عن البيان ، فلا جرم كان الإضراب عن ذكره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عمّار وإن ضعف سندها فإنّ الاعتبار يؤيّدها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على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الشيخ ادّعى في العدّة إجماع الإماميّة على العمل بروايته ورواية أمثاله ممّن عدّدهم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وجب نزح الماء كلّه وتعذّر فالتعطيل غير جائز ، والاقتصار على نزح البعض تحكّم ، والنزح يوما يتحقّق معه زوال ما كان في البئر ، فيكون العمل به لازما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العلّامة في المنتهى الاعتبار الثاني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 جميع ما يذكر هنا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أغربه كلام المحقّق في الاعتبار المتعلّق بالسند فقد حكينا عنه في المباحث الاصوليّة ، عند بيان شرائط العمل بخبر الواحد ، أنّه نقل عن الشيخ القول بجواز العمل بخبر الفطحيّة ومن ضارعهم محتجّا بعمل الطائفة ، وردّه بأنّا لم نعلم إلى الآن أنّ الطائفة عملت بأخبار هؤلاء </w:t>
      </w:r>
      <w:r>
        <w:rPr>
          <w:rStyle w:val="FootnoteAnchor"/>
          <w:rtl w:val="true"/>
        </w:rPr>
        <w:footnoteReference w:id="623"/>
      </w:r>
      <w:r>
        <w:rPr>
          <w:rFonts w:ascii="Amiri" w:hAnsi="Amiri" w:eastAsia="Amiri" w:cs="Amiri"/>
          <w:color w:val="111111"/>
          <w:sz w:val="28"/>
          <w:sz w:val="28"/>
          <w:szCs w:val="28"/>
          <w:rtl w:val="true"/>
          <w:lang w:bidi="ar-SA"/>
        </w:rPr>
        <w:t xml:space="preserve">، فكيف يتشبّث هنا بعين ما ردّه هناك ويعترف بنفس ما أنكره؟ </w:t>
      </w:r>
    </w:p>
    <w:p>
      <w:pPr>
        <w:pStyle w:val="BookText"/>
        <w:rPr/>
      </w:pPr>
      <w:r>
        <w:rPr>
          <w:rFonts w:ascii="Amiri" w:hAnsi="Amiri" w:eastAsia="Amiri" w:cs="Amiri"/>
          <w:color w:val="111111"/>
          <w:sz w:val="28"/>
          <w:sz w:val="28"/>
          <w:szCs w:val="28"/>
          <w:rtl w:val="true"/>
          <w:lang w:bidi="ar-SA"/>
        </w:rPr>
        <w:t>إذا تقرّر هذا فاعلم أنّ عباراتهم في تحديد زمن التراوح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عبارة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النهار إلى آخره </w:t>
      </w:r>
      <w:r>
        <w:rPr>
          <w:rStyle w:val="FootnoteAnchor"/>
          <w:rtl w:val="true"/>
        </w:rPr>
        <w:footnoteReference w:id="624"/>
      </w:r>
      <w:r>
        <w:rPr>
          <w:rFonts w:ascii="Amiri" w:hAnsi="Amiri" w:eastAsia="Amiri" w:cs="Amiri"/>
          <w:color w:val="111111"/>
          <w:sz w:val="28"/>
          <w:sz w:val="28"/>
          <w:szCs w:val="28"/>
          <w:rtl w:val="true"/>
          <w:lang w:bidi="ar-SA"/>
        </w:rPr>
        <w:t xml:space="preserve">، وتبعه جماعة منهم ابن زهرة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غدوة إلى الليل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الغدوة إلى العشيّة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بعد حكايته هذه العبارات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ومعاني هذه الألفاظ متقاربة فيكون النزح من أوّل طلوع الفجر إلى غروب الشمس أحوط ؛ لأنّه يأتي على الأقوال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في الذكرى بعد أن ذكر اختلاف العبارات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أنّهم أرادوا به يوم الصوم فليكن من طلوع الفجر إلى غروب الشمس ؛ لأنّه المفهوم من اليوم مع تحديده بالليل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المحقّق من الأحوطيّة حسن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كلام الشهيد ففي موضع النظر ؛ لأنّ الحمل على يوم الصوم يقتضي عدم الاجتزاء باليوم الذي يفوت من أوّله جزء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وعباراتهم لا تدلّ عليه ، بل ظاهرها ما هو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الرواية محتمل أيضا لصدق اسم اليوم وإن فات منه بعض الأجزاء إذا كانت 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فهذا التدقيق اللازم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على ذلك المتأخّرون فأوجبوا تفريعا على القول بالوجوب إدخال جزء من الليل أوّلا وآخر من باب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في الذكرى أولى ؛ ليتحقّق حفظ النّهار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أوجب بعضهم تقديم التأهّب بتهيئة الآلات قبل الجزء المجعول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الفروع كلّها غير واضحة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في المسألة امور نبّهوا عليها ،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نهوضه بإثبات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الانشغال بالنزح طول اليوم ، فينزح اثنان من الأربعة وقتا بأن يكون أحدهما فوق البئر يمتح بالدلو والآخر فيها يميح </w:t>
      </w:r>
      <w:r>
        <w:rPr>
          <w:rStyle w:val="FootnoteAnchor"/>
          <w:rtl w:val="true"/>
        </w:rPr>
        <w:footnoteReference w:id="631"/>
      </w:r>
      <w:r>
        <w:rPr>
          <w:rFonts w:ascii="Amiri" w:hAnsi="Amiri" w:eastAsia="Amiri" w:cs="Amiri"/>
          <w:color w:val="111111"/>
          <w:sz w:val="28"/>
          <w:sz w:val="28"/>
          <w:szCs w:val="28"/>
          <w:rtl w:val="true"/>
          <w:lang w:bidi="ar-SA"/>
        </w:rPr>
        <w:t>، ثمّ يستريحان فيقوم الآخران مقامهما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الشهيد زمان الصلاة جماعة ، والاجتماع في الأكل ؛ وعلّله باقتضاء العرف 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بعض الأصحاب على الأوّل فارقا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 يمكن حصوله حال الراحة ؛ لأنّه من تتمّتها ، بخلاف الأوّل فإنّ الفضيلة الخاصّة للجماعة لا تحصل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نفى بعضهم الاستثناء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استثناء الأمرين ، وإن كان التفصيل أحوط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الأربعة رجالا ؛ لدلالة لفظ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عملنا بالخبر المتضمّن لتراوح القوم أجزأ النساء والصبيان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إذ لا يتبادر منه في العرف إلّا الرجال ، ولنصّ جماعة من أهل اللغة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الرجال دون النساء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في الأصل مصدر قام فوصف به ثمّ غلب على الرجال دون النساء ، ولذلك قابلهنّ به يعني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يَسْخَرْ قَوْمٌ مِنْ قَوْمٍ وَلا نِساءٌ مِنْ نِساءٍ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ما دون الأربعة وإن أمكن حصول الغرض بالاثنين الدائبين ؛ لأنّه مخالف لقوله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يتراوحون اثنين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الاجتزاء بالاثنين القويّين اللذين ينهضان بعمل الأربعة </w:t>
      </w:r>
      <w:r>
        <w:rPr>
          <w:rStyle w:val="FootnoteAnchor"/>
          <w:rtl w:val="true"/>
        </w:rPr>
        <w:footnoteReference w:id="636"/>
      </w:r>
      <w:r>
        <w:rPr>
          <w:rFonts w:ascii="Amiri" w:hAnsi="Amiri" w:eastAsia="Amiri" w:cs="Amiri"/>
          <w:color w:val="111111"/>
          <w:sz w:val="28"/>
          <w:sz w:val="28"/>
          <w:szCs w:val="28"/>
          <w:rtl w:val="true"/>
          <w:lang w:bidi="ar-SA"/>
        </w:rPr>
        <w:t>، وأمّا الزيادة عليها فأجازوها من باب مفهوم الموافقة ، إلّا أن يقتضي التكثير إلى الإبطاء وتضييع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كونه في النهار فلا يجزي الليل ، ولا الملفّق منه ومن النهار ، وإن زاد عن مقدار يوم طويل ؛ اقتصارا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اليوم بين الطويل والقصير ؛ للإطلاق المتناول لهما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استحباب تحرّي الأطول حيث لا ضرر ؛ لما فيه </w:t>
      </w:r>
      <w:bookmarkStart w:id="402" w:name="pg8731_77193"/>
    </w:p>
    <w:p>
      <w:pPr>
        <w:pStyle w:val="BookText"/>
        <w:rPr/>
      </w:pPr>
      <w:bookmarkEnd w:id="402"/>
      <w:r>
        <w:rPr>
          <w:rFonts w:ascii="Amiri" w:hAnsi="Amiri" w:eastAsia="Amiri" w:cs="Amiri"/>
          <w:color w:val="111111"/>
          <w:sz w:val="28"/>
          <w:sz w:val="28"/>
          <w:szCs w:val="28"/>
          <w:rtl w:val="true"/>
          <w:lang w:bidi="ar-SA"/>
        </w:rPr>
        <w:t xml:space="preserve">من المبالغة في التطهير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3140139_653776707"/>
      <w:bookmarkStart w:id="404" w:name="_Toc144"/>
      <w:bookmarkEnd w:id="403"/>
      <w:r>
        <w:rPr>
          <w:rtl w:val="true"/>
        </w:rPr>
        <w:t xml:space="preserve">[ </w:t>
      </w:r>
      <w:r>
        <w:rPr>
          <w:rtl w:val="true"/>
        </w:rPr>
        <w:t xml:space="preserve">المسألة </w:t>
      </w:r>
      <w:r>
        <w:rPr>
          <w:rtl w:val="true"/>
        </w:rPr>
        <w:t xml:space="preserve">] </w:t>
      </w:r>
      <w:r>
        <w:rPr>
          <w:rtl w:val="true"/>
        </w:rPr>
        <w:t xml:space="preserve">الثالثة </w:t>
      </w:r>
      <w:r>
        <w:rPr>
          <w:rtl w:val="true"/>
        </w:rPr>
        <w:t>:</w:t>
      </w:r>
      <w:bookmarkEnd w:id="404"/>
    </w:p>
    <w:p>
      <w:pPr>
        <w:pStyle w:val="Heading6"/>
        <w:numPr>
          <w:ilvl w:val="5"/>
          <w:numId w:val="1"/>
        </w:numPr>
        <w:rPr/>
      </w:pPr>
      <w:bookmarkStart w:id="405" w:name="__RefHeading___Toc3140141_653776707"/>
      <w:bookmarkStart w:id="406" w:name="_Toc145"/>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إذا تغيّر ماء البئر بالنجاسة نجس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القدر الذي يطهر به من النزح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بعدم انفعاله بالملاقاة اكتفوا فيه بما يزول معه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الذاهبون إلى الانفعال فلهم في المسألة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الصدوقان ويحكى عن المرتضى قدس‌سره ووافقهم سلّار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النزح حتّى يزول التغيّر وهو قول المفيد وجماعة منهم الشهيد في البيان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تعذّر فإلى أن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رحمه‌اللّه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الأكثر ممّا يحصل به زوال التغيّر واستيفاء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زهرة ، واختاره الشهيد في الذكرى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أكثر الأمرين من المقدّر ومزيل التغيّر إن كان للنجاسة المغيّرة مقدّر ، وإلّا فالجميع ، فإن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ابن إدريس ووافقه </w:t>
      </w:r>
    </w:p>
    <w:p>
      <w:pPr>
        <w:pStyle w:val="BookText"/>
        <w:rPr/>
      </w:pPr>
      <w:r>
        <w:rPr>
          <w:rFonts w:ascii="Amiri" w:hAnsi="Amiri" w:eastAsia="Amiri" w:cs="Amiri"/>
          <w:color w:val="111111"/>
          <w:sz w:val="28"/>
          <w:sz w:val="28"/>
          <w:szCs w:val="28"/>
          <w:rtl w:val="true"/>
          <w:lang w:bidi="ar-SA"/>
        </w:rPr>
        <w:t xml:space="preserve">من المتأخّرين الشيخ علي تفريعا على القول بالانفعال </w:t>
      </w:r>
      <w:r>
        <w:rPr>
          <w:rStyle w:val="FootnoteAnchor"/>
          <w:rtl w:val="true"/>
        </w:rPr>
        <w:footnoteReference w:id="642"/>
      </w:r>
      <w:r>
        <w:rPr>
          <w:rFonts w:ascii="Amiri" w:hAnsi="Amiri" w:eastAsia="Amiri" w:cs="Amiri"/>
          <w:color w:val="111111"/>
          <w:sz w:val="28"/>
          <w:sz w:val="28"/>
          <w:szCs w:val="28"/>
          <w:rtl w:val="true"/>
          <w:lang w:bidi="ar-SA"/>
        </w:rPr>
        <w:t>؛ فإنّه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والدي في شرح الإرشاد حيث قال فيه بالانفعال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 فإن غلب الماء اعتبر أكثر الأمرين من زوال التغيّر والمقدّر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الشهيد في الدروس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المحقّق في المعتبر محتمل لهذا القول </w:t>
      </w:r>
      <w:r>
        <w:rPr>
          <w:rStyle w:val="FootnoteAnchor"/>
          <w:rtl w:val="true"/>
        </w:rPr>
        <w:footnoteReference w:id="645"/>
      </w:r>
      <w:r>
        <w:rPr>
          <w:rFonts w:ascii="Amiri" w:hAnsi="Amiri" w:eastAsia="Amiri" w:cs="Amiri"/>
          <w:color w:val="111111"/>
          <w:sz w:val="28"/>
          <w:sz w:val="28"/>
          <w:szCs w:val="28"/>
          <w:rtl w:val="true"/>
          <w:lang w:bidi="ar-SA"/>
        </w:rPr>
        <w:t>، ولإيجاب نزح الجميع فإن تعذّر نزح حتّى يزول التغيّر ثمّ يستوفى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الاحتمال الأوّل إلى عبارته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إليه القول بنزح ما يزيل التغيّر أوّلا ثمّ المقدّر بعده إن كان لتلك النجاسة مقدّر وإلّا فالجميع ، وإن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لهذه النسبة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مضمونها بعض مشايخنا الذين عاصرناهم فيصير قولا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أكثر الأمرين ممّا يزول معه التغيّر ويستوفى به المقدّر إن كان هناك تقدير ، وإلّا اكتفي بزوال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بعض فضلاء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الأقوى عندي بناء على القول بالانفعال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زوال التغيّر كاف في رفع الأثر الثابت باعتباره ، كما دلّ عليه صحيح محمّد بن إسماعيل بن بزيع السابق في الاحتجاج للقول بعدم انفعال البئر بالملاقاة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يتغيّر ريحه أو طعمه فينزح حتّى يذهب الريح ويطيب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معناه صحيح أبي اسامة </w:t>
      </w:r>
      <w:r>
        <w:rPr>
          <w:rStyle w:val="FootnoteAnchor"/>
          <w:rtl w:val="true"/>
        </w:rPr>
        <w:footnoteReference w:id="647"/>
      </w:r>
      <w:r>
        <w:rPr>
          <w:rFonts w:ascii="Amiri" w:hAnsi="Amiri" w:eastAsia="Amiri" w:cs="Amiri"/>
          <w:color w:val="111111"/>
          <w:sz w:val="28"/>
          <w:sz w:val="28"/>
          <w:szCs w:val="28"/>
          <w:rtl w:val="true"/>
          <w:lang w:bidi="ar-SA"/>
        </w:rPr>
        <w:t xml:space="preserve">الشحّام ، وقد مرّ في البحث عمّا ينزح لموت الكلب ، فإنّه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تغيّر الماء فخذ منه حتّى تذهب الريح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لمّا كان الدليل الدالّ على وجوب نزح المقدّر مع عدم التغيّر دالّا على وجوب نزحه مع التغيّر بطريق أولى لتحقّق المعنى المقتضي أعني ملاقاة النجاسة مع زيادة وصف التغيّر الذي هو علّة اخرى ، لا جرم توقّف الحكم بالطهارة على استيفائه ، فإن حصل معه زوال التغيّر فذاك ، وإلّا فلا بدّ من إزالته إذ لا تعقل الطهارة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عود الطهارة حينئذ موقوف على زوال التغيّر وبلوغ المقدّر كما هو مقتضى الدليلين ، فإن اتّفق تقارنهما فلا إشكال ، وإن سبق أحدهما فلا بدّ من بلوغ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هناك تقدير يجب العمل به ، فأمّا مع انتفاء التقدير فلا مخصّص لعموم الخبر الصحيح الدالّ على الاكتفاء بزوال التغيّر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تخصيصه في صور معيّنة بالدليل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دليل المقدّر حيث اقتضى وجوب نزح الزائد إذا كان زوال التغيّر هو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في غير تلك الصور ،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اختصاص الخبر بما لا مقدّر له إذ لم يعمل بظاهره إلّا فيه ، ولا ريب أنّ أكثر النجاسات لها مقدّر ، ومن المستبعد أن يكون الحديث واردا في حكم الأقلّ مع ما في ألفاظه من العموم والشمول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الغالب تأخّر زوال التغيّر عن استيفاء المقدّر ، وعكسه إنّما ذكر بطريق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اتّفق وقوعه فبقلّة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التخصيص بإخراج </w:t>
      </w:r>
      <w:bookmarkStart w:id="407" w:name="pg8731_77196"/>
    </w:p>
    <w:p>
      <w:pPr>
        <w:pStyle w:val="BookText"/>
        <w:rPr/>
      </w:pPr>
      <w:bookmarkEnd w:id="407"/>
      <w:r>
        <w:rPr>
          <w:rFonts w:ascii="Amiri" w:hAnsi="Amiri" w:eastAsia="Amiri" w:cs="Amiri"/>
          <w:color w:val="111111"/>
          <w:sz w:val="28"/>
          <w:sz w:val="28"/>
          <w:szCs w:val="28"/>
          <w:rtl w:val="true"/>
          <w:lang w:bidi="ar-SA"/>
        </w:rPr>
        <w:t>كلّ ما له مقدّر ليلزم قصر العموم على غير المنصوص فيحصل الاستبعاد ، بل إنّما يقع التخصيص بإخراج ما يتأخّر مقدّره عن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أقلّ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المجموع من غير المنصوص ، وما يتوقّف زوال تغيّره على الزيادة عن المقدّر أو 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بمثل ذلك ممّا 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الذاهبين إلى عدم انفعال البئر بالملاقاة على الاكتفاء بمزيل التغيّر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أعني صحيح ابن بزيع </w:t>
      </w:r>
      <w:r>
        <w:rPr>
          <w:rStyle w:val="FootnoteAnchor"/>
          <w:rtl w:val="true"/>
        </w:rPr>
        <w:footnoteReference w:id="649"/>
      </w:r>
      <w:r>
        <w:rPr>
          <w:rFonts w:ascii="Amiri" w:hAnsi="Amiri" w:eastAsia="Amiri" w:cs="Amiri"/>
          <w:color w:val="111111"/>
          <w:sz w:val="28"/>
          <w:sz w:val="28"/>
          <w:szCs w:val="28"/>
          <w:rtl w:val="true"/>
          <w:lang w:bidi="ar-SA"/>
        </w:rPr>
        <w:t>، مضافا إلى ما سيأتي بيانه في حكم الجاري ؛ لأنّه عندنا من جملة أفراده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140143_653776707"/>
      <w:bookmarkStart w:id="409" w:name="_Toc146"/>
      <w:bookmarkEnd w:id="408"/>
      <w:r>
        <w:rPr>
          <w:rtl w:val="true"/>
        </w:rPr>
        <w:t xml:space="preserve">حجّة الموجبين لنزح الجميع مطلقا </w:t>
      </w:r>
      <w:r>
        <w:rPr>
          <w:rtl w:val="true"/>
        </w:rPr>
        <w:t>:</w:t>
      </w:r>
      <w:bookmarkEnd w:id="409"/>
    </w:p>
    <w:p>
      <w:pPr>
        <w:pStyle w:val="BookText"/>
        <w:rPr/>
      </w:pPr>
      <w:r>
        <w:rPr>
          <w:rFonts w:ascii="Amiri" w:hAnsi="Amiri" w:eastAsia="Amiri" w:cs="Amiri"/>
          <w:color w:val="111111"/>
          <w:sz w:val="28"/>
          <w:sz w:val="28"/>
          <w:szCs w:val="28"/>
          <w:rtl w:val="true"/>
          <w:lang w:bidi="ar-SA"/>
        </w:rPr>
        <w:t xml:space="preserve">صحيحة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الثوب ولا تعاد الصلاة ممّا وقع في البئر إلّا أن ينتن ، فإن نتن غسل الثوب وأعاد الصلاة ونزحت البئر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بئر وقع فيها كلب أو فأرة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تنزف كلّها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تغيّر ؛ إذ مع عدم التغيّر يكفي ما دون ذلك ، كما دلّت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ماء محكوم بنجاسته فيجب إخراجه أجمع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التراوح عند تعذّر نزح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قائم مقامه في كلّ محلّ يجب فيه نزح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بزيع </w:t>
      </w:r>
      <w:r>
        <w:rPr>
          <w:rStyle w:val="FootnoteAnchor"/>
          <w:rtl w:val="true"/>
        </w:rPr>
        <w:footnoteReference w:id="652"/>
      </w:r>
      <w:r>
        <w:rPr>
          <w:rFonts w:ascii="Amiri" w:hAnsi="Amiri" w:eastAsia="Amiri" w:cs="Amiri"/>
          <w:color w:val="111111"/>
          <w:sz w:val="28"/>
          <w:sz w:val="28"/>
          <w:szCs w:val="28"/>
          <w:rtl w:val="true"/>
          <w:lang w:bidi="ar-SA"/>
        </w:rPr>
        <w:t xml:space="preserve">الدالّ على الاكتفاء بزوال التغيّر مطلقا وكذا صحيح أبي اسامة الشحّام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زوال التغيّر مع تعذّر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جمعا بين ما دلّ على نزح الجميع كصحيحة معاوية بن عمّار وما دلّ على اعتبار زوال التغيّر كصحيح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قلناه في الاحتجاج لحكم ما له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الخامس بالنسبة إلى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نزح الجميع لما ليس له مقدّر ، فبنوه على مذهبهم في حكم ما لا نصّ فيه حيث حكموا بنزح الجميع له مع عدم التغيّر ، فمعه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التراوح مع تعذّره لقيامه مقامه كما ذكر في حجّة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حجّتي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ما له 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ذات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لنزحه بمجرّده ، فإذا انضمّ إليه التغيّر الموجب لنزح ما يزول به صارا سببين ، ولا منافاة بينهما ، فيعمل كلّ منهما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مزيل التغيّر لكون الجمع بين الأمرين لا يتمّ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ما لا مقدّر له فكما قيل في حجّة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حجّة إيجاب الجميع فيحمل </w:t>
      </w:r>
      <w:r>
        <w:rPr>
          <w:rStyle w:val="FootnoteAnchor"/>
          <w:rtl w:val="true"/>
        </w:rPr>
        <w:footnoteReference w:id="654"/>
      </w:r>
      <w:r>
        <w:rPr>
          <w:rFonts w:ascii="IRNazanin" w:hAnsi="IRNazanin" w:eastAsia="IRNazanin"/>
          <w:color w:val="111111"/>
          <w:sz w:val="28"/>
          <w:sz w:val="28"/>
          <w:szCs w:val="28"/>
          <w:rtl w:val="true"/>
          <w:lang w:bidi="fa-IR"/>
        </w:rPr>
        <w:t xml:space="preserve">نزح البئر </w:t>
      </w:r>
      <w:r>
        <w:rPr>
          <w:rStyle w:val="FootnoteAnchor"/>
          <w:rtl w:val="true"/>
        </w:rPr>
        <w:footnoteReference w:id="655"/>
      </w:r>
      <w:r>
        <w:rPr>
          <w:rFonts w:ascii="Amiri" w:hAnsi="Amiri" w:eastAsia="Amiri" w:cs="Amiri"/>
          <w:color w:val="111111"/>
          <w:sz w:val="28"/>
          <w:sz w:val="28"/>
          <w:szCs w:val="28"/>
          <w:rtl w:val="true"/>
          <w:lang w:bidi="ar-SA"/>
        </w:rPr>
        <w:t xml:space="preserve">في صحيحة معاوية </w:t>
      </w:r>
    </w:p>
    <w:p>
      <w:pPr>
        <w:pStyle w:val="BookText"/>
        <w:rPr/>
      </w:pPr>
      <w:r>
        <w:rPr>
          <w:rFonts w:ascii="Amiri" w:hAnsi="Amiri" w:eastAsia="Amiri" w:cs="Amiri"/>
          <w:color w:val="111111"/>
          <w:sz w:val="28"/>
          <w:sz w:val="28"/>
          <w:szCs w:val="28"/>
          <w:rtl w:val="true"/>
          <w:lang w:bidi="ar-SA"/>
        </w:rPr>
        <w:t xml:space="preserve">على ما إذا توقّف زوال التغيّر عليه ، جمعا بينها وبين الصحيحتين الدالّتين على الاكتفاء بزواله مطلقا ، أو بحمله </w:t>
      </w:r>
      <w:r>
        <w:rPr>
          <w:rStyle w:val="FootnoteAnchor"/>
          <w:rtl w:val="true"/>
        </w:rPr>
        <w:footnoteReference w:id="656"/>
      </w:r>
      <w:r>
        <w:rPr>
          <w:rFonts w:ascii="Amiri" w:hAnsi="Amiri" w:eastAsia="Amiri" w:cs="Amiri"/>
          <w:color w:val="111111"/>
          <w:sz w:val="28"/>
          <w:sz w:val="28"/>
          <w:szCs w:val="28"/>
          <w:rtl w:val="true"/>
          <w:lang w:bidi="ar-SA"/>
        </w:rPr>
        <w:t xml:space="preserve">على نزح الأكثر ؛ لتوقّف </w:t>
      </w:r>
      <w:r>
        <w:rPr>
          <w:rStyle w:val="FootnoteAnchor"/>
          <w:rtl w:val="true"/>
        </w:rPr>
        <w:footnoteReference w:id="657"/>
      </w:r>
      <w:r>
        <w:rPr>
          <w:rFonts w:ascii="Amiri" w:hAnsi="Amiri" w:eastAsia="Amiri" w:cs="Amiri"/>
          <w:color w:val="111111"/>
          <w:sz w:val="28"/>
          <w:sz w:val="28"/>
          <w:szCs w:val="28"/>
          <w:rtl w:val="true"/>
          <w:lang w:bidi="ar-SA"/>
        </w:rPr>
        <w:t xml:space="preserve">زوال التغيّر عليه ، كما 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ينتن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نزح البئر على نزح أكثره جائز ولو بطريق المجاز ؛ لضرورة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مع ضعف السند عدم الدلالة على اعتبار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جعلوه تأويلا لها من حيث مخالفة مضمونها للأخبار الكثيرة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ذلك للجمع فليجز لأجله حملها على توقّف زوال التغيّر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ماء محكوم بنجاسته فيجب إخراجه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المحكوم بنجاسته هو المتغيّر ، ونحن نقول بوجوب إخراجه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قد دلّ الدليل على طهارته بإخراج ما يزول معه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يجب الزائد؟</w:t>
      </w:r>
    </w:p>
    <w:p>
      <w:pPr>
        <w:pStyle w:val="BookText"/>
        <w:rPr/>
      </w:pPr>
      <w:r>
        <w:rPr>
          <w:rFonts w:ascii="Amiri" w:hAnsi="Amiri" w:eastAsia="Amiri" w:cs="Amiri"/>
          <w:color w:val="111111"/>
          <w:sz w:val="28"/>
          <w:sz w:val="28"/>
          <w:szCs w:val="28"/>
          <w:rtl w:val="true"/>
          <w:lang w:bidi="ar-SA"/>
        </w:rPr>
        <w:t>ومن هنا يعلم الجواب عن حجّة الأوّل بكمالها ؛ فإنّ قيام التراوح مقام نزح الجميع فرع وجوبه ، وقد علم انتفاء الأصل ، فالفرع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حجّة الثاني فيعلم ممّا قرّرناه في دليل ما اخترناه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حجّة الثالث فلأنّ الجمع بين الأخبار بما ذكرناه من حمل دليل الجميع على ما إذا توقّف زوال التغيّر عليه أوضح وأولى بعد ما قدّمناه من وجوب تخصيص اعتبار زوال التغيّر في ما له مقدّر بما إذا حصل معه استيفاء المقدّر ؛ فإنّ الجمع حينئذ بالوجه الذي قلناه موجب لقلّة التخصيص ، وذلك بالنسبة إلى ما دلّ على اعتبار زوال التغيّر فإنّه لا يقع فيه من هذه الجهة </w:t>
      </w:r>
    </w:p>
    <w:p>
      <w:pPr>
        <w:pStyle w:val="BookText"/>
        <w:rPr/>
      </w:pPr>
      <w:r>
        <w:rPr>
          <w:rFonts w:ascii="Amiri" w:hAnsi="Amiri" w:eastAsia="Amiri" w:cs="Amiri"/>
          <w:color w:val="111111"/>
          <w:sz w:val="28"/>
          <w:sz w:val="28"/>
          <w:szCs w:val="28"/>
          <w:rtl w:val="true"/>
          <w:lang w:bidi="ar-SA"/>
        </w:rPr>
        <w:t xml:space="preserve">تخصيص حينئذ ، وإنّما يخصّص هو دليل الجمع </w:t>
      </w:r>
      <w:r>
        <w:rPr>
          <w:rStyle w:val="FootnoteAnchor"/>
          <w:rtl w:val="true"/>
        </w:rPr>
        <w:footnoteReference w:id="659"/>
      </w:r>
      <w:r>
        <w:rPr>
          <w:rFonts w:ascii="Amiri" w:hAnsi="Amiri" w:eastAsia="Amiri" w:cs="Amiri"/>
          <w:color w:val="111111"/>
          <w:sz w:val="28"/>
          <w:sz w:val="28"/>
          <w:szCs w:val="28"/>
          <w:rtl w:val="true"/>
          <w:lang w:bidi="ar-SA"/>
        </w:rPr>
        <w:t>بحالة توقّف زوال التغيّر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جعلوه طريق الجمع فيلزم تخصيصه بما إذا تعذّر نزح الجميع ، وقد قلنا إنّه مخصوص بدليل المقدّر فيقع فيه التخصيص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الجميع لا بدّ من تخصيصه على التقديرين ؛ لأنّهم إنّما يعتبرونه في حالة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تعليل التخصيص مهما أمكن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مع الظهور والوضوح؟</w:t>
      </w:r>
    </w:p>
    <w:p>
      <w:pPr>
        <w:pStyle w:val="BookText"/>
        <w:rPr/>
      </w:pPr>
      <w:r>
        <w:rPr>
          <w:rFonts w:ascii="Amiri" w:hAnsi="Amiri" w:eastAsia="Amiri" w:cs="Amiri"/>
          <w:color w:val="111111"/>
          <w:sz w:val="28"/>
          <w:sz w:val="28"/>
          <w:szCs w:val="28"/>
          <w:rtl w:val="true"/>
          <w:lang w:bidi="ar-SA"/>
        </w:rPr>
        <w:t>وأمّا عن حجّة الرابع ؛ فلأنّها إنّما تتمّ في ما له مقدّر ، وأمّا غيره فإن اكتفوا فيه بمزيل التغيّر فأهلا بالوفاق ، وإلّا رددناهم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حجّة الخامس ؛ فلأنّهم لم يوجبوا نزح الجميع في غير المنصوص لوجود الدليل ، بل لانتفائه فلا يحصل يقين الطهارة إلّا به ، وقد علمت أنّ ما دلّ على حصول الطهارة بزوال التغيّر عام يتناول كلّ نجاسة ، فكيف يخصّ بعدم الدليل؟ بل التحقيق قلب المسألة كما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حجّة السادس فيعلم من الجواب عن حجّتي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حجّة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في حصول الطهارة بزوال التغيّر ونفي الزائد عنه ، وكذا صحيح أبي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صرنا إلى التخصيص بما يحصل معه استيفاء المقدّر لضرورة الجمع ، من حيث إنّ إيجاب نزح المقدّر مع عدم التغيّر يقتضي إيجابه معه على 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اندفعت المنافاة بهذا المقدّر من التخصيص لم يجز تجاوزه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بذلك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ما ذكر في حكم ما له 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جواب ما ذكر في حكم ما لا مقدّر له فيعلم ممّا قلناه في الجواب عن حجّة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زال التغيّر قبل النزح على وجه لم يحصل </w:t>
      </w:r>
      <w:r>
        <w:rPr>
          <w:rStyle w:val="FootnoteAnchor"/>
          <w:rtl w:val="true"/>
        </w:rPr>
        <w:footnoteReference w:id="660"/>
      </w:r>
      <w:r>
        <w:rPr>
          <w:rFonts w:ascii="Amiri" w:hAnsi="Amiri" w:eastAsia="Amiri" w:cs="Amiri"/>
          <w:color w:val="111111"/>
          <w:sz w:val="28"/>
          <w:sz w:val="28"/>
          <w:szCs w:val="28"/>
          <w:rtl w:val="true"/>
          <w:lang w:bidi="ar-SA"/>
        </w:rPr>
        <w:t xml:space="preserve">معه الطهارة وقلنا </w:t>
      </w:r>
      <w:r>
        <w:rPr>
          <w:rStyle w:val="FootnoteAnchor"/>
          <w:rtl w:val="true"/>
        </w:rPr>
        <w:footnoteReference w:id="661"/>
      </w:r>
      <w:r>
        <w:rPr>
          <w:rFonts w:ascii="Amiri" w:hAnsi="Amiri" w:eastAsia="Amiri" w:cs="Amiri"/>
          <w:color w:val="111111"/>
          <w:sz w:val="28"/>
          <w:sz w:val="28"/>
          <w:szCs w:val="28"/>
          <w:rtl w:val="true"/>
          <w:lang w:bidi="ar-SA"/>
        </w:rPr>
        <w:t xml:space="preserve">بالانفعال بالملاقاة ، ففي وجوب نزح الجميع حينئذ أو الاكتفاء بما يزول به التغيّر لو كان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العلّامة في التذكرة </w:t>
      </w:r>
      <w:r>
        <w:rPr>
          <w:rStyle w:val="FootnoteAnchor"/>
          <w:rtl w:val="true"/>
        </w:rPr>
        <w:footnoteReference w:id="662"/>
      </w:r>
      <w:r>
        <w:rPr>
          <w:rFonts w:ascii="Amiri" w:hAnsi="Amiri" w:eastAsia="Amiri" w:cs="Amiri"/>
          <w:color w:val="111111"/>
          <w:sz w:val="28"/>
          <w:sz w:val="28"/>
          <w:szCs w:val="28"/>
          <w:rtl w:val="true"/>
          <w:lang w:bidi="ar-SA"/>
        </w:rPr>
        <w:t xml:space="preserve">، واستشكله في النهاية والقواعد </w:t>
      </w:r>
      <w:r>
        <w:rPr>
          <w:rStyle w:val="FootnoteAnchor"/>
          <w:rtl w:val="true"/>
        </w:rPr>
        <w:footnoteReference w:id="663"/>
      </w:r>
      <w:r>
        <w:rPr>
          <w:rFonts w:ascii="Amiri" w:hAnsi="Amiri" w:eastAsia="Amiri" w:cs="Amiri"/>
          <w:color w:val="111111"/>
          <w:sz w:val="28"/>
          <w:sz w:val="28"/>
          <w:szCs w:val="28"/>
          <w:rtl w:val="true"/>
          <w:lang w:bidi="ar-SA"/>
        </w:rPr>
        <w:t xml:space="preserve">، وصحّحه ولده فخر المحقّقين في شرحه </w:t>
      </w:r>
      <w:r>
        <w:rPr>
          <w:rStyle w:val="FootnoteAnchor"/>
          <w:rtl w:val="true"/>
        </w:rPr>
        <w:footnoteReference w:id="664"/>
      </w:r>
      <w:r>
        <w:rPr>
          <w:rFonts w:ascii="Amiri" w:hAnsi="Amiri" w:eastAsia="Amiri" w:cs="Amiri"/>
          <w:color w:val="111111"/>
          <w:sz w:val="28"/>
          <w:sz w:val="28"/>
          <w:szCs w:val="28"/>
          <w:rtl w:val="true"/>
          <w:lang w:bidi="ar-SA"/>
        </w:rPr>
        <w:t xml:space="preserve">، وقوّاه الشهيد في الذكرى </w:t>
      </w:r>
      <w:r>
        <w:rPr>
          <w:rStyle w:val="FootnoteAnchor"/>
          <w:rtl w:val="true"/>
        </w:rPr>
        <w:footnoteReference w:id="665"/>
      </w:r>
      <w:r>
        <w:rPr>
          <w:rFonts w:ascii="Amiri" w:hAnsi="Amiri" w:eastAsia="Amiri" w:cs="Amiri"/>
          <w:color w:val="111111"/>
          <w:sz w:val="28"/>
          <w:sz w:val="28"/>
          <w:szCs w:val="28"/>
          <w:rtl w:val="true"/>
          <w:lang w:bidi="ar-SA"/>
        </w:rPr>
        <w:t>، ووافقهم عليه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الثاني ، وهو الظاهر من كلام الشهيد عليه الرحمة في البيان </w:t>
      </w:r>
      <w:r>
        <w:rPr>
          <w:rStyle w:val="FootnoteAnchor"/>
          <w:rtl w:val="true"/>
        </w:rPr>
        <w:footnoteReference w:id="666"/>
      </w:r>
      <w:r>
        <w:rPr>
          <w:rFonts w:ascii="Amiri" w:hAnsi="Amiri" w:eastAsia="Amiri" w:cs="Amiri"/>
          <w:color w:val="111111"/>
          <w:sz w:val="28"/>
          <w:sz w:val="28"/>
          <w:szCs w:val="28"/>
          <w:rtl w:val="true"/>
          <w:lang w:bidi="ar-SA"/>
        </w:rPr>
        <w:t>، واختيار والدي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بقاء التغيّر يكفي نزح القدر الذي يزول معه ، فلأن يكتفى بنزحه مع الزوال أولى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ماء محكوم بنجاسته ، وقد تعذّر ضابط تطهيره فيتوقّف الحكم </w:t>
      </w:r>
      <w:bookmarkStart w:id="410" w:name="pg8731_77201"/>
    </w:p>
    <w:p>
      <w:pPr>
        <w:pStyle w:val="BookText"/>
        <w:rPr/>
      </w:pPr>
      <w:bookmarkEnd w:id="410"/>
      <w:r>
        <w:rPr>
          <w:rFonts w:ascii="Amiri" w:hAnsi="Amiri" w:eastAsia="Amiri" w:cs="Amiri"/>
          <w:color w:val="111111"/>
          <w:sz w:val="28"/>
          <w:sz w:val="28"/>
          <w:szCs w:val="28"/>
          <w:rtl w:val="true"/>
          <w:lang w:bidi="ar-SA"/>
        </w:rPr>
        <w:t>بطهارته على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تعذّر الضابط مطلقا ؛ فإنّه يمكن في كثير من الصور أن يعلم المقدار الذي يزول معه التغيّر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العلم به في البعض توقّف الحكم بالطهارة حينئذ على نزح الجميع ؛ إذ لا سبيل إلى العلم بنزح القدر المطهّر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أيضا والدي رحمه‌اللّه فحكم بنزح الجميع مع عدم علم القدر واكتفى به حيث يعلم</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140145_653776707"/>
      <w:bookmarkStart w:id="412" w:name="_Toc147"/>
      <w:bookmarkEnd w:id="411"/>
      <w:r>
        <w:rPr>
          <w:rtl w:val="true"/>
        </w:rPr>
        <w:t xml:space="preserve">[ </w:t>
      </w:r>
      <w:r>
        <w:rPr>
          <w:rtl w:val="true"/>
        </w:rPr>
        <w:t xml:space="preserve">المسألة </w:t>
      </w:r>
      <w:r>
        <w:rPr>
          <w:rtl w:val="true"/>
        </w:rPr>
        <w:t xml:space="preserve">] </w:t>
      </w:r>
      <w:r>
        <w:rPr>
          <w:rtl w:val="true"/>
        </w:rPr>
        <w:t xml:space="preserve">الرابعة </w:t>
      </w:r>
      <w:r>
        <w:rPr>
          <w:rtl w:val="true"/>
        </w:rPr>
        <w:t>:</w:t>
      </w:r>
      <w:bookmarkEnd w:id="412"/>
    </w:p>
    <w:p>
      <w:pPr>
        <w:pStyle w:val="BookText"/>
        <w:rPr/>
      </w:pPr>
      <w:r>
        <w:rPr>
          <w:rFonts w:ascii="Amiri" w:hAnsi="Amiri" w:eastAsia="Amiri" w:cs="Amiri"/>
          <w:color w:val="111111"/>
          <w:sz w:val="28"/>
          <w:sz w:val="28"/>
          <w:szCs w:val="28"/>
          <w:rtl w:val="true"/>
          <w:lang w:bidi="ar-SA"/>
        </w:rPr>
        <w:t xml:space="preserve">اختلف أصحابنا في حكم غير المنصوص ، وهو كلّ نجاسة لم يرد بتقدير ما ينزح لها دليل ولو بالعموم ،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يقتضي نزح جميع الماء وإن قلنا بجواز أربعين دلوا منها ؛ لقولهم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أربعون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صارت مبخّرة كان سائغا ، غير أنّ الأحوط الأوّل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بعض الأصحاب المصير إلى القول بالأربعين أيضا ، كما ذهب إليه الشيخ ، وهو اختيار العلّامة في بعض كتبه </w:t>
      </w:r>
      <w:r>
        <w:rPr>
          <w:rStyle w:val="FootnoteAnchor"/>
          <w:rtl w:val="true"/>
        </w:rPr>
        <w:footnoteReference w:id="668"/>
      </w:r>
      <w:r>
        <w:rPr>
          <w:rFonts w:ascii="Amiri" w:hAnsi="Amiri" w:eastAsia="Amiri" w:cs="Amiri"/>
          <w:color w:val="111111"/>
          <w:sz w:val="28"/>
          <w:sz w:val="28"/>
          <w:szCs w:val="28"/>
          <w:rtl w:val="true"/>
          <w:lang w:bidi="ar-SA"/>
        </w:rPr>
        <w:t>، واستوجهه بعض مشايخنا المعاصرين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الشهيد رحمه‌اللّه في شرح الإرشاد عن السيّد جمال الدين أحمد بن طاوس ، أنّه اختار في كتاب البشرى نزح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الشهيد البأس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ابن إدريس وابن زهرة إلى وجوب نزح الجميع </w:t>
      </w:r>
      <w:r>
        <w:rPr>
          <w:rStyle w:val="FootnoteAnchor"/>
          <w:rtl w:val="true"/>
        </w:rPr>
        <w:footnoteReference w:id="670"/>
      </w:r>
      <w:r>
        <w:rPr>
          <w:rFonts w:ascii="Amiri" w:hAnsi="Amiri" w:eastAsia="Amiri" w:cs="Amiri"/>
          <w:color w:val="111111"/>
          <w:sz w:val="28"/>
          <w:sz w:val="28"/>
          <w:szCs w:val="28"/>
          <w:rtl w:val="true"/>
          <w:lang w:bidi="ar-SA"/>
        </w:rPr>
        <w:t>، واختاره أكثر المتأخّرين تفريعا على القول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إيجاب الأربعين فلم نقف له على حجّة وأكثر الأصحاب اعترفوا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ذكره الشيخ في المبسوط غير موجود في كتب الحديث ، فلا نعرف حال سنده ، مع أنّ في متنه قصورا أيضا ؛ لأنّ متعلّق نزح الأربعين غير مذكور ، والدلالة موقوفة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لبعض الأصحاب التشبّث في دفع الإشكالين بأنّ الشيخ رحمه‌اللّه ثقة ثبت فلا يضرّ إرساله ؛ لأنّه لا يرسل إلّا عن الثقات ، وأنّ الظاهر من احتجاجه به دلالة صدره المحذوف على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الضعف بمكان ؛ أمّا حديث الإرسال فظاهر وقد مضى البحث فيه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توجيه الدلالة ؛ فلأنّ احتجاج الشيخ به إنّما يدلّ على ظنّه لها ، وذلك غير كاف بالنسبة إلينا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الخطأ قائم في الظنون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بالثلاثين فظاهرهم الاستناد فيه إلى رواية كردويه السابقة في حكم وقوع ماء المطر المصاحب للنجاسات المخصوصة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ثلاثون دلوا وإن كانت مبخرة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أعلى اللّه مقامه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الشيخ كلامه في المبسوط واحتجاجه للأربعين بالحديث الذي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والنقل الذي ادّعاه الشيخ لم يصل إلينا ، وإنّما الذي بلغنا في هذا الباب حديث واحد ، وهو ما رواه </w:t>
      </w:r>
    </w:p>
    <w:p>
      <w:pPr>
        <w:pStyle w:val="BookText"/>
        <w:rPr/>
      </w:pPr>
      <w:r>
        <w:rPr>
          <w:rFonts w:ascii="Amiri" w:hAnsi="Amiri" w:eastAsia="Amiri" w:cs="Amiri"/>
          <w:color w:val="111111"/>
          <w:sz w:val="28"/>
          <w:sz w:val="28"/>
          <w:szCs w:val="28"/>
          <w:rtl w:val="true"/>
          <w:lang w:bidi="ar-SA"/>
        </w:rPr>
        <w:t xml:space="preserve">الحسين بن سعيد عن محمّد بن أبي عمير عن كردويه وذكر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وجوب الثلاثين ، أمّا الأربعون كما ادّعاه الشيخ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فكردويه لا أعرف حاله فإن كان ثقة فالحديث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الاستدلال للحكم بهذه الرواية عجيبا ؛ فإنّ نزح الثلاثين فيها معلّق بأشياء مخصوصة لو زال إشكال السند عنها لصارت تلك الأشياء من قبيل المنصوص ولم يكن من محلّ النزاع في شي‌ء ، وحيث إنّ الغرض منها إثبات نزح هذا المقدار لكلّ نجاسة لم يرد لها بخصوصها مقدّر ، فلا بدّ من جهة عموم يكون التناول باعتبارها ، وانتفاؤه ظاهر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يوجد في كلام بعض الأصحاب مناقشة العلّامة في هذا الكلام بأنّ الرواية المذكورة لو دلّت على المتنازع كان ما لا نصّ فيه منصوصا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مناقشة باردة ؛ إذ لا مانع من تخصيص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بما ورد النصّ بمقدّره معلّقا على نوع نجاسته أو ما في معناه ، وأن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التقدير فيه على الجنس أو على أزيد من نوع ؛ فإنّه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السند بكردويه ، فإنّه مجهول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العلّامة في النهاية جعلها حجّة القول بالأربعين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نسب الاحتجاج بها عليه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إنّما تدلّ على نزح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فالاستدلال بها لا يخلو من تعسّف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إيجاب نزح الجميع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محكوم بنجاسته فيتوقّف الحكم بالطهارة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ما دون الجميع دليل واضح ، فلا سبيل إلى العلم بالطهارة إلّا بنزح الجميع ؛ إذ معه يحصل 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التوجيه وجه ، غير أنّك قد علمت في مسألة التغيّر بالنجاسة أنّ صحيح محمّد بن إسماعيل بن بزيع يدلّ على طهر البئر مع التغيّر بالنزح إلى أن يزول من غير فرق بين نجاسة ونجاسة ؛ لما فيه من العموم ، وأنّ ضرورة الجمع بينه وبين ما دلّ على المقدّر في بعض الصور أوجبت تخصيصه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في غير المنصوص فباقية بحالها ، كما هو التحقيق في العام المخصوص ، وحينئذ يكون نزح الجميع له مطلقا مع التغيّر منتفيا وهو يقتضي نفيه مع عدم التغيّر بطريق أولى فيضعف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يرجّح بهذا الاعتبار القول بالأربعين لانحصار أقوال الأصحاب ظاهرا في الثلاثة ، وقد انتفى الجميع بهذا الحديث ، ولا دليل على الاجتزاء بالثلاثين ، فيتعيّن المصير إلى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استوجه بعض مشايخنا القول بالأربعين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استضعافه للحجّة المذكورة له في كلام الأصحاب ولم يذكر له حجّة ، واعتذر عن ذلك بالطول ، وأحسبه نظر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بمثله في إثبات الحكم نظر ؛ لتوقّفه على العلم بانحصار الأقوال في العدد المخصوص ، وحصوله عزيز ، والغالب في مثله عدم العلم بخلافها لا العلم بعدم الخلاف ، وبينهما فرق جليّ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والمتّجه عندي الاكتفاء بنزح ما يزيل التغيّر لو كان إن وجد إلى العلم به سبيل ، وإلّا 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بطريق التعيين على التقديرين ، بل لأنّ المقدار المطهّر غير معلوم ، ومع بلوغ أحدهما يعلم حصوله لاشتمال كلّ منهما عليه</w:t>
      </w:r>
      <w:r>
        <w:rPr>
          <w:rFonts w:eastAsia="Amiri" w:cs="Amiri" w:ascii="Amiri" w:hAnsi="Amiri"/>
          <w:color w:val="111111"/>
          <w:sz w:val="28"/>
          <w:szCs w:val="28"/>
          <w:rtl w:val="true"/>
          <w:lang w:bidi="ar-SA"/>
        </w:rPr>
        <w:t xml:space="preserve">. </w:t>
      </w:r>
      <w:bookmarkStart w:id="413" w:name="pg8731_77205"/>
    </w:p>
    <w:p>
      <w:pPr>
        <w:pStyle w:val="BookText"/>
        <w:rPr/>
      </w:pPr>
      <w:bookmarkEnd w:id="413"/>
      <w:r>
        <w:rPr>
          <w:rFonts w:ascii="Amiri" w:hAnsi="Amiri" w:eastAsia="Amiri" w:cs="Amiri"/>
          <w:color w:val="111111"/>
          <w:sz w:val="28"/>
          <w:sz w:val="28"/>
          <w:szCs w:val="28"/>
          <w:rtl w:val="true"/>
          <w:lang w:bidi="ar-SA"/>
        </w:rPr>
        <w:t xml:space="preserve">إذا عرفت هذا فاعلم أنّ المحقّق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 كلّ ما لم يقدّر له منزوح لا يجب فيه نزح </w:t>
      </w:r>
      <w:r>
        <w:rPr>
          <w:rStyle w:val="FootnoteAnchor"/>
          <w:rtl w:val="true"/>
        </w:rPr>
        <w:footnoteReference w:id="675"/>
      </w:r>
      <w:r>
        <w:rPr>
          <w:rFonts w:ascii="Amiri" w:hAnsi="Amiri" w:eastAsia="Amiri" w:cs="Amiri"/>
          <w:color w:val="111111"/>
          <w:sz w:val="28"/>
          <w:sz w:val="28"/>
          <w:szCs w:val="28"/>
          <w:rtl w:val="true"/>
          <w:lang w:bidi="ar-SA"/>
        </w:rPr>
        <w:t xml:space="preserve">؛ عملا برواية معاوية المتضمّنة قول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الثوب ولا تعاد الصلاة ممّا وقع في البئر إلّا أن ينتن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ماء البئر واسع لا يفسده شي‌ء إلّا أن يتغيّر ريحه أو طعمه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بالعموم فيخرج منه ما دلّت عليه النصوص بمنطوقها أو فحواها ويبقى الباقي داخلا تحت هذا العموم ، وهذا يتمّ لو قلنا أنّ النزح للتعبّد لا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حسن</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3140147_653776707"/>
      <w:bookmarkStart w:id="415" w:name="_Toc148"/>
      <w:bookmarkEnd w:id="414"/>
      <w:r>
        <w:rPr>
          <w:rtl w:val="true"/>
        </w:rPr>
        <w:t xml:space="preserve">[ </w:t>
      </w:r>
      <w:r>
        <w:rPr>
          <w:rtl w:val="true"/>
        </w:rPr>
        <w:t xml:space="preserve">المسألة </w:t>
      </w:r>
      <w:r>
        <w:rPr>
          <w:rtl w:val="true"/>
        </w:rPr>
        <w:t xml:space="preserve">] </w:t>
      </w:r>
      <w:r>
        <w:rPr>
          <w:rtl w:val="true"/>
        </w:rPr>
        <w:t xml:space="preserve">الخامسة </w:t>
      </w:r>
      <w:r>
        <w:rPr>
          <w:rtl w:val="true"/>
        </w:rPr>
        <w:t>:</w:t>
      </w:r>
      <w:bookmarkEnd w:id="415"/>
    </w:p>
    <w:p>
      <w:pPr>
        <w:pStyle w:val="Heading6"/>
        <w:numPr>
          <w:ilvl w:val="5"/>
          <w:numId w:val="1"/>
        </w:numPr>
        <w:rPr/>
      </w:pPr>
      <w:bookmarkStart w:id="416" w:name="__RefHeading___Toc3140149_653776707"/>
      <w:bookmarkStart w:id="417" w:name="_Toc149"/>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إذا تكثّرت النجاسة 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يتداخل النزح سواء كانت النجاسة متماثلة أو متغايرة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التماثل ؛ فلأنّ الحكم معلّق على الاسم المتناول للقليل والكثير لغة ، وأمّا مع التغاير ؛ فلأنّه بفعل الأكثر يمتثل الأمرين ، فيحصل الإجزاء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الأجناس مختلفة لم يتداخل النزح كالطير والإنسان ولو تساوى المنزوح كالكلب والسنّور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الجنس </w:t>
      </w:r>
    </w:p>
    <w:p>
      <w:pPr>
        <w:pStyle w:val="BookText"/>
        <w:rPr/>
      </w:pPr>
      <w:r>
        <w:rPr>
          <w:rFonts w:ascii="Amiri" w:hAnsi="Amiri" w:eastAsia="Amiri" w:cs="Amiri"/>
          <w:color w:val="111111"/>
          <w:sz w:val="28"/>
          <w:sz w:val="28"/>
          <w:szCs w:val="28"/>
          <w:rtl w:val="true"/>
          <w:lang w:bidi="ar-SA"/>
        </w:rPr>
        <w:t xml:space="preserve">واحدا ففي التداخل تردّد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من الجنس الواحد لا تتزايد إذ النجاسة الكلبيّة أو البوليّة موجودة في كلّ جزء ، فلا يتحقّق زيادة توجب زيادة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الواقع تؤثّر كثرة في مقدار النجاسة فتؤثّر شياعا في الماء زائدا ؛ ولهذا اختلف النزح بتعاظم الواقع وموته وإن كان ظاهرا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المتأخّرين منهم والدي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التداخل مطلقا </w:t>
      </w:r>
      <w:r>
        <w:rPr>
          <w:rStyle w:val="FootnoteAnchor"/>
          <w:rtl w:val="true"/>
        </w:rPr>
        <w:footnoteReference w:id="680"/>
      </w:r>
      <w:r>
        <w:rPr>
          <w:rFonts w:ascii="Amiri" w:hAnsi="Amiri" w:eastAsia="Amiri" w:cs="Amiri"/>
          <w:color w:val="111111"/>
          <w:sz w:val="28"/>
          <w:sz w:val="28"/>
          <w:szCs w:val="28"/>
          <w:rtl w:val="true"/>
          <w:lang w:bidi="ar-SA"/>
        </w:rPr>
        <w:t>؛ نظرا إلى أنّ الأصل في الأسباب أن تعمل عملها ولا تتداخل مسبّباتها ، وأنّ ظاهر الأدلّة في الأكثر تعليق الحكم بالفرد من الجنس ، فادّعاء تناول الاسم فيها للتعدّد مطلقا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دعوى حصول الامتثال في صورة التغاير بفعل الأكثر ، بل توجّه المنع إليها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واستثنوا من ذلك ما إذا حصل بالتكثّر في المتماثل </w:t>
      </w:r>
      <w:r>
        <w:rPr>
          <w:rStyle w:val="FootnoteAnchor"/>
          <w:rtl w:val="true"/>
        </w:rPr>
        <w:footnoteReference w:id="681"/>
      </w:r>
      <w:r>
        <w:rPr>
          <w:rFonts w:ascii="Amiri" w:hAnsi="Amiri" w:eastAsia="Amiri" w:cs="Amiri"/>
          <w:color w:val="111111"/>
          <w:sz w:val="28"/>
          <w:sz w:val="28"/>
          <w:szCs w:val="28"/>
          <w:rtl w:val="true"/>
          <w:lang w:bidi="ar-SA"/>
        </w:rPr>
        <w:t>انتقال إلى حال اخرى لها مقدّر ، كما إذا وقع دم قليل ثمّ وقع بعده ما يخرجه من القلّة إلى حدّ الكثرة فاكتفوا فيه بمنزوح الكثير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الشهيد رحمه‌اللّه في الاستثناء ما إذا كان التكثّر داخلا تحت الاسم كزيادة كثرة الدم فلا زيادة في القدر حينئذ ؛ لشمول الاسم وهو حسن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فاعلم أنّ الحكم على تقدير سعة ماء البئر لنزح المقادير المتعدّدة واضح</w:t>
      </w:r>
      <w:r>
        <w:rPr>
          <w:rFonts w:eastAsia="Amiri" w:cs="Amiri" w:ascii="Amiri" w:hAnsi="Amiri"/>
          <w:color w:val="111111"/>
          <w:sz w:val="28"/>
          <w:szCs w:val="28"/>
          <w:rtl w:val="true"/>
          <w:lang w:bidi="ar-SA"/>
        </w:rPr>
        <w:t xml:space="preserve">. </w:t>
      </w:r>
      <w:bookmarkStart w:id="418" w:name="pg8731_77207"/>
    </w:p>
    <w:p>
      <w:pPr>
        <w:pStyle w:val="BookText"/>
        <w:rPr/>
      </w:pPr>
      <w:bookmarkEnd w:id="418"/>
      <w:r>
        <w:rPr>
          <w:rFonts w:ascii="Amiri" w:hAnsi="Amiri" w:eastAsia="Amiri" w:cs="Amiri"/>
          <w:color w:val="111111"/>
          <w:sz w:val="28"/>
          <w:sz w:val="28"/>
          <w:szCs w:val="28"/>
          <w:rtl w:val="true"/>
          <w:lang w:bidi="ar-SA"/>
        </w:rPr>
        <w:t>وأمّا مع قصوره عنها فالظاهر الاكتفاء بنزح الجميع لأنّ به يتحقّق إخراج الماء المنفعل ، والحكم بالنزح إنّما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آت فيما لو زاد المقدّر الواحد عن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كان كلّ واحد من المتعدّد موجبا لنزح الجميع حصل التداخل واكتفي بنزحه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وقلنا بقيام التراوح مقام نزح الجميع حينئذ ، ففي الاكتفاء بتراوح اليوم للكلّ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 قائم مقام نزح الجميع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وقد فرض الاكتفاء في المبدل بالمرّة ، فكذا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الاكتفاء بالمرّة في المبدل إنّما هو لزوال متعلّق الحكم بالنزح أعني الماء المنفعل كما ذكرناه ، وذلك مفقود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ثبوت البدليّة المساواة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الوجه الأوّل بأنّ ظاهر أدلّة المنزوحات كون نزح الجميع أبعد غايات النزح عند ملاقاة النجاسات ، وقيام التراوح مقامه حينئذ يقتضي نفي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على كلام لأحد من الأصحاب</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140151_653776707"/>
      <w:bookmarkStart w:id="420" w:name="_Toc150"/>
      <w:bookmarkEnd w:id="419"/>
      <w:r>
        <w:rPr>
          <w:rtl w:val="true"/>
        </w:rPr>
        <w:t xml:space="preserve">فرع </w:t>
      </w:r>
      <w:r>
        <w:rPr>
          <w:rtl w:val="true"/>
        </w:rPr>
        <w:t>:</w:t>
      </w:r>
      <w:bookmarkEnd w:id="420"/>
    </w:p>
    <w:p>
      <w:pPr>
        <w:pStyle w:val="BookText"/>
        <w:rPr/>
      </w:pPr>
      <w:r>
        <w:rPr>
          <w:rFonts w:ascii="Amiri" w:hAnsi="Amiri" w:eastAsia="Amiri" w:cs="Amiri"/>
          <w:color w:val="111111"/>
          <w:sz w:val="28"/>
          <w:sz w:val="28"/>
          <w:szCs w:val="28"/>
          <w:rtl w:val="true"/>
          <w:lang w:bidi="ar-SA"/>
        </w:rPr>
        <w:t xml:space="preserve">قال الشهيد رحمه‌اللّه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الحامل إذا مات ، وذو الرجيع النجس كغيرهما ؛ إمّا لانضمام المخرج المانع من الدخول أو لإطلاق قدر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انفتح المخرج أو غيره تضاعف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متّجه ، غير أنّ اعتبار التعليل الثاني في الحيوان الحامل مشكل ؛ </w:t>
      </w:r>
      <w:bookmarkStart w:id="421" w:name="pg8731_77208"/>
    </w:p>
    <w:p>
      <w:pPr>
        <w:pStyle w:val="BookText"/>
        <w:rPr/>
      </w:pPr>
      <w:bookmarkEnd w:id="421"/>
      <w:r>
        <w:rPr>
          <w:rFonts w:ascii="Amiri" w:hAnsi="Amiri" w:eastAsia="Amiri" w:cs="Amiri"/>
          <w:color w:val="111111"/>
          <w:sz w:val="28"/>
          <w:sz w:val="28"/>
          <w:szCs w:val="28"/>
          <w:rtl w:val="true"/>
          <w:lang w:bidi="ar-SA"/>
        </w:rPr>
        <w:t xml:space="preserve">من حيث إنّ الإطلاق إنّما يجدي </w:t>
      </w:r>
      <w:r>
        <w:rPr>
          <w:rStyle w:val="FootnoteAnchor"/>
          <w:rtl w:val="true"/>
        </w:rPr>
        <w:footnoteReference w:id="683"/>
      </w:r>
      <w:r>
        <w:rPr>
          <w:rFonts w:ascii="Amiri" w:hAnsi="Amiri" w:eastAsia="Amiri" w:cs="Amiri"/>
          <w:color w:val="111111"/>
          <w:sz w:val="28"/>
          <w:sz w:val="28"/>
          <w:szCs w:val="28"/>
          <w:rtl w:val="true"/>
          <w:lang w:bidi="ar-SA"/>
        </w:rPr>
        <w:t>فيما يغلب لزومه لذي المقدّر كالرجيع الكائن في الجوف ، وليس الحمل منه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التعليل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اعتمد المحقّق رحمه‌اللّه في حكم ما إذا وقع في البئر ما لا يؤكل لحمه من الحيوان وخرج حيّا فإنّه حكم بعدم التنجيس به ، وعلّله بأنّ المخرج ينضمّ انضماما شديدا لشدّة حذره ، فلا يلقى الماء موضع النجاسة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في الحكم والتعليل العلّامة في المنتهى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تضمّنه التعليل من النظر إلى شدّة الحذر وإن كان لا يتأتّى في ما نحن فيه إلّا أنّ أصل الانضمام لا ريب في حصوله ، والوصول إلى الباطن غير معلوم</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140153_653776707"/>
      <w:bookmarkStart w:id="423" w:name="_Toc151"/>
      <w:bookmarkEnd w:id="422"/>
      <w:r>
        <w:rPr>
          <w:rtl w:val="true"/>
        </w:rPr>
        <w:t xml:space="preserve">[ </w:t>
      </w:r>
      <w:r>
        <w:rPr>
          <w:rtl w:val="true"/>
        </w:rPr>
        <w:t xml:space="preserve">المسألة </w:t>
      </w:r>
      <w:r>
        <w:rPr>
          <w:rtl w:val="true"/>
        </w:rPr>
        <w:t xml:space="preserve">] </w:t>
      </w:r>
      <w:r>
        <w:rPr>
          <w:rtl w:val="true"/>
        </w:rPr>
        <w:t xml:space="preserve">السادسة </w:t>
      </w:r>
      <w:r>
        <w:rPr>
          <w:rtl w:val="true"/>
        </w:rPr>
        <w:t>:</w:t>
      </w:r>
      <w:bookmarkEnd w:id="423"/>
    </w:p>
    <w:p>
      <w:pPr>
        <w:pStyle w:val="BookText"/>
        <w:rPr/>
      </w:pPr>
      <w:r>
        <w:rPr>
          <w:rFonts w:ascii="Amiri" w:hAnsi="Amiri" w:eastAsia="Amiri" w:cs="Amiri"/>
          <w:color w:val="111111"/>
          <w:sz w:val="28"/>
          <w:sz w:val="28"/>
          <w:szCs w:val="28"/>
          <w:rtl w:val="true"/>
          <w:lang w:bidi="ar-SA"/>
        </w:rPr>
        <w:t xml:space="preserve">ألحق جماعة من الأصحاب جزء الحيوان بكلّه في نزح مقدّره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واستشكله بعض ؛ نظرا إلى حصول المغايرة بين الجزء والكلّ ، فالحكم المتعلّق </w:t>
      </w:r>
      <w:r>
        <w:rPr>
          <w:rStyle w:val="FootnoteAnchor"/>
          <w:rtl w:val="true"/>
        </w:rPr>
        <w:footnoteReference w:id="687"/>
      </w:r>
      <w:r>
        <w:rPr>
          <w:rFonts w:ascii="Amiri" w:hAnsi="Amiri" w:eastAsia="Amiri" w:cs="Amiri"/>
          <w:color w:val="111111"/>
          <w:sz w:val="28"/>
          <w:sz w:val="28"/>
          <w:szCs w:val="28"/>
          <w:rtl w:val="true"/>
          <w:lang w:bidi="ar-SA"/>
        </w:rPr>
        <w:t>بأحدهما لا يتناول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ينبغي أن يكون حكمه حكم غير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جيّد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أنّ مقدّر الكلّ إن كان أقلّ من منزوح غير المنصوص اكتفي به للجزء ؛ لأنّ الاجتزاء به في الكلّ يقتضي الاجتزاء في الجزء بطريق أولى </w:t>
      </w:r>
      <w:bookmarkStart w:id="424" w:name="pg8731_77209"/>
    </w:p>
    <w:p>
      <w:pPr>
        <w:pStyle w:val="BookText"/>
        <w:rPr/>
      </w:pPr>
      <w:bookmarkEnd w:id="424"/>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المقدّر زائدا على القدر الذي ينزح لما لا نصّ فيه فالمتّجه عدم وجوب نزح الزائد ؛ لما ذكرنا من المغايرة المقتضية لعدم تناول الحكم المعلّق بأحدهما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وقوع الأجزاء كلّها في أكثر من دفعة كفى لها نزح مقدّر الجملة ، وإن أوجبناه للجزء فإنّها لا تخرج بذلك عن الاسم وقد علم في المسألة السابقة استثناء مثله في الحكم بعدم </w:t>
      </w:r>
      <w:r>
        <w:rPr>
          <w:rStyle w:val="FootnoteAnchor"/>
          <w:rtl w:val="true"/>
        </w:rPr>
        <w:footnoteReference w:id="688"/>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وجد جزءان فما زاد ولم يعلم كونهما من واحد قال الشهيد رحمه‌اللّه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الأجود التضاعف </w:t>
      </w:r>
      <w:r>
        <w:rPr>
          <w:rStyle w:val="FootnoteAnchor"/>
          <w:rtl w:val="true"/>
        </w:rPr>
        <w:footnoteReference w:id="689"/>
      </w:r>
      <w:r>
        <w:rPr>
          <w:rFonts w:ascii="Amiri" w:hAnsi="Amiri" w:eastAsia="Amiri" w:cs="Amiri"/>
          <w:color w:val="111111"/>
          <w:sz w:val="28"/>
          <w:sz w:val="28"/>
          <w:szCs w:val="28"/>
          <w:rtl w:val="true"/>
          <w:lang w:bidi="ar-SA"/>
        </w:rPr>
        <w:t xml:space="preserve">، وهو مبني على القول بالإلحاق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نزح أقلّ الأمرين من المقدّر للكلّ من كلّ منهما ومن منزوح غير المنصوص كما قلنا في الفرض الأوّل</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140155_653776707"/>
      <w:bookmarkStart w:id="426" w:name="_Toc152"/>
      <w:bookmarkEnd w:id="425"/>
      <w:r>
        <w:rPr>
          <w:rtl w:val="true"/>
        </w:rPr>
        <w:t xml:space="preserve">[ </w:t>
      </w:r>
      <w:r>
        <w:rPr>
          <w:rtl w:val="true"/>
        </w:rPr>
        <w:t xml:space="preserve">المسألة </w:t>
      </w:r>
      <w:r>
        <w:rPr>
          <w:rtl w:val="true"/>
        </w:rPr>
        <w:t xml:space="preserve">] </w:t>
      </w:r>
      <w:r>
        <w:rPr>
          <w:rtl w:val="true"/>
        </w:rPr>
        <w:t xml:space="preserve">السابعة </w:t>
      </w:r>
      <w:r>
        <w:rPr>
          <w:rtl w:val="true"/>
        </w:rPr>
        <w:t>:</w:t>
      </w:r>
      <w:bookmarkEnd w:id="4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وجب نزح قدر معيّن فنزح الدلو الأوّل ثمّ صبّ فيها فالذي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نزح ما زاد على العدد ؛ عملا بالأصل ، ولأنّه لم تزد </w:t>
      </w:r>
      <w:r>
        <w:rPr>
          <w:rStyle w:val="FootnoteAnchor"/>
          <w:rtl w:val="true"/>
        </w:rPr>
        <w:footnoteReference w:id="690"/>
      </w:r>
      <w:r>
        <w:rPr>
          <w:rFonts w:ascii="Amiri" w:hAnsi="Amiri" w:eastAsia="Amiri" w:cs="Amiri"/>
          <w:color w:val="111111"/>
          <w:sz w:val="28"/>
          <w:sz w:val="28"/>
          <w:szCs w:val="28"/>
          <w:rtl w:val="true"/>
          <w:lang w:bidi="ar-SA"/>
        </w:rPr>
        <w:t>النجاسة بالنزح والإلقاء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القي الدلو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القي الدلو الأخير بعد انفصاله عنها فالوجه دخوله تحت النجاسة التي لم يرد فيها نصّ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ذكره من الفرق بين انصباب الأخير وغيره إشكال ؛ لأنّ المقتضي لإلحاق الأخير بما لا نصّ فيه كونه ماء نجسا لاقى البئر فانفعل عنه كغيره من أنواع المنجّسات ولم يرد له مقدّر ، فيكون من أفراد غير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جار في الأوّل والأوسط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البئر نجسا فيهما طاهرا في الأخير لا يصلح فارقا ؛ لأنّهم لا يرتابون في أنّ ثبوت الانفعال بنوع من أسبابه لا يمنع من تأثير سبب آخر فيه ، حتّى القائلين بالتداخل عند التعدّد فإنّهم أوجبوا نزح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سبق الانفعال مانعا من تأثير السبب الثاني لاقتصروا على منزوح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ضعف التمسّك في نفي وجوب الزائد على العدد بالأصل ، وأنّ ادّعاء عدم زيادة النجاسة بالنزح والإلقاء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بحدوثها إذا وقع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سوّى الشهيد رحمه‌اللّه بين الجميع في عدم وجوب شي‌ء سوى إعادة مثل الواقع ، فقال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انصبّ الدلو بأسره اعيد مثله في الأصحّ وإن كان الأخير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البيان نحوه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بما قرّرناه ضعفه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مدار الحكم هنا على انصباب ما يزيد عن القدر المعتاد </w:t>
      </w:r>
      <w:bookmarkStart w:id="427" w:name="pg8731_77211"/>
    </w:p>
    <w:p>
      <w:pPr>
        <w:pStyle w:val="BookText"/>
        <w:rPr/>
      </w:pPr>
      <w:bookmarkEnd w:id="427"/>
      <w:r>
        <w:rPr>
          <w:rFonts w:ascii="Amiri" w:hAnsi="Amiri" w:eastAsia="Amiri" w:cs="Amiri"/>
          <w:color w:val="111111"/>
          <w:sz w:val="28"/>
          <w:sz w:val="28"/>
          <w:szCs w:val="28"/>
          <w:rtl w:val="true"/>
          <w:lang w:bidi="ar-SA"/>
        </w:rPr>
        <w:t>تساقطه حال النزح وإن لم يستوعب مجموع الدلو ؛ لتحقّق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وإن لم يتعرّض لذلك فقد أشار إليه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يزيد عن العادة من المتساقط وقت النزح من الدلو فلا ريب في العفو عنه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140157_653776707"/>
      <w:bookmarkStart w:id="429" w:name="_Toc153"/>
      <w:bookmarkEnd w:id="428"/>
      <w:r>
        <w:rPr>
          <w:rtl w:val="true"/>
        </w:rPr>
        <w:t xml:space="preserve">[ </w:t>
      </w:r>
      <w:r>
        <w:rPr>
          <w:rtl w:val="true"/>
        </w:rPr>
        <w:t xml:space="preserve">المسألة </w:t>
      </w:r>
      <w:r>
        <w:rPr>
          <w:rtl w:val="true"/>
        </w:rPr>
        <w:t xml:space="preserve">] </w:t>
      </w:r>
      <w:r>
        <w:rPr>
          <w:rtl w:val="true"/>
        </w:rPr>
        <w:t xml:space="preserve">الثامنة </w:t>
      </w:r>
      <w:r>
        <w:rPr>
          <w:rtl w:val="true"/>
        </w:rPr>
        <w:t>:</w:t>
      </w:r>
      <w:bookmarkEnd w:id="429"/>
    </w:p>
    <w:p>
      <w:pPr>
        <w:pStyle w:val="Heading6"/>
        <w:numPr>
          <w:ilvl w:val="5"/>
          <w:numId w:val="1"/>
        </w:numPr>
        <w:rPr/>
      </w:pPr>
      <w:bookmarkStart w:id="430" w:name="__RefHeading___Toc3140159_653776707"/>
      <w:bookmarkStart w:id="431" w:name="_Toc154"/>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لو القي دلو من المنزوح في بئر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وجوب منزوحه يعني ما يجب للنجاسة التي هو بعض منزوحها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هذا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التجاوز عن قدر الواجب في تلك النجاسة سواء الأوّل والأخير وما بينهما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واستوجه في المنتهى إلحاقه بغير المنصوص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واستقرب في التحرير الإلحاق به إن زاد منزوح تلك النجاسة على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بناه على القول بنزحها لغير المنصوص حيث لم يظهر منه المصير إليه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الخلاف جار فيما لو انصبّ في البئر المنزوحة وقلنا بوجوب النزح </w:t>
      </w:r>
      <w:bookmarkStart w:id="432" w:name="pg8731_77212"/>
    </w:p>
    <w:p>
      <w:pPr>
        <w:pStyle w:val="BookText"/>
        <w:rPr/>
      </w:pPr>
      <w:bookmarkEnd w:id="432"/>
      <w:r>
        <w:rPr>
          <w:rFonts w:ascii="Amiri" w:hAnsi="Amiri" w:eastAsia="Amiri" w:cs="Amiri"/>
          <w:color w:val="111111"/>
          <w:sz w:val="28"/>
          <w:sz w:val="28"/>
          <w:szCs w:val="28"/>
          <w:rtl w:val="true"/>
          <w:lang w:bidi="ar-SA"/>
        </w:rPr>
        <w:t xml:space="preserve">له ، وفي انصباب الأخير فيها </w:t>
      </w:r>
      <w:r>
        <w:rPr>
          <w:rStyle w:val="FootnoteAnchor"/>
          <w:rtl w:val="true"/>
        </w:rPr>
        <w:footnoteReference w:id="696"/>
      </w:r>
      <w:r>
        <w:rPr>
          <w:rFonts w:ascii="Amiri" w:hAnsi="Amiri" w:eastAsia="Amiri" w:cs="Amiri"/>
          <w:color w:val="111111"/>
          <w:sz w:val="28"/>
          <w:sz w:val="28"/>
          <w:szCs w:val="28"/>
          <w:rtl w:val="true"/>
          <w:lang w:bidi="ar-SA"/>
        </w:rPr>
        <w:t>عند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شرّك بينهما في الحكم في الكتب الفقهيّة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نزح أقلّ الأمرين من مقدّر </w:t>
      </w:r>
      <w:r>
        <w:rPr>
          <w:rStyle w:val="FootnoteAnchor"/>
          <w:rtl w:val="true"/>
        </w:rPr>
        <w:footnoteReference w:id="697"/>
      </w:r>
      <w:r>
        <w:rPr>
          <w:rFonts w:ascii="Amiri" w:hAnsi="Amiri" w:eastAsia="Amiri" w:cs="Amiri"/>
          <w:color w:val="111111"/>
          <w:sz w:val="28"/>
          <w:sz w:val="28"/>
          <w:szCs w:val="28"/>
          <w:rtl w:val="true"/>
          <w:lang w:bidi="ar-SA"/>
        </w:rPr>
        <w:t>النجاسة المقتضية للنزح ومنزوح غير المنصوص على حسب ما يترجّح فيه ؛ لنحو ما مرّ في حكم الجزء ؛ فإنّ الاكتفاء بالمقدّر لتلك النجاسة إذا كان هو الأقلّ يقتضي الاكتفاء به للمتنجّس بها بطريق أولى ؛ لأنّه أضعف حكما منها كالجزء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الأقلّ منزوح غير المنصوص فلأنّ النجاسة مغايرة للمتنجّس بها قطعا فالدليل الدالّ على وجوب المقدّر لها لا يتناوله فيتوقّف إيجاب الزيادة له على الدليل</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140161_653776707"/>
      <w:bookmarkStart w:id="434" w:name="_Toc155"/>
      <w:bookmarkEnd w:id="433"/>
      <w:r>
        <w:rPr>
          <w:rtl w:val="true"/>
        </w:rPr>
        <w:t xml:space="preserve">فرعان </w:t>
      </w:r>
      <w:r>
        <w:rPr>
          <w:rtl w:val="true"/>
        </w:rPr>
        <w:t>:</w:t>
      </w:r>
      <w:bookmarkEnd w:id="434"/>
    </w:p>
    <w:p>
      <w:pPr>
        <w:pStyle w:val="Heading6"/>
        <w:numPr>
          <w:ilvl w:val="5"/>
          <w:numId w:val="1"/>
        </w:numPr>
        <w:rPr/>
      </w:pPr>
      <w:bookmarkStart w:id="435" w:name="__RefHeading___Toc3140163_653776707"/>
      <w:bookmarkStart w:id="436" w:name="_Toc156"/>
      <w:bookmarkEnd w:id="435"/>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436"/>
    </w:p>
    <w:p>
      <w:pPr>
        <w:pStyle w:val="BookText"/>
        <w:rPr/>
      </w:pPr>
      <w:r>
        <w:rPr>
          <w:rFonts w:ascii="Amiri" w:hAnsi="Amiri" w:eastAsia="Amiri" w:cs="Amiri"/>
          <w:color w:val="111111"/>
          <w:sz w:val="28"/>
          <w:sz w:val="28"/>
          <w:szCs w:val="28"/>
          <w:rtl w:val="true"/>
          <w:lang w:bidi="ar-SA"/>
        </w:rPr>
        <w:t>لو كان الواقع جميع الماء المنزوح فهو كما لو وقع الدلو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التسوية بينهما الشهيد في البيان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يستبعد من حيث إنّ ملاقاته لماء البئر تؤثّر فيه انفعالا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بنزح مقدّر النجاسة حينئذ يقتضي الاقتصار على نزح المقدار الواقع فيلزم طهر المنفعل من دون نزح شي‌ء منه</w:t>
      </w:r>
      <w:r>
        <w:rPr>
          <w:rFonts w:eastAsia="Amiri" w:cs="Amiri" w:ascii="Amiri" w:hAnsi="Amiri"/>
          <w:color w:val="111111"/>
          <w:sz w:val="28"/>
          <w:szCs w:val="28"/>
          <w:rtl w:val="true"/>
          <w:lang w:bidi="ar-SA"/>
        </w:rPr>
        <w:t xml:space="preserve">. </w:t>
      </w:r>
      <w:bookmarkStart w:id="437" w:name="pg8731_77213"/>
    </w:p>
    <w:p>
      <w:pPr>
        <w:pStyle w:val="BookText"/>
        <w:rPr/>
      </w:pPr>
      <w:bookmarkEnd w:id="437"/>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الواقع إذا شاع في أجزاء البئر صار من جملتها ، ويتناوله حكمها وإن كان </w:t>
      </w:r>
      <w:r>
        <w:rPr>
          <w:rStyle w:val="FootnoteAnchor"/>
          <w:rtl w:val="true"/>
        </w:rPr>
        <w:footnoteReference w:id="699"/>
      </w:r>
      <w:r>
        <w:rPr>
          <w:rFonts w:ascii="Amiri" w:hAnsi="Amiri" w:eastAsia="Amiri" w:cs="Amiri"/>
          <w:color w:val="111111"/>
          <w:sz w:val="28"/>
          <w:sz w:val="28"/>
          <w:szCs w:val="28"/>
          <w:rtl w:val="true"/>
          <w:lang w:bidi="ar-SA"/>
        </w:rPr>
        <w:t>عين نجاسة ؛ فإنّها بالاستهلاك تدخل في مسمّى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كثيرا من المقادير التي ينزح لوقوع أعيان النجاسات حيث يستهلك لا ينفكّ عن أجزاء منها مستهلكة في الماء ، وقد اكتفي بها في طهر الباقي ، ولم يتوقّف على كون المنزوح زائدا على القدر المعتبر بمثل </w:t>
      </w:r>
      <w:r>
        <w:rPr>
          <w:rStyle w:val="FootnoteAnchor"/>
          <w:rtl w:val="true"/>
        </w:rPr>
        <w:footnoteReference w:id="700"/>
      </w:r>
      <w:r>
        <w:rPr>
          <w:rFonts w:ascii="Amiri" w:hAnsi="Amiri" w:eastAsia="Amiri" w:cs="Amiri"/>
          <w:color w:val="111111"/>
          <w:sz w:val="28"/>
          <w:sz w:val="28"/>
          <w:szCs w:val="28"/>
          <w:rtl w:val="true"/>
          <w:lang w:bidi="ar-SA"/>
        </w:rPr>
        <w:t>مقدار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140165_653776707"/>
      <w:bookmarkStart w:id="439" w:name="_Toc157"/>
      <w:bookmarkEnd w:id="438"/>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439"/>
    </w:p>
    <w:p>
      <w:pPr>
        <w:pStyle w:val="BookText"/>
        <w:rPr/>
      </w:pPr>
      <w:r>
        <w:rPr>
          <w:rFonts w:ascii="Amiri" w:hAnsi="Amiri" w:eastAsia="Amiri" w:cs="Amiri"/>
          <w:color w:val="111111"/>
          <w:sz w:val="28"/>
          <w:sz w:val="28"/>
          <w:szCs w:val="28"/>
          <w:rtl w:val="true"/>
          <w:lang w:bidi="ar-SA"/>
        </w:rPr>
        <w:t xml:space="preserve">ذكر العلّامة في التحرير والشهيد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وقع المنزوح له ومادّة المنزوح في الطاهرة تداخل النزح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العلّامة جيّد ؛ لأنّه يرى التداخل مع التكثّر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الشهيد فمشكل ؛ لأنّه نفي التداخل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وافقهما على التداخل هنا الشيخ علي في بعض فوائده </w:t>
      </w:r>
      <w:r>
        <w:rPr>
          <w:rStyle w:val="FootnoteAnchor"/>
          <w:rtl w:val="true"/>
        </w:rPr>
        <w:footnoteReference w:id="702"/>
      </w:r>
      <w:r>
        <w:rPr>
          <w:rFonts w:ascii="Amiri" w:hAnsi="Amiri" w:eastAsia="Amiri" w:cs="Amiri"/>
          <w:color w:val="111111"/>
          <w:sz w:val="28"/>
          <w:sz w:val="28"/>
          <w:szCs w:val="28"/>
          <w:rtl w:val="true"/>
          <w:lang w:bidi="ar-SA"/>
        </w:rPr>
        <w:t>مع أنّه ممّن يرى عدم التداخل عند التكثّر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الحكم هنا بأنّ الواقع نجاسة واحدة في الحقيقة فلا يتعدّد منزوحها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المنع إليه ظاهر ؛ فإنّ أحدهما منجّس والآخر نجاسة ، وكلّ منهما يؤثّر الانفعال لو انفرد وهو معترف به أيضا فحكمه بالتداخل مصير إلى القول بالتداخل من حيث لا يعلم</w:t>
      </w:r>
      <w:r>
        <w:rPr>
          <w:rFonts w:eastAsia="Amiri" w:cs="Amiri" w:ascii="Amiri" w:hAnsi="Amiri"/>
          <w:color w:val="111111"/>
          <w:sz w:val="28"/>
          <w:szCs w:val="28"/>
          <w:rtl w:val="true"/>
          <w:lang w:bidi="ar-SA"/>
        </w:rPr>
        <w:t xml:space="preserve">. </w:t>
      </w:r>
      <w:bookmarkStart w:id="440" w:name="pg8731_77214"/>
    </w:p>
    <w:p>
      <w:pPr>
        <w:pStyle w:val="Heading6"/>
        <w:numPr>
          <w:ilvl w:val="5"/>
          <w:numId w:val="1"/>
        </w:numPr>
        <w:rPr/>
      </w:pPr>
      <w:bookmarkStart w:id="441" w:name="__RefHeading___Toc3140167_653776707"/>
      <w:bookmarkStart w:id="442" w:name="_Toc158"/>
      <w:bookmarkEnd w:id="440"/>
      <w:bookmarkEnd w:id="441"/>
      <w:r>
        <w:rPr>
          <w:rtl w:val="true"/>
        </w:rPr>
        <w:t xml:space="preserve">[ </w:t>
      </w:r>
      <w:r>
        <w:rPr>
          <w:rtl w:val="true"/>
        </w:rPr>
        <w:t xml:space="preserve">المسألة </w:t>
      </w:r>
      <w:r>
        <w:rPr>
          <w:rtl w:val="true"/>
        </w:rPr>
        <w:t xml:space="preserve">] </w:t>
      </w:r>
      <w:r>
        <w:rPr>
          <w:rtl w:val="true"/>
        </w:rPr>
        <w:t xml:space="preserve">التاسعة </w:t>
      </w:r>
      <w:r>
        <w:rPr>
          <w:rtl w:val="true"/>
        </w:rPr>
        <w:t>:</w:t>
      </w:r>
      <w:bookmarkEnd w:id="442"/>
    </w:p>
    <w:p>
      <w:pPr>
        <w:pStyle w:val="BookText"/>
        <w:rPr/>
      </w:pPr>
      <w:r>
        <w:rPr>
          <w:rFonts w:ascii="Amiri" w:hAnsi="Amiri" w:eastAsia="Amiri" w:cs="Amiri"/>
          <w:color w:val="111111"/>
          <w:sz w:val="28"/>
          <w:sz w:val="28"/>
          <w:szCs w:val="28"/>
          <w:rtl w:val="true"/>
          <w:lang w:bidi="ar-SA"/>
        </w:rPr>
        <w:t>تطهير البئر بغور مائها فإذا عاد بعد ذلك فهو طاهر لا يجب له 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بأنّ المقتضي للطهارة ذهاب الماء وهو يحصل بالغور ، كما يحصل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w:t>
      </w:r>
      <w:r>
        <w:rPr>
          <w:rStyle w:val="FootnoteAnchor"/>
          <w:rtl w:val="true"/>
        </w:rPr>
        <w:footnoteReference w:id="703"/>
      </w:r>
      <w:r>
        <w:rPr>
          <w:rFonts w:ascii="Amiri" w:hAnsi="Amiri" w:eastAsia="Amiri" w:cs="Amiri"/>
          <w:color w:val="111111"/>
          <w:sz w:val="28"/>
          <w:sz w:val="28"/>
          <w:szCs w:val="28"/>
          <w:rtl w:val="true"/>
          <w:lang w:bidi="ar-SA"/>
        </w:rPr>
        <w:t>كون العائد هو الغائر ، فالأصل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النزح لم يتعلّق بالبئر بل بمائها المحكوم بنجاسته ولا نعلم وجوده والحال هذه فلا يجب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قالوه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بعض من حكم بالطهارة هنا وسقوط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نفاها إذا اجريت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النزح حينئذ مع أنّ التوجيه المذكور هنا جار بعينه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عنه بحصول الجزم بأنّ الآتي غير الذاهب ، فإنّ الجريان يذهب الموجود قطعا وما يأتي بعده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الحكم بالنزح معلّق بالبئر </w:t>
      </w:r>
      <w:r>
        <w:rPr>
          <w:rStyle w:val="FootnoteAnchor"/>
          <w:rtl w:val="true"/>
        </w:rPr>
        <w:footnoteReference w:id="705"/>
      </w:r>
      <w:r>
        <w:rPr>
          <w:rFonts w:ascii="Amiri" w:hAnsi="Amiri" w:eastAsia="Amiri" w:cs="Amiri"/>
          <w:color w:val="111111"/>
          <w:sz w:val="28"/>
          <w:sz w:val="28"/>
          <w:szCs w:val="28"/>
          <w:rtl w:val="true"/>
          <w:lang w:bidi="ar-SA"/>
        </w:rPr>
        <w:t>، والإجراء يخرجها عن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النزح في الصورتين ، والحكم بطهارة الماء الجديد في الحالين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نافي الحكم في صورة الإجراء يريد به إجراء لا يعلم معه ذهاب الماء المحكوم بنجاسته ومع ذلك فلا أراه يسلم من المناقشة</w:t>
      </w:r>
      <w:r>
        <w:rPr>
          <w:rFonts w:eastAsia="Amiri" w:cs="Amiri" w:ascii="Amiri" w:hAnsi="Amiri"/>
          <w:color w:val="111111"/>
          <w:sz w:val="28"/>
          <w:szCs w:val="28"/>
          <w:rtl w:val="true"/>
          <w:lang w:bidi="ar-SA"/>
        </w:rPr>
        <w:t xml:space="preserve">. </w:t>
      </w:r>
      <w:bookmarkStart w:id="443" w:name="pg8731_77215"/>
    </w:p>
    <w:p>
      <w:pPr>
        <w:pStyle w:val="Heading6"/>
        <w:numPr>
          <w:ilvl w:val="5"/>
          <w:numId w:val="1"/>
        </w:numPr>
        <w:rPr/>
      </w:pPr>
      <w:bookmarkStart w:id="444" w:name="__RefHeading___Toc3140169_653776707"/>
      <w:bookmarkStart w:id="445" w:name="_Toc159"/>
      <w:bookmarkEnd w:id="443"/>
      <w:bookmarkEnd w:id="444"/>
      <w:r>
        <w:rPr>
          <w:rtl w:val="true"/>
        </w:rPr>
        <w:t xml:space="preserve">[ </w:t>
      </w:r>
      <w:r>
        <w:rPr>
          <w:rtl w:val="true"/>
        </w:rPr>
        <w:t xml:space="preserve">المسألة </w:t>
      </w:r>
      <w:r>
        <w:rPr>
          <w:rtl w:val="true"/>
        </w:rPr>
        <w:t xml:space="preserve">] </w:t>
      </w:r>
      <w:r>
        <w:rPr>
          <w:rtl w:val="true"/>
        </w:rPr>
        <w:t xml:space="preserve">العاشرة </w:t>
      </w:r>
      <w:r>
        <w:rPr>
          <w:rtl w:val="true"/>
        </w:rPr>
        <w:t>:</w:t>
      </w:r>
      <w:bookmarkEnd w:id="445"/>
    </w:p>
    <w:p>
      <w:pPr>
        <w:pStyle w:val="Heading6"/>
        <w:numPr>
          <w:ilvl w:val="5"/>
          <w:numId w:val="1"/>
        </w:numPr>
        <w:rPr/>
      </w:pPr>
      <w:bookmarkStart w:id="446" w:name="__RefHeading___Toc3140171_653776707"/>
      <w:bookmarkStart w:id="447" w:name="_Toc160"/>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يجب إخراج النجاسة قبل الشروع في النزح إذا كان لها مقدّر وكانت عينها باقية وقلنا بالانفعال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ظاهر ؛ فإنّ الملاقاة الموجبة للنزح المقدّر تبقى ما بقيت العين ، فلا يظهر للنزح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غير المقدّر لفقد العلّة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140173_653776707"/>
      <w:bookmarkStart w:id="449" w:name="_Toc161"/>
      <w:bookmarkEnd w:id="448"/>
      <w:r>
        <w:rPr>
          <w:rtl w:val="true"/>
        </w:rPr>
        <w:t xml:space="preserve">فرع </w:t>
      </w:r>
      <w:r>
        <w:rPr>
          <w:rtl w:val="true"/>
        </w:rPr>
        <w:t>:</w:t>
      </w:r>
      <w:bookmarkEnd w:id="449"/>
    </w:p>
    <w:p>
      <w:pPr>
        <w:pStyle w:val="BookText"/>
        <w:rPr/>
      </w:pPr>
      <w:r>
        <w:rPr>
          <w:rFonts w:ascii="Amiri" w:hAnsi="Amiri" w:eastAsia="Amiri" w:cs="Amiri"/>
          <w:color w:val="111111"/>
          <w:sz w:val="28"/>
          <w:sz w:val="28"/>
          <w:szCs w:val="28"/>
          <w:rtl w:val="true"/>
          <w:lang w:bidi="ar-SA"/>
        </w:rPr>
        <w:t xml:space="preserve">قال الشهيد رحمه‌اللّه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سقط</w:t>
      </w:r>
      <w:r>
        <w:rPr>
          <w:rStyle w:val="FootnoteAnchor"/>
          <w:rtl w:val="true"/>
        </w:rPr>
        <w:footnoteReference w:id="706"/>
      </w:r>
      <w:r>
        <w:rPr>
          <w:rFonts w:ascii="Amiri" w:hAnsi="Amiri" w:eastAsia="Amiri" w:cs="Amiri"/>
          <w:color w:val="111111"/>
          <w:sz w:val="28"/>
          <w:sz w:val="28"/>
          <w:szCs w:val="28"/>
          <w:rtl w:val="true"/>
          <w:lang w:bidi="ar-SA"/>
        </w:rPr>
        <w:t>الشعر في الماء نزح حتّى يظنّ خروجه إن كان شعر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الخروج استوعب ، فإن تعذّر لم يكف التراوح ما دام الشعر ؛ لقيام النجاسة والنزح بعد خروجها أو استحالتها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تفتّت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شعر طاهر العين أمكن اللحاق ؛ لمجاورته النجس مع الرطوبة ، وعدمه ؛ لطهارته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هذه المسألة على فتيا لمن سبق منّا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جيّد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رجحان اللحاق في شعر طاهر العين ، فيتوقّف التطهير على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في الدروس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50" w:name="pg8731_77216"/>
    </w:p>
    <w:p>
      <w:pPr>
        <w:pStyle w:val="Heading6"/>
        <w:numPr>
          <w:ilvl w:val="5"/>
          <w:numId w:val="1"/>
        </w:numPr>
        <w:rPr/>
      </w:pPr>
      <w:bookmarkStart w:id="451" w:name="__RefHeading___Toc3140175_653776707"/>
      <w:bookmarkStart w:id="452" w:name="_Toc162"/>
      <w:bookmarkEnd w:id="450"/>
      <w:bookmarkEnd w:id="451"/>
      <w:r>
        <w:rPr>
          <w:rtl w:val="true"/>
        </w:rPr>
        <w:t xml:space="preserve">[ </w:t>
      </w:r>
      <w:r>
        <w:rPr>
          <w:rtl w:val="true"/>
        </w:rPr>
        <w:t xml:space="preserve">المسألة </w:t>
      </w:r>
      <w:r>
        <w:rPr>
          <w:rtl w:val="true"/>
        </w:rPr>
        <w:t xml:space="preserve">] </w:t>
      </w:r>
      <w:r>
        <w:rPr>
          <w:rtl w:val="true"/>
        </w:rPr>
        <w:t xml:space="preserve">الحادية عشرة </w:t>
      </w:r>
      <w:r>
        <w:rPr>
          <w:rtl w:val="true"/>
        </w:rPr>
        <w:t>:</w:t>
      </w:r>
      <w:bookmarkEnd w:id="452"/>
    </w:p>
    <w:p>
      <w:pPr>
        <w:pStyle w:val="BookText"/>
        <w:rPr/>
      </w:pPr>
      <w:r>
        <w:rPr>
          <w:rFonts w:ascii="Amiri" w:hAnsi="Amiri" w:eastAsia="Amiri" w:cs="Amiri"/>
          <w:color w:val="111111"/>
          <w:sz w:val="28"/>
          <w:sz w:val="28"/>
          <w:szCs w:val="28"/>
          <w:rtl w:val="true"/>
          <w:lang w:bidi="ar-SA"/>
        </w:rPr>
        <w:t>لا يعتبر في النزح النيّة ؛ لأنّه بمنزلة إزالة النجاسة ، ولأنّ اعتبارها على خلاف الأصل ، فيحتاج إلى دليل ،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الاتّفاق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النازح البلوغ ، ولا الإسلام ، فيجوز أن يتولّاه الصبيّ والكافر إذا لم تصل مباشرته إلى الماء ، ولا الذكوريّة ، بل ولا الإنسانيّة ، فيجزي نحو الدالية والسائية </w:t>
      </w:r>
      <w:r>
        <w:rPr>
          <w:rStyle w:val="FootnoteAnchor"/>
          <w:rtl w:val="true"/>
        </w:rPr>
        <w:footnoteReference w:id="709"/>
      </w:r>
      <w:r>
        <w:rPr>
          <w:rFonts w:ascii="Amiri" w:hAnsi="Amiri" w:eastAsia="Amiri" w:cs="Amiri"/>
          <w:color w:val="111111"/>
          <w:sz w:val="28"/>
          <w:sz w:val="28"/>
          <w:szCs w:val="28"/>
          <w:rtl w:val="true"/>
          <w:lang w:bidi="ar-SA"/>
        </w:rPr>
        <w:t>؛ 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غير التراوح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ينجس النازح ما يلاقيه من الماء المنزوح على القول بنجاسته؟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الشهيد في أكثر كتبه بالعدم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الذكرى بعدم أمر الشارع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الدلو والرشا </w:t>
      </w:r>
      <w:r>
        <w:rPr>
          <w:rStyle w:val="FootnoteAnchor"/>
          <w:rtl w:val="true"/>
        </w:rPr>
        <w:footnoteReference w:id="711"/>
      </w:r>
      <w:r>
        <w:rPr>
          <w:rFonts w:ascii="Amiri" w:hAnsi="Amiri" w:eastAsia="Amiri" w:cs="Amiri"/>
          <w:color w:val="111111"/>
          <w:sz w:val="28"/>
          <w:sz w:val="28"/>
          <w:szCs w:val="28"/>
          <w:rtl w:val="true"/>
          <w:lang w:bidi="ar-SA"/>
        </w:rPr>
        <w:t>فلا يجب غسلهما بعد الانتهاء ، وهو ممّا لا يعرف فيه خلاف بين الأصحاب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المحقّق في المعتبر الحكم في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يتعرّض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نجسا لم يسكت عنه الشرع ، وبأنّ استحباب الزيادة في النزح ثابت </w:t>
      </w:r>
      <w:bookmarkStart w:id="453" w:name="pg8731_77217"/>
    </w:p>
    <w:p>
      <w:pPr>
        <w:pStyle w:val="BookText"/>
        <w:rPr/>
      </w:pPr>
      <w:bookmarkEnd w:id="453"/>
      <w:r>
        <w:rPr>
          <w:rFonts w:ascii="Amiri" w:hAnsi="Amiri" w:eastAsia="Amiri" w:cs="Amiri"/>
          <w:color w:val="111111"/>
          <w:sz w:val="28"/>
          <w:sz w:val="28"/>
          <w:szCs w:val="28"/>
          <w:rtl w:val="true"/>
          <w:lang w:bidi="ar-SA"/>
        </w:rPr>
        <w:t xml:space="preserve">في بعض الموارد وهو يدلّ على عدم النجاسة وإلّا لتنجّس ماء البئر عند الزيادة قبل غسلها ، والمعلوم من عادة الشرع خلافه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في هذا التوجيه العلّامة في المنتهى </w:t>
      </w:r>
      <w:r>
        <w:rPr>
          <w:rStyle w:val="FootnoteAnchor"/>
          <w:rtl w:val="true"/>
        </w:rPr>
        <w:footnoteReference w:id="713"/>
      </w:r>
      <w:r>
        <w:rPr>
          <w:rFonts w:ascii="Amiri" w:hAnsi="Amiri" w:eastAsia="Amiri" w:cs="Amiri"/>
          <w:color w:val="111111"/>
          <w:sz w:val="28"/>
          <w:sz w:val="28"/>
          <w:szCs w:val="28"/>
          <w:rtl w:val="true"/>
          <w:lang w:bidi="ar-SA"/>
        </w:rPr>
        <w:t xml:space="preserve">، والشهيد في الذكرى </w:t>
      </w:r>
      <w:r>
        <w:rPr>
          <w:rStyle w:val="FootnoteAnchor"/>
          <w:rtl w:val="true"/>
        </w:rPr>
        <w:footnoteReference w:id="714"/>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جوانب البئر فأولى بعدم النجاسة بما يصيبها من ماء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في المعتبر بلزوم المشقّة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المنتهى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على طهارة الحماة </w:t>
      </w:r>
      <w:r>
        <w:rPr>
          <w:rStyle w:val="FootnoteAnchor"/>
          <w:rtl w:val="true"/>
        </w:rPr>
        <w:footnoteReference w:id="717"/>
      </w:r>
      <w:r>
        <w:rPr>
          <w:rFonts w:ascii="IRNazanin" w:hAnsi="IRNazanin" w:eastAsia="IRNazanin"/>
          <w:color w:val="111111"/>
          <w:sz w:val="28"/>
          <w:sz w:val="28"/>
          <w:szCs w:val="28"/>
          <w:rtl w:val="true"/>
          <w:lang w:bidi="fa-IR"/>
        </w:rPr>
        <w:t>والجدران</w:t>
      </w:r>
      <w:r>
        <w:rPr>
          <w:rFonts w:eastAsia="IRNazanin" w:cs="IRNazanin"/>
          <w:color w:val="111111"/>
          <w:sz w:val="28"/>
          <w:szCs w:val="28"/>
          <w:rtl w:val="true"/>
          <w:lang w:bidi="fa-IR"/>
        </w:rPr>
        <w:t>.</w:t>
      </w:r>
    </w:p>
    <w:p>
      <w:pPr>
        <w:pStyle w:val="Heading6"/>
        <w:numPr>
          <w:ilvl w:val="5"/>
          <w:numId w:val="1"/>
        </w:numPr>
        <w:rPr/>
      </w:pPr>
      <w:bookmarkStart w:id="454" w:name="__RefHeading___Toc3140177_653776707"/>
      <w:bookmarkStart w:id="455" w:name="_Toc163"/>
      <w:bookmarkEnd w:id="454"/>
      <w:r>
        <w:rPr>
          <w:rtl w:val="true"/>
        </w:rPr>
        <w:t xml:space="preserve">[ </w:t>
      </w:r>
      <w:r>
        <w:rPr>
          <w:rtl w:val="true"/>
        </w:rPr>
        <w:t xml:space="preserve">المسألة </w:t>
      </w:r>
      <w:r>
        <w:rPr>
          <w:rtl w:val="true"/>
        </w:rPr>
        <w:t xml:space="preserve">] </w:t>
      </w:r>
      <w:r>
        <w:rPr>
          <w:rtl w:val="true"/>
        </w:rPr>
        <w:t xml:space="preserve">الثانية عشرة </w:t>
      </w:r>
      <w:r>
        <w:rPr>
          <w:rtl w:val="true"/>
        </w:rPr>
        <w:t>:</w:t>
      </w:r>
      <w:bookmarkEnd w:id="4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 في الدلو إلى العادة ؛ إذ لم يثبت للشرع فيها حقيقة لو قلنا بالحقايق الشرعيّة ، ولا عرف لزمانه فيها عرف ليحمل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مثله عند انتفاء الأمرين الرجوع إلى العرف الموجود إن لم يخالف وضع اللغة الثابت ، وإلّا كان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منتف في ما نحن فيه ، فيرجع فيه إلى ما يصدق عليه الاسم في العرف الآن صغيرا كان أو كبيرا</w:t>
      </w:r>
      <w:r>
        <w:rPr>
          <w:rFonts w:eastAsia="Amiri" w:cs="Amiri" w:ascii="Amiri" w:hAnsi="Amiri"/>
          <w:color w:val="111111"/>
          <w:sz w:val="28"/>
          <w:szCs w:val="28"/>
          <w:rtl w:val="true"/>
          <w:lang w:bidi="ar-SA"/>
        </w:rPr>
        <w:t xml:space="preserve">. </w:t>
      </w:r>
      <w:bookmarkStart w:id="456" w:name="pg8731_77218"/>
    </w:p>
    <w:p>
      <w:pPr>
        <w:pStyle w:val="BookText"/>
        <w:rPr/>
      </w:pPr>
      <w:bookmarkEnd w:id="456"/>
      <w:r>
        <w:rPr>
          <w:rFonts w:ascii="Amiri" w:hAnsi="Amiri" w:eastAsia="Amiri" w:cs="Amiri"/>
          <w:color w:val="111111"/>
          <w:sz w:val="28"/>
          <w:sz w:val="28"/>
          <w:szCs w:val="28"/>
          <w:rtl w:val="true"/>
          <w:lang w:bidi="ar-SA"/>
        </w:rPr>
        <w:t xml:space="preserve">ولو اعتيد في تلك البئر نوع فالأجود الاقتصار عليه بعد تحقّق صدق الاسم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اكتفى بالمعتاد عليها ، وإن كان نحو آنية الفخار إذا كان ممّا يستقي به الإنسان في البلد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جدّا ؛ لأنّ تعليق الحكم على الدلو يقتضي الوقوف مع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صدقه على نحو الآنية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المعتاد ولم يغلب البعض فالأصغر مجز والأكبر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غلب فهو أولى </w:t>
      </w:r>
      <w:r>
        <w:rPr>
          <w:rStyle w:val="FootnoteAnchor"/>
          <w:rtl w:val="true"/>
        </w:rPr>
        <w:footnoteReference w:id="718"/>
      </w:r>
      <w:r>
        <w:rPr>
          <w:rFonts w:ascii="IRNazanin" w:hAnsi="IRNazanin" w:eastAsia="IRNazanin"/>
          <w:color w:val="111111"/>
          <w:sz w:val="28"/>
          <w:sz w:val="28"/>
          <w:szCs w:val="28"/>
          <w:rtl w:val="true"/>
          <w:lang w:bidi="fa-IR"/>
        </w:rPr>
        <w:t>على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ويعزى إلى بعض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بالدلو الهجرية </w:t>
      </w:r>
      <w:r>
        <w:rPr>
          <w:rStyle w:val="FootnoteAnchor"/>
          <w:rtl w:val="true"/>
        </w:rPr>
        <w:footnoteReference w:id="719"/>
      </w:r>
      <w:r>
        <w:rPr>
          <w:rFonts w:ascii="IRNazanin" w:hAnsi="IRNazanin" w:eastAsia="IRNazanin"/>
          <w:color w:val="111111"/>
          <w:sz w:val="28"/>
          <w:sz w:val="28"/>
          <w:szCs w:val="28"/>
          <w:rtl w:val="true"/>
          <w:lang w:bidi="fa-IR"/>
        </w:rPr>
        <w:t>وأنّ وزنها ثلاثون 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آخر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وزنها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المأخذ</w:t>
      </w:r>
      <w:r>
        <w:rPr>
          <w:rFonts w:eastAsia="IRNazanin" w:cs="IRNazanin"/>
          <w:color w:val="111111"/>
          <w:sz w:val="28"/>
          <w:szCs w:val="28"/>
          <w:rtl w:val="true"/>
          <w:lang w:bidi="fa-IR"/>
        </w:rPr>
        <w:t>.</w:t>
      </w:r>
    </w:p>
    <w:p>
      <w:pPr>
        <w:pStyle w:val="Heading6"/>
        <w:numPr>
          <w:ilvl w:val="5"/>
          <w:numId w:val="1"/>
        </w:numPr>
        <w:rPr/>
      </w:pPr>
      <w:bookmarkStart w:id="457" w:name="__RefHeading___Toc3140179_653776707"/>
      <w:bookmarkStart w:id="458" w:name="_Toc164"/>
      <w:bookmarkEnd w:id="457"/>
      <w:r>
        <w:rPr>
          <w:rtl w:val="true"/>
        </w:rPr>
        <w:t xml:space="preserve">[ </w:t>
      </w:r>
      <w:r>
        <w:rPr>
          <w:rtl w:val="true"/>
        </w:rPr>
        <w:t xml:space="preserve">المسألة </w:t>
      </w:r>
      <w:r>
        <w:rPr>
          <w:rtl w:val="true"/>
        </w:rPr>
        <w:t xml:space="preserve">] </w:t>
      </w:r>
      <w:r>
        <w:rPr>
          <w:rtl w:val="true"/>
        </w:rPr>
        <w:t xml:space="preserve">الثالثة عشرة </w:t>
      </w:r>
      <w:r>
        <w:rPr>
          <w:rtl w:val="true"/>
        </w:rPr>
        <w:t>:</w:t>
      </w:r>
      <w:bookmarkEnd w:id="458"/>
    </w:p>
    <w:p>
      <w:pPr>
        <w:pStyle w:val="BookText"/>
        <w:rPr/>
      </w:pPr>
      <w:r>
        <w:rPr>
          <w:rFonts w:ascii="Amiri" w:hAnsi="Amiri" w:eastAsia="Amiri" w:cs="Amiri"/>
          <w:color w:val="111111"/>
          <w:sz w:val="28"/>
          <w:sz w:val="28"/>
          <w:szCs w:val="28"/>
          <w:rtl w:val="true"/>
          <w:lang w:bidi="ar-SA"/>
        </w:rPr>
        <w:t>لا يعتبر الدلو في النزح لإزالة التغيّر ، ولا في نزح الجميع ؛ إذ الغرض في الموضعين إخراج الماء ، وهو يصدق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نزح الكرّ حيث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ذلك جماعة من الأصحاب في النزح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العلّة في الجميع واحدة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يجب له مقدّر معدود ففي تعيّن نزحه بالدلو أو جواز إخراجه بآلة كبيرة تسع العدد خلاف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المحقّق في المعتبر </w:t>
      </w:r>
      <w:r>
        <w:rPr>
          <w:rStyle w:val="FootnoteAnchor"/>
          <w:rtl w:val="true"/>
        </w:rPr>
        <w:footnoteReference w:id="720"/>
      </w:r>
      <w:r>
        <w:rPr>
          <w:rFonts w:ascii="Amiri" w:hAnsi="Amiri" w:eastAsia="Amiri" w:cs="Amiri"/>
          <w:color w:val="111111"/>
          <w:sz w:val="28"/>
          <w:sz w:val="28"/>
          <w:szCs w:val="28"/>
          <w:rtl w:val="true"/>
          <w:lang w:bidi="ar-SA"/>
        </w:rPr>
        <w:t xml:space="preserve">، والعلّامة في المنتهى والتحرير </w:t>
      </w:r>
      <w:r>
        <w:rPr>
          <w:rStyle w:val="FootnoteAnchor"/>
          <w:rtl w:val="true"/>
        </w:rPr>
        <w:footnoteReference w:id="721"/>
      </w:r>
      <w:r>
        <w:rPr>
          <w:rFonts w:ascii="Amiri" w:hAnsi="Amiri" w:eastAsia="Amiri" w:cs="Amiri"/>
          <w:color w:val="111111"/>
          <w:sz w:val="28"/>
          <w:sz w:val="28"/>
          <w:szCs w:val="28"/>
          <w:rtl w:val="true"/>
          <w:lang w:bidi="ar-SA"/>
        </w:rPr>
        <w:t xml:space="preserve">، والشهيد في الدروس والبيان إلى الأوّل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 جماعة من المتأخّرين ، منهم والدي رحمه‌اللّه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أكثر كتبه </w:t>
      </w:r>
      <w:r>
        <w:rPr>
          <w:rStyle w:val="FootnoteAnchor"/>
          <w:rtl w:val="true"/>
        </w:rPr>
        <w:footnoteReference w:id="724"/>
      </w:r>
      <w:r>
        <w:rPr>
          <w:rFonts w:ascii="Amiri" w:hAnsi="Amiri" w:eastAsia="Amiri" w:cs="Amiri"/>
          <w:color w:val="111111"/>
          <w:sz w:val="28"/>
          <w:sz w:val="28"/>
          <w:szCs w:val="28"/>
          <w:rtl w:val="true"/>
          <w:lang w:bidi="ar-SA"/>
        </w:rPr>
        <w:t xml:space="preserve">، والشهيد في الذكرى بالثاني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مشايخنا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وردت بالعدد ، ولعلّ الحكمة متعلّقة به ، فيتوقّف الحكم بقيام غيره مقامه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الأمر بالنزح وارد على الماء ، والدلاء مقدار ، فيكون القدر هو المراد وتقييده بالعدد لانضباطه وظهوره ، بخلاف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الغرض من النزح إخراج الماء من حدّ الواقف إلى كونه جاريا جريانا يزيل </w:t>
      </w:r>
      <w:r>
        <w:rPr>
          <w:rStyle w:val="FootnoteAnchor"/>
          <w:rtl w:val="true"/>
        </w:rPr>
        <w:footnoteReference w:id="726"/>
      </w:r>
      <w:r>
        <w:rPr>
          <w:rFonts w:ascii="Amiri" w:hAnsi="Amiri" w:eastAsia="Amiri" w:cs="Amiri"/>
          <w:color w:val="111111"/>
          <w:sz w:val="28"/>
          <w:sz w:val="28"/>
          <w:szCs w:val="28"/>
          <w:rtl w:val="true"/>
          <w:lang w:bidi="ar-SA"/>
        </w:rPr>
        <w:t>التأثير الحاصل عن النجاسة ، ويفيده التطهير ، ولذلك اختلف فيه التقدير لاختلاف النجاسات بقوّة التأثير وضعفه ، وتفاوت الآبار بسعة المجاري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الغرض يحصل بإخراج المقدار المعيّن بأيّ وجه اتّفق</w:t>
      </w:r>
      <w:r>
        <w:rPr>
          <w:rFonts w:eastAsia="Amiri" w:cs="Amiri" w:ascii="Amiri" w:hAnsi="Amiri"/>
          <w:color w:val="111111"/>
          <w:sz w:val="28"/>
          <w:szCs w:val="28"/>
          <w:rtl w:val="true"/>
          <w:lang w:bidi="ar-SA"/>
        </w:rPr>
        <w:t xml:space="preserve">. </w:t>
      </w:r>
      <w:bookmarkStart w:id="459" w:name="pg8731_77220"/>
    </w:p>
    <w:p>
      <w:pPr>
        <w:pStyle w:val="BookText"/>
        <w:rPr/>
      </w:pPr>
      <w:bookmarkEnd w:id="459"/>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كون النزح واردا على الماء وأنّ الدلاء مقدار ، ولكن نمنع كون المراد إخراج القدر مطلقا ؛ لأنّ الأوامر وردت بطريق خاص واتّباعها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الغرض من النزح الإجراء إلّا أنّ طرقه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إنّما وردت ببعض معيّن منها ، فإلحاق غيره به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الفارق ربّما كان موجودا من حيث إنّ تكرار النزح موجب لكثرة اضطراب الماء وتموّجه وهو مقتض لاستهلاك أجزاء النجاسة الشائعة فيه فيكون سببا لطيبه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الحكمة في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ذلك لا يحصل مع الإخراج دفعة أو ما في معناها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140181_653776707"/>
      <w:bookmarkStart w:id="461" w:name="_Toc165"/>
      <w:bookmarkEnd w:id="460"/>
      <w:r>
        <w:rPr>
          <w:rtl w:val="true"/>
        </w:rPr>
        <w:t xml:space="preserve">[ </w:t>
      </w:r>
      <w:r>
        <w:rPr>
          <w:rtl w:val="true"/>
        </w:rPr>
        <w:t xml:space="preserve">المسألة </w:t>
      </w:r>
      <w:r>
        <w:rPr>
          <w:rtl w:val="true"/>
        </w:rPr>
        <w:t xml:space="preserve">] </w:t>
      </w:r>
      <w:r>
        <w:rPr>
          <w:rtl w:val="true"/>
        </w:rPr>
        <w:t xml:space="preserve">الرابعة عشرة </w:t>
      </w:r>
      <w:r>
        <w:rPr>
          <w:rtl w:val="true"/>
        </w:rPr>
        <w:t>:</w:t>
      </w:r>
      <w:bookmarkEnd w:id="461"/>
    </w:p>
    <w:p>
      <w:pPr>
        <w:pStyle w:val="Heading6"/>
        <w:numPr>
          <w:ilvl w:val="5"/>
          <w:numId w:val="1"/>
        </w:numPr>
        <w:rPr/>
      </w:pPr>
      <w:bookmarkStart w:id="462" w:name="__RefHeading___Toc3140183_653776707"/>
      <w:bookmarkStart w:id="463" w:name="_Toc166"/>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لا ينجس البئر بالبالوعة وإن تقاربتا ، إلّا أن يعلم وصول نجاستها إلى الماء بناء على القول بالانفعال أو بتغيّرها بها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في ذلك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مع الأصل رواية محمّد بن القاسم 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البئر يكون بينها وبين الكنيف خمسة وأقلّ وأكثر 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يكره من قرب ولا بعد ، يتوضّأ منها ويغتسل ما لم يتغيّر الماء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نزلنا في دار فيها بئر إلى جنبها بالوعة ليس بينهما إلّا نحو من ذراعين ، فامتنعوا من الوضوء منها فشقّ ذلك عليهم ، فدخلنا على </w:t>
      </w:r>
    </w:p>
    <w:p>
      <w:pPr>
        <w:pStyle w:val="BookText"/>
        <w:rPr/>
      </w:pPr>
      <w:r>
        <w:rPr>
          <w:rFonts w:ascii="Amiri" w:hAnsi="Amiri" w:eastAsia="Amiri" w:cs="Amiri"/>
          <w:color w:val="111111"/>
          <w:sz w:val="28"/>
          <w:sz w:val="28"/>
          <w:szCs w:val="28"/>
          <w:rtl w:val="true"/>
          <w:lang w:bidi="ar-SA"/>
        </w:rPr>
        <w:t xml:space="preserve">أبي عبد اللّه عليه‌السلام فأخبرناه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توضّئوا منها ، فإنّ لتلك البالوعة مجاري تصبّ في وادي ينصبّ في البحر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بخلاف هذا روايات رواها زرارة ومحمّد بن مسلم وأبو بصير في الحسن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يجري البول قريبا منها ، أينجّسها؟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البئر في أعلى الوادي والوادي يجري فيه البول من تحتها وكان بينهما قدر ثلاث أذرع أو أربع أذرع لم ينجس ذلك شي‌ء وإن كان أقلّ من ذلك نجّسها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البئر في أسفل الوادي ويمرّ </w:t>
      </w:r>
      <w:r>
        <w:rPr>
          <w:rStyle w:val="FootnoteAnchor"/>
          <w:rtl w:val="true"/>
        </w:rPr>
        <w:footnoteReference w:id="729"/>
      </w:r>
      <w:r>
        <w:rPr>
          <w:rFonts w:ascii="Amiri" w:hAnsi="Amiri" w:eastAsia="Amiri" w:cs="Amiri"/>
          <w:color w:val="111111"/>
          <w:sz w:val="28"/>
          <w:sz w:val="28"/>
          <w:szCs w:val="28"/>
          <w:rtl w:val="true"/>
          <w:lang w:bidi="ar-SA"/>
        </w:rPr>
        <w:t>الماء عليها وكان بين البئر وبينه تسع أذرع لم ينجّسها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أقلّ من ذلك فلا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مجرى البول يلصقها وكان لا يثبت 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قرار فليس به بأس ، وإن استقرّ فيه قليل فإنّه لا يثقب الأرض ولا قعر له حتّى يبلغ البئر وليس على البئر منه بأس ، فتوضّأ منه إنّما ذلك إذا استنقع كلّه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بظاهرها من جهات متعدّدة على حصول التنجيس بالتقارب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إنّما يتمّ على القول بالانفعال بالملاقاة وقد بيّنا أنّ التحقيق خلافه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ولكنّ الاتّفاق واقع من القائلين بالانفعال على عدم التنجيس بالتقارب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العلّامة في المنتهى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464" w:name="pg8731_77222"/>
    </w:p>
    <w:p>
      <w:pPr>
        <w:pStyle w:val="BookText"/>
        <w:rPr/>
      </w:pPr>
      <w:bookmarkEnd w:id="464"/>
      <w:r>
        <w:rPr>
          <w:rFonts w:ascii="Amiri" w:hAnsi="Amiri" w:eastAsia="Amiri" w:cs="Amiri"/>
          <w:color w:val="111111"/>
          <w:sz w:val="28"/>
          <w:sz w:val="28"/>
          <w:szCs w:val="28"/>
          <w:rtl w:val="true"/>
          <w:lang w:bidi="ar-SA"/>
        </w:rPr>
        <w:t xml:space="preserve">وقد طعن فيها بعض الأصحاب بأنّ رواتها لم يسندوها إلى إمام فيجوز أن يكون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وإن كان مرجوحا إلّا أنّه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أنّ نفتح للدخل فيها غير هذا الباب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سوقها كونها مفروضة في محلّ يكثر ورود النجاسة عليه ونظنّ فيه النفوذ ، وما هذا شأنه لا يبعد إفضاؤه مع القرب إلى تغيير الماء لا سيّما إذا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الحكم بالتنجيس حينئذ ناظر إلى شهادة القرائن بأن يكون جريان البول في مثله يفضي إلى حصول التغيّر في أوصاف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ورود النجاسة على المحلّ مع القرب يثمر ظنّ الوصول إلى الماء في الجملة ، بل ربّما حصل معه العلم بقرينة الحال وهو موجب للاستقذار ، ولا ريب في مرجوحيّة الاستعمال معه قبل النزح فيكون الحكم بالتنجيس والنهي عن الاستعمال محمولين على غير الحقيقة ، وهو جائز لضرورة الجمع ؛ فإنّ الأدلّة السابقة الدالّة على نفي النجاسة عن البئر بدون التغيّر معارضة له وهي أوضح دلالة وأقوى أسنادا ، فارتكاب التأويل هنا أولى</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3140185_653776707"/>
      <w:bookmarkStart w:id="466" w:name="_Toc167"/>
      <w:bookmarkEnd w:id="465"/>
      <w:r>
        <w:rPr>
          <w:rtl w:val="true"/>
        </w:rPr>
        <w:t xml:space="preserve">فرع </w:t>
      </w:r>
      <w:r>
        <w:rPr>
          <w:rtl w:val="true"/>
        </w:rPr>
        <w:t>:</w:t>
      </w:r>
      <w:bookmarkEnd w:id="46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ماء البئر تغيّرا يصلح أن يكون من البالوعة ففي نجاسته تردّد ؛ لاحتمال أن يكون منها وإن بعد ، والأحوط التطهير ؛ لأنّ سبب النجاسة قد وجد فلا يحال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ظاهر لا قاطع والطهارة في الأصل متيقّنة فلا تزال بالظنّ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467" w:name="pg8731_77223"/>
    </w:p>
    <w:p>
      <w:pPr>
        <w:pStyle w:val="BookText"/>
        <w:rPr/>
      </w:pPr>
      <w:bookmarkEnd w:id="467"/>
      <w:r>
        <w:rPr>
          <w:rFonts w:ascii="Amiri" w:hAnsi="Amiri" w:eastAsia="Amiri" w:cs="Amiri"/>
          <w:color w:val="111111"/>
          <w:sz w:val="28"/>
          <w:sz w:val="28"/>
          <w:szCs w:val="28"/>
          <w:rtl w:val="true"/>
          <w:lang w:bidi="ar-SA"/>
        </w:rPr>
        <w:t xml:space="preserve">وجزم العلّامة في المنتهى ببقائه على الطهارة </w:t>
      </w:r>
      <w:r>
        <w:rPr>
          <w:rStyle w:val="FootnoteAnchor"/>
          <w:rtl w:val="true"/>
        </w:rPr>
        <w:footnoteReference w:id="733"/>
      </w:r>
      <w:r>
        <w:rPr>
          <w:rFonts w:ascii="Amiri" w:hAnsi="Amiri" w:eastAsia="Amiri" w:cs="Amiri"/>
          <w:color w:val="111111"/>
          <w:sz w:val="28"/>
          <w:sz w:val="28"/>
          <w:szCs w:val="28"/>
          <w:rtl w:val="true"/>
          <w:lang w:bidi="ar-SA"/>
        </w:rPr>
        <w:t xml:space="preserve">، وقوّاه الشهيد في الذكرى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عدم النجاسة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والحكم كما قال</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140187_653776707"/>
      <w:bookmarkStart w:id="469" w:name="_Toc168"/>
      <w:bookmarkEnd w:id="468"/>
      <w:r>
        <w:rPr>
          <w:rtl w:val="true"/>
        </w:rPr>
        <w:t xml:space="preserve">[ </w:t>
      </w:r>
      <w:r>
        <w:rPr>
          <w:rtl w:val="true"/>
        </w:rPr>
        <w:t xml:space="preserve">المسألة </w:t>
      </w:r>
      <w:r>
        <w:rPr>
          <w:rtl w:val="true"/>
        </w:rPr>
        <w:t xml:space="preserve">] </w:t>
      </w:r>
      <w:r>
        <w:rPr>
          <w:rtl w:val="true"/>
        </w:rPr>
        <w:t xml:space="preserve">الخامسة عشرة </w:t>
      </w:r>
      <w:r>
        <w:rPr>
          <w:rtl w:val="true"/>
        </w:rPr>
        <w:t>:</w:t>
      </w:r>
      <w:bookmarkEnd w:id="469"/>
    </w:p>
    <w:p>
      <w:pPr>
        <w:pStyle w:val="BookText"/>
        <w:rPr/>
      </w:pPr>
      <w:r>
        <w:rPr>
          <w:rFonts w:ascii="Amiri" w:hAnsi="Amiri" w:eastAsia="Amiri" w:cs="Amiri"/>
          <w:color w:val="111111"/>
          <w:sz w:val="28"/>
          <w:sz w:val="28"/>
          <w:szCs w:val="28"/>
          <w:rtl w:val="true"/>
          <w:lang w:bidi="ar-SA"/>
        </w:rPr>
        <w:t>المشهور بين الأصحاب استحباب التباعد بين البئر والبالوعة بمقدار خمس أذرع إن كانت البئر فوق البالوعة ، أو كانت الأرض صلبة ، وإلّا فسبع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جماعة منهم باعتبار الفوقيّة بالجهة حيث يستوي القراران بناء على أنّ جهة الشمال أعلى فحكموا بفوقيّة ما يكون فيها منهما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ابن الجنيد في التقدير فقال في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استحبّ الطهارة من بئر يكون بئر النجاسة </w:t>
      </w:r>
      <w:r>
        <w:rPr>
          <w:rStyle w:val="FootnoteAnchor"/>
          <w:rtl w:val="true"/>
        </w:rPr>
        <w:footnoteReference w:id="736"/>
      </w:r>
      <w:r>
        <w:rPr>
          <w:rFonts w:ascii="Amiri" w:hAnsi="Amiri" w:eastAsia="Amiri" w:cs="Amiri"/>
          <w:color w:val="111111"/>
          <w:sz w:val="28"/>
          <w:sz w:val="28"/>
          <w:szCs w:val="28"/>
          <w:rtl w:val="true"/>
          <w:lang w:bidi="ar-SA"/>
        </w:rPr>
        <w:t>التي يستقرّ فيها من أعلاها في مجرى الوادي إلّا إذا كان بينهما في الأرض الرخوة اثنتا عشرة ذراعا وفي الأرض الصلبة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تحتها والنظيفة أعلاها فلا بأس ، وإن كانت محاذيتها في سمت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بينهما سبعة أذرع ؛ تسليما لما رواه ابن يحيى عن سليمان الديلمي عن أبي عبد اللّه عليه‌السلام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يستفاد من هذه العبارة أنّه يرى التقدير بالاثنتي عشرة شبر طين </w:t>
      </w:r>
    </w:p>
    <w:p>
      <w:pPr>
        <w:pStyle w:val="BookText"/>
        <w:rPr/>
      </w:pPr>
      <w:r>
        <w:rPr>
          <w:rFonts w:ascii="Amiri" w:hAnsi="Amiri" w:eastAsia="Amiri" w:cs="Amiri"/>
          <w:color w:val="111111"/>
          <w:sz w:val="28"/>
          <w:sz w:val="28"/>
          <w:szCs w:val="28"/>
          <w:rtl w:val="true"/>
          <w:lang w:bidi="ar-SA"/>
        </w:rPr>
        <w:t>رخاوة الأرض وتحتيّة البئر ، ومع انتفاء الشرط الأوّل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استواء القرار إذا كانت المحاذاة في سمت القبلة يعني أنّ إحداهما كانت في جهة المشرق والاخرى في محاذاتها من جهة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الاعتبار يلتفت إلى اعتبار الفوقيّة في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تكون المحاذاة من غير جهة القبلة يكون إحداهما في جهة الشمال فيصير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تحتها والنظيفة أعلاها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نفي 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في كلام المتأخّرين من الأصحاب حكاية خلافه في المسألة على غير الوجه الذي تدلّ عليه عبارته هذه فحكوا عنه التقدير بالاثنتي عشرة إن كانت الأرض رخوة والبئر تحت البالوعة ، وبالسبع إن كانت صلبة أو كانت البئر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حكى خلافه هكذا العلّامة في المختلف </w:t>
      </w:r>
      <w:r>
        <w:rPr>
          <w:rStyle w:val="FootnoteAnchor"/>
          <w:rtl w:val="true"/>
        </w:rPr>
        <w:footnoteReference w:id="738"/>
      </w:r>
      <w:r>
        <w:rPr>
          <w:rFonts w:ascii="Amiri" w:hAnsi="Amiri" w:eastAsia="Amiri" w:cs="Amiri"/>
          <w:color w:val="111111"/>
          <w:sz w:val="28"/>
          <w:sz w:val="28"/>
          <w:szCs w:val="28"/>
          <w:rtl w:val="true"/>
          <w:lang w:bidi="ar-SA"/>
        </w:rPr>
        <w:t xml:space="preserve">، وتبعه الباقون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أغفل الحكم حال المساواة والرخاوة بناء على ما وجده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كلامه يقتضي التقدير بالسبع حينئذ إذا كانت المساواة حاصلة باعتبار الجهة أيضا ، وأنّه لا يعتبر في صورة علوّ البئر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احتجّوا للمشهور برواية الحسن بن رباط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البالوعة تكون فوق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أسفل من البئر فخمسة أذرع ، وإذا كانت فوق البئر فسبعة أذرع من كلّ ناحية وذلك كثير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قدامة ابن أبي زيد الجمّاز عن بعض أصحابنا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كم أدنى ما يكون بين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والبالوعة؟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سهلا فسبعة أذرع ، وإن كان جبلا فخمسة أذرع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يجري إلى القبلة وإلى يمين ، ويجري عن يمين القبلة إلى يسار القبلة ، ويجري عن يسار القبلة إلى يمين القبلة ، ولا يجري من القبلة إلى دبر القبلة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 الروايتين إطلاقا وتقييدا فيجمع بينهما بحمل المطلق على المقيّد ، وذلك أنّ التقدير بالسبع فيهما مطلق فتقيّد في الاولى بالرخاوة لدلالة الثانية على الاكتفاء بالخمس مع الجبليّة التي هي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ويقيّد في الثانية بعدم فوقيّة البئر لدلالة الاولى على إجزاء الخمس مع أسفليّة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قوله في الرواية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فسبعة أذرع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البعد بهذا المقدار من جانب واحد من جوانب البئر إذا كان البعد بالنظر إليها متفاوتا وذلك مع استدارة رأس البئر فربّما يبلغ المسافة السبع إذا قيس إلى جانب ولا يبلغه بالقياس إلى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 حينئذ البعد بذلك المقدار فما زاده بالقياس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الأصحاب وهو حسن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ابن الجنيد الرواية التي أشار إليها وهي رواية محمّد بن سليمان الديلمي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البئر يكون إلى جنبها الكنيف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العيون كلّها مع مهبّ الشمال ، فإذا كانت البئر النظيفة فوق الشمال والكنيف أسفل منها لم يضرّها إذا كان بينهما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الكنيف فوق النظيفة فلا أقلّ من اثنتي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بحذاء القبلة وهما مستويان في مهبّ الشمال فسبعة أذرع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تنظّر بعض الأصحاب في دلالة هذه الرواية على مدّعى ابن الجنيد بالنسبة إلى ما حكوه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 فإنّ اعتبار السبع في صورة علوّ البئر ليس للرواية دلالة عليه ، وقد نقلوه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بين الرواية وبين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حكيناها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المناسبة إلّا في الصورة المذكورة حيث نفى البأس فيها مطلقا ، وهو في الرواية مقيّد بأن يكون بينهما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عدم تعرّضه لهذا الشرط عدم الانفكاك عنه في العادة حيث يحمل لفظ الأذرع على أقلّ الجمع ؛ إذ من المستبعد جدّا أن توضع بالوعة في جنب بئر بأقلّ من ثلاث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بعض الأصحاب بين هذه الرواية وبين روايتي المشهور بحمل إطلاق الأذرع في صورة فوقيّة البئر على الخمس ، وتقييد التقدير بالسبع في صورة المحاذاة برخاوة الأرض وتحتيّة البئر ، وحمل الزائد على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فوقيّة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القدر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الحمل الأوّل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ففاسد ؛ لأنّ فرض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لفظ الحديث ومقتضى المقابلة لصورتي علوّ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الحمل على تحتيّة البئر؟ نعم حمل الزيادة في الاثنتي عشرة على المبالغة ممكن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حمل التقدير بالاثنتي عشرة على ما إذا كان علوّ الكنيف بالقرار والجهة ، وحمل السبع في الرواية السابقة على ما يكون بالقرار فقط أو بأحدهما ، </w:t>
      </w:r>
    </w:p>
    <w:p>
      <w:pPr>
        <w:pStyle w:val="BookText"/>
        <w:rPr/>
      </w:pP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طرق الروايات الثلاثة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الأصحاب بنوا في العمل بها والبحث عن وجه الجمع بينها على قاعدة التساهل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حسنة زرارة ومحمّد بن مسلم وأبي بصير الدالّة على انفعال ماء البئر بالبالوعة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بالتسع في صورة علوّ البالوعة وبالثلاث أو الأربع في عكسه </w:t>
      </w:r>
      <w:r>
        <w:rPr>
          <w:rStyle w:val="FootnoteAnchor"/>
          <w:rtl w:val="true"/>
        </w:rPr>
        <w:footnoteReference w:id="742"/>
      </w:r>
      <w:r>
        <w:rPr>
          <w:rFonts w:ascii="Amiri" w:hAnsi="Amiri" w:eastAsia="Amiri" w:cs="Amiri"/>
          <w:color w:val="111111"/>
          <w:sz w:val="28"/>
          <w:sz w:val="28"/>
          <w:szCs w:val="28"/>
          <w:rtl w:val="true"/>
          <w:lang w:bidi="ar-SA"/>
        </w:rPr>
        <w:t>، وهي أقوى ما روي في هذا الباب أسنادا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المحقّق في ذيل الاحتجاج لاستحباب التباعد بالخمس والسبع كما هو المشهور بعد أن ذكر رواية الحسن بن رباط </w:t>
      </w:r>
      <w:r>
        <w:rPr>
          <w:rStyle w:val="FootnoteAnchor"/>
          <w:rtl w:val="true"/>
        </w:rPr>
        <w:footnoteReference w:id="743"/>
      </w:r>
      <w:r>
        <w:rPr>
          <w:rFonts w:ascii="Amiri" w:hAnsi="Amiri" w:eastAsia="Amiri" w:cs="Amiri"/>
          <w:color w:val="111111"/>
          <w:sz w:val="28"/>
          <w:sz w:val="28"/>
          <w:szCs w:val="28"/>
          <w:rtl w:val="true"/>
          <w:lang w:bidi="ar-SA"/>
        </w:rPr>
        <w:t xml:space="preserve">، ومرسلة قدامة بن أبي زيد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الروايات لا تنفكّ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وأجودها الأخيرة ، مع أنّهم لم يبيّنوا القائل لكن في ذلك احتياط فلا بأس به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بعدم بيان القائل إلى ما حكيناه عن البعض من الطعن فيها بعدم إسنادها إلى إمام ، والظاهر أنّها مسندة ، فربّما كان العمل بها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العمل بالمشهور في مثله لا بأس به ، كما قاله المحقّق رحمه‌اللّه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حجّتهم على اعتبار الجهة الرواية التي احتجّ بها ابن الجنيد رحمه‌اللّه </w:t>
      </w:r>
      <w:r>
        <w:rPr>
          <w:rStyle w:val="FootnoteAnchor"/>
          <w:rtl w:val="true"/>
        </w:rPr>
        <w:footnoteReference w:id="746"/>
      </w:r>
      <w:r>
        <w:rPr>
          <w:rFonts w:ascii="Amiri" w:hAnsi="Amiri" w:eastAsia="Amiri" w:cs="Amiri"/>
          <w:color w:val="111111"/>
          <w:sz w:val="28"/>
          <w:sz w:val="28"/>
          <w:szCs w:val="28"/>
          <w:rtl w:val="true"/>
          <w:lang w:bidi="ar-SA"/>
        </w:rPr>
        <w:t xml:space="preserve">وفي الرواية الثانية من حجّة المشهور </w:t>
      </w:r>
      <w:r>
        <w:rPr>
          <w:rStyle w:val="FootnoteAnchor"/>
          <w:rtl w:val="true"/>
        </w:rPr>
        <w:footnoteReference w:id="747"/>
      </w:r>
      <w:r>
        <w:rPr>
          <w:rFonts w:ascii="Amiri" w:hAnsi="Amiri" w:eastAsia="Amiri" w:cs="Amiri"/>
          <w:color w:val="111111"/>
          <w:sz w:val="28"/>
          <w:sz w:val="28"/>
          <w:szCs w:val="28"/>
          <w:rtl w:val="true"/>
          <w:lang w:bidi="ar-SA"/>
        </w:rPr>
        <w:t>إشعار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الحال</w:t>
      </w:r>
      <w:r>
        <w:rPr>
          <w:rFonts w:eastAsia="Amiri" w:cs="Amiri" w:ascii="Amiri" w:hAnsi="Amiri"/>
          <w:color w:val="111111"/>
          <w:sz w:val="28"/>
          <w:szCs w:val="28"/>
          <w:rtl w:val="true"/>
          <w:lang w:bidi="ar-SA"/>
        </w:rPr>
        <w:t xml:space="preserve">. </w:t>
      </w:r>
      <w:bookmarkStart w:id="470" w:name="pg8731_77228"/>
    </w:p>
    <w:p>
      <w:pPr>
        <w:pStyle w:val="Heading6"/>
        <w:numPr>
          <w:ilvl w:val="5"/>
          <w:numId w:val="1"/>
        </w:numPr>
        <w:rPr/>
      </w:pPr>
      <w:bookmarkStart w:id="471" w:name="__RefHeading___Toc3140189_653776707"/>
      <w:bookmarkStart w:id="472" w:name="_Toc169"/>
      <w:bookmarkEnd w:id="470"/>
      <w:bookmarkEnd w:id="471"/>
      <w:r>
        <w:rPr>
          <w:rtl w:val="true"/>
        </w:rPr>
        <w:t xml:space="preserve">البحث الثالث </w:t>
      </w:r>
      <w:r>
        <w:rPr>
          <w:rtl w:val="true"/>
        </w:rPr>
        <w:t xml:space="preserve">: </w:t>
      </w:r>
      <w:r>
        <w:rPr>
          <w:rtl w:val="true"/>
        </w:rPr>
        <w:t>في الجاري والغيث</w:t>
      </w:r>
      <w:bookmarkEnd w:id="472"/>
    </w:p>
    <w:p>
      <w:pPr>
        <w:pStyle w:val="Heading6"/>
        <w:numPr>
          <w:ilvl w:val="5"/>
          <w:numId w:val="1"/>
        </w:numPr>
        <w:rPr/>
      </w:pPr>
      <w:bookmarkStart w:id="473" w:name="__RefHeading___Toc3140191_653776707"/>
      <w:bookmarkStart w:id="474" w:name="_Toc170"/>
      <w:bookmarkEnd w:id="473"/>
      <w:r>
        <w:rPr>
          <w:rtl w:val="true"/>
        </w:rPr>
        <w:t xml:space="preserve">مسألة </w:t>
      </w:r>
      <w:r>
        <w:rPr>
          <w:rtl w:val="true"/>
        </w:rPr>
        <w:t>[</w:t>
      </w:r>
      <w:r>
        <w:rPr/>
        <w:t>1</w:t>
      </w:r>
      <w:r>
        <w:rPr>
          <w:rtl w:val="true"/>
        </w:rPr>
        <w:t>] :</w:t>
      </w:r>
      <w:bookmarkEnd w:id="474"/>
    </w:p>
    <w:p>
      <w:pPr>
        <w:pStyle w:val="Heading6"/>
        <w:numPr>
          <w:ilvl w:val="5"/>
          <w:numId w:val="1"/>
        </w:numPr>
        <w:rPr/>
      </w:pPr>
      <w:bookmarkStart w:id="475" w:name="__RefHeading___Toc3140193_653776707"/>
      <w:bookmarkStart w:id="476" w:name="_Toc171"/>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ذهب أكثر الأصحاب إلى أنّ 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غير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بملاقاة النجاسة وإن نقص عن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العلّامة فاعتبر فيه الكرّيّة كالواقف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موافق ممّن تقدّمه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المحقّق انعقاد إجماعهم على خلافه ؛ فإنّه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الجاري بالملاقاة وهو مذهب فقهائنا أجمع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العلّامة في المنتهى وافق المحقّق على نقل اتّفاق فقهائنا على عدم نجاسته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ذلك أنّ تغيّر الجاري بالنجاسة لا يوجب نجاسة جميعه بل القدر المتغيّر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بأنّ غير المتغيّر لم يتحقّق فيه إلّا الملاقاة وهي لا توجب التنجيس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بمجي‌ء دليله وعنى به </w:t>
      </w:r>
    </w:p>
    <w:p>
      <w:pPr>
        <w:pStyle w:val="BookText"/>
        <w:rPr/>
      </w:pPr>
      <w:r>
        <w:rPr>
          <w:rFonts w:ascii="Amiri" w:hAnsi="Amiri" w:eastAsia="Amiri" w:cs="Amiri"/>
          <w:color w:val="111111"/>
          <w:sz w:val="28"/>
          <w:sz w:val="28"/>
          <w:szCs w:val="28"/>
          <w:rtl w:val="true"/>
          <w:lang w:bidi="ar-SA"/>
        </w:rPr>
        <w:t>ما حكيناه عنه من نقل الاتّفاق عليه على حذو ما قاله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أخبار اخرى سبقه إلى الاحتجاج بها المحقّق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كثير الاقتفاء لأثره في هذا الكتاب فاستدلّ لهذا الحكم بمثل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تتميم مسألة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البحث في الواقف الزائد على الكرّ فإنّ ما عدا المتغيّر إن بلغ كرّا فهو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كما ترى صريح في أنّ نفيه لانفعال الجاري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لاتّفاق فقهائنا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 بالكثير منه وإلّا لما صحّ إطلاق الحكم بعدم انفعال غير المتغيّر بمجرّد الملاقاة من دون اشتراط بلوغه الكرّ كما اشترطه في كثير الواقف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المنتهى مختلفة في هذه المباحث كثيرا فربّما زيد في بعضها ما نقص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يوجد في البعض زيادة بعد الحكمين الذين حكيناهما وهي أنّه قال في جملة فروع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الأنهار الكبار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الأقرب اشتراط الكرّيّة لانفعال الناقص عنها مطلقا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عجيب بعد ما أسلفه من الفرق بينه وبين الراكد المقتضي لعدم اعتبار الكرّيّة فيه واحتجاجه في ذلك باتّفاق علمائنا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جماعة من المتأخّرين عنه الموافقة له على اشتراط الكرّيّة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مختار الأكثر ، وعليه استقرّ رأي والدي عليه الرحمة بعد ذهابه </w:t>
      </w:r>
      <w:bookmarkStart w:id="477" w:name="pg8731_77230"/>
    </w:p>
    <w:p>
      <w:pPr>
        <w:pStyle w:val="BookText"/>
        <w:rPr/>
      </w:pPr>
      <w:bookmarkEnd w:id="477"/>
      <w:r>
        <w:rPr>
          <w:rFonts w:ascii="Amiri" w:hAnsi="Amiri" w:eastAsia="Amiri" w:cs="Amiri"/>
          <w:color w:val="111111"/>
          <w:sz w:val="28"/>
          <w:sz w:val="28"/>
          <w:szCs w:val="28"/>
          <w:rtl w:val="true"/>
          <w:lang w:bidi="ar-SA"/>
        </w:rPr>
        <w:t xml:space="preserve">في المسالك وغيره من مصنّفاته إلى ما اختاره العلّامة رحمه‌اللّه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وما تقدّم في صحيح محمّد بن إسماعيل بن بزيع الدالّ على عدم انفعال البئر بدون التغيّر ؛ حيث علّل فيه نفي الانفعال بوجود المادّة </w:t>
      </w:r>
      <w:r>
        <w:rPr>
          <w:rStyle w:val="FootnoteAnchor"/>
          <w:rtl w:val="true"/>
        </w:rPr>
        <w:footnoteReference w:id="753"/>
      </w:r>
      <w:r>
        <w:rPr>
          <w:rFonts w:ascii="Amiri" w:hAnsi="Amiri" w:eastAsia="Amiri" w:cs="Amiri"/>
          <w:color w:val="111111"/>
          <w:sz w:val="28"/>
          <w:sz w:val="28"/>
          <w:szCs w:val="28"/>
          <w:rtl w:val="true"/>
          <w:lang w:bidi="ar-SA"/>
        </w:rPr>
        <w:t>، وقد تقدّم أنّ العلّة المنصوصة يتعدّى بها الحكم إلى كلّ موضع يوجد فيه إذا شهدت الحال بأنّ خصوص متعلّقها الأوّل لا مدخل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هاهنا من ذلك القبيل ، فإنّ خصوصيّة البئر لا تصلح للتعليل ، وشهادة الحال بذلك ظاهرة لمن أحاط خبرا بأحكام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ينحصر المقتضي لنفي الانفعال في وجود المادّة وهي موجودة في مطلق النابع فيثبت له الحكم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اشتراط الكرّيّة في عدم انفعال الماء بالملاقاة فإنّه متناول لمحلّ النزاع ،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تسليم العموم بحيث يتناول 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بصحيح ابن بزيع لدلالته على أنّ وجود المادّة سبب في نفي انفعال الماء بالملاقاة ، فلو كانت الكرّيّة معتبرة في ذي المادّة لكانت هي السبب في عدم الانفعال فلا يبقى للتعليل بالمادّة معنى</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140195_653776707"/>
      <w:bookmarkStart w:id="479" w:name="_Toc172"/>
      <w:bookmarkEnd w:id="478"/>
      <w:r>
        <w:rPr>
          <w:rtl w:val="true"/>
        </w:rPr>
        <w:t xml:space="preserve">فرع </w:t>
      </w:r>
      <w:r>
        <w:rPr>
          <w:rtl w:val="true"/>
        </w:rPr>
        <w:t>:</w:t>
      </w:r>
      <w:bookmarkEnd w:id="4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كلام العلّامة أعلى اللّه مقامه أنّه يكتفى هنا ببلوغ مجموع الماء مقدار الكرّ وإن اختلفت سطوحه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بحث الواقف أنّه يشترط في بعض </w:t>
      </w:r>
      <w:bookmarkStart w:id="480" w:name="pg8731_77231"/>
    </w:p>
    <w:p>
      <w:pPr>
        <w:pStyle w:val="BookText"/>
        <w:rPr/>
      </w:pPr>
      <w:bookmarkEnd w:id="480"/>
      <w:r>
        <w:rPr>
          <w:rFonts w:ascii="Amiri" w:hAnsi="Amiri" w:eastAsia="Amiri" w:cs="Amiri"/>
          <w:color w:val="111111"/>
          <w:sz w:val="28"/>
          <w:sz w:val="28"/>
          <w:szCs w:val="28"/>
          <w:rtl w:val="true"/>
          <w:lang w:bidi="ar-SA"/>
        </w:rPr>
        <w:t xml:space="preserve">كتبه المساواة فيه على بعض الوجوه ، ولم يتعرّض لذلك هنا فكأنّه يرى للجاري خصوصيّة عن </w:t>
      </w:r>
      <w:r>
        <w:rPr>
          <w:rStyle w:val="FootnoteAnchor"/>
          <w:rtl w:val="true"/>
        </w:rPr>
        <w:footnoteReference w:id="755"/>
      </w:r>
      <w:r>
        <w:rPr>
          <w:rFonts w:ascii="Amiri" w:hAnsi="Amiri" w:eastAsia="Amiri" w:cs="Amiri"/>
          <w:color w:val="111111"/>
          <w:sz w:val="28"/>
          <w:sz w:val="28"/>
          <w:szCs w:val="28"/>
          <w:rtl w:val="true"/>
          <w:lang w:bidi="ar-SA"/>
        </w:rPr>
        <w:t>الواقف في الجملة وإن شاركه في انفعال قليله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الخصوصيّة كون الغالب فيه عدم الاستواء فلو اعتبرت المساواة على حدّ ما ذكره في الواقف للزم الحكم بتنجيس الأنهار العظيمة بملاقاة النجاسة أوائلها التي لم تبلغ مقدار الكرّ ولو بضميمة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معلوم الانتفاء</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3140197_653776707"/>
      <w:bookmarkStart w:id="482" w:name="_Toc173"/>
      <w:bookmarkEnd w:id="481"/>
      <w:r>
        <w:rPr>
          <w:rtl w:val="true"/>
        </w:rPr>
        <w:t xml:space="preserve">[ </w:t>
      </w:r>
      <w:r>
        <w:rPr>
          <w:rtl w:val="true"/>
        </w:rPr>
        <w:t xml:space="preserve">فرع </w:t>
      </w:r>
      <w:r>
        <w:rPr>
          <w:rtl w:val="true"/>
        </w:rPr>
        <w:t xml:space="preserve">] </w:t>
      </w:r>
      <w:r>
        <w:rPr>
          <w:rtl w:val="true"/>
        </w:rPr>
        <w:t xml:space="preserve">آخر </w:t>
      </w:r>
      <w:r>
        <w:rPr>
          <w:rtl w:val="true"/>
        </w:rPr>
        <w:t>:</w:t>
      </w:r>
      <w:bookmarkEnd w:id="482"/>
    </w:p>
    <w:p>
      <w:pPr>
        <w:pStyle w:val="BookText"/>
        <w:rPr/>
      </w:pPr>
      <w:r>
        <w:rPr>
          <w:rFonts w:ascii="Amiri" w:hAnsi="Amiri" w:eastAsia="Amiri" w:cs="Amiri"/>
          <w:color w:val="111111"/>
          <w:sz w:val="28"/>
          <w:sz w:val="28"/>
          <w:szCs w:val="28"/>
          <w:rtl w:val="true"/>
          <w:lang w:bidi="ar-SA"/>
        </w:rPr>
        <w:t>إذا اتّصل الواقف القليل بالجاري لحقه حكمه فلا ينفعل بملاقاة النجاسة ويعتبر في ذلك تساوي السطحين أو علوّ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الاشتراط 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رحمه‌اللّه في أكثر كتبه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كلامه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والدي رحمه‌اللّه فاكتفى بمجرّد الاتّصال إذا صدقت معه الوحدة عرفا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وصدقها حينئذ مستبعد جدّا وأطلق العلّامة الحكم في كتبه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 ذلك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أيضا كون الواقف طاهرا قبل الاتّصال ، فلو كان نجسا توقّف لحوق الحكم له على الممازجة بينهما ؛ لأنّه مع عدمها يبقى على نجاسته ، كما مرّ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اكتفى في تطهيره بمجرّد الاتّصال اكتفى به في ثبوت حكم الجاري له هنا</w:t>
      </w:r>
      <w:r>
        <w:rPr>
          <w:rFonts w:eastAsia="Amiri" w:cs="Amiri" w:ascii="Amiri" w:hAnsi="Amiri"/>
          <w:color w:val="111111"/>
          <w:sz w:val="28"/>
          <w:szCs w:val="28"/>
          <w:rtl w:val="true"/>
          <w:lang w:bidi="ar-SA"/>
        </w:rPr>
        <w:t xml:space="preserve">. </w:t>
      </w:r>
      <w:bookmarkStart w:id="483" w:name="pg8731_77232"/>
    </w:p>
    <w:p>
      <w:pPr>
        <w:pStyle w:val="Heading6"/>
        <w:numPr>
          <w:ilvl w:val="5"/>
          <w:numId w:val="1"/>
        </w:numPr>
        <w:rPr/>
      </w:pPr>
      <w:bookmarkStart w:id="484" w:name="__RefHeading___Toc3140199_653776707"/>
      <w:bookmarkStart w:id="485" w:name="_Toc174"/>
      <w:bookmarkEnd w:id="483"/>
      <w:bookmarkEnd w:id="484"/>
      <w:r>
        <w:rPr>
          <w:rtl w:val="true"/>
        </w:rPr>
        <w:t xml:space="preserve">مسألة </w:t>
      </w:r>
      <w:r>
        <w:rPr>
          <w:rtl w:val="true"/>
        </w:rPr>
        <w:t>[</w:t>
      </w:r>
      <w:r>
        <w:rPr/>
        <w:t>2</w:t>
      </w:r>
      <w:r>
        <w:rPr>
          <w:rtl w:val="true"/>
        </w:rPr>
        <w:t>] :</w:t>
      </w:r>
      <w:bookmarkEnd w:id="485"/>
    </w:p>
    <w:p>
      <w:pPr>
        <w:pStyle w:val="BookText"/>
        <w:rPr/>
      </w:pPr>
      <w:r>
        <w:rPr>
          <w:rFonts w:ascii="Amiri" w:hAnsi="Amiri" w:eastAsia="Amiri" w:cs="Amiri"/>
          <w:color w:val="111111"/>
          <w:sz w:val="28"/>
          <w:sz w:val="28"/>
          <w:szCs w:val="28"/>
          <w:rtl w:val="true"/>
          <w:lang w:bidi="ar-SA"/>
        </w:rPr>
        <w:t xml:space="preserve">اشترط الشهيد في الدروس دوام النبع في عدم انفعال قليل الجاري بالملاقاة </w:t>
      </w:r>
      <w:r>
        <w:rPr>
          <w:rStyle w:val="FootnoteAnchor"/>
          <w:rtl w:val="true"/>
        </w:rPr>
        <w:footnoteReference w:id="759"/>
      </w:r>
      <w:r>
        <w:rPr>
          <w:rFonts w:ascii="Amiri" w:hAnsi="Amiri" w:eastAsia="Amiri" w:cs="Amiri"/>
          <w:color w:val="111111"/>
          <w:sz w:val="28"/>
          <w:sz w:val="28"/>
          <w:szCs w:val="28"/>
          <w:rtl w:val="true"/>
          <w:lang w:bidi="ar-SA"/>
        </w:rPr>
        <w:t>، وتبعه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هذا الشرط من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كلام من تأخّر عنه من الأصحاب في بيان المراد منه ، فذكروا فيه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بالدوام عدم الانقطاع في أثناء الزمان ، ككثير من المياه التي تخرج زمن الشتاء وتنقطع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له قرب بالنظر إلى ظاهر اللفظ لكونه المتبادر منه في العرف لكنّه مستبعد في نفسه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شاهد له من الأخبار ، ولا يساعد عليه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تخصيص لعموم الدليل بمجرّد 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الدوام بالمعنى المذكور إن اريد به ما يعمّ الزمان كلّه فلا ريب في بطلانه ؛ إذ لا سبيل إلى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خصّ ببعضها فهو مجرّد 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المعنى من الفساد بحيث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الفاضل الشيخ علي في بعض فوائده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المتأخّرين عن الشهيد رحمه‌اللّه ممّن لا تحصيل لهم فهموا هذا المعنى من كلامه وهو منزّه عن أن يذهب إلى مثله فإنّه تقييد لإطلاق النصّ بمجرّد الاستحسان ، وهو أفحش أغلاط الفقهاء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في توجيه فساده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محطّ نظر فقيه فيحتاج إلى </w:t>
      </w:r>
    </w:p>
    <w:p>
      <w:pPr>
        <w:pStyle w:val="BookText"/>
        <w:rPr/>
      </w:pPr>
      <w:r>
        <w:rPr>
          <w:rFonts w:ascii="Amiri" w:hAnsi="Amiri" w:eastAsia="Amiri" w:cs="Amiri"/>
          <w:color w:val="111111"/>
          <w:sz w:val="28"/>
          <w:sz w:val="28"/>
          <w:szCs w:val="28"/>
          <w:rtl w:val="true"/>
          <w:lang w:bidi="ar-SA"/>
        </w:rPr>
        <w:t xml:space="preserve">الكلام عليه والاعتناء بردّه ، وإنّما قصد بذلك الإشارة إلى خطأه ليتجنّبه ذوو البصائر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الفاضل الشيخ علي وجعله الظاهر وهو أنّ المراد بدوام النبع استمراره حال الملاقاة بالنجاسة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الانفعال بالملاقاة في قليل الجاري معلّق بوجود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الحكم بعدم الانفعال فيه من العلم بوجودها حال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يتخلّف ذلك في بعض أفراد النابع ، كالقليل الذي يخرج بطريق الترشّح ؛ فإنّ العلم بوجود المادّة فيه عند ملاقاة النجاسة مشكل ؛ لأنّه يترشّح آنا فآنا فليس له في ما بين الزمانين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الشكّ في وجودها عند الملاقاة فلا يعلم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الحكم بالانفعال بها ؛ عملا بعموم ما دلّ على انفعال القليل لسلامته حينئذ عن معارضة وجود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اشتراط استمرار النبع يخرج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لكان داخلا في عموم النابع لصدق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وإن اقتضى تصحيح الاشتراط المذكور في الجملة ، إلّا أنّه ليس بحاسم لمادّة الإشكال من حيث إنّ ما هذا شأنه في عدم العلم بوجود المادّة له عند الملاقاة ربّما حصل له في بعض الأوقات قوّة بحيث يظهر فيه أثر وجود المادّة واللازم حينئذ عدم 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الشرط يقتضي نجاسته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منزّل على الغالب من عدم العلم بوجود المادّة في مثله وقت الملاقاة ويكون حكم ذلك الفرض النادر محالا على الاعتبار </w:t>
      </w:r>
      <w:bookmarkStart w:id="486" w:name="pg8731_77234"/>
    </w:p>
    <w:p>
      <w:pPr>
        <w:pStyle w:val="BookText"/>
        <w:rPr/>
      </w:pPr>
      <w:bookmarkEnd w:id="486"/>
      <w:r>
        <w:rPr>
          <w:rFonts w:ascii="IRNazanin" w:hAnsi="IRNazanin" w:eastAsia="IRNazanin"/>
          <w:color w:val="111111"/>
          <w:sz w:val="28"/>
          <w:sz w:val="28"/>
          <w:szCs w:val="28"/>
          <w:rtl w:val="true"/>
          <w:lang w:bidi="fa-IR"/>
        </w:rPr>
        <w:t>وهو شاهد بمساواته للمستمرّ</w:t>
      </w:r>
      <w:r>
        <w:rPr>
          <w:rFonts w:eastAsia="IRNazanin" w:cs="IRNazanin"/>
          <w:color w:val="111111"/>
          <w:sz w:val="28"/>
          <w:szCs w:val="28"/>
          <w:rtl w:val="true"/>
          <w:lang w:bidi="fa-IR"/>
        </w:rPr>
        <w:t>.</w:t>
      </w:r>
    </w:p>
    <w:p>
      <w:pPr>
        <w:pStyle w:val="Heading6"/>
        <w:numPr>
          <w:ilvl w:val="5"/>
          <w:numId w:val="1"/>
        </w:numPr>
        <w:rPr/>
      </w:pPr>
      <w:bookmarkStart w:id="487" w:name="__RefHeading___Toc3140201_653776707"/>
      <w:bookmarkStart w:id="488" w:name="_Toc175"/>
      <w:bookmarkEnd w:id="487"/>
      <w:r>
        <w:rPr>
          <w:rtl w:val="true"/>
        </w:rPr>
        <w:t xml:space="preserve">مسألة </w:t>
      </w:r>
      <w:r>
        <w:rPr>
          <w:rtl w:val="true"/>
        </w:rPr>
        <w:t>[</w:t>
      </w:r>
      <w:r>
        <w:rPr/>
        <w:t>3</w:t>
      </w:r>
      <w:r>
        <w:rPr>
          <w:rtl w:val="true"/>
        </w:rPr>
        <w:t>] :</w:t>
      </w:r>
      <w:bookmarkEnd w:id="488"/>
    </w:p>
    <w:p>
      <w:pPr>
        <w:pStyle w:val="BookText"/>
        <w:rPr/>
      </w:pPr>
      <w:r>
        <w:rPr>
          <w:rFonts w:ascii="Amiri" w:hAnsi="Amiri" w:eastAsia="Amiri" w:cs="Amiri"/>
          <w:color w:val="111111"/>
          <w:sz w:val="28"/>
          <w:sz w:val="28"/>
          <w:szCs w:val="28"/>
          <w:rtl w:val="true"/>
          <w:lang w:bidi="ar-SA"/>
        </w:rPr>
        <w:t>لا ريب في نجاسة الجاري إذا تغيّر في أحد أوصافه بالنجاسة ، وقد تقدّم في بحث الواقف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التغيّر مستوعبا له نجس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 بالبعض نجس المتغيّر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الباقي فيختلف حكمه باختلاف حال الماء في الكثرة والقلّة واستواء السطوح حينئذ ، واختلافها ، وقطع التغيّر لعمود الماء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المسألة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بعض الجاري فإمّا أن يكون متساوي السطوح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إمّا ينقطع بالتغيّر عمود الماء وهو ما بين حافّتي المجري عرضا وعمقا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يبلغ ما يلي المتغيّر إلى غير جهة المادّة مقدار الكرّ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صور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السطوح مستوية ولا ينقطع عمود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اختصاص المتغيّر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المجموع ممّا ليس بمتغيّر بالغا 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قطع التغيّر عمود الماء وكان ما يلي المتغيّر في غير جهة المادّة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كالأولى ، إلّا أنّه على القول باعتبار الكرّيّة في الجاري لا بدّ من بلوغ ما يلي المتغيّر إلى جهة المادّة مقدار الكرّ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يوجد في كلام بعض الأصحاب الحكم بعدم انفعاله وإن اعتبرنا الكرّيّة وكان قليلا ؛ معلّلا بأنّ جهة المادّة في الجاري أعلى سطحا من النجس ، </w:t>
      </w:r>
      <w:bookmarkStart w:id="489" w:name="pg8731_77235"/>
    </w:p>
    <w:p>
      <w:pPr>
        <w:pStyle w:val="BookText"/>
        <w:rPr/>
      </w:pPr>
      <w:bookmarkEnd w:id="489"/>
      <w:r>
        <w:rPr>
          <w:rFonts w:ascii="Amiri" w:hAnsi="Amiri" w:eastAsia="Amiri" w:cs="Amiri"/>
          <w:color w:val="111111"/>
          <w:sz w:val="28"/>
          <w:sz w:val="28"/>
          <w:szCs w:val="28"/>
          <w:rtl w:val="true"/>
          <w:lang w:bidi="ar-SA"/>
        </w:rPr>
        <w:t>فلا ينفعل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فإنّ الجريان يتحقّق مع المساواة كما يشهد به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من أين فهم توقّفه على علوّ جهة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السطوح ويقطع التغيّر العمود ويكون ما يليه إلى غير الجهة دون الكرّ ، ولا ريب في نجاسته مع المتغيّر لملاقاته له وقبوله التأثير به من حيث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قبل المتغيّر كالتي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تختلف السطوح ولا ينقطع العمود والحكم كما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انقطع العمود وكان ما بعده بالغا قدر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مبنيّ على الخلاف المتقدّم في اشتراط استواء سطوح مقدار الكرّ من الواقف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الاشتراط ينجس ما تحت المتغيّر ، وعلى عدمه يختصّ الحكم بالمتغيّر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فوقه فهو طاهر قطعا وإن اعتبرنا الكرّيّة في الجاري وكان أقلّ من الكرّ ؛ لأنّه أعلى من النجس ، فلا 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وينقطع وينقص ما تحته عن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نجاسة ما تحت المتغيّر كما لا إشكال في طهارة ما فوقه</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140203_653776707"/>
      <w:bookmarkStart w:id="491" w:name="_Toc176"/>
      <w:bookmarkEnd w:id="490"/>
      <w:r>
        <w:rPr>
          <w:rtl w:val="true"/>
        </w:rPr>
        <w:t xml:space="preserve">مسألة </w:t>
      </w:r>
      <w:r>
        <w:rPr>
          <w:rtl w:val="true"/>
        </w:rPr>
        <w:t>[</w:t>
      </w:r>
      <w:r>
        <w:rPr/>
        <w:t>4</w:t>
      </w:r>
      <w:r>
        <w:rPr>
          <w:rtl w:val="true"/>
        </w:rPr>
        <w:t>] :</w:t>
      </w:r>
      <w:bookmarkEnd w:id="491"/>
    </w:p>
    <w:p>
      <w:pPr>
        <w:pStyle w:val="Heading6"/>
        <w:numPr>
          <w:ilvl w:val="5"/>
          <w:numId w:val="1"/>
        </w:numPr>
        <w:rPr/>
      </w:pPr>
      <w:bookmarkStart w:id="492" w:name="__RefHeading___Toc3140205_653776707"/>
      <w:bookmarkStart w:id="493" w:name="_Toc17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الجاري وكثيره سواء في عدم التنجيس بدون التغيّر ، فحيث يحكم بنجاسته يتوقّف طهره على زوال تغيّره ، وتدافع المادّة ، وتكاثرها عليه حتّى يستهلكه بناء على اشتراط الامتزاج في تطهير الماء ، كما اخترناه سابقا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بالاكتفاء بمجرّد الاتّصال فظاهر البعض توقّفه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الاتّصال الذي يكتفى به في التطهير هو الحاصل بطريق العلوّ على النجس أو المساواة له وليس ذلك بمتحقّق </w:t>
      </w:r>
      <w:bookmarkStart w:id="494" w:name="pg8731_77236"/>
    </w:p>
    <w:p>
      <w:pPr>
        <w:pStyle w:val="BookText"/>
        <w:rPr/>
      </w:pPr>
      <w:bookmarkEnd w:id="494"/>
      <w:r>
        <w:rPr>
          <w:rFonts w:ascii="Amiri" w:hAnsi="Amiri" w:eastAsia="Amiri" w:cs="Amiri"/>
          <w:color w:val="111111"/>
          <w:sz w:val="28"/>
          <w:sz w:val="28"/>
          <w:szCs w:val="28"/>
          <w:rtl w:val="true"/>
          <w:lang w:bidi="ar-SA"/>
        </w:rPr>
        <w:t xml:space="preserve">في المادّة لأنّها باعتبار خروجها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جمع من المتأخّرين بحصول الطهارة بمجرّد زوال التغيّر ، وعلّلوه بوجود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للمادّة نوع علوّ على الماء النجس أو مساواة فالمتّجه الحكم بالطهارة عند زوال التغيّر بناء على الاكتفاء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فاشتراط التكاثر والتدافع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حكمه باعتبار تطهيره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تطهيره بغيره فالحكم فيه كما في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 طرقه فليلحظ من هناك</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140207_653776707"/>
      <w:bookmarkStart w:id="496" w:name="_Toc178"/>
      <w:bookmarkEnd w:id="495"/>
      <w:r>
        <w:rPr>
          <w:rtl w:val="true"/>
        </w:rPr>
        <w:t xml:space="preserve">فروع </w:t>
      </w:r>
      <w:r>
        <w:rPr>
          <w:rtl w:val="true"/>
        </w:rPr>
        <w:t>:</w:t>
      </w:r>
      <w:bookmarkEnd w:id="496"/>
    </w:p>
    <w:p>
      <w:pPr>
        <w:pStyle w:val="Heading6"/>
        <w:numPr>
          <w:ilvl w:val="5"/>
          <w:numId w:val="1"/>
        </w:numPr>
        <w:rPr/>
      </w:pPr>
      <w:bookmarkStart w:id="497" w:name="__RefHeading___Toc3140209_653776707"/>
      <w:bookmarkStart w:id="498" w:name="_Toc179"/>
      <w:bookmarkEnd w:id="497"/>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498"/>
    </w:p>
    <w:p>
      <w:pPr>
        <w:pStyle w:val="BookText"/>
        <w:rPr/>
      </w:pPr>
      <w:r>
        <w:rPr>
          <w:rFonts w:ascii="Amiri" w:hAnsi="Amiri" w:eastAsia="Amiri" w:cs="Amiri"/>
          <w:color w:val="111111"/>
          <w:sz w:val="28"/>
          <w:sz w:val="28"/>
          <w:szCs w:val="28"/>
          <w:rtl w:val="true"/>
          <w:lang w:bidi="ar-SA"/>
        </w:rPr>
        <w:t xml:space="preserve">حكم ماء البئر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انفعاله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الجاري ؛ فإنّه بعض أفراده ، فيطهر مع التغيّر ، بتكاثر مادّته وتدافعها حتّى يستهلك التغيّر ، كما في غيره من أقسام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الأصحاب توقّف طهارته على النزح مع القول بعدم 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التدافع والتكاثر لا يحصلان إلّا مع النزح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النزح كونه بمنزلة إجراء الماء ليزول عنه الأثر الحاصل بالنجاسة</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140211_653776707"/>
      <w:bookmarkStart w:id="500" w:name="_Toc180"/>
      <w:bookmarkEnd w:id="499"/>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5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نبع الماء من تحت الواقف النجس لم يطهّره وإن أزال التغيّر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الحكم على ظاهره مشكل ؛ لأنّ المقتضي لعدم تطهيره له إمّا كون النجس على حال الاتّصال أو نقصان النابع عن مقدار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مثله في الجاري ، وقد حكم بطهارته مع التكاثر وإزالة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الموضعين 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وجه لتخصيص الحكم بالنابع من تحت ؛ لأنّه جار في مطلق النابع الناقص عن الكرّ ، فإنّ الأجزاء الواقعة منه على النجس المختلطة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نكتة في التخصيص بما ذكره؟</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النابع في هذه الصورة 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الواقف فإن استهلكه النابع بأن كثر تدافعه عليه واستعلاؤه له طهر أيضا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المحقّق في المعتبر عن الشيخ أنّه لم يفرّق في المبسوط في تطهير الواقف القليل بين كون المطهّر نابعا من تحته أو يجري إليه أو يقلب فيه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إلّا أن يرد عليه كرّ من ماء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 بالمذهب لأنّ النابع ينجس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بالنابع ما يوصل به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نبعا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صواب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على هذا في المنتهى فحكى كلام الشيخ في الكتابين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بالنابع ما يكون نبعا من الأرض ففيه إشكال من حيث إنّه ينجس بالملاقاة </w:t>
      </w:r>
    </w:p>
    <w:p>
      <w:pPr>
        <w:pStyle w:val="BookText"/>
        <w:rPr/>
      </w:pPr>
      <w:r>
        <w:rPr>
          <w:rFonts w:ascii="Amiri" w:hAnsi="Amiri" w:eastAsia="Amiri" w:cs="Amiri"/>
          <w:color w:val="111111"/>
          <w:sz w:val="28"/>
          <w:sz w:val="28"/>
          <w:szCs w:val="28"/>
          <w:rtl w:val="true"/>
          <w:lang w:bidi="ar-SA"/>
        </w:rPr>
        <w:t>فلا يكون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ما يوصل به من تحته فهو حقّ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يؤذن بأن النظر في كلام التذكرة </w:t>
      </w:r>
      <w:r>
        <w:rPr>
          <w:rStyle w:val="FootnoteAnchor"/>
          <w:rtl w:val="true"/>
        </w:rPr>
        <w:footnoteReference w:id="766"/>
      </w:r>
      <w:r>
        <w:rPr>
          <w:rFonts w:ascii="Amiri" w:hAnsi="Amiri" w:eastAsia="Amiri" w:cs="Amiri"/>
          <w:color w:val="111111"/>
          <w:sz w:val="28"/>
          <w:sz w:val="28"/>
          <w:szCs w:val="28"/>
          <w:rtl w:val="true"/>
          <w:lang w:bidi="ar-SA"/>
        </w:rPr>
        <w:t>إلى الوجه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يستغرب هاهنا كلام المحقّق لمخالفته بحسب الظاهر لما هو المعهود منه في حكم الجاري ؛ فإنّه لا يقول بانفعاله بالملاقاة ، ويرى أنّ كلام العلّامة جار على رأيه في الجاري ، مشيا على ظاهر الحال من عدم بلوغ النابع في الفرض المذكور مقدار الكرّ ، وإلّا لكان من قبيل التطهير بالكرّ على جهة القلب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أنّ الأمر بالعكس ، فإنّ في كلام الشيخ رحمه‌اللّه إشعارا بأنّ المراد بالنابع في الفرض الذي ذكره هو البئر ؛ لأنّه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الماء عن الكرّ وحصل فيه نجاسة فإنّه ينجس وإن لم يتغيّر أحد أوصافه ، ولا يحكم بطهارته إلّا إذا ورد عليه كرّ من ماء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يرد عليه ماء طاهر يتمّ به قلّتين ، أو ينبع فيه ما يتمّ به قلّتين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ذكرناه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بذلك إلى ما ذكره في مسألة تطهير الكثير المتغيّر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تطهيره أن يورد عليه من الماء الطاهر كرّ فصاعدا ، ويزول عند ذلك تغيّره وأنّه لا يطهر بشي‌ء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أنّ للشافعي في طريق تطهيره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ينبع من الأرض ما يزول معه تغيّره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إنّ الماء معلوم نجاسته وليس لنا أن نحكم بطهارته إلّا بدليل ، وليس على الأشياء التي اعتبرها دليل على أنّها تطهر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يلزمنا مثل ذلك إذا ورد عليه كرّ من ماء ؛ لأنّ ذلك معلوم أنّه يطهر به ، لأنّه إذا بلغ كرّا فلو وقع فيه عين النجاسة لم ينجس إلّا أن يتغيّر أحد أوصاف الماء ، والماء النجس ليس بأكثر من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نبعه من الأرض فإنّ ذلك يعتبر في الآبار ولها حكم يخصّها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بعد إرادة البئر من النابع يتّجه كلام المحقّق حيث إنّه يقول بانفعاله بالملاقاة </w:t>
      </w:r>
      <w:r>
        <w:rPr>
          <w:rStyle w:val="FootnoteAnchor"/>
          <w:rtl w:val="true"/>
        </w:rPr>
        <w:footnoteReference w:id="768"/>
      </w:r>
      <w:r>
        <w:rPr>
          <w:rFonts w:ascii="Amiri" w:hAnsi="Amiri" w:eastAsia="Amiri" w:cs="Amiri"/>
          <w:color w:val="111111"/>
          <w:sz w:val="28"/>
          <w:sz w:val="28"/>
          <w:szCs w:val="28"/>
          <w:rtl w:val="true"/>
          <w:lang w:bidi="ar-SA"/>
        </w:rPr>
        <w:t xml:space="preserve">، ويشكل كلام العلّامة ؛ لأنّه لا يقول به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والتشبّث بجهة اشتراط الكرّيّة إنّما يتوجّه مع ظهور كون المفروض ناقصا عنها وليس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القرينة عليه ضعيف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الأولى مع البناء على هذا تفصيل المسألة وترك الإجمال الواقع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له في النهاية كلاما يؤذن بعدم البناء في هذا الحكم على الجهة المذكورة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نبع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القليل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التدريج لم يطهر ، وإلّا طهر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الحكم بعدم الطهارة بذلك في القواعد والتحرير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ففرضه في هذا المقام بعيد عن التحرير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نبع الكثير من تحته كالفوّارة فامتزج طهّره لصيرورتهما </w:t>
      </w:r>
      <w:bookmarkStart w:id="501" w:name="pg8731_77240"/>
    </w:p>
    <w:p>
      <w:pPr>
        <w:pStyle w:val="BookText"/>
        <w:rPr/>
      </w:pPr>
      <w:bookmarkEnd w:id="501"/>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ترشّحا لم يطهر لعدم الكثرة الفعليّة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ناظر إلى ما ذكرناه من اعتبار الاستهلاك بالتدافع والاستيلاء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140213_653776707"/>
      <w:bookmarkStart w:id="503" w:name="_Toc181"/>
      <w:bookmarkEnd w:id="502"/>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503"/>
    </w:p>
    <w:p>
      <w:pPr>
        <w:pStyle w:val="BookText"/>
        <w:rPr/>
      </w:pPr>
      <w:r>
        <w:rPr>
          <w:rFonts w:ascii="Amiri" w:hAnsi="Amiri" w:eastAsia="Amiri" w:cs="Amiri"/>
          <w:color w:val="111111"/>
          <w:sz w:val="28"/>
          <w:sz w:val="28"/>
          <w:szCs w:val="28"/>
          <w:rtl w:val="true"/>
          <w:lang w:bidi="ar-SA"/>
        </w:rPr>
        <w:t xml:space="preserve">أطلق العلّامة رحمه‌اللّه في كتبه طهارة الجاري المتغيّر بتكاثر الماء وتدافعه عليه حتّى يزول تغيّره ، وعلّله في المنتهى والتذكرة بأنّ الجاري لا يقبل النجاسة لجريانه ، والمتغيّر مستهلك فيه فيطهر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هذا لا يتمّ على ما ذهب إليه من انفعال ما دون الكرّ من الجاري بالملاقاة ؛ إذ من البيّن أنّ ما يتجدّد من المادّة بعد استيعاب التغيّر لجميع الماء لا يبلغ مقدار الكرّ ، واللازم من ذلك انفعاله بملاقاة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يتصوّر حصول الطهارة به وإن استهلك المتغيّر ؛ لأنّ الاستهلاك إنّما يحصل بالماء المحكوم بنجاسته لملاقاة المنجّس الأوّل له فلا يثمر تطهيرا فيمتنع حينئذ حصول الطهارة له من نفسه ويتوقّف طهره على مطهّر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صريح في خلاف ذلك فيمكن أن يجعل هذا من جملة الأدلّة على بطلان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كلامه في حكم تغيّر البئر أنّه يرى تعيّن النزح وإن أمكن إزالة التغيّر بغيره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بعض المتأخّرين على أنّه ناظر إلى اشتراط الكرّيّة في عدم انفعاله لكونه من جملة أنواع الجاري الذي يعتبر فيه الكرّيّة فلا تصلح المادّة بمجرّدها </w:t>
      </w:r>
    </w:p>
    <w:p>
      <w:pPr>
        <w:pStyle w:val="BookText"/>
        <w:rPr/>
      </w:pPr>
      <w:r>
        <w:rPr>
          <w:rFonts w:ascii="Amiri" w:hAnsi="Amiri" w:eastAsia="Amiri" w:cs="Amiri"/>
          <w:color w:val="111111"/>
          <w:sz w:val="28"/>
          <w:sz w:val="28"/>
          <w:szCs w:val="28"/>
          <w:rtl w:val="true"/>
          <w:lang w:bidi="ar-SA"/>
        </w:rPr>
        <w:t>للتطهير حيث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حكمه بحصول الطهارة في مثل ذلك في مطلق الجاري الذي هو العنوان في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وينافيه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ذلك في تطهير حكم البئر لكان مورد الشرط أعني مطلق الجاري أحقّ بهذا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ينظر إلى ذلك في تطهير البئر فيقف مع مورد النصّ وهو النزح ويكون ذلك منشأ لعدم النظر إليه في حكم غيره من أقسام الجاري بتقريب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الحكمة في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إليه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إخراج ماء البئر من حدّ الواقف إلى كونه جاريا جريانا يزيل عنه التأثّر الحاصل بالنجاسة ، وإذا اقتضى ذلك حصول الطهارة له مع التغيّر فينبغي أن يكون الجريان في غيره مقتضيا لحصولها ، إذ المرجع في هذا إلى أنّ العلّة في الطهارة هي جريان الماء ، فيلزم وجود المعلول حيثما وجدت العلّة ، لا سيّما إذا كان وجودها في غير محلّ الدليل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هنا كذلك ؛ فإنّ الجريان الحاصل عن النزح ضعيف بالنظر إلى ما يحصل في مطلق الجاري وحينئذ يكون حكم التغيّر مستندا إلى الدليل النقلي فيختصّ عموم ما دلّ على حصول الانفعال بملاقاة النابع للنجاسة بغير صورة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التعليل الذي ذكرته وفرض صلاحيّته للتعدية إلى غير محلّه يقتضي في الحقيقة إبطال القول بانفعال الجاري بالملاقاة رأسا لا أنّه يخصّصه بغير صورة التغيّر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التغيّر مشتمل على ملاقاة النجاسة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وصف التغيّر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مقويّة للنجاسة فليست بمقتضية لضعفها</w:t>
      </w:r>
      <w:r>
        <w:rPr>
          <w:rFonts w:eastAsia="Amiri" w:cs="Amiri" w:ascii="Amiri" w:hAnsi="Amiri"/>
          <w:color w:val="111111"/>
          <w:sz w:val="28"/>
          <w:szCs w:val="28"/>
          <w:rtl w:val="true"/>
          <w:lang w:bidi="ar-SA"/>
        </w:rPr>
        <w:t xml:space="preserve">. </w:t>
      </w:r>
      <w:bookmarkStart w:id="504" w:name="pg8731_77242"/>
    </w:p>
    <w:p>
      <w:pPr>
        <w:pStyle w:val="BookText"/>
        <w:rPr/>
      </w:pPr>
      <w:bookmarkEnd w:id="504"/>
      <w:r>
        <w:rPr>
          <w:rFonts w:ascii="Amiri" w:hAnsi="Amiri" w:eastAsia="Amiri" w:cs="Amiri"/>
          <w:color w:val="111111"/>
          <w:sz w:val="28"/>
          <w:sz w:val="28"/>
          <w:szCs w:val="28"/>
          <w:rtl w:val="true"/>
          <w:lang w:bidi="ar-SA"/>
        </w:rPr>
        <w:t>وإذا ثبت كون المادّة في هذا الحال صالحة لقهر النجاسة وإزالتها وغير منفعلة بملاقاتها ولا متأثّرة بها فهل هذا إلّا عين الإبطال للقول بالانفعال</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140215_653776707"/>
      <w:bookmarkStart w:id="506" w:name="_Toc182"/>
      <w:bookmarkEnd w:id="505"/>
      <w:r>
        <w:rPr>
          <w:rtl w:val="true"/>
        </w:rPr>
        <w:t xml:space="preserve">مسألة </w:t>
      </w:r>
      <w:r>
        <w:rPr>
          <w:rtl w:val="true"/>
        </w:rPr>
        <w:t>[</w:t>
      </w:r>
      <w:r>
        <w:rPr/>
        <w:t>5</w:t>
      </w:r>
      <w:r>
        <w:rPr>
          <w:rtl w:val="true"/>
        </w:rPr>
        <w:t>] :</w:t>
      </w:r>
      <w:bookmarkEnd w:id="506"/>
    </w:p>
    <w:p>
      <w:pPr>
        <w:pStyle w:val="Heading6"/>
        <w:numPr>
          <w:ilvl w:val="5"/>
          <w:numId w:val="1"/>
        </w:numPr>
        <w:rPr/>
      </w:pPr>
      <w:bookmarkStart w:id="507" w:name="__RefHeading___Toc3140217_653776707"/>
      <w:bookmarkStart w:id="508" w:name="_Toc183"/>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ماء الغيث ملحق بالجاري في عدم الانفعال بالملاقاة ما دام نازلا سواء أجرى أم لم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أكثر الأصحاب كالفاضلين </w:t>
      </w:r>
      <w:r>
        <w:rPr>
          <w:rStyle w:val="FootnoteAnchor"/>
          <w:rtl w:val="true"/>
        </w:rPr>
        <w:footnoteReference w:id="774"/>
      </w:r>
      <w:r>
        <w:rPr>
          <w:rFonts w:ascii="Amiri" w:hAnsi="Amiri" w:eastAsia="Amiri" w:cs="Amiri"/>
          <w:color w:val="111111"/>
          <w:sz w:val="28"/>
          <w:sz w:val="28"/>
          <w:szCs w:val="28"/>
          <w:rtl w:val="true"/>
          <w:lang w:bidi="ar-SA"/>
        </w:rPr>
        <w:t xml:space="preserve">والشهيدين </w:t>
      </w:r>
      <w:r>
        <w:rPr>
          <w:rStyle w:val="FootnoteAnchor"/>
          <w:rtl w:val="true"/>
        </w:rPr>
        <w:footnoteReference w:id="77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إنّ ماء المطر إذا جرى من الميزاب فحكمه حكم الماء الجاري لا ينجّسه شي‌ء إلّا ما غيّر لونه أو طعمه أو رايحته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صاحب الجامع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الأوّلون بما رواه الصدوق في الصحيح عن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عليه‌السلام عن السطح يبال عليه فيصيبه السماء فيكف </w:t>
      </w:r>
      <w:r>
        <w:rPr>
          <w:rStyle w:val="FootnoteAnchor"/>
          <w:rtl w:val="true"/>
        </w:rPr>
        <w:footnoteReference w:id="778"/>
      </w:r>
      <w:r>
        <w:rPr>
          <w:rFonts w:ascii="Amiri" w:hAnsi="Amiri" w:eastAsia="Amiri" w:cs="Amiri"/>
          <w:color w:val="111111"/>
          <w:sz w:val="28"/>
          <w:sz w:val="28"/>
          <w:szCs w:val="28"/>
          <w:rtl w:val="true"/>
          <w:lang w:bidi="ar-SA"/>
        </w:rPr>
        <w:t xml:space="preserve">فيصيب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الماء أكثر منه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عليّ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أخاه موسى بن جعفر عليهم‌السلام عن الرجل يمرّ في ماء المطر وقد صبّ فيه خمر فأصاب ثوبه هل يصلّي فيه </w:t>
      </w:r>
    </w:p>
    <w:p>
      <w:pPr>
        <w:pStyle w:val="BookText"/>
        <w:rPr/>
      </w:pPr>
      <w:r>
        <w:rPr>
          <w:rFonts w:ascii="Amiri" w:hAnsi="Amiri" w:eastAsia="Amiri" w:cs="Amiri"/>
          <w:color w:val="111111"/>
          <w:sz w:val="28"/>
          <w:sz w:val="28"/>
          <w:szCs w:val="28"/>
          <w:rtl w:val="true"/>
          <w:lang w:bidi="ar-SA"/>
        </w:rPr>
        <w:t xml:space="preserve">قبل أن يغسله؟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ثوبه ولا رجله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الكليني في الكافي عن أبي عبد اللّه عليه‌السلام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فيسيل عليّ من ماء المطر أرى فيه التغيّر وأرى فيه آثار القدر فتقطر القطرات عليّ وينتضح علي منه ، والبيت يتوضّأ على سطحه فيكفّ على ثيابنا؟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الشيخ بما رواه في الحسن عن هشام بن الحكم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ميزابين سالا ، أحدهما بول الآخر ماء المطر فاختلطا ، فأصاب ثوب رجل لم يضرّ ذلك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عليّ بن جعفر أنّه سأل أخاه أبا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البيت يبال على ظهره ويغتسل من الجنابة ثمّ يصيبه المطر أيؤخذ من مائه فيتوضّأ به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مروان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ميزابين سالا ، ميزاب ببول وميزاب بماء فاختلطا ثمّ أصابك ، ما كان به بأس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 كلتا الحجّتين نظر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صحيح هشام بن سالم إنّما يدلّ على عدم انفعاله بالملاقاة مع وروده على النجاسة لا مطلقا ، وستعلم أنّ جمعا من الأصحاب ذهبوا </w:t>
      </w:r>
      <w:bookmarkStart w:id="509" w:name="pg8731_77244"/>
    </w:p>
    <w:p>
      <w:pPr>
        <w:pStyle w:val="BookText"/>
        <w:rPr/>
      </w:pPr>
      <w:bookmarkEnd w:id="509"/>
      <w:r>
        <w:rPr>
          <w:rFonts w:ascii="Amiri" w:hAnsi="Amiri" w:eastAsia="Amiri" w:cs="Amiri"/>
          <w:color w:val="111111"/>
          <w:sz w:val="28"/>
          <w:sz w:val="28"/>
          <w:szCs w:val="28"/>
          <w:rtl w:val="true"/>
          <w:lang w:bidi="ar-SA"/>
        </w:rPr>
        <w:t>إلى عدم انفعال القليل من الواقف بملاقاة النجاسة إذا ورد عليها مع حكمهم بالانفعال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الحكم بعدم الانفعال في الصورة المعيّنة التي هي مورد النصّ دلالة على عدم الانفعال مطلقا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الخبر إنّما دلّ على عدم نجاسة ما يكفّ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السطح المنجّس إذا ورد الماء عليه ، وكان أكثر منه وعلى طهارة السطح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التحقيق حكم من أحكام الجاري عند بعض الأصحاب وليس بمختصّ به عند آخرين ، والمدّعى مساواته للجاري مطلقا فهو إذن أخصّ من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عليّ بن جعفر فيه إشعار بحصول الجريان وإن لم يكن من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ذكر الميزاب في كلام الشيخ ليس على جهة التعيّن بل للمثال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الكافي مرسلة ، مع أنّها في الدلالة قريبة من صحيح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الحجّة الثانية فلأنّ مقتضاها توقّف لحوق أحكام الجاري مطلقا على الجريان وهو لا ينافي ثبوت بعض أحكامه له وإن لم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أحكام الجاري له على وجه العموم موقوف على الجريان ، وبدونه يقتصر منها على ما دلّ عليه النصّ الصحيح ، ويرجع فيما سوى ذلك إلى ما يقتضيه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المسألة حينئذ يتوقّف على ذكر فروع </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140219_653776707"/>
      <w:bookmarkStart w:id="511" w:name="_Toc184"/>
      <w:bookmarkEnd w:id="510"/>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5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 التقاطر صار واقفا وإن كان جاريا ، وذلك ممّا لا خلاف فيه ، وحكمه مع اختلاف السطوح كالواقف فيبنى عدم انفعاله بالملاقاة مع بلوغ مجموعه الكر أو اتّصاله بالكثير على الخلاف في اشتراط المساواة في مقدار الكرّ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تحقيق ذلك</w:t>
      </w:r>
      <w:r>
        <w:rPr>
          <w:rFonts w:eastAsia="Amiri" w:cs="Amiri" w:ascii="Amiri" w:hAnsi="Amiri"/>
          <w:color w:val="111111"/>
          <w:sz w:val="28"/>
          <w:szCs w:val="28"/>
          <w:rtl w:val="true"/>
          <w:lang w:bidi="ar-SA"/>
        </w:rPr>
        <w:t xml:space="preserve">. </w:t>
      </w:r>
      <w:bookmarkStart w:id="512" w:name="pg8731_77245"/>
    </w:p>
    <w:p>
      <w:pPr>
        <w:pStyle w:val="Heading6"/>
        <w:numPr>
          <w:ilvl w:val="5"/>
          <w:numId w:val="1"/>
        </w:numPr>
        <w:rPr/>
      </w:pPr>
      <w:bookmarkStart w:id="513" w:name="__RefHeading___Toc3140221_653776707"/>
      <w:bookmarkStart w:id="514" w:name="_Toc185"/>
      <w:bookmarkEnd w:id="512"/>
      <w:bookmarkEnd w:id="513"/>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514"/>
    </w:p>
    <w:p>
      <w:pPr>
        <w:pStyle w:val="BookText"/>
        <w:rPr/>
      </w:pPr>
      <w:r>
        <w:rPr>
          <w:rFonts w:ascii="Amiri" w:hAnsi="Amiri" w:eastAsia="Amiri" w:cs="Amiri"/>
          <w:color w:val="111111"/>
          <w:sz w:val="28"/>
          <w:sz w:val="28"/>
          <w:szCs w:val="28"/>
          <w:rtl w:val="true"/>
          <w:lang w:bidi="ar-SA"/>
        </w:rPr>
        <w:t xml:space="preserve">إذا أصاب في حال تقاطره منجّسا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 موضع النجاسة وزالت العين إن كانت موجودة طهر وإن لم يبلغ حدّ الجريان ، كما دلّ عليه صحيح هشام بن سالم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كون الماء الواقع أكثر من النجاسة لجعله في الحديث علّة لحصول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مورد السؤال فيه السطح لا يقتضي اختصاص الحكم به ؛ لأنّ التعليل يدلّ على التعدية إلى كلّ ما يوجد فيه العلّة إذ الحال شاهدة لعدم مدخليّة الخصوصيّة فيها ، وقد بيّنا وجوب التعدية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بنجاسة ما ينفصل منه عن المحلّ من دون أن تغيّره النجاسة وإن قلنا بنجاسة المنفصل من القليل الواقف عملا بهذا الحديث</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140223_653776707"/>
      <w:bookmarkStart w:id="516" w:name="_Toc186"/>
      <w:bookmarkEnd w:id="515"/>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516"/>
    </w:p>
    <w:p>
      <w:pPr>
        <w:pStyle w:val="BookText"/>
        <w:rPr/>
      </w:pPr>
      <w:r>
        <w:rPr>
          <w:rFonts w:ascii="Amiri" w:hAnsi="Amiri" w:eastAsia="Amiri" w:cs="Amiri"/>
          <w:color w:val="111111"/>
          <w:sz w:val="28"/>
          <w:sz w:val="28"/>
          <w:szCs w:val="28"/>
          <w:rtl w:val="true"/>
          <w:lang w:bidi="ar-SA"/>
        </w:rPr>
        <w:t>إذا وقع على ماء نجس غير متغيّر بدون جريان لم يطهّره على الأصحّ وإن قلنا بالاكتفاء في تطهير الماء بمجرّد الاتّصال ؛ لأنّ ذلك موقوف على تحقّق الكثرة في المطهّر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الدليل هنا لا ينهض بإثبات مطلق أحكام الجاري له بل بعض معيّن منها لا يجدي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بعض المتأخّرين ممّن يرى الاكتفاء بالاتّصال القول بحصول الطهارة حينئذ بوقوع القطرة الواحدة منه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غلط ؛ لأنّ المقتضي لذلك إمّا كونه في حكم الجاري أو النظر إلى ظاهر الآية حيث دلّت على كونه مطهّرا بقول مطلق ، وكلاهما فاسد</w:t>
      </w:r>
      <w:r>
        <w:rPr>
          <w:rFonts w:eastAsia="Amiri" w:cs="Amiri" w:ascii="Amiri" w:hAnsi="Amiri"/>
          <w:color w:val="111111"/>
          <w:sz w:val="28"/>
          <w:szCs w:val="28"/>
          <w:rtl w:val="true"/>
          <w:lang w:bidi="ar-SA"/>
        </w:rPr>
        <w:t xml:space="preserve">. </w:t>
      </w:r>
      <w:bookmarkStart w:id="517" w:name="pg8731_77246"/>
    </w:p>
    <w:p>
      <w:pPr>
        <w:pStyle w:val="BookText"/>
        <w:rPr/>
      </w:pPr>
      <w:bookmarkEnd w:id="517"/>
      <w:r>
        <w:rPr>
          <w:rFonts w:ascii="Amiri" w:hAnsi="Amiri" w:eastAsia="Amiri" w:cs="Amiri"/>
          <w:color w:val="111111"/>
          <w:sz w:val="28"/>
          <w:sz w:val="28"/>
          <w:szCs w:val="28"/>
          <w:rtl w:val="true"/>
          <w:lang w:bidi="ar-SA"/>
        </w:rPr>
        <w:t>أمّا الأوّل ؛ فلأنّا وإن تنزّلنا إلى القول بثبوت أحكام الجاري له مطلقا ، إلّا أنّك قد علمت أنّ المقتضي لطهارة الماء بمجرّد الاتّصال على القول به وهو كون الجزء الملاقي للكثير يطهر بملاقاته له ؛ عملا بعموم ما دلّ على كون الماء مطهّرا ، وبعد الحكم بطهارته يتّصل بالجزء الثاني وهو متّفق بالكثير الذي منه طهره فيطهر الجزء الثاني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التوجيه لا يتوجّه هنا ؛ إذ أقصى ما يقال في القطرة الواقعة أنّها تطهّر ما 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الانقطاع لا ينفكّ عن ملاقاتها وهي بعده في حكم القليل كما علمت فليس للجزء الذي طهر بها مقوّ حينئذ ليستعين به على تطهير ما يليه بل هو معها حين الانقطاع ماء قليل فيعود بها إلى الانفعال بملاقاة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فقد مرّ الكلام فيه وبيّنا أنّه ليس 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صدق التطهير يتوقّف على إصابة المطهّر للمحلّ النجس أو لأكثره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القطرة لا يتحقّق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الذي ذكر للكثير لا يتأتّى فيها ،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تكاثر تقاطره بحيث استوعب وجه الماء أو أكثره احتمل طهارته به عند من لم يشترط الجريان ، ولا الامتزاج</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140225_653776707"/>
      <w:bookmarkStart w:id="519" w:name="_Toc187"/>
      <w:bookmarkEnd w:id="518"/>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519"/>
    </w:p>
    <w:p>
      <w:pPr>
        <w:pStyle w:val="BookText"/>
        <w:rPr/>
      </w:pPr>
      <w:r>
        <w:rPr>
          <w:rFonts w:ascii="Amiri" w:hAnsi="Amiri" w:eastAsia="Amiri" w:cs="Amiri"/>
          <w:color w:val="111111"/>
          <w:sz w:val="28"/>
          <w:sz w:val="28"/>
          <w:szCs w:val="28"/>
          <w:rtl w:val="true"/>
          <w:lang w:bidi="ar-SA"/>
        </w:rPr>
        <w:t>إذا جرى في حال التقاطر فلا ريب في ثبوت أحكام الجاري له وتبنى طهارة الماء النجس غير المتغيّر مع اتّصاله به على الخلاف السابق في الاكتفاء بمجرّد الاتّصال أو التوقّف على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يطهر بوصوله إليه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يتوقّف على التكاثر والتمازج كما مرّ تفصيله</w:t>
      </w:r>
      <w:r>
        <w:rPr>
          <w:rFonts w:eastAsia="Amiri" w:cs="Amiri" w:ascii="Amiri" w:hAnsi="Amiri"/>
          <w:color w:val="111111"/>
          <w:sz w:val="28"/>
          <w:szCs w:val="28"/>
          <w:rtl w:val="true"/>
          <w:lang w:bidi="ar-SA"/>
        </w:rPr>
        <w:t xml:space="preserve">. </w:t>
      </w:r>
      <w:bookmarkStart w:id="520" w:name="pg8731_77247"/>
    </w:p>
    <w:p>
      <w:pPr>
        <w:pStyle w:val="Heading6"/>
        <w:numPr>
          <w:ilvl w:val="5"/>
          <w:numId w:val="1"/>
        </w:numPr>
        <w:rPr/>
      </w:pPr>
      <w:bookmarkStart w:id="521" w:name="__RefHeading___Toc3140227_653776707"/>
      <w:bookmarkStart w:id="522" w:name="_Toc188"/>
      <w:bookmarkEnd w:id="520"/>
      <w:bookmarkEnd w:id="521"/>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522"/>
    </w:p>
    <w:p>
      <w:pPr>
        <w:pStyle w:val="BookText"/>
        <w:rPr/>
      </w:pPr>
      <w:r>
        <w:rPr>
          <w:rFonts w:ascii="Amiri" w:hAnsi="Amiri" w:eastAsia="Amiri" w:cs="Amiri"/>
          <w:color w:val="111111"/>
          <w:sz w:val="28"/>
          <w:sz w:val="28"/>
          <w:szCs w:val="28"/>
          <w:rtl w:val="true"/>
          <w:lang w:bidi="ar-SA"/>
        </w:rPr>
        <w:t>إذا وقع على ماء قليل طاهر فإن كان بطريق الجريان تقوّى به كالجاري فلا ينفعل بالملاقاة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بمجرّد التقاطر لم يفده تقوّيا ؛ لما بيّناه من عدم دلالة الروايات على ثبوت جميع أحكام الجاري له فيبقى داخلا في عموم قاعدة القليل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اجتمع منه ما لا يتحقّق معه الجريان فإنّه لا يخرج به عن حكم القليل بالنظر إلى الانفعال بما يرد عليه من النجاسات</w:t>
      </w:r>
      <w:r>
        <w:rPr>
          <w:rFonts w:eastAsia="Amiri" w:cs="Amiri" w:ascii="Amiri" w:hAnsi="Amiri"/>
          <w:color w:val="111111"/>
          <w:sz w:val="28"/>
          <w:szCs w:val="28"/>
          <w:rtl w:val="true"/>
          <w:lang w:bidi="ar-SA"/>
        </w:rPr>
        <w:t xml:space="preserve">. </w:t>
      </w:r>
      <w:bookmarkStart w:id="523" w:name="pg8731_77248"/>
    </w:p>
    <w:p>
      <w:pPr>
        <w:pStyle w:val="Heading6"/>
        <w:numPr>
          <w:ilvl w:val="5"/>
          <w:numId w:val="1"/>
        </w:numPr>
        <w:rPr/>
      </w:pPr>
      <w:bookmarkStart w:id="524" w:name="__RefHeading___Toc3140229_653776707"/>
      <w:bookmarkStart w:id="525" w:name="_Toc189"/>
      <w:bookmarkEnd w:id="523"/>
      <w:bookmarkEnd w:id="524"/>
      <w:r>
        <w:rPr>
          <w:rtl w:val="true"/>
        </w:rPr>
        <w:t xml:space="preserve">البحث الرابع </w:t>
      </w:r>
      <w:r>
        <w:rPr>
          <w:rtl w:val="true"/>
        </w:rPr>
        <w:t xml:space="preserve">: </w:t>
      </w:r>
      <w:r>
        <w:rPr>
          <w:rtl w:val="true"/>
        </w:rPr>
        <w:t>في المستعمل</w:t>
      </w:r>
      <w:bookmarkEnd w:id="525"/>
    </w:p>
    <w:p>
      <w:pPr>
        <w:pStyle w:val="Heading6"/>
        <w:numPr>
          <w:ilvl w:val="5"/>
          <w:numId w:val="1"/>
        </w:numPr>
        <w:rPr/>
      </w:pPr>
      <w:bookmarkStart w:id="526" w:name="__RefHeading___Toc3140231_653776707"/>
      <w:bookmarkStart w:id="527" w:name="_Toc190"/>
      <w:bookmarkEnd w:id="526"/>
      <w:r>
        <w:rPr>
          <w:rtl w:val="true"/>
        </w:rPr>
        <w:t xml:space="preserve">مسألة </w:t>
      </w:r>
      <w:r>
        <w:rPr>
          <w:rtl w:val="true"/>
        </w:rPr>
        <w:t>[</w:t>
      </w:r>
      <w:r>
        <w:rPr/>
        <w:t>1</w:t>
      </w:r>
      <w:r>
        <w:rPr>
          <w:rtl w:val="true"/>
        </w:rPr>
        <w:t>] :</w:t>
      </w:r>
      <w:bookmarkEnd w:id="527"/>
    </w:p>
    <w:p>
      <w:pPr>
        <w:pStyle w:val="Heading6"/>
        <w:numPr>
          <w:ilvl w:val="5"/>
          <w:numId w:val="1"/>
        </w:numPr>
        <w:rPr/>
      </w:pPr>
      <w:bookmarkStart w:id="528" w:name="__RefHeading___Toc3140233_653776707"/>
      <w:bookmarkStart w:id="529" w:name="_Toc19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اختلف أصحابنا رحمهم‌اللّه في نجاسة غير المتغيّر من الماء القليل المستعمل في إزالة النجاسة عدا الاستنجاء بعد اتّفاقهم على نجاسته مع التغيّر بها كغيره ممّا قد سلف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الفاضلان </w:t>
      </w:r>
      <w:r>
        <w:rPr>
          <w:rStyle w:val="FootnoteAnchor"/>
          <w:rtl w:val="true"/>
        </w:rPr>
        <w:footnoteReference w:id="786"/>
      </w:r>
      <w:r>
        <w:rPr>
          <w:rFonts w:ascii="Amiri" w:hAnsi="Amiri" w:eastAsia="Amiri" w:cs="Amiri"/>
          <w:color w:val="111111"/>
          <w:sz w:val="28"/>
          <w:sz w:val="28"/>
          <w:szCs w:val="28"/>
          <w:rtl w:val="true"/>
          <w:lang w:bidi="ar-SA"/>
        </w:rPr>
        <w:t xml:space="preserve">وجماعة من المتأخّرين منهم الشهيدان </w:t>
      </w:r>
      <w:r>
        <w:rPr>
          <w:rStyle w:val="FootnoteAnchor"/>
          <w:rtl w:val="true"/>
        </w:rPr>
        <w:footnoteReference w:id="787"/>
      </w:r>
      <w:r>
        <w:rPr>
          <w:rFonts w:ascii="Amiri" w:hAnsi="Amiri" w:eastAsia="Amiri" w:cs="Amiri"/>
          <w:color w:val="111111"/>
          <w:sz w:val="28"/>
          <w:sz w:val="28"/>
          <w:szCs w:val="28"/>
          <w:rtl w:val="true"/>
          <w:lang w:bidi="ar-SA"/>
        </w:rPr>
        <w:t>في بعض كتبهما إلى نجاسته وانتصر لهذا القول بعض مشايخنا المعاصرين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المرتضى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طهارته إذا ورد على المحلّ النجس </w:t>
      </w:r>
      <w:r>
        <w:rPr>
          <w:rStyle w:val="FootnoteAnchor"/>
          <w:rtl w:val="true"/>
        </w:rPr>
        <w:footnoteReference w:id="788"/>
      </w:r>
      <w:r>
        <w:rPr>
          <w:rFonts w:ascii="Amiri" w:hAnsi="Amiri" w:eastAsia="Amiri" w:cs="Amiri"/>
          <w:color w:val="111111"/>
          <w:sz w:val="28"/>
          <w:sz w:val="28"/>
          <w:szCs w:val="28"/>
          <w:rtl w:val="true"/>
          <w:lang w:bidi="ar-SA"/>
        </w:rPr>
        <w:t xml:space="preserve">، ونقل عن الشيخ في المبسوط أنّه حكى القول بعدم نجاسته عن بعض الناس ، وقوّاه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في الذكرى ووالدي في </w:t>
      </w:r>
    </w:p>
    <w:p>
      <w:pPr>
        <w:pStyle w:val="BookText"/>
        <w:rPr/>
      </w:pPr>
      <w:r>
        <w:rPr>
          <w:rFonts w:ascii="Amiri" w:hAnsi="Amiri" w:eastAsia="Amiri" w:cs="Amiri"/>
          <w:color w:val="111111"/>
          <w:sz w:val="28"/>
          <w:sz w:val="28"/>
          <w:szCs w:val="28"/>
          <w:rtl w:val="true"/>
          <w:lang w:bidi="ar-SA"/>
        </w:rPr>
        <w:t xml:space="preserve">شرح الإرشاد الميل إليه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باختياره الشيخ علي رحمه‌اللّه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إلى جماعة من متقدّمي الأصحاب المصير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رحمه‌اللّه في الخلاف فحكم بنجاسة الاولى من غسالة الثوب دون الثانية ، وبطهارة غسالة الإناء من ولوغ الكلب مطلقا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بالتنجيس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ماء قليل لاقى نجاسة فينجس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يغسل به الثوب أو يغتسل به عن الجنابة لا يتوضّأ به وأشباهه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أصابه قطرة من طشت فيه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بول أو قذر فيغسل ما أصابه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القائلون بالطهارة مطلقا بأنّه لو نجس مع وروده على النجاسة لامتنع حصول الطهارة به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الملازمة ظاهر ؛ فإنّ النجس لا يصلح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بالمنع من الملازمة ؛ فإنّا لا نحكم بنجاسة الماء إلّا بعد الانفصال عن المحلّ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 هذا يقتضي انفكاك المعلول عن علّته التامّة ووجوده بدونها ، وهو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ينجس بملاقاة النجاسة التي هي العلّة في الحكم بالتنجيس عندكم فكيف ينجس بعد انفصاله عنها ومفارقته لها؟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اعترض على الوجه الأوّل من حجّة الأوّلين بمنع كلّية المقدمة المطويّة فيه التي هي كبراه 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قليل لاقى نجاسة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ادّعاءها مصادرة ؛ إذ هو عين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شيخنا المعاصر بأنّ الدليل على كلّيتها هو مفهوم الشرط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 ممّن يحتجّ بهذا المفهوم على انفعال القليل بالملاقاة كيف يمنع الكلّيّة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اعترض على نفسه بأنّ العموم ليس بظاهر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بأنّه لو لا العموم لم يكن على نجاسة القليل بالملاقاة دليل ، ولكان استدلالهم به في غير هذه المسألة منتقضا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ضعيف جدّا ؛ لأنّ المفهوم ليس بعامّ قطعا ؛ إذ الحكم المعلّق على الشرط في المنطوق هو نفي الانفعال بشي‌ء من النجاسات بطريق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شأن النكرة الواقعة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إنّما يقتضي نفي ما حكم به في المنطوق عن غير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يصدق في موضع النزاع بإثبات الانفعال للناقص عن الكرّ في الجملة فلا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انتفاء دلالته حينئذ على انفعال القليل مطلقا مسلّم وقد أشرنا إليه في أوّل الباب ، وبيّنا أنّ تتميم الاحتجاج به يحتاج إلى ضميمة الإجماع على عدم الفصل إليه ؛ لأنّه يدلّ على ثبوت الانفعال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ذكرناه فساد الاحتجاج على النجاسة هنا بكونه ماء قليلا لاقى نجاسة ؛ فإنّ عموم انفعال القليل بملاقاة النجاسة إنّما حصل بضميمة الإجماع على عدم الفصل ، وهو لا يتأتّى في محلّ النزاع ونحوه كما هو واضح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الوجه الثاني من حجّة الأوّلين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عبد اللّه </w:t>
      </w:r>
    </w:p>
    <w:p>
      <w:pPr>
        <w:pStyle w:val="BookText"/>
        <w:rPr/>
      </w:pP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أعمّ من المدّعى حيث تضمّنت النهي عن الوضوء وهو أعمّ من النجاسة ، ثمّ إنّ عطف الجنابة عليه يؤذن بأنّ المرتفع هو الطهوريّة لا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سلامة سند الرواية وإلّا فهو ضعيف لا يصلح لإثبات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الوجه الثالث من حجّتهم وهو التمسّك برواية العيص بن القاسم وسيأتي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في الخلاف على نجاسة الغسلة الاولى في غسل الثوب بأنّه ماء قليل ومعلوم حصول النجاسة فيه فوجب أن يحكم بنجاسته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رواه العيص بن القاسم ، وذكر الرواية التي احتجّوا بها للنجاسة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طهارة الثانية بأنّ الماء على أصل الطهارة ونجاسته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على طهارة غسالة إناء الولوغ مطلقا بأنّ الحكم بنجاسة ذلك يحتاج إلى دليل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فلو حكمنا بنجاسته لما طهر الإناء أبدا ؛ لأنّه كلّما غسل فما يبقى فيه من النداوة يكون نجسا فإذا طرح فيه ماء آخر نجس أيضا ، وذلك يؤدّي إلى أن لا يطهر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الذي ذكره لنجاسة الغسلة الاولى في غسل الثوب على تقدير تمامه يقتضي نجاسة الثانية أيضا ؛ لأنّ المحلّ لم يطهر بعد وإلّا لم يحتجّ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الحكم بنجاسته باقيا فالماء الملاقي له والحال هذه ينجس أيضا لعين ما ذكره في الاولى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تمسّك بها ليس فيها تقييد بالاولى فإن كانت صالحة </w:t>
      </w:r>
    </w:p>
    <w:p>
      <w:pPr>
        <w:pStyle w:val="BookText"/>
        <w:rPr/>
      </w:pPr>
      <w:r>
        <w:rPr>
          <w:rFonts w:ascii="Amiri" w:hAnsi="Amiri" w:eastAsia="Amiri" w:cs="Amiri"/>
          <w:color w:val="111111"/>
          <w:sz w:val="28"/>
          <w:sz w:val="28"/>
          <w:szCs w:val="28"/>
          <w:rtl w:val="true"/>
          <w:lang w:bidi="ar-SA"/>
        </w:rPr>
        <w:t>للاحتجاج فهي متناولة للصورتين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التعليل لطهارة غسالة الإناء جار بعينه في غسالة الثوب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إن كان على النجاسة دليل تعيّن المصير إليها ، ولا ينافيه الحكم بطهارة المحلّ إذ لا معنى للنجس إلّا ما أمر الشارع باجتنابه وإزالة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بعد في أن يوجب الشارع اجتناب ما ينفصل من الغسالة عن الثوب والبدن والإناء ، ولا يوجبه في المتخلّف والباقي منها؟ وإن لم يكن هناك دليل فالأصل يقتضي براءة الذمّة من التكليف بالاجتناب ووجوب الإزالة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فالفروق التي تذكر كلّها ضعيفة لا تنفكّ عن علّة التحكّم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اختصاص الدليل ببعضها لكان هو المقتضي للحكم فيجب التمسّك به فيه وإبقاء ما سواه على حكم الأصل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فالتحقيق عندي في هذه المسألة أنّه ليس في النقل ما يمكن استفادة الحكم بالنجاسة فيها منه إلّا رواية العيص بن القاسم ، وقد احتجّ بها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لنجاسة الغسلة الاولى مع أنّه لا تقييد فيها ، ولذلك احتجّ غيره بها على النجاسة في الكلّ ، ولكنّي لم أقف عليها مسندة ؛ إذ لم أرها في كتب الحديث الموجودة الآن بعد التتبّع والاستقراء بقدر المجال ، وإنّما أوردها الشيخ في الخلاف وبعده المحقّق في المعتبر ، ثمّ العلّامة في المنتهى مرسلة عن العيص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أخذها من كتاب العيص حيث ذكر في الفهرست أنّ له كتابا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530" w:name="pg8731_77253"/>
    </w:p>
    <w:p>
      <w:pPr>
        <w:pStyle w:val="BookText"/>
        <w:rPr/>
      </w:pPr>
      <w:bookmarkEnd w:id="530"/>
      <w:r>
        <w:rPr>
          <w:rFonts w:ascii="Amiri" w:hAnsi="Amiri" w:eastAsia="Amiri" w:cs="Amiri"/>
          <w:color w:val="111111"/>
          <w:sz w:val="28"/>
          <w:sz w:val="28"/>
          <w:szCs w:val="28"/>
          <w:rtl w:val="true"/>
          <w:lang w:bidi="ar-SA"/>
        </w:rPr>
        <w:t>وقال في التهذيب والاستبصار أنّه إذا ترك فيها بعض إسناد حديث يبدأ في المذكور منه باسم الرجل الذي أخذ الحديث من كتابه ، فعسى أن يكون نقله لها في الخلاف جاريا على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في الفهرست إلى الكتاب المذكور حسن فيقرب أمر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أنّها محتملة في النجاسة لا ظاهرة ؛ لأنّ فيها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في المعتبر بعد احتجاجه بها أنّ فيها ضعفا </w:t>
      </w:r>
      <w:r>
        <w:rPr>
          <w:rStyle w:val="FootnoteAnchor"/>
          <w:rtl w:val="true"/>
        </w:rPr>
        <w:footnoteReference w:id="798"/>
      </w:r>
      <w:r>
        <w:rPr>
          <w:rFonts w:ascii="Amiri" w:hAnsi="Amiri" w:eastAsia="Amiri" w:cs="Amiri"/>
          <w:color w:val="111111"/>
          <w:sz w:val="28"/>
          <w:sz w:val="28"/>
          <w:szCs w:val="28"/>
          <w:rtl w:val="true"/>
          <w:lang w:bidi="ar-SA"/>
        </w:rPr>
        <w:t xml:space="preserve">، وحينئذ فالخروج عن الأصل والتزام الفرق بين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المخالفة للاعتبار المقرّر في حجّة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دليل واضح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ربقة المجازفة ، غير أنّ في القول بالتنجيس احتياطا للدين غالبا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3140235_653776707"/>
      <w:bookmarkStart w:id="532" w:name="_Toc192"/>
      <w:bookmarkEnd w:id="531"/>
      <w:r>
        <w:rPr>
          <w:rtl w:val="true"/>
        </w:rPr>
        <w:t xml:space="preserve">فروع </w:t>
      </w:r>
      <w:r>
        <w:rPr>
          <w:rtl w:val="true"/>
        </w:rPr>
        <w:t>:</w:t>
      </w:r>
      <w:bookmarkEnd w:id="532"/>
    </w:p>
    <w:p>
      <w:pPr>
        <w:pStyle w:val="Heading6"/>
        <w:numPr>
          <w:ilvl w:val="5"/>
          <w:numId w:val="1"/>
        </w:numPr>
        <w:rPr/>
      </w:pPr>
      <w:bookmarkStart w:id="533" w:name="__RefHeading___Toc3140237_653776707"/>
      <w:bookmarkStart w:id="534" w:name="_Toc193"/>
      <w:bookmarkEnd w:id="533"/>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534"/>
    </w:p>
    <w:p>
      <w:pPr>
        <w:pStyle w:val="BookText"/>
        <w:rPr/>
      </w:pPr>
      <w:r>
        <w:rPr>
          <w:rFonts w:ascii="Amiri" w:hAnsi="Amiri" w:eastAsia="Amiri" w:cs="Amiri"/>
          <w:color w:val="111111"/>
          <w:sz w:val="28"/>
          <w:sz w:val="28"/>
          <w:szCs w:val="28"/>
          <w:rtl w:val="true"/>
          <w:lang w:bidi="ar-SA"/>
        </w:rPr>
        <w:t xml:space="preserve">إنّما يحكم بالتنجيس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ورود الماء في حال نجاسة المحلّ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يرد بعد الحكم بطهارته طاهر وإن بقي في المحلّ نداوة من أثر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عبارات الأصحاب القائلين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إلى بعضهم القول بالنجاسة إذا ورد على المحلّ الطاهر وكان باقيا على رطوبته الحاصلة من غسله نجسا وإن تكرّر ذلك لا إلى نهاية ؛ محتجّا بأنّه ماء قليل لاقى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بأنّ طهارة المنجّس بالقليل على خلاف الأصل المقرّر من نجاسة القليل بالملاقاة فيقتصر فيه على موضع الحاجة وهو المحلّ دون الماء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 هذا الكلام أظهر من أن يبيّن</w:t>
      </w:r>
      <w:r>
        <w:rPr>
          <w:rFonts w:eastAsia="Amiri" w:cs="Amiri" w:ascii="Amiri" w:hAnsi="Amiri"/>
          <w:color w:val="111111"/>
          <w:sz w:val="28"/>
          <w:szCs w:val="28"/>
          <w:rtl w:val="true"/>
          <w:lang w:bidi="ar-SA"/>
        </w:rPr>
        <w:t xml:space="preserve">. </w:t>
      </w:r>
      <w:bookmarkStart w:id="535" w:name="pg8731_77254"/>
    </w:p>
    <w:p>
      <w:pPr>
        <w:pStyle w:val="BookText"/>
        <w:rPr/>
      </w:pPr>
      <w:bookmarkEnd w:id="535"/>
      <w:r>
        <w:rPr>
          <w:rFonts w:ascii="Amiri" w:hAnsi="Amiri" w:eastAsia="Amiri" w:cs="Amiri"/>
          <w:color w:val="111111"/>
          <w:sz w:val="28"/>
          <w:sz w:val="28"/>
          <w:szCs w:val="28"/>
          <w:rtl w:val="true"/>
          <w:lang w:bidi="ar-SA"/>
        </w:rPr>
        <w:t>ويحكى عن بعض المتأخّرين أنّه نسب هذا القول إلى الفاضلين ، وهو عجيب ؛ إذ ليس في كلامهما ما يحتمل ذلك منه ، وكيف يظنّ مثله 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القول بالإعراض عنه حقيق</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140239_653776707"/>
      <w:bookmarkStart w:id="537" w:name="_Toc194"/>
      <w:bookmarkEnd w:id="536"/>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537"/>
    </w:p>
    <w:p>
      <w:pPr>
        <w:pStyle w:val="BookText"/>
        <w:rPr/>
      </w:pPr>
      <w:r>
        <w:rPr>
          <w:rFonts w:ascii="Amiri" w:hAnsi="Amiri" w:eastAsia="Amiri" w:cs="Amiri"/>
          <w:color w:val="111111"/>
          <w:sz w:val="28"/>
          <w:sz w:val="28"/>
          <w:szCs w:val="28"/>
          <w:rtl w:val="true"/>
          <w:lang w:bidi="ar-SA"/>
        </w:rPr>
        <w:t>إذا قلنا بالتنجيس فالأظهر عدم إلحاق نجاسة الماء بنجاسة المحلّ في الحكم بل يكفي في التطهير من أثره الغسل مرّة واحدة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بعض مشايخنا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للأصحاب في ذلك خلاف وإنّ منهم من جعل حكمه حكم المغسول به ، فإن كان ممّا يجب له أيضا كمال التعدّد وجب فيه أيضا 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جعله كالمحلّ قبل الغسلة التي هو من مائها ، فإن كان من الاولى فتمام العدد ، وإن كان من الثانية فيما له ثنتان فواحدة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ذهب إليه الشهيد في بعض كتبه </w:t>
      </w:r>
      <w:r>
        <w:rPr>
          <w:rStyle w:val="FootnoteAnchor"/>
          <w:rtl w:val="true"/>
        </w:rPr>
        <w:footnoteReference w:id="799"/>
      </w:r>
      <w:r>
        <w:rPr>
          <w:rFonts w:ascii="Amiri" w:hAnsi="Amiri" w:eastAsia="Amiri" w:cs="Amiri"/>
          <w:color w:val="111111"/>
          <w:sz w:val="28"/>
          <w:sz w:val="28"/>
          <w:szCs w:val="28"/>
          <w:rtl w:val="true"/>
          <w:lang w:bidi="ar-SA"/>
        </w:rPr>
        <w:t>وتبعه عليه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القولين عندي ضعيف ؛ لعدم الدليل على شي‌ء منهما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3140241_653776707"/>
      <w:bookmarkStart w:id="539" w:name="_Toc195"/>
      <w:bookmarkEnd w:id="538"/>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539"/>
    </w:p>
    <w:p>
      <w:pPr>
        <w:pStyle w:val="BookText"/>
        <w:rPr/>
      </w:pPr>
      <w:r>
        <w:rPr>
          <w:rFonts w:ascii="Amiri" w:hAnsi="Amiri" w:eastAsia="Amiri" w:cs="Amiri"/>
          <w:color w:val="111111"/>
          <w:sz w:val="28"/>
          <w:sz w:val="28"/>
          <w:szCs w:val="28"/>
          <w:rtl w:val="true"/>
          <w:lang w:bidi="ar-SA"/>
        </w:rPr>
        <w:t>ادّعى المحقّق في المعتبر</w:t>
      </w:r>
      <w:r>
        <w:rPr>
          <w:rStyle w:val="FootnoteAnchor"/>
          <w:rtl w:val="true"/>
        </w:rPr>
        <w:footnoteReference w:id="800"/>
      </w:r>
      <w:r>
        <w:rPr>
          <w:rFonts w:ascii="Amiri" w:hAnsi="Amiri" w:eastAsia="Amiri" w:cs="Amiri"/>
          <w:color w:val="111111"/>
          <w:sz w:val="28"/>
          <w:sz w:val="28"/>
          <w:szCs w:val="28"/>
          <w:rtl w:val="true"/>
          <w:lang w:bidi="ar-SA"/>
        </w:rPr>
        <w:t>والعلّامة في المنتهى</w:t>
      </w:r>
      <w:r>
        <w:rPr>
          <w:rStyle w:val="FootnoteAnchor"/>
          <w:rtl w:val="true"/>
        </w:rPr>
        <w:footnoteReference w:id="801"/>
      </w:r>
      <w:r>
        <w:rPr>
          <w:rFonts w:ascii="Amiri" w:hAnsi="Amiri" w:eastAsia="Amiri" w:cs="Amiri"/>
          <w:color w:val="111111"/>
          <w:sz w:val="28"/>
          <w:sz w:val="28"/>
          <w:szCs w:val="28"/>
          <w:rtl w:val="true"/>
          <w:lang w:bidi="ar-SA"/>
        </w:rPr>
        <w:t xml:space="preserve">الإجماع على أنّ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به الحدث ، وكذا غيره ممّا تزال به النجاسة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واحتجّا لذلك مع الإجماع برواية عبد اللّه بن سنان السابقة في حجّة </w:t>
      </w:r>
      <w:bookmarkStart w:id="540" w:name="pg8731_77255"/>
    </w:p>
    <w:p>
      <w:pPr>
        <w:pStyle w:val="BookText"/>
        <w:rPr/>
      </w:pPr>
      <w:bookmarkEnd w:id="540"/>
      <w:r>
        <w:rPr>
          <w:rFonts w:ascii="Amiri" w:hAnsi="Amiri" w:eastAsia="Amiri" w:cs="Amiri"/>
          <w:color w:val="111111"/>
          <w:sz w:val="28"/>
          <w:sz w:val="28"/>
          <w:szCs w:val="28"/>
          <w:rtl w:val="true"/>
          <w:lang w:bidi="ar-SA"/>
        </w:rPr>
        <w:t>القائلين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الشهيد في الدروس أنّ بجواز رفع الحدث به قائلا </w:t>
      </w:r>
      <w:r>
        <w:rPr>
          <w:rStyle w:val="FootnoteAnchor"/>
          <w:rtl w:val="true"/>
        </w:rPr>
        <w:footnoteReference w:id="802"/>
      </w:r>
      <w:r>
        <w:rPr>
          <w:rFonts w:ascii="Amiri" w:hAnsi="Amiri" w:eastAsia="Amiri" w:cs="Amiri"/>
          <w:color w:val="111111"/>
          <w:sz w:val="28"/>
          <w:sz w:val="28"/>
          <w:szCs w:val="28"/>
          <w:rtl w:val="true"/>
          <w:lang w:bidi="ar-SA"/>
        </w:rPr>
        <w:t xml:space="preserve">حيث عدّ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حكاية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كرافع الأكبر ، والقول بطهارته إذا ورد على النجاسة وجعلهما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معدل عن الإجماع بعد نقل المحقّق له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140243_653776707"/>
      <w:bookmarkStart w:id="542" w:name="_Toc196"/>
      <w:bookmarkEnd w:id="541"/>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542"/>
    </w:p>
    <w:p>
      <w:pPr>
        <w:pStyle w:val="BookText"/>
        <w:rPr/>
      </w:pPr>
      <w:r>
        <w:rPr>
          <w:rFonts w:ascii="Amiri" w:hAnsi="Amiri" w:eastAsia="Amiri" w:cs="Amiri"/>
          <w:color w:val="111111"/>
          <w:sz w:val="28"/>
          <w:sz w:val="28"/>
          <w:szCs w:val="28"/>
          <w:rtl w:val="true"/>
          <w:lang w:bidi="ar-SA"/>
        </w:rPr>
        <w:t xml:space="preserve">قال العلّامة في المنتهى إذا غسل الثوب من البول في إجّانة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يصبّ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الماء وخرج من الثانية طاهرا اتّحدت الآنية أو تعدّدت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لطهارة الثوب حينئذ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حصل الامتثال بغسله مرّتين فيكون طاهرا ، وإلّا لم يدلّ الأمر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في المركن </w:t>
      </w:r>
      <w:r>
        <w:rPr>
          <w:rStyle w:val="FootnoteAnchor"/>
          <w:rtl w:val="true"/>
        </w:rPr>
        <w:footnoteReference w:id="804"/>
      </w:r>
      <w:r>
        <w:rPr>
          <w:rFonts w:ascii="Amiri" w:hAnsi="Amiri" w:eastAsia="Amiri" w:cs="Amiri"/>
          <w:color w:val="111111"/>
          <w:sz w:val="28"/>
          <w:sz w:val="28"/>
          <w:szCs w:val="28"/>
          <w:rtl w:val="true"/>
          <w:lang w:bidi="ar-SA"/>
        </w:rPr>
        <w:t xml:space="preserve">مرّتين ، 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حكمه بطهارة الثوب مع الحكم بفساد الماء المجتمع تحته في الإجّانة لا سيّما بعد ملاحظة ما تقدّم في الاعتراض على حجّة القائلين بالطهارة من أنّ الماء إنّما ينجس بانفصاله عن المحلّ المغسول ، فإنّ هذا الكلام </w:t>
      </w:r>
      <w:bookmarkStart w:id="543" w:name="pg8731_77256"/>
    </w:p>
    <w:p>
      <w:pPr>
        <w:pStyle w:val="BookText"/>
        <w:rPr/>
      </w:pPr>
      <w:bookmarkEnd w:id="543"/>
      <w:r>
        <w:rPr>
          <w:rFonts w:ascii="Amiri" w:hAnsi="Amiri" w:eastAsia="Amiri" w:cs="Amiri"/>
          <w:color w:val="111111"/>
          <w:sz w:val="28"/>
          <w:sz w:val="28"/>
          <w:szCs w:val="28"/>
          <w:rtl w:val="true"/>
          <w:lang w:bidi="ar-SA"/>
        </w:rPr>
        <w:t xml:space="preserve">أوّل من ذكره فيما رأينا ونقله الأصحاب العلّامة في المختلف </w:t>
      </w:r>
      <w:r>
        <w:rPr>
          <w:rStyle w:val="FootnoteAnchor"/>
          <w:rtl w:val="true"/>
        </w:rPr>
        <w:footnoteReference w:id="806"/>
      </w:r>
      <w:r>
        <w:rPr>
          <w:rFonts w:ascii="Amiri" w:hAnsi="Amiri" w:eastAsia="Amiri" w:cs="Amiri"/>
          <w:color w:val="111111"/>
          <w:sz w:val="28"/>
          <w:sz w:val="28"/>
          <w:szCs w:val="28"/>
          <w:rtl w:val="true"/>
          <w:lang w:bidi="ar-SA"/>
        </w:rPr>
        <w:t xml:space="preserve">، ومن المعلوم أنّ الماء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انفصاله من الثوب المغسول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ممّا ذكر تنجيسه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هذا الإشكال بأنّ المراد بالانفصال خروجه عن الثوب أو الإناء المغسول فيه ويتمسّك في تنزيل الاتّصال </w:t>
      </w:r>
      <w:r>
        <w:rPr>
          <w:rStyle w:val="FootnoteAnchor"/>
          <w:rtl w:val="true"/>
        </w:rPr>
        <w:footnoteReference w:id="807"/>
      </w:r>
      <w:r>
        <w:rPr>
          <w:rFonts w:ascii="Amiri" w:hAnsi="Amiri" w:eastAsia="Amiri" w:cs="Amiri"/>
          <w:color w:val="111111"/>
          <w:sz w:val="28"/>
          <w:sz w:val="28"/>
          <w:szCs w:val="28"/>
          <w:rtl w:val="true"/>
          <w:lang w:bidi="ar-SA"/>
        </w:rPr>
        <w:t>الحاصل باعتبار الإناء منزلة ما يكون في نفس المغسول بالحديث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هذا التكلّف إنّما يحسن ارتكابه مع قيام الدليل الواضح على نجاسة الغسالة وإلّا فظاهر الرواية يدلّ على عدم النجاسة ، ويؤيّد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في طريق هذه الرواية السندي ابن محمّد ولم أر توثيقه إلّا للنجاشي </w:t>
      </w:r>
      <w:r>
        <w:rPr>
          <w:rStyle w:val="FootnoteAnchor"/>
          <w:rtl w:val="true"/>
        </w:rPr>
        <w:footnoteReference w:id="808"/>
      </w:r>
      <w:r>
        <w:rPr>
          <w:rFonts w:ascii="Amiri" w:hAnsi="Amiri" w:eastAsia="Amiri" w:cs="Amiri"/>
          <w:color w:val="111111"/>
          <w:sz w:val="28"/>
          <w:sz w:val="28"/>
          <w:szCs w:val="28"/>
          <w:rtl w:val="true"/>
          <w:lang w:bidi="ar-SA"/>
        </w:rPr>
        <w:t xml:space="preserve">، وبعده العلّامة في الخلاصة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الحال في مثله مرارا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140245_653776707"/>
      <w:bookmarkStart w:id="545" w:name="_Toc197"/>
      <w:bookmarkEnd w:id="544"/>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545"/>
    </w:p>
    <w:p>
      <w:pPr>
        <w:pStyle w:val="BookText"/>
        <w:rPr/>
      </w:pPr>
      <w:r>
        <w:rPr>
          <w:rFonts w:ascii="Amiri" w:hAnsi="Amiri" w:eastAsia="Amiri" w:cs="Amiri"/>
          <w:color w:val="111111"/>
          <w:sz w:val="28"/>
          <w:sz w:val="28"/>
          <w:szCs w:val="28"/>
          <w:rtl w:val="true"/>
          <w:lang w:bidi="ar-SA"/>
        </w:rPr>
        <w:t>قد عرفت أنّ محلّ الخلاف بين الأصحاب هنا إنّما هو الماء الذي لم يتغيّر بالنجاسة عند الاستعمال ، فلو تغيّر بها نجس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التغيّر هو الحاصل في أحد أوصافه الثلاثة كغيره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العلّامة في النهاية إجراء زيادة الوزن فيه مجرى التغيّر </w:t>
      </w:r>
      <w:r>
        <w:rPr>
          <w:rStyle w:val="FootnoteAnchor"/>
          <w:rtl w:val="true"/>
        </w:rPr>
        <w:footnoteReference w:id="810"/>
      </w:r>
      <w:r>
        <w:rPr>
          <w:rFonts w:ascii="Amiri" w:hAnsi="Amiri" w:eastAsia="Amiri" w:cs="Amiri"/>
          <w:color w:val="111111"/>
          <w:sz w:val="28"/>
          <w:sz w:val="28"/>
          <w:szCs w:val="28"/>
          <w:rtl w:val="true"/>
          <w:lang w:bidi="ar-SA"/>
        </w:rPr>
        <w:t>، فلو غسلت به النجاسة فازداد وزنه فكالمتغيّر وهو بعيد ، ولا نعلم له فيه موافقا</w:t>
      </w:r>
      <w:r>
        <w:rPr>
          <w:rFonts w:eastAsia="Amiri" w:cs="Amiri" w:ascii="Amiri" w:hAnsi="Amiri"/>
          <w:color w:val="111111"/>
          <w:sz w:val="28"/>
          <w:szCs w:val="28"/>
          <w:rtl w:val="true"/>
          <w:lang w:bidi="ar-SA"/>
        </w:rPr>
        <w:t xml:space="preserve">. </w:t>
      </w:r>
      <w:bookmarkStart w:id="546" w:name="pg8731_77257"/>
    </w:p>
    <w:p>
      <w:pPr>
        <w:pStyle w:val="BookText"/>
        <w:rPr/>
      </w:pPr>
      <w:bookmarkEnd w:id="546"/>
      <w:r>
        <w:rPr>
          <w:rFonts w:ascii="Amiri" w:hAnsi="Amiri" w:eastAsia="Amiri" w:cs="Amiri"/>
          <w:color w:val="111111"/>
          <w:sz w:val="28"/>
          <w:sz w:val="28"/>
          <w:szCs w:val="28"/>
          <w:rtl w:val="true"/>
          <w:lang w:bidi="ar-SA"/>
        </w:rPr>
        <w:t>وعلى كلّ حال فنحن نطالبه بالدليل عليه</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140247_653776707"/>
      <w:bookmarkStart w:id="548" w:name="_Toc198"/>
      <w:bookmarkEnd w:id="547"/>
      <w:r>
        <w:rPr>
          <w:rtl w:val="true"/>
        </w:rPr>
        <w:t xml:space="preserve">مسألة </w:t>
      </w:r>
      <w:r>
        <w:rPr>
          <w:rtl w:val="true"/>
        </w:rPr>
        <w:t>[</w:t>
      </w:r>
      <w:r>
        <w:rPr/>
        <w:t>2</w:t>
      </w:r>
      <w:r>
        <w:rPr>
          <w:rtl w:val="true"/>
        </w:rPr>
        <w:t>] :</w:t>
      </w:r>
      <w:bookmarkEnd w:id="548"/>
    </w:p>
    <w:p>
      <w:pPr>
        <w:pStyle w:val="Heading6"/>
        <w:numPr>
          <w:ilvl w:val="5"/>
          <w:numId w:val="1"/>
        </w:numPr>
        <w:rPr/>
      </w:pPr>
      <w:bookmarkStart w:id="549" w:name="__RefHeading___Toc3140249_653776707"/>
      <w:bookmarkStart w:id="550" w:name="_Toc19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لا نعرف خلافا بين الأصحاب في العفو عن ماء الاستنجاء إذا لم تغيّره النجاسة فلا يجب غسل ما يصيبه من ثوب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المحقّق في المعتبر أنّ مذهب الشيخين طهارته ، وأنّ كلام علم الهدى ليس بصريح في الطهارة حيث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ينتضح من ماء الاستنجاء على الثوب والبدن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صريح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وأجمل المحقّق كلامه في ذلك فهو محتمل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احتمال القول بالطهارة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في كلام المتأخّرين نسبة القول بالعفو إليه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الشهيد في الذكرى 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الاستنجاء تصريح بالطهارة وإنّما هو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أقرب لتيقّن البراءة بغيره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الحكاية وهم ظاهر ؛ فإنّ المحقّق حكى عن الشيخين صريحا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هذا الكلام عند نقله لعبارة علم الهدى كما ذكرناه عنه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ثمرة هذا الخلاف إنّما تظهر في استعماله ثانيا في إزالة الخبث أو في </w:t>
      </w:r>
      <w:r>
        <w:rPr>
          <w:rStyle w:val="FootnoteAnchor"/>
          <w:rtl w:val="true"/>
        </w:rPr>
        <w:footnoteReference w:id="813"/>
      </w:r>
      <w:r>
        <w:rPr>
          <w:rFonts w:ascii="IRNazanin" w:hAnsi="IRNazanin" w:eastAsia="IRNazanin"/>
          <w:color w:val="111111"/>
          <w:sz w:val="28"/>
          <w:sz w:val="28"/>
          <w:szCs w:val="28"/>
          <w:rtl w:val="true"/>
          <w:lang w:bidi="fa-IR"/>
        </w:rPr>
        <w:t xml:space="preserve">التناول ؛ فإنّ رفع الحدث به وبأمثاله ، وقد سبق نقل الإجماع على </w:t>
      </w:r>
    </w:p>
    <w:p>
      <w:pPr>
        <w:pStyle w:val="BookText"/>
        <w:rPr/>
      </w:pP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متّفقون على أنّه لا ينجس ما يلاقيه ولا يجب غسل ما يصيب الثوب والبدن وغيرهما منه وذلك في الحقيقة ثمرة هيّنة فالمهمّ إنّما هو إثبات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الأصل ؛ فإنّ وجوب التحرّز عنه تكليف والأصل يقتضي براءة الذمّة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والصدوق والطوسي في الكافي ومن لا يحضره الفقيه والتهذيب عن محمّد بن النعمان الأحول في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أخرج من الخلا فأستنجي بالماء فيقع ثوبي في ذلك الماء الذي استنجيت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متن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عبد الكريم بن عتبة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يقع ثوبه على الماء الذي استنجى به </w:t>
      </w:r>
      <w:r>
        <w:rPr>
          <w:rStyle w:val="FootnoteAnchor"/>
          <w:rtl w:val="true"/>
        </w:rPr>
        <w:footnoteReference w:id="816"/>
      </w:r>
      <w:r>
        <w:rPr>
          <w:rFonts w:ascii="Amiri" w:hAnsi="Amiri" w:eastAsia="Amiri" w:cs="Amiri"/>
          <w:color w:val="111111"/>
          <w:sz w:val="28"/>
          <w:sz w:val="28"/>
          <w:szCs w:val="28"/>
          <w:rtl w:val="true"/>
          <w:lang w:bidi="ar-SA"/>
        </w:rPr>
        <w:t>أينجّس ذلك ثوبه؟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النعمان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أستنجي ثمّ يقع ثوبي فيه وأنا جنب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هاتين الروايتين جيّد لكنّه لا يبلغ عندي حدّ الصحيح</w:t>
      </w:r>
      <w:r>
        <w:rPr>
          <w:rFonts w:eastAsia="Amiri" w:cs="Amiri" w:ascii="Amiri" w:hAnsi="Amiri"/>
          <w:color w:val="111111"/>
          <w:sz w:val="28"/>
          <w:szCs w:val="28"/>
          <w:rtl w:val="true"/>
          <w:lang w:bidi="ar-SA"/>
        </w:rPr>
        <w:t xml:space="preserve">. </w:t>
      </w:r>
      <w:bookmarkStart w:id="551" w:name="pg8731_77259"/>
    </w:p>
    <w:p>
      <w:pPr>
        <w:pStyle w:val="BookText"/>
        <w:rPr/>
      </w:pPr>
      <w:bookmarkEnd w:id="551"/>
      <w:r>
        <w:rPr>
          <w:rFonts w:ascii="Amiri" w:hAnsi="Amiri" w:eastAsia="Amiri" w:cs="Amiri"/>
          <w:color w:val="111111"/>
          <w:sz w:val="28"/>
          <w:sz w:val="28"/>
          <w:szCs w:val="28"/>
          <w:rtl w:val="true"/>
          <w:lang w:bidi="ar-SA"/>
        </w:rPr>
        <w:t>وكيف كان فانضمام هذه الأخبار إلى الأصل مع ملاحظة عدم العموم في المفهوم الدالّ على نجاسة القليل مضافا إلى عدم ظهور مخالف في ذلك من الأصحاب زيادة عن قدر الحاجة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قرّرناه يظهر ضعف القول بالعفو ، وأنّ المتّجه كونه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البحث عن المستعمل في رفع الحدث ما إذا عطف إلى هنا يصلح دليلا على مساواة هذا الماء لغيره في جواز الاستعمال ثانيا إلّا في رفع الحدث ، لما علم من نقل الإجماع على المنع منه</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140251_653776707"/>
      <w:bookmarkStart w:id="553" w:name="_Toc200"/>
      <w:bookmarkEnd w:id="552"/>
      <w:r>
        <w:rPr>
          <w:rtl w:val="true"/>
        </w:rPr>
        <w:t xml:space="preserve">فروع </w:t>
      </w:r>
      <w:r>
        <w:rPr>
          <w:rtl w:val="true"/>
        </w:rPr>
        <w:t>:</w:t>
      </w:r>
      <w:bookmarkEnd w:id="553"/>
    </w:p>
    <w:p>
      <w:pPr>
        <w:pStyle w:val="Heading6"/>
        <w:numPr>
          <w:ilvl w:val="5"/>
          <w:numId w:val="1"/>
        </w:numPr>
        <w:rPr/>
      </w:pPr>
      <w:bookmarkStart w:id="554" w:name="__RefHeading___Toc3140253_653776707"/>
      <w:bookmarkStart w:id="555" w:name="_Toc201"/>
      <w:bookmarkEnd w:id="554"/>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555"/>
    </w:p>
    <w:p>
      <w:pPr>
        <w:pStyle w:val="BookText"/>
        <w:rPr/>
      </w:pPr>
      <w:r>
        <w:rPr>
          <w:rFonts w:ascii="Amiri" w:hAnsi="Amiri" w:eastAsia="Amiri" w:cs="Amiri"/>
          <w:color w:val="111111"/>
          <w:sz w:val="28"/>
          <w:sz w:val="28"/>
          <w:szCs w:val="28"/>
          <w:rtl w:val="true"/>
          <w:lang w:bidi="ar-SA"/>
        </w:rPr>
        <w:t xml:space="preserve">لا فرق في هذا الحكم بين المخرجين ؛ لصدق الاستنجاء في كلّ منهما ، ولا بين تعدّي النجاسة المخرج وعدمه ، إلّا أن يتفاحش بحيث يخرج به عن مسمّى الاستنجاء ، ولا بين سبق الماء اليد </w:t>
      </w:r>
      <w:r>
        <w:rPr>
          <w:rStyle w:val="FootnoteAnchor"/>
          <w:rtl w:val="true"/>
        </w:rPr>
        <w:footnoteReference w:id="819"/>
      </w:r>
      <w:r>
        <w:rPr>
          <w:rFonts w:ascii="Amiri" w:hAnsi="Amiri" w:eastAsia="Amiri" w:cs="Amiri"/>
          <w:color w:val="111111"/>
          <w:sz w:val="28"/>
          <w:sz w:val="28"/>
          <w:szCs w:val="28"/>
          <w:rtl w:val="true"/>
          <w:lang w:bidi="ar-SA"/>
        </w:rPr>
        <w:t>وسبقها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بعض الأصحاب اشتراط سبقه وهو ضعيف ؛ لأنّ وصول النجاسة إليها لازم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اتّصال النجاسة بها من حيث جعلها آلة للغسل ، فلو اتّفق غرض آخر </w:t>
      </w:r>
      <w:r>
        <w:rPr>
          <w:rStyle w:val="FootnoteAnchor"/>
          <w:rtl w:val="true"/>
        </w:rPr>
        <w:footnoteReference w:id="820"/>
      </w:r>
      <w:r>
        <w:rPr>
          <w:rFonts w:ascii="Amiri" w:hAnsi="Amiri" w:eastAsia="Amiri" w:cs="Amiri"/>
          <w:color w:val="111111"/>
          <w:sz w:val="28"/>
          <w:sz w:val="28"/>
          <w:szCs w:val="28"/>
          <w:rtl w:val="true"/>
          <w:lang w:bidi="ar-SA"/>
        </w:rPr>
        <w:t>كان في معنى النجاسة الخارجيّة</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140255_653776707"/>
      <w:bookmarkStart w:id="557" w:name="_Toc202"/>
      <w:bookmarkEnd w:id="556"/>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55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لاقى الماء نجاسة خارجة عن المخرج كالملقى على الأرض أو عن حقيقة أحد الحدثين كالدم المستصحب لأحدهما زالت الخصوصيّة وصار كغيره</w:t>
      </w:r>
      <w:r>
        <w:rPr>
          <w:rFonts w:eastAsia="Amiri" w:cs="Amiri" w:ascii="Amiri" w:hAnsi="Amiri"/>
          <w:color w:val="111111"/>
          <w:sz w:val="28"/>
          <w:szCs w:val="28"/>
          <w:rtl w:val="true"/>
          <w:lang w:bidi="ar-SA"/>
        </w:rPr>
        <w:t xml:space="preserve">. </w:t>
      </w:r>
      <w:bookmarkStart w:id="558" w:name="pg8731_77260"/>
    </w:p>
    <w:p>
      <w:pPr>
        <w:pStyle w:val="BookText"/>
        <w:rPr/>
      </w:pPr>
      <w:bookmarkEnd w:id="558"/>
      <w:r>
        <w:rPr>
          <w:rFonts w:ascii="Amiri" w:hAnsi="Amiri" w:eastAsia="Amiri" w:cs="Amiri"/>
          <w:color w:val="111111"/>
          <w:sz w:val="28"/>
          <w:sz w:val="28"/>
          <w:szCs w:val="28"/>
          <w:rtl w:val="true"/>
          <w:lang w:bidi="ar-SA"/>
        </w:rPr>
        <w:t>وكذا لو كان الخارج من أحد المخرجين غير الحدثين من النجاسات لعدم صدق الاستنجاء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انفصل مع الماء أجزاء من النجاسة المتميّزة فكالخارجيّة </w:t>
      </w:r>
      <w:r>
        <w:rPr>
          <w:rStyle w:val="FootnoteAnchor"/>
          <w:rtl w:val="true"/>
        </w:rPr>
        <w:footnoteReference w:id="821"/>
      </w:r>
      <w:r>
        <w:rPr>
          <w:rFonts w:ascii="IRNazanin" w:hAnsi="IRNazanin" w:eastAsia="IRNazanin"/>
          <w:color w:val="111111"/>
          <w:sz w:val="28"/>
          <w:sz w:val="28"/>
          <w:szCs w:val="28"/>
          <w:rtl w:val="true"/>
          <w:lang w:bidi="fa-IR"/>
        </w:rPr>
        <w:t>إن لاقته بعد مفارقتها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 بذلك كلّه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للنظر في بعضه مجال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140257_653776707"/>
      <w:bookmarkStart w:id="560" w:name="_Toc203"/>
      <w:bookmarkEnd w:id="559"/>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560"/>
    </w:p>
    <w:p>
      <w:p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يضاهي قول العلّامة الذي حكيناه عن نهايته في مطلق الغسالة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الوزن سبب لوجوب الاجتناب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عنه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عدم زيادة الوزن شرطا للعفو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بين الحكمين فرقا ؛ فإنّ ظاهر الأوّل توقّف الحكم بالاجتناب على العلم بزيادة الوزن وبدونه يكون معفوّا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يرى وجوب التفحّص عن حصول السبب فيحكم بالعفو عنه إلى أن يعلم وجوده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الثاني توقّف الحكم بالعفو على انتفاء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بالاجتناب حتّى يعلم وجود الشرط أعني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يليق أن ينسب القول به إلى مثله ؛ إذ من البيّن أنّ الحكمة في العفو عن هذا الماء </w:t>
      </w:r>
      <w:bookmarkStart w:id="561" w:name="pg8731_77261"/>
    </w:p>
    <w:p>
      <w:pPr>
        <w:pStyle w:val="BookText"/>
        <w:rPr/>
      </w:pPr>
      <w:bookmarkEnd w:id="561"/>
      <w:r>
        <w:rPr>
          <w:rFonts w:ascii="Amiri" w:hAnsi="Amiri" w:eastAsia="Amiri" w:cs="Amiri"/>
          <w:color w:val="111111"/>
          <w:sz w:val="28"/>
          <w:sz w:val="28"/>
          <w:szCs w:val="28"/>
          <w:rtl w:val="true"/>
          <w:lang w:bidi="ar-SA"/>
        </w:rPr>
        <w:t xml:space="preserve">هي دفع العسر </w:t>
      </w:r>
      <w:r>
        <w:rPr>
          <w:rStyle w:val="FootnoteAnchor"/>
          <w:rtl w:val="true"/>
        </w:rPr>
        <w:footnoteReference w:id="824"/>
      </w:r>
      <w:r>
        <w:rPr>
          <w:rFonts w:ascii="Amiri" w:hAnsi="Amiri" w:eastAsia="Amiri" w:cs="Amiri"/>
          <w:color w:val="111111"/>
          <w:sz w:val="28"/>
          <w:sz w:val="28"/>
          <w:szCs w:val="28"/>
          <w:rtl w:val="true"/>
          <w:lang w:bidi="ar-SA"/>
        </w:rPr>
        <w:t>والمشقّة الحاصلين من التكليف بالتحرّز عنه ، ولا شكّ أنّ التكليف بملاحظة الوزن أشدّ مشقّة وأكثر كلفة ، وذلك مع التزام وزنه قبل الاستعمال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سبيل إلى العلم بحصول الشرط غالبا فينتفي العفو في الأغلب ، وذلك مناف لمقتضى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فبطلان هذا الاحتمال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عبارته ليست بظاهرة فيه فينبغي أن تحمل على إرادة المعنى الأوّل ؛ فإنّ له في الجملة وجه صحّة لكنّه ضعيف أيضا لعدم الدليل عليه كما أشرنا إليه في نظيره من كلام العلّامة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3140259_653776707"/>
      <w:bookmarkStart w:id="563" w:name="_Toc204"/>
      <w:bookmarkEnd w:id="562"/>
      <w:r>
        <w:rPr>
          <w:rtl w:val="true"/>
        </w:rPr>
        <w:t xml:space="preserve">مسألة </w:t>
      </w:r>
      <w:r>
        <w:rPr>
          <w:rtl w:val="true"/>
        </w:rPr>
        <w:t>[</w:t>
      </w:r>
      <w:r>
        <w:rPr/>
        <w:t>3</w:t>
      </w:r>
      <w:r>
        <w:rPr>
          <w:rtl w:val="true"/>
        </w:rPr>
        <w:t>] :</w:t>
      </w:r>
      <w:bookmarkEnd w:id="563"/>
    </w:p>
    <w:p>
      <w:pPr>
        <w:pStyle w:val="BookText"/>
        <w:rPr/>
      </w:pPr>
      <w:r>
        <w:rPr>
          <w:rFonts w:ascii="Amiri" w:hAnsi="Amiri" w:eastAsia="Amiri" w:cs="Amiri"/>
          <w:color w:val="111111"/>
          <w:sz w:val="28"/>
          <w:sz w:val="28"/>
          <w:szCs w:val="28"/>
          <w:rtl w:val="true"/>
          <w:lang w:bidi="ar-SA"/>
        </w:rPr>
        <w:t>الماء القليل المستعمل في رفع الحدث الأصغر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في ذلك خلافا لأحد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في المنتهى إجماعهم عليه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فقهائنا وأنّه لم يعلم فيه خلافا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طهارته الأصل ؛ فإنّ الحكم بالتنجيس يتضمّن التكليف المخالف لأصالة البراءة كما هو ظاهر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كونه مطهّرا أنّ الاستعمال لا يخرجه عن الإطلاق قطعا فيدخل في عموم الأدلّة الدالّة على استعمال الماء المطلق في إزالة الخبث ورفع الحدث</w:t>
      </w:r>
      <w:r>
        <w:rPr>
          <w:rFonts w:eastAsia="Amiri" w:cs="Amiri" w:ascii="Amiri" w:hAnsi="Amiri"/>
          <w:color w:val="111111"/>
          <w:sz w:val="28"/>
          <w:szCs w:val="28"/>
          <w:rtl w:val="true"/>
          <w:lang w:bidi="ar-SA"/>
        </w:rPr>
        <w:t xml:space="preserve">. </w:t>
      </w:r>
      <w:bookmarkStart w:id="564" w:name="pg8731_77262"/>
    </w:p>
    <w:p>
      <w:pPr>
        <w:pStyle w:val="BookText"/>
        <w:rPr/>
      </w:pPr>
      <w:bookmarkEnd w:id="564"/>
      <w:r>
        <w:rPr>
          <w:rFonts w:ascii="Amiri" w:hAnsi="Amiri" w:eastAsia="Amiri" w:cs="Amiri"/>
          <w:color w:val="111111"/>
          <w:sz w:val="28"/>
          <w:sz w:val="28"/>
          <w:szCs w:val="28"/>
          <w:rtl w:val="true"/>
          <w:lang w:bidi="ar-SA"/>
        </w:rPr>
        <w:t xml:space="preserve">ويؤيّد ذلك ما رواه الشيخ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يتوضّأ بالماء المستعمل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يتوضّأ الرجل فيغسل به وجهه ويده في شي‌ء نظيف فلا بأس أن يأخذه غيره ويتوضّأ به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صلى‌اللّه‌عليه‌وآله‌وسلم إذا توضّأ أخذ ما يسقط من وضوئه فيتوضون به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3140261_653776707"/>
      <w:bookmarkStart w:id="566" w:name="_Toc205"/>
      <w:bookmarkEnd w:id="565"/>
      <w:r>
        <w:rPr>
          <w:rtl w:val="true"/>
        </w:rPr>
        <w:t xml:space="preserve">مسألة </w:t>
      </w:r>
      <w:r>
        <w:rPr>
          <w:rtl w:val="true"/>
        </w:rPr>
        <w:t>[</w:t>
      </w:r>
      <w:r>
        <w:rPr/>
        <w:t>4</w:t>
      </w:r>
      <w:r>
        <w:rPr>
          <w:rtl w:val="true"/>
        </w:rPr>
        <w:t>] :</w:t>
      </w:r>
      <w:bookmarkEnd w:id="566"/>
    </w:p>
    <w:p>
      <w:pPr>
        <w:pStyle w:val="Heading6"/>
        <w:numPr>
          <w:ilvl w:val="5"/>
          <w:numId w:val="1"/>
        </w:numPr>
        <w:rPr/>
      </w:pPr>
      <w:bookmarkStart w:id="567" w:name="__RefHeading___Toc3140263_653776707"/>
      <w:bookmarkStart w:id="568" w:name="_Toc206"/>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والمستعمل في رفع الأكبر طاهر أيضا ، وعليه إجماع الأصحاب حكاه المحقّق والعلّامة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واحتجّوا له مع ذلك بأنّ التنجيس مستفاد من دلالة الشرع ، وحيث لا دلالة فلا تنجيس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رفع الحدث به ثانيا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 المرتضى وأبو المكارم ابن زهرة وكثير من المتأخّرين كالفاضلين والشهيدين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ونفاه الصدوقان والشيخان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الخلاف إلى أكثر أصحابنا </w:t>
      </w:r>
      <w:r>
        <w:rPr>
          <w:rStyle w:val="FootnoteAnchor"/>
          <w:rtl w:val="true"/>
        </w:rPr>
        <w:footnoteReference w:id="8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واستوجهه المحقّق في المعتبر للتّفصي عن الاختلاف والأخذ بالاحتياط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بعض تصانيفه </w:t>
      </w:r>
      <w:r>
        <w:rPr>
          <w:rStyle w:val="FootnoteAnchor"/>
          <w:rtl w:val="true"/>
        </w:rPr>
        <w:footnoteReference w:id="834"/>
      </w:r>
      <w:r>
        <w:rPr>
          <w:rFonts w:ascii="Amiri" w:hAnsi="Amiri" w:eastAsia="Amiri" w:cs="Amiri"/>
          <w:color w:val="111111"/>
          <w:sz w:val="28"/>
          <w:sz w:val="28"/>
          <w:szCs w:val="28"/>
          <w:rtl w:val="true"/>
          <w:lang w:bidi="ar-SA"/>
        </w:rPr>
        <w:t>باختيار الأوّل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نظير ما ذكر في رافع الأصغر ؛ فإنّ الاستعمال إذا لم يخرجه عن الإطلاق تناولته العمومات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لأنّه علّق تسويغ التيمّم على عدم وجدان الماء فينتفي مع وجوده وهو صادق على المتنازع فيه ، فيدخل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غير هذه الآية من أدلّة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الشيخ في الصحيح عن عليّ بن جعفر عن أبي الحسن الأوّل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يصيب الماء في ساقية أو مستنفع أيغتسل منه للجنابة أو يتوضّأ منه للصلاة إذا كان لا يجد غيره ، والماء لا يبلغ صاعا للجنابة ولا مدّا للوضوء وهو متفرّق كيف يصنع وهو يتخوّف أن يكون السباع قد شربت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يده نظيفة فليأخذ كفّا من الماء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مكان واحد وهو قليل لا يكفيه لغسله فلا عليه أن يغتسل ويرجع الماء فيه فإنّ ذلك يجزيه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وجهان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كرواية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يغسل به الثوب أو يغتسل به من الجنابة لا يتوضّأ به </w:t>
      </w:r>
    </w:p>
    <w:p>
      <w:pPr>
        <w:pStyle w:val="BookText"/>
        <w:rPr/>
      </w:pPr>
      <w:r>
        <w:rPr>
          <w:rFonts w:ascii="IRNazanin" w:hAnsi="IRNazanin" w:eastAsia="IRNazanin"/>
          <w:color w:val="111111"/>
          <w:sz w:val="28"/>
          <w:sz w:val="28"/>
          <w:szCs w:val="28"/>
          <w:rtl w:val="true"/>
          <w:lang w:bidi="fa-IR"/>
        </w:rPr>
        <w:t xml:space="preserve">وأشباهه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ماء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بإزار ولا تغتسل من ماء آخر إلّا أن يكون فيه جنب أو يكثر أهله فلا تدري فيهم جنب أم لا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حمزة بن أحمد عن أبي الحسن الأوّل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أو سأله غيري عن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بمئزر وغضّ بصرك ولا تغتسل من البئر التي يجتمع فيها ماء الحمّام ، فإنّه يسيل فيها ما يغتسل به الجنب وولد الزنا والناصب لنا أهل البيت وهو شرّهم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لا يقطع بجواز استعماله في الطهارة فلا يتيقّن معه رفع الحدث والأصل يقتضي بقاءه حيث يقع الشكّ في الرفع فيبقى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كلّها لا تخلو من ضعف في السند أو قصور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الاولى والأخيرة ضعيفتا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والوسطى وإن صحّ سندها لكنّها ليست بواضحة الدلالة ؛ لتضمّنها عدم استعمال ماء الحمّام إذا كثر الناس فيه ولم يعلم هل فيهم جنب أو 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والاتّفاق واقع على أنّ الشكّ في حصول المقتضي غير موجب للمنع فتكون الرواية مصروفة عن الظاهر مرادا بها مرجوحيّة الاستعمال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فيه ؛ فإنّ استعمال غير المستعمل أولى وأرجح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الضرورة إلى الخروج عن الظاهر في صورة الشكّ فلم خرجتم عنه في صورة العلم بوجود الجنب وقد تضمّنت الرواية الأمرين فيراد منها الحقيقة والمجاز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التعلّق بمثل هذا التكلّف إنّما يتوجّه لو كانت الرواية ظاهرة في المدّعى من غير هذا الوجه ، والأمر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عدم الاغتسال من ماء الحمّام مع مباشرة الجنب له إنّما أفاده فيها استثناؤه عن النهي عن الاغتسال بماء آخر وهو أعم من الأمر به ؛ إذ يكفي في رفع النهي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الاغتسال فيها مطلق بحيث يصلح لإرادة رفع الحدث وإزالة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أنّ المانعين من رفع الحدث به قائلون بجواز استعماله في إزالة الخبث فلا بدّ من التأويل بالنظر إليه فيضعف الدلالة ويشكل الخروج عن ظواهر العمومات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كون المراد من ماء الحمّام فيها ما لا مادّة له وليس ببالغ حدّ الكثير ، على ما فهمه الشيخ وجعله وجها للجمع بينهما وبين ما دلّ على عدم انفعال ماء الحمّام بقول مطلق </w:t>
      </w:r>
      <w:r>
        <w:rPr>
          <w:rStyle w:val="FootnoteAnchor"/>
          <w:rtl w:val="true"/>
        </w:rPr>
        <w:footnoteReference w:id="838"/>
      </w:r>
      <w:r>
        <w:rPr>
          <w:rFonts w:ascii="IRNazanin" w:hAnsi="IRNazanin" w:eastAsia="IRNazanin"/>
          <w:color w:val="111111"/>
          <w:sz w:val="28"/>
          <w:sz w:val="28"/>
          <w:szCs w:val="28"/>
          <w:rtl w:val="true"/>
          <w:lang w:bidi="fa-IR"/>
        </w:rPr>
        <w:t xml:space="preserve">، ومن 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وغيره ، أغتسل من مائه؟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أن يغتسل منه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الماء وقع في هذه الرواية مطلقا واريد منه مع ذلك </w:t>
      </w:r>
      <w:bookmarkStart w:id="569" w:name="pg8731_77266"/>
    </w:p>
    <w:p>
      <w:pPr>
        <w:pStyle w:val="BookText"/>
        <w:rPr/>
      </w:pPr>
      <w:bookmarkEnd w:id="569"/>
      <w:r>
        <w:rPr>
          <w:rFonts w:ascii="Amiri" w:hAnsi="Amiri" w:eastAsia="Amiri" w:cs="Amiri"/>
          <w:color w:val="111111"/>
          <w:sz w:val="28"/>
          <w:sz w:val="28"/>
          <w:szCs w:val="28"/>
          <w:rtl w:val="true"/>
          <w:lang w:bidi="ar-SA"/>
        </w:rPr>
        <w:t>ما يكون له مادّة فلا يبعد إرادة مثله من الرواية الاخرى أيضا ؛ لأنّ صورة اللفظ فيهما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الجمع حينئذ يعلم ممّا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ينتفي وجه الاستدلال بها في محلّ النزاع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أنّ الأدلّة الدالّة على جواز استعمال الماء المطلق متناولة لموضع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للشكّ في حصول الرفع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مدلول الظواهر التي 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بالقطع بجواز الاستعمال ما يحصل عن مثلها فانتفاؤه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غيره فاعتباره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بأس بالاحتياط بالمنع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الجواز أقرب إلى التحقيق</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140265_653776707"/>
      <w:bookmarkStart w:id="571" w:name="_Toc207"/>
      <w:bookmarkEnd w:id="570"/>
      <w:r>
        <w:rPr>
          <w:rtl w:val="true"/>
        </w:rPr>
        <w:t xml:space="preserve">فروع </w:t>
      </w:r>
      <w:r>
        <w:rPr>
          <w:rtl w:val="true"/>
        </w:rPr>
        <w:t>:</w:t>
      </w:r>
      <w:bookmarkEnd w:id="571"/>
    </w:p>
    <w:p>
      <w:pPr>
        <w:pStyle w:val="Heading6"/>
        <w:numPr>
          <w:ilvl w:val="5"/>
          <w:numId w:val="1"/>
        </w:numPr>
        <w:rPr/>
      </w:pPr>
      <w:bookmarkStart w:id="572" w:name="__RefHeading___Toc3140267_653776707"/>
      <w:bookmarkStart w:id="573" w:name="_Toc208"/>
      <w:bookmarkEnd w:id="572"/>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573"/>
    </w:p>
    <w:p>
      <w:pPr>
        <w:pStyle w:val="BookText"/>
        <w:rPr/>
      </w:pPr>
      <w:r>
        <w:rPr>
          <w:rFonts w:ascii="Amiri" w:hAnsi="Amiri" w:eastAsia="Amiri" w:cs="Amiri"/>
          <w:color w:val="111111"/>
          <w:sz w:val="28"/>
          <w:sz w:val="28"/>
          <w:szCs w:val="28"/>
          <w:rtl w:val="true"/>
          <w:lang w:bidi="ar-SA"/>
        </w:rPr>
        <w:t>موضع الخلاف هنا هو الماء الذي يغتسل به المحدث الخالي بدنه عن نجاسة 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البدن متنجّسا كان حكم الماء المتساقط عن المحلّ النجس منه حكم المستعمل في 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الأخبار الواردة بالنهي عن استعمال ما يغتسل به الجنب ناظرة إلى ما هو الغالب من عدم انفكاكه من بقايا آثار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البحث عن اغتساله في البئر ما يرشد إلى ذلك أيضا</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140269_653776707"/>
      <w:bookmarkStart w:id="575" w:name="_Toc209"/>
      <w:bookmarkEnd w:id="574"/>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57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العلّامة رحمه‌اللّه في المنتهى ، وولده فخر المحقّقين في شرحه إجماع الأصحاب على جواز إزالة النجاسة بالمستعمل في رفع الحدث الأكبر ، إلّا أنّه في المنتهى اقتصر على المستعمل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على سبيل التمثيل </w:t>
      </w:r>
    </w:p>
    <w:p>
      <w:pPr>
        <w:pStyle w:val="BookText"/>
        <w:rPr/>
      </w:pPr>
      <w:r>
        <w:rPr>
          <w:rFonts w:ascii="IRNazanin" w:hAnsi="IRNazanin" w:eastAsia="IRNazanin"/>
          <w:color w:val="111111"/>
          <w:sz w:val="28"/>
          <w:sz w:val="28"/>
          <w:szCs w:val="28"/>
          <w:rtl w:val="true"/>
          <w:lang w:bidi="fa-IR"/>
        </w:rPr>
        <w:t xml:space="preserve">لا الحصر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مع ذلك في المنتهى بأنّ الإطلاق موجود فيه والمنع من رفع الحدث به عند بعض الأصحاب لا يوجب المنع من إزالة النجاسة ، لأنّهم إنّما قالوا به هناك لعلّة لم توجد في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تلك العلّة ظهر الفرق وبطل الإلحاق ، وإلّا حكموا بالتساوي في البابين ، كما قلناه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بعض المتأخّرين على دعوى فخر المحقّقين الإجماع هنا ، مستندا إلى أنّ الشهيد في الذكرى حكى في ذلك خلافا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الشهيد لم يذكر أنّ المخالف منّا ، وإنّما حكى عن الشيخ والمحقّق تجويز إزالة النجاسة به لطهارته ، وبقاء قوّة إزالة الخبث وإن ذهبت قوّة رفعه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قوّته استوفيت فالحق بالمضاف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هذا ليس فيه تصريح بأنّ القائل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العلّامة في التذكرة عن الشافعي في أحد قوليه عدم جواز إزالة النجاسة به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هو المقصود بصيغة 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قيام الاحتمال ، كيف يتوجّه الإنكار على دعوى إجماع الأصحاب؟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فلأنّا وإن سلّمنا كون القائل من الأصحاب ؛ نظرا إلى أنّ المعروف في حكاية أقوال العامّة التصريح لا الإبهام ، لكن يحتمل أن يكون هذا القائل متأخّرا عن مدّعي الإجماع ؛ إذ حكاية الخلاف متأخّرة وليس فيها إشعار بتقدّمه ، فلا مساغ للإنكار بمجرّدها</w:t>
      </w:r>
      <w:r>
        <w:rPr>
          <w:rFonts w:eastAsia="Amiri" w:cs="Amiri" w:ascii="Amiri" w:hAnsi="Amiri"/>
          <w:color w:val="111111"/>
          <w:sz w:val="28"/>
          <w:szCs w:val="28"/>
          <w:rtl w:val="true"/>
          <w:lang w:bidi="ar-SA"/>
        </w:rPr>
        <w:t xml:space="preserve">. </w:t>
      </w:r>
      <w:bookmarkStart w:id="576" w:name="pg8731_77268"/>
    </w:p>
    <w:p>
      <w:pPr>
        <w:pStyle w:val="Heading6"/>
        <w:numPr>
          <w:ilvl w:val="5"/>
          <w:numId w:val="1"/>
        </w:numPr>
        <w:rPr/>
      </w:pPr>
      <w:bookmarkStart w:id="577" w:name="__RefHeading___Toc3140271_653776707"/>
      <w:bookmarkStart w:id="578" w:name="_Toc210"/>
      <w:bookmarkEnd w:id="576"/>
      <w:bookmarkEnd w:id="577"/>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578"/>
    </w:p>
    <w:p>
      <w:pPr>
        <w:pStyle w:val="BookText"/>
        <w:rPr/>
      </w:pPr>
      <w:r>
        <w:rPr>
          <w:rFonts w:ascii="Amiri" w:hAnsi="Amiri" w:eastAsia="Amiri" w:cs="Amiri"/>
          <w:color w:val="111111"/>
          <w:sz w:val="28"/>
          <w:sz w:val="28"/>
          <w:szCs w:val="28"/>
          <w:rtl w:val="true"/>
          <w:lang w:bidi="ar-SA"/>
        </w:rPr>
        <w:t>المستعمل في الأغسال المندوبة باق على تطهيره كالمستعمل في رفع الحدث الأصغر لأنّ الاستعمال لم يسلبه الإطلاق ، فيجب بقاؤه على التطهير ؛ لتناول العموم له ، ولا نعرف في ذلك خلافا لأحد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الشيخ الخلاف فيه بينهم في الخلاف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الشهيد في الذكرى إلحاق مستعمل الصبيّ بها بناء على عدم ارتفاع حدثه ، ولهذا يجب عليه الغسل عند بلوغه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3140273_653776707"/>
      <w:bookmarkStart w:id="580" w:name="_Toc211"/>
      <w:bookmarkEnd w:id="579"/>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580"/>
    </w:p>
    <w:p>
      <w:pPr>
        <w:pStyle w:val="BookText"/>
        <w:rPr/>
      </w:pPr>
      <w:r>
        <w:rPr>
          <w:rFonts w:ascii="Amiri" w:hAnsi="Amiri" w:eastAsia="Amiri" w:cs="Amiri"/>
          <w:color w:val="111111"/>
          <w:sz w:val="28"/>
          <w:sz w:val="28"/>
          <w:szCs w:val="28"/>
          <w:rtl w:val="true"/>
          <w:lang w:bidi="ar-SA"/>
        </w:rPr>
        <w:t>إذا وجب الغسل من حدث مشكوك فيه كواجد المنيّ في ثوبه المختصّ به ، والمتيقّن للجنابة والغسل ، الشاكّ في السابق ، وكالناسية للوقت أو العدد في الحيض ، فهل يصير الماء به مستعملا أو لا؟</w:t>
      </w:r>
    </w:p>
    <w:p>
      <w:pPr>
        <w:pStyle w:val="BookText"/>
        <w:rPr/>
      </w:pPr>
      <w:r>
        <w:rPr>
          <w:rFonts w:ascii="Amiri" w:hAnsi="Amiri" w:eastAsia="Amiri" w:cs="Amiri"/>
          <w:color w:val="111111"/>
          <w:sz w:val="28"/>
          <w:sz w:val="28"/>
          <w:szCs w:val="28"/>
          <w:rtl w:val="true"/>
          <w:lang w:bidi="ar-SA"/>
        </w:rPr>
        <w:t>استشكل العلّامة ذلك في النهاية والمنتهى من حيث إنّه في الأصل مطهّر ، ولم يعلم وجود ما يزيل ذلك عنه ؛ إذ الحدث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النظر إلى أنّه قد اغتسل به من الحدث وذلك أمر معلوم وإن لم يكن الحدث نفسه معلوما وأنّه أزال مانعا من الصلاة فانتقل المنع إليه كالمتيقّن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رجحان الاحتمال الأوّل بعد فرض وجوب الغسل</w:t>
      </w:r>
      <w:r>
        <w:rPr>
          <w:rFonts w:eastAsia="IRNazanin" w:cs="IRNazanin"/>
          <w:color w:val="111111"/>
          <w:sz w:val="28"/>
          <w:szCs w:val="28"/>
          <w:rtl w:val="true"/>
          <w:lang w:bidi="fa-IR"/>
        </w:rPr>
        <w:t>.</w:t>
      </w:r>
    </w:p>
    <w:p>
      <w:pPr>
        <w:pStyle w:val="Heading6"/>
        <w:numPr>
          <w:ilvl w:val="5"/>
          <w:numId w:val="1"/>
        </w:numPr>
        <w:rPr/>
      </w:pPr>
      <w:bookmarkStart w:id="581" w:name="__RefHeading___Toc3140275_653776707"/>
      <w:bookmarkStart w:id="582" w:name="_Toc212"/>
      <w:bookmarkEnd w:id="581"/>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58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الماء مستعملا بانفصاله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w:t>
      </w:r>
    </w:p>
    <w:p>
      <w:pPr>
        <w:pStyle w:val="BookText"/>
        <w:rPr/>
      </w:pPr>
      <w:r>
        <w:rPr>
          <w:rFonts w:ascii="Amiri" w:hAnsi="Amiri" w:eastAsia="Amiri" w:cs="Amiri"/>
          <w:color w:val="111111"/>
          <w:sz w:val="28"/>
          <w:sz w:val="28"/>
          <w:szCs w:val="28"/>
          <w:rtl w:val="true"/>
          <w:lang w:bidi="ar-SA"/>
        </w:rPr>
        <w:t xml:space="preserve">المرتمس في القليل بعد تمام الارتماس ارتفع حدثه وصار مستعملا بالنسبة إلى غيره وإن لم يخرج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يستشكل حكمه بصيرورته مستعملا بالنسبة إلى غيره قبل الخروج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متحقّق </w:t>
      </w:r>
      <w:r>
        <w:rPr>
          <w:rStyle w:val="FootnoteAnchor"/>
          <w:rtl w:val="true"/>
        </w:rPr>
        <w:footnoteReference w:id="847"/>
      </w:r>
      <w:r>
        <w:rPr>
          <w:rFonts w:ascii="Amiri" w:hAnsi="Amiri" w:eastAsia="Amiri" w:cs="Amiri"/>
          <w:color w:val="111111"/>
          <w:sz w:val="28"/>
          <w:sz w:val="28"/>
          <w:szCs w:val="28"/>
          <w:rtl w:val="true"/>
          <w:lang w:bidi="ar-SA"/>
        </w:rPr>
        <w:t>بانفصاله عن البدن ، إذ مقتضاه توقّف صيرورته مستعملا حينئذ على خروجه أو انتقاله تحت الماء إلى محلّ آخر غير ما ارتمس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اعتبر الانفصال عن البدن بالنظر إلى نفس المغتسل ، وإن كان ظاهر عبارته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عكس العلّامة في النهاية هذا الحكم ، فجزم بصيرورته مستعملا بالنسبة إلى المغتسل وإن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الحكم بالنظر إلى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انغمس الجنب في ماء قليل ونوى ، فإن نوى بعد تمام انغماسه فيه واتّصال الماء بجميع البدن ارتفع حدثه وصار مستعملا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يحكم باستعماله في حقّ غيره قبل انفصاله؟ يحتمل ذلك لأنّه مستعمل في حقّه ، فكذا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لأنّ الماء ما دام متردّدا على أعضاء المتطهّر لا يحكم باستعمال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يجوز لغيره رفع الحدث به عند الشيخ ويجوز على الثاني </w:t>
      </w:r>
      <w:r>
        <w:rPr>
          <w:rStyle w:val="FootnoteAnchor"/>
          <w:rtl w:val="true"/>
        </w:rPr>
        <w:footnoteReference w:id="848"/>
      </w:r>
      <w:r>
        <w:rPr>
          <w:rFonts w:ascii="Amiri" w:hAnsi="Amiri" w:eastAsia="Amiri" w:cs="Amiri"/>
          <w:color w:val="111111"/>
          <w:sz w:val="28"/>
          <w:sz w:val="28"/>
          <w:szCs w:val="28"/>
          <w:rtl w:val="true"/>
          <w:lang w:bidi="ar-SA"/>
        </w:rPr>
        <w:t>وفي ما ذكره نظر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الانفصال إنّما يعتبر في صدق الاستعمال بالنظر إلى المغتسل فما دام الماء متردّدا على العضو لا يحكم باستعماله بالنسبة إليه وإلّا يوجب </w:t>
      </w:r>
    </w:p>
    <w:p>
      <w:pPr>
        <w:pStyle w:val="BookText"/>
        <w:rPr/>
      </w:pPr>
      <w:r>
        <w:rPr>
          <w:rFonts w:ascii="Amiri" w:hAnsi="Amiri" w:eastAsia="Amiri" w:cs="Amiri"/>
          <w:color w:val="111111"/>
          <w:sz w:val="28"/>
          <w:sz w:val="28"/>
          <w:szCs w:val="28"/>
          <w:rtl w:val="true"/>
          <w:lang w:bidi="ar-SA"/>
        </w:rPr>
        <w:t>عليه إفراد كلّ موضع من البدن بماء جديد ، ولا ريب في بطلانه ، إذ الأخبار ناطقة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كلّه في الارتماس كالعضو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غير المغتسل فيصدق الاستعمال بمجرّد إصابة الماء للمحلّ المغسول بقصد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فالمتّجه هنا صيرورة الماء مستعملا بالنسبة إلى غير المغتسل بمجرّد النيّة والارتماس ، وتوقّفه بالنظر إليه على الخروج أو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في المنتهى بصيرورته مستعملا بالنسبة إليهما قبل الانفصال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بالنظر إلى المغتسل في ما لو تبيّن له بقاء لمعة من بدنه كان يحسّ بساتر لها قبل خروجه من الماء أو انتقاله فيه ولم نقل بفساد الغسل حينئذ بل اكتفينا بغسلها إمّا مطلقا أو مع بقاء صدق الوحدة على ما يأتي تحقيقه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بتوقّف صيرورته مستعملا على الانفصال أجزأه </w:t>
      </w:r>
      <w:r>
        <w:rPr>
          <w:rStyle w:val="FootnoteAnchor"/>
          <w:rtl w:val="true"/>
        </w:rPr>
        <w:footnoteReference w:id="850"/>
      </w:r>
      <w:r>
        <w:rPr>
          <w:rFonts w:ascii="Amiri" w:hAnsi="Amiri" w:eastAsia="Amiri" w:cs="Amiri"/>
          <w:color w:val="111111"/>
          <w:sz w:val="28"/>
          <w:sz w:val="28"/>
          <w:szCs w:val="28"/>
          <w:rtl w:val="true"/>
          <w:lang w:bidi="ar-SA"/>
        </w:rPr>
        <w:t>غسلها من ذلك الماء حينئذ ، وإلّا لم يجزئه بل يتعيّن غسلها بماء آخر إن منعنا من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خاض جنبان في الماء ونويا دفعة بعد الانغماس ارتفع حدثهما على جميع التقادير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اتّفق بقاء لمعة من أحدهما فالظاهر عدم إجزاء غسلهما </w:t>
      </w:r>
      <w:r>
        <w:rPr>
          <w:rStyle w:val="FootnoteAnchor"/>
          <w:rtl w:val="true"/>
        </w:rPr>
        <w:footnoteReference w:id="851"/>
      </w:r>
      <w:r>
        <w:rPr>
          <w:rFonts w:ascii="Amiri" w:hAnsi="Amiri" w:eastAsia="Amiri" w:cs="Amiri"/>
          <w:color w:val="111111"/>
          <w:sz w:val="28"/>
          <w:sz w:val="28"/>
          <w:szCs w:val="28"/>
          <w:rtl w:val="true"/>
          <w:lang w:bidi="ar-SA"/>
        </w:rPr>
        <w:t>من ذلك الماء تفريعا على القول بالمنع</w:t>
      </w:r>
      <w:r>
        <w:rPr>
          <w:rFonts w:eastAsia="Amiri" w:cs="Amiri" w:ascii="Amiri" w:hAnsi="Amiri"/>
          <w:color w:val="111111"/>
          <w:sz w:val="28"/>
          <w:szCs w:val="28"/>
          <w:rtl w:val="true"/>
          <w:lang w:bidi="ar-SA"/>
        </w:rPr>
        <w:t xml:space="preserve">. </w:t>
      </w:r>
      <w:bookmarkStart w:id="583" w:name="pg8731_77271"/>
    </w:p>
    <w:p>
      <w:pPr>
        <w:pStyle w:val="Heading6"/>
        <w:numPr>
          <w:ilvl w:val="5"/>
          <w:numId w:val="1"/>
        </w:numPr>
        <w:rPr/>
      </w:pPr>
      <w:bookmarkStart w:id="584" w:name="__RefHeading___Toc3140277_653776707"/>
      <w:bookmarkStart w:id="585" w:name="_Toc213"/>
      <w:bookmarkEnd w:id="583"/>
      <w:bookmarkEnd w:id="584"/>
      <w:r>
        <w:rPr>
          <w:rtl w:val="true"/>
        </w:rPr>
        <w:t xml:space="preserve">[ </w:t>
      </w:r>
      <w:r>
        <w:rPr>
          <w:rtl w:val="true"/>
        </w:rPr>
        <w:t xml:space="preserve">الفرع </w:t>
      </w:r>
      <w:r>
        <w:rPr>
          <w:rtl w:val="true"/>
        </w:rPr>
        <w:t xml:space="preserve">] </w:t>
      </w:r>
      <w:r>
        <w:rPr>
          <w:rtl w:val="true"/>
        </w:rPr>
        <w:t xml:space="preserve">السادس </w:t>
      </w:r>
      <w:r>
        <w:rPr>
          <w:rtl w:val="true"/>
        </w:rPr>
        <w:t>:</w:t>
      </w:r>
      <w:bookmarkEnd w:id="585"/>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الانغماس ، إمّا في أوّل الملاقاة أو بعد غمس بعض البدن احتمل أن لا يصير مستعملا ، كما لو ورد الماء على البدن فإنّه لا يحكم بكونه مستعملا بأوّل الملاقاة لاختصاصه بقوّة الورود وللحاجة إلى رفع الحدث ، وعسر إفراد كلّ موضع بماء جديد وهذا المعنى موجود سواء كان الماء واردا أو هو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احتمله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في المنتهى الأقرب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يتّضح بملاقاة ما ذكرناه في الفرغ الذي قبله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3140279_653776707"/>
      <w:bookmarkStart w:id="587" w:name="_Toc214"/>
      <w:bookmarkEnd w:id="586"/>
      <w:r>
        <w:rPr>
          <w:rtl w:val="true"/>
        </w:rPr>
        <w:t xml:space="preserve">[ </w:t>
      </w:r>
      <w:r>
        <w:rPr>
          <w:rtl w:val="true"/>
        </w:rPr>
        <w:t xml:space="preserve">الفرع </w:t>
      </w:r>
      <w:r>
        <w:rPr>
          <w:rtl w:val="true"/>
        </w:rPr>
        <w:t xml:space="preserve">] </w:t>
      </w:r>
      <w:r>
        <w:rPr>
          <w:rtl w:val="true"/>
        </w:rPr>
        <w:t xml:space="preserve">السابع </w:t>
      </w:r>
      <w:r>
        <w:rPr>
          <w:rtl w:val="true"/>
        </w:rPr>
        <w:t>:</w:t>
      </w:r>
      <w:bookmarkEnd w:id="587"/>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من الجنابة وبقيت في العضو لمعة لم يصبها الماء فصرف البلل الذي على العضو إلى تلك اللمعة جاز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عدم المنع من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للشيخ فيه نصّ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على مذهبه عدم الجواز فإنّه لم يشترط في المستعمل الانفصال ، وذكر نحو ذلك في النهاية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حكاه عن الشيخ مشكل ؛ لأنّه يقتضي عدم الاجتزاء بإجراء الماء في الغسل من محلّ إلى آخر بعد تحقّق مسمّاه ، وحاله لا يخفى</w:t>
      </w:r>
      <w:r>
        <w:rPr>
          <w:rFonts w:eastAsia="Amiri" w:cs="Amiri" w:ascii="Amiri" w:hAnsi="Amiri"/>
          <w:color w:val="111111"/>
          <w:sz w:val="28"/>
          <w:szCs w:val="28"/>
          <w:rtl w:val="true"/>
          <w:lang w:bidi="ar-SA"/>
        </w:rPr>
        <w:t xml:space="preserve">. </w:t>
      </w:r>
      <w:bookmarkStart w:id="588" w:name="pg8731_77272"/>
    </w:p>
    <w:p>
      <w:pPr>
        <w:pStyle w:val="Heading6"/>
        <w:numPr>
          <w:ilvl w:val="5"/>
          <w:numId w:val="1"/>
        </w:numPr>
        <w:rPr/>
      </w:pPr>
      <w:bookmarkStart w:id="589" w:name="__RefHeading___Toc3140281_653776707"/>
      <w:bookmarkStart w:id="590" w:name="_Toc215"/>
      <w:bookmarkEnd w:id="588"/>
      <w:bookmarkEnd w:id="589"/>
      <w:r>
        <w:rPr>
          <w:rtl w:val="true"/>
        </w:rPr>
        <w:t xml:space="preserve">[ </w:t>
      </w:r>
      <w:r>
        <w:rPr>
          <w:rtl w:val="true"/>
        </w:rPr>
        <w:t xml:space="preserve">الفرع </w:t>
      </w:r>
      <w:r>
        <w:rPr>
          <w:rtl w:val="true"/>
        </w:rPr>
        <w:t xml:space="preserve">] </w:t>
      </w:r>
      <w:r>
        <w:rPr>
          <w:rtl w:val="true"/>
        </w:rPr>
        <w:t xml:space="preserve">الثامن </w:t>
      </w:r>
      <w:r>
        <w:rPr>
          <w:rtl w:val="true"/>
        </w:rPr>
        <w:t>:</w:t>
      </w:r>
      <w:bookmarkEnd w:id="590"/>
    </w:p>
    <w:p>
      <w:pPr>
        <w:pStyle w:val="BookText"/>
        <w:rPr/>
      </w:pPr>
      <w:r>
        <w:rPr>
          <w:rFonts w:ascii="Amiri" w:hAnsi="Amiri" w:eastAsia="Amiri" w:cs="Amiri"/>
          <w:color w:val="111111"/>
          <w:sz w:val="28"/>
          <w:sz w:val="28"/>
          <w:szCs w:val="28"/>
          <w:rtl w:val="true"/>
          <w:lang w:bidi="ar-SA"/>
        </w:rPr>
        <w:t>لو اغتسل المحدث مرتّبا فغسل رأسه ثم أدخل يده في ماء قليل فإن قصد غسلها حينئذ صار الماء بعد إخراجها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إدخالها ليأخذ بها من الماء ما يغسل به جانبه لم يتحقّق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النهاية التوقّف فيه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تقاطر الماء من رأسه أو جانبه الأيمن فأصاب المأخوذ منه لم يجزئه استعماله في الباقي عند المانعين من المستعمل لأنّه يصير بذلك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العلّامة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فإنّ الصدوق رحمه‌اللّه من جملة المانعين وقد 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اغتسل الجنب فنزّ الماء من الأرض فوقع في الإناء أو سال من بدنه في الإناء فلا بأس به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منصوص في عدّة أخبار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الفضيل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الجنب يغتسل فينتضح من الأرض في الإناء؟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هذا ممّا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شهاب بن عبد ربّه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الجنب يغتسل فيقطر الماء عن جسده في الإناء وينتضح الماء من الأرض فيصير </w:t>
      </w:r>
      <w:bookmarkStart w:id="591" w:name="pg8731_77273"/>
    </w:p>
    <w:p>
      <w:pPr>
        <w:pStyle w:val="BookText"/>
        <w:rPr/>
      </w:pPr>
      <w:bookmarkEnd w:id="591"/>
      <w:r>
        <w:rPr>
          <w:rFonts w:ascii="Amiri" w:hAnsi="Amiri" w:eastAsia="Amiri" w:cs="Amiri"/>
          <w:color w:val="111111"/>
          <w:sz w:val="28"/>
          <w:sz w:val="28"/>
          <w:szCs w:val="28"/>
          <w:rtl w:val="true"/>
          <w:lang w:bidi="ar-SA"/>
        </w:rPr>
        <w:t xml:space="preserve">في الإناء ، أنّه لا بأس بهذا كلّه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الرجل جنابة فأراد الغسل فليفرغ على كفّيه فليغسلهما دون المرفق ، ثمّ يدخل يده في إنائه ثمّ يغسل فرجه ثمّ ليصبّ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انتضح من مائه في إنائه بعد ما صنع ما وصفت فلا بأس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في التهذيب جملة منها ولم يتعرّض لها بتأويل أو ردّ أو بيان معارض مع تصريحه فيه بالمنع من المستعمل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إيذان بعدم صدق الاستعمال به عنده أيضا</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140283_653776707"/>
      <w:bookmarkStart w:id="593" w:name="_Toc216"/>
      <w:bookmarkEnd w:id="592"/>
      <w:r>
        <w:rPr>
          <w:rtl w:val="true"/>
        </w:rPr>
        <w:t xml:space="preserve">[ </w:t>
      </w:r>
      <w:r>
        <w:rPr>
          <w:rtl w:val="true"/>
        </w:rPr>
        <w:t xml:space="preserve">الفرع </w:t>
      </w:r>
      <w:r>
        <w:rPr>
          <w:rtl w:val="true"/>
        </w:rPr>
        <w:t xml:space="preserve">] </w:t>
      </w:r>
      <w:r>
        <w:rPr>
          <w:rtl w:val="true"/>
        </w:rPr>
        <w:t xml:space="preserve">التاسع </w:t>
      </w:r>
      <w:r>
        <w:rPr>
          <w:rtl w:val="true"/>
        </w:rPr>
        <w:t>:</w:t>
      </w:r>
      <w:bookmarkEnd w:id="593"/>
    </w:p>
    <w:p>
      <w:pPr>
        <w:pStyle w:val="BookText"/>
        <w:rPr/>
      </w:pPr>
      <w:r>
        <w:rPr>
          <w:rFonts w:ascii="Amiri" w:hAnsi="Amiri" w:eastAsia="Amiri" w:cs="Amiri"/>
          <w:color w:val="111111"/>
          <w:sz w:val="28"/>
          <w:sz w:val="28"/>
          <w:szCs w:val="28"/>
          <w:rtl w:val="true"/>
          <w:lang w:bidi="ar-SA"/>
        </w:rPr>
        <w:t xml:space="preserve">إذا جمع الماء المستعمل فبلغ كرّا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يزول عنه حكم المنع </w:t>
      </w:r>
      <w:r>
        <w:rPr>
          <w:rStyle w:val="FootnoteAnchor"/>
          <w:rtl w:val="true"/>
        </w:rPr>
        <w:footnoteReference w:id="863"/>
      </w:r>
      <w:r>
        <w:rPr>
          <w:rFonts w:ascii="Amiri" w:hAnsi="Amiri" w:eastAsia="Amiri" w:cs="Amiri"/>
          <w:color w:val="111111"/>
          <w:sz w:val="28"/>
          <w:sz w:val="28"/>
          <w:szCs w:val="28"/>
          <w:rtl w:val="true"/>
          <w:lang w:bidi="ar-SA"/>
        </w:rPr>
        <w:t xml:space="preserve">، واختاره العلّامة في المنتهى تفريعا على القول بالمنع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الشيخ في الخلاف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بلوغ الكرّيّة موجب لعدم انفعال الماء عن الملاقي وما ذلك إلّا لقوّته ، فكيف يبقى انفعاله عن ارتفاع الحدث الذي لو كان </w:t>
      </w:r>
    </w:p>
    <w:p>
      <w:pPr>
        <w:pStyle w:val="BookText"/>
        <w:rPr/>
      </w:pPr>
      <w:r>
        <w:rPr>
          <w:rFonts w:ascii="Amiri" w:hAnsi="Amiri" w:eastAsia="Amiri" w:cs="Amiri"/>
          <w:color w:val="111111"/>
          <w:sz w:val="28"/>
          <w:sz w:val="28"/>
          <w:szCs w:val="28"/>
          <w:rtl w:val="true"/>
          <w:lang w:bidi="ar-SA"/>
        </w:rPr>
        <w:t>نجاسة لكانت 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اغتسل في كرّ لما بقي انفعاله لعدمه فكذا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ذلك في النجاسة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حكمنا بعدم الزوال هناك لارتفاع قوّة الطهارة بخلاف المتنازع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المنع معلوم شرعا ، فيقف ارتفاعه على وجود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يدّعى من قول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نعرفه ولا نقلناه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 المدّعي نقل هذا اللفظ بالإسناد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يتناول موضع النزاع ، ولأنّ هذا الماء عندنا ليس بنجس ، فلو بلغ كرّا ثمّ وقعت فيه نجاسة لم 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يرتفع ما كان فيه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الشيخ في الخلاف منشأ التردّد من أنّه يثبت فيه المنع قبل أن يبلغ كرّا فيحتاج في جواز استعماله بعد بلوغه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دلالة ظاهر الآيات والأخبار على طهارة الماء ، خرج منه الناقص عن الكرّ بدليل ، فيبقى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يحمل خبثا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كلام الجماعة رأيت التحقيق في كلام المحقّق واستبان لك ضعف ما سواه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الشيخ احتجّ في الخلاف على عدم زوال النجاسة في المجتمع </w:t>
      </w:r>
      <w:bookmarkStart w:id="594" w:name="pg8731_77275"/>
    </w:p>
    <w:p>
      <w:pPr>
        <w:pStyle w:val="BookText"/>
        <w:rPr/>
      </w:pPr>
      <w:bookmarkEnd w:id="594"/>
      <w:r>
        <w:rPr>
          <w:rFonts w:ascii="Amiri" w:hAnsi="Amiri" w:eastAsia="Amiri" w:cs="Amiri"/>
          <w:color w:val="111111"/>
          <w:sz w:val="28"/>
          <w:sz w:val="28"/>
          <w:szCs w:val="28"/>
          <w:rtl w:val="true"/>
          <w:lang w:bidi="ar-SA"/>
        </w:rPr>
        <w:t xml:space="preserve">من الطاهر والنجس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ماء محكوم بنجاسته ، فمن ادّعى زوال حكم النجاسة عنه بالاجتماع فعليه الدليل ، وليس هناك دليل ، فيبقى على الأصل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صحّ الحديث الذي جعله في موضع النزاع منشأ لاحتمال زوال المنع لكان دليلا على زوال النجاسة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الحكمين في الخلاف إلّا أوراق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الحكم هنا على الخلاف الواقع في زوال النجاسة بالإتمام فمن حكم بالزوال هناك تأتّى له الحكم هنا بطريق أولى ، ومن 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التفرقة التي صار إليها الشيخ والعلّامة فلا وجه لها</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140285_653776707"/>
      <w:bookmarkStart w:id="596" w:name="_Toc217"/>
      <w:bookmarkEnd w:id="595"/>
      <w:r>
        <w:rPr>
          <w:rtl w:val="true"/>
        </w:rPr>
        <w:t xml:space="preserve">[ </w:t>
      </w:r>
      <w:r>
        <w:rPr>
          <w:rtl w:val="true"/>
        </w:rPr>
        <w:t xml:space="preserve">الفرع </w:t>
      </w:r>
      <w:r>
        <w:rPr>
          <w:rtl w:val="true"/>
        </w:rPr>
        <w:t xml:space="preserve">] </w:t>
      </w:r>
      <w:r>
        <w:rPr>
          <w:rtl w:val="true"/>
        </w:rPr>
        <w:t xml:space="preserve">العاشر </w:t>
      </w:r>
      <w:r>
        <w:rPr>
          <w:rtl w:val="true"/>
        </w:rPr>
        <w:t>:</w:t>
      </w:r>
      <w:bookmarkEnd w:id="596"/>
    </w:p>
    <w:p>
      <w:pPr>
        <w:pStyle w:val="BookText"/>
        <w:rPr/>
      </w:pPr>
      <w:r>
        <w:rPr>
          <w:rFonts w:ascii="Amiri" w:hAnsi="Amiri" w:eastAsia="Amiri" w:cs="Amiri"/>
          <w:color w:val="111111"/>
          <w:sz w:val="28"/>
          <w:sz w:val="28"/>
          <w:szCs w:val="28"/>
          <w:rtl w:val="true"/>
          <w:lang w:bidi="ar-SA"/>
        </w:rPr>
        <w:t xml:space="preserve">قال الصدوق عليه الرحمة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اغتسل الرجل في وهدة وخشي أن يرجع ما ينصبّ عنه إلى الماء الذي يغتسل منه أخذ كفّا وصبّه أمامه وكفّا عن يمينه وكفّا عن يساره وكفّا من خلفه ، واغتسل منه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ذلك في المقنع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اغتسلت من ماء في وهدة وخشيت أن يرجع ما ينصبّ عنك إلى المكان الذي يغتسل فيه أخذت له كفّا وصببته عن يمينك وكفّا عن يسارك وكفّا خلفك وكفّا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واغتسلت منه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 الإنسان عند غدير أو قليب ولم يكن </w:t>
      </w:r>
    </w:p>
    <w:p>
      <w:pPr>
        <w:pStyle w:val="BookText"/>
        <w:rPr/>
      </w:pPr>
      <w:r>
        <w:rPr>
          <w:rFonts w:ascii="Amiri" w:hAnsi="Amiri" w:eastAsia="Amiri" w:cs="Amiri"/>
          <w:color w:val="111111"/>
          <w:sz w:val="28"/>
          <w:sz w:val="28"/>
          <w:szCs w:val="28"/>
          <w:rtl w:val="true"/>
          <w:lang w:bidi="ar-SA"/>
        </w:rPr>
        <w:t>معه ما يغترف به الماء لوضوئه فليدخل يده فيه ويأخذ منه ما يحتاج إليه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الغسل للجنابة وخاف إن نزل إليها فساد الماء فليرشّ عن يمينه ويساره وأمامه وخلفه ثمّ ليأخذ كفّا كفّا من الماء فليغتسل به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ما ذكروه روايات وردت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أبي الحسن الأوّل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يصيب الماء في ساقية أو مستنقع أو يغتسل منه للجنابة أو يتوضّأ منه للصلاة إذا كان لا يجد غيره والماء لا يبلغ صاعا للجنابة ولا مدّا للوضوء وهو متفرّق فكيف يصنع وهو يتخوّف أن يكون السباع قد شربت منه؟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يده نظيفة فليأخذ كفّا من الماء بيد واحدة فلينضحه خلفه وكفّا أمامه وكفّا عن يمينه وكفّا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خشي أن لا يكفيه غسل رأسه ثلاث مرّات ثمّ مسح جلده بيده فإنّ ذلك يجزيه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لي ثقة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عليه‌السلام عن الرجل ينتهي إلى الماء القليل في الطريق فيريد أن يغتسل وليس معه إناء والماء في وهدة فإن هو اغتسل رجع غسله في الماء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بكفّ بين يديه وكفّا من خلفه وكفّا عن يمينه وكفّا عن شمال ثمّ يغتسل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الفاضلان في المعتبر والمنتهى عن أحمد بن محمّد بن أبي نصر البزنطي أنّه روى في جامعه عن عبد الكريم عن محمّد بن ميسر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الجنب ينتهي إلى الماء القليل والماء في وهدة فإن هو اغتسل رجع غسله في الماء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بكفّ بين يديه وكفّا خلفه وكفّا عن يمينه وكفّ عن شماله ويغتسل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متعلّق النضح المذكور في الأخبار وكلام الأصحاب هنا لا يخلو عن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المحقّق رحمه‌اللّه في ذلك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الأرض والحكمة اجتماع أجزائها فتمنع سرعة انحدار ما ينفصل عن البدن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متعلّقه بدن المغتسل والغرض منه بلّه ليتعجّل الاغتسال قبل انحدار المنفصل عنه وعوده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هذا القول إلى الصهرشتي </w:t>
      </w:r>
      <w:r>
        <w:rPr>
          <w:rStyle w:val="FootnoteAnchor"/>
          <w:rtl w:val="true"/>
        </w:rPr>
        <w:footnoteReference w:id="877"/>
      </w:r>
      <w:r>
        <w:rPr>
          <w:rFonts w:ascii="Amiri" w:hAnsi="Amiri" w:eastAsia="Amiri" w:cs="Amiri"/>
          <w:color w:val="111111"/>
          <w:sz w:val="28"/>
          <w:sz w:val="28"/>
          <w:szCs w:val="28"/>
          <w:rtl w:val="true"/>
          <w:lang w:bidi="ar-SA"/>
        </w:rPr>
        <w:t xml:space="preserve">، واختاره الشهيد في الذكرى إلّا أنّه جعل الحكمة فيه الاكتفاء بترديده عن إكثار معاودة الماء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ورجّح في البيان القول الأوّل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المحكيّة عن رسالة ابن بابويه ظاهرة فيه أيضا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له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المكان الذي يغتسل فيه لأنّه المذكور قبله في العبارة وليس المراد به محلّ الماء كما وقع في عبارة ابنه حيث صرّح بالعود إلى الماء الذي يغتسل منه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تركه للتصريح بذلك اتّكال على دلالة لفظ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 لدلالة المقام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 ابن إدريس إنكار القول الأوّل مبالغا فيه ومحتجّا بأنّ اشتداد الأرض برشّ الجهات المذكورة موجب لسرعة نزول ماء الغسل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غير أنّه ليس يمتنع في بعض الأرضين أن يكون قبولها لابتلاع الماء مع الابتلال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على القول الثاني أنّ خشية العود إلى الماء مع تعجّل الاغتسال ربّما كانت أكثر ؛ لأنّ الإعجال موجب لتلاحق الأجزاء المنفصلة عن البدن من الماء ، وذلك أقرب إلى الجريان والعود ، ومع الإبطاء يكون تساقطهما على سبيل التدريج فربّما بعدت بذلك عن الجريان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الشهيد من أنّ الفائدة هي الاكتفاء بترديده عن إكثار معاودة الماء </w:t>
      </w:r>
      <w:r>
        <w:rPr>
          <w:rStyle w:val="FootnoteAnchor"/>
          <w:rtl w:val="true"/>
        </w:rPr>
        <w:footnoteReference w:id="881"/>
      </w:r>
      <w:r>
        <w:rPr>
          <w:rFonts w:ascii="Amiri" w:hAnsi="Amiri" w:eastAsia="Amiri" w:cs="Amiri"/>
          <w:color w:val="111111"/>
          <w:sz w:val="28"/>
          <w:sz w:val="28"/>
          <w:szCs w:val="28"/>
          <w:rtl w:val="true"/>
          <w:lang w:bidi="ar-SA"/>
        </w:rPr>
        <w:t>ففيه إشعار بأنّه جعل الغرض من ذلك التحرّز من تقاطر ماء الغسل عن بعض الأعضاء المغسولة في الماء الذي يغتسل منه عند المعاودة ، وقد عرفت تصريح بعض المانعين من المستعمل بعدم تأثير مثله ، ودلالة الأخبار أيضا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محلّ البحث هنا هو رجوع المنفصل عن بدن المغتسل بأجمعه إلى الماء أو عن أكثره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فالخطب في هذا عند من لا يرى المنع من المستعمل سهل ؛ لأنّ الأخبار الواردة بذلك محمولة على الاستحباب عنده ، كما ذكره العلّامة </w:t>
      </w:r>
    </w:p>
    <w:p>
      <w:pPr>
        <w:pStyle w:val="BookText"/>
        <w:rPr/>
      </w:pPr>
      <w:r>
        <w:rPr>
          <w:rFonts w:ascii="Amiri" w:hAnsi="Amiri" w:eastAsia="Amiri" w:cs="Amiri"/>
          <w:color w:val="111111"/>
          <w:sz w:val="28"/>
          <w:sz w:val="28"/>
          <w:szCs w:val="28"/>
          <w:rtl w:val="true"/>
          <w:lang w:bidi="ar-SA"/>
        </w:rPr>
        <w:t xml:space="preserve">في المنتهى </w:t>
      </w:r>
      <w:r>
        <w:rPr>
          <w:rStyle w:val="FootnoteAnchor"/>
          <w:rtl w:val="true"/>
        </w:rPr>
        <w:footnoteReference w:id="882"/>
      </w:r>
      <w:r>
        <w:rPr>
          <w:rFonts w:ascii="Amiri" w:hAnsi="Amiri" w:eastAsia="Amiri" w:cs="Amiri"/>
          <w:color w:val="111111"/>
          <w:sz w:val="28"/>
          <w:sz w:val="28"/>
          <w:szCs w:val="28"/>
          <w:rtl w:val="true"/>
          <w:lang w:bidi="ar-SA"/>
        </w:rPr>
        <w:t xml:space="preserve">مقرّبا له بما رواه الشيخ في الحسن عن عبد 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ماء وفيه قلّة فانضح عن يمينك وعن يسارك وبين يديك وتوضّأ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التقريب على ما يؤذن به سوق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واقع على عدم المنع من المستعمل في الوضوء فالأمر بالنضح له في هذا الحديث محمول على الاستحباب عند الكلّ ، فلا بعد </w:t>
      </w:r>
      <w:r>
        <w:rPr>
          <w:rStyle w:val="FootnoteAnchor"/>
          <w:rtl w:val="true"/>
        </w:rPr>
        <w:footnoteReference w:id="884"/>
      </w:r>
      <w:r>
        <w:rPr>
          <w:rFonts w:ascii="Amiri" w:hAnsi="Amiri" w:eastAsia="Amiri" w:cs="Amiri"/>
          <w:color w:val="111111"/>
          <w:sz w:val="28"/>
          <w:sz w:val="28"/>
          <w:szCs w:val="28"/>
          <w:rtl w:val="true"/>
          <w:lang w:bidi="ar-SA"/>
        </w:rPr>
        <w:t>في كون الأوامر الواردة في تلك الأخبار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من حيث شيوع إطلاق الوضوء في الأخبار على الاستنجاء فلا يبعد إرادته هنا من الرواية ، ومعه يفوت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الحاجة ليست داعية إليه ؛ فإنّ حمل أخبار الباب على الاستحباب بعد القول بعدم المنع من المستعمل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 ما في الأخبار رواية علي بن جعفر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صريح في عدم </w:t>
      </w:r>
      <w:r>
        <w:rPr>
          <w:rStyle w:val="FootnoteAnchor"/>
          <w:rtl w:val="true"/>
        </w:rPr>
        <w:footnoteReference w:id="886"/>
      </w:r>
      <w:r>
        <w:rPr>
          <w:rFonts w:ascii="Amiri" w:hAnsi="Amiri" w:eastAsia="Amiri" w:cs="Amiri"/>
          <w:color w:val="111111"/>
          <w:sz w:val="28"/>
          <w:sz w:val="28"/>
          <w:szCs w:val="28"/>
          <w:rtl w:val="true"/>
          <w:lang w:bidi="ar-SA"/>
        </w:rPr>
        <w:t>تأثير عود ما ينفصل من ماء الغسل وأنّه مع قلّة الماء بحيث لا يكفي للغسل يجري ما يرجع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موضع هذه الدلالة منها في احتجاجنا لما صرنا إليه في صدر المسألة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كلام الشيخ هنا على ما حكيناه عن النهاية لا يخلو </w:t>
      </w:r>
    </w:p>
    <w:p>
      <w:pPr>
        <w:pStyle w:val="BookText"/>
        <w:rPr/>
      </w:pPr>
      <w:r>
        <w:rPr>
          <w:rFonts w:ascii="Amiri" w:hAnsi="Amiri" w:eastAsia="Amiri" w:cs="Amiri"/>
          <w:color w:val="111111"/>
          <w:sz w:val="28"/>
          <w:sz w:val="28"/>
          <w:szCs w:val="28"/>
          <w:rtl w:val="true"/>
          <w:lang w:bidi="ar-SA"/>
        </w:rPr>
        <w:t>عن إشكال ؛ فإنّ ظاهره كون المحذور في الفرض المذكور هنا هو فساد الماء بنزول الجنب إليه واغتساله فيه ، ولا ريب أنّ هذا يزول بالأخذ من الماء والاغتسال خارجه ، وفرض إمكان الرشّ يقتضي إمكان الأخذ فلا يظهر لحكمه بالرشّ حينئذ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أوّله المحقّق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عبارة الشيخ لا تنطبق على الرشّ إلّا أن يجعل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ماء الغسل ، ويكون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نزل ماء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بتقدير أن يكون في نزل ضمير المريد لا ينتظم المعنى لأنّه إن أمكنه الرشّ لا مع النزول أمكنه الاغتسال من غير نزول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حسن وإن اقتضى كون المرجع غير مذكور صريحا ، فإنّ محذوره هيّن </w:t>
      </w:r>
      <w:r>
        <w:rPr>
          <w:rStyle w:val="FootnoteAnchor"/>
          <w:rtl w:val="true"/>
        </w:rPr>
        <w:footnoteReference w:id="888"/>
      </w:r>
      <w:r>
        <w:rPr>
          <w:rFonts w:ascii="Amiri" w:hAnsi="Amiri" w:eastAsia="Amiri" w:cs="Amiri"/>
          <w:color w:val="111111"/>
          <w:sz w:val="28"/>
          <w:sz w:val="28"/>
          <w:szCs w:val="28"/>
          <w:rtl w:val="true"/>
          <w:lang w:bidi="ar-SA"/>
        </w:rPr>
        <w:t>بالنظر إلى ما يلزم على التقدير الآخر خصوصا بعد ملاحظة كون الغرض بيان الحكم الذي وردت به النصوص فإنّه لا ربط للعبارة به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وخاف أن ينزل إليها فساد الماء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على صيغة المضارع فالإشكال حينئذ مرتفع ؛ لأنّه مبنيّ على كون العبارة عن النزول بصيغة الماضي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الهمزة شرطيّة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خشي ، وفاعل نزل الضمير العائد إلى المريد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النسخة التي ذكرناها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الهمزة ومصدريّة ، وفساد </w:t>
      </w:r>
      <w:bookmarkStart w:id="597" w:name="pg8731_77281"/>
    </w:p>
    <w:p>
      <w:pPr>
        <w:pStyle w:val="BookText"/>
        <w:rPr/>
      </w:pPr>
      <w:bookmarkEnd w:id="597"/>
      <w:r>
        <w:rPr>
          <w:rFonts w:ascii="Amiri" w:hAnsi="Amiri" w:eastAsia="Amiri" w:cs="Amiri"/>
          <w:color w:val="111111"/>
          <w:sz w:val="28"/>
          <w:sz w:val="28"/>
          <w:szCs w:val="28"/>
          <w:rtl w:val="true"/>
          <w:lang w:bidi="ar-SA"/>
        </w:rPr>
        <w:t xml:space="preserve">الماء فاعل بنزل ، والمصدر المأوّل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خشي ، وفاعله ضمير المريد ، وحاصل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مع خشية نزول فساد الماء المنفصل عن بدن المغتسل إلى المياه التي يريد الاغتسال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بعود الماء الذي اغتسل به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المتعلّق به يتعدّى إليها بعوده فيها وهو معنى نزول الفساد إليها فيجب الرشّ حينئذ حذرا من ذلك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عين </w:t>
      </w:r>
      <w:r>
        <w:rPr>
          <w:rStyle w:val="FootnoteAnchor"/>
          <w:rtl w:val="true"/>
        </w:rPr>
        <w:footnoteReference w:id="890"/>
      </w:r>
      <w:r>
        <w:rPr>
          <w:rFonts w:ascii="Amiri" w:hAnsi="Amiri" w:eastAsia="Amiri" w:cs="Amiri"/>
          <w:color w:val="111111"/>
          <w:sz w:val="28"/>
          <w:sz w:val="28"/>
          <w:szCs w:val="28"/>
          <w:rtl w:val="true"/>
          <w:lang w:bidi="ar-SA"/>
        </w:rPr>
        <w:t>كلام باقي الجماعة ومدلول الأخبار فلعلّ الوهم في هذه النسخة التي وقع فيها لفظ الماضي ؛ فإنّ حصول الاشتباه في مثله وقت الكتابة ليس بمستبعد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140287_653776707"/>
      <w:bookmarkStart w:id="599" w:name="_Toc218"/>
      <w:bookmarkEnd w:id="598"/>
      <w:r>
        <w:rPr>
          <w:rtl w:val="true"/>
        </w:rPr>
        <w:t xml:space="preserve">مسألة </w:t>
      </w:r>
      <w:r>
        <w:rPr>
          <w:rtl w:val="true"/>
        </w:rPr>
        <w:t>[</w:t>
      </w:r>
      <w:r>
        <w:rPr/>
        <w:t>5</w:t>
      </w:r>
      <w:r>
        <w:rPr>
          <w:rtl w:val="true"/>
        </w:rPr>
        <w:t>] :</w:t>
      </w:r>
      <w:bookmarkEnd w:id="599"/>
    </w:p>
    <w:p>
      <w:pPr>
        <w:pStyle w:val="BookText"/>
        <w:rPr/>
      </w:pPr>
      <w:r>
        <w:rPr>
          <w:rFonts w:ascii="Amiri" w:hAnsi="Amiri" w:eastAsia="Amiri" w:cs="Amiri"/>
          <w:color w:val="111111"/>
          <w:sz w:val="28"/>
          <w:sz w:val="28"/>
          <w:szCs w:val="28"/>
          <w:rtl w:val="true"/>
          <w:lang w:bidi="ar-SA"/>
        </w:rPr>
        <w:t xml:space="preserve">واختلف الأصحاب في غسالة الحمّام فقال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التطهير بغسالة الحمّام لأنّه مجتمع فيها غسالة اليهوديّ والمجوسيّ والنصراني والمبغض لآل محمّد عليهم‌السلام وهو أشرّهم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تغتسل من غسالة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التعليل الذي ذكره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غسالة الحمّام لا يجوز استعمالها على حال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يغتسل بغسالة الحمّام إلّا أن يعلم خلوّها من </w:t>
      </w:r>
    </w:p>
    <w:p>
      <w:pPr>
        <w:pStyle w:val="BookText"/>
        <w:rPr/>
      </w:pPr>
      <w:r>
        <w:rPr>
          <w:rFonts w:ascii="Amiri" w:hAnsi="Amiri" w:eastAsia="Amiri" w:cs="Amiri"/>
          <w:color w:val="111111"/>
          <w:sz w:val="28"/>
          <w:sz w:val="28"/>
          <w:szCs w:val="28"/>
          <w:rtl w:val="true"/>
          <w:lang w:bidi="ar-SA"/>
        </w:rPr>
        <w:t xml:space="preserve">النجاسة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أنّها على أصل الطهارة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هذا القول إلى غيره من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الإرشاد بنجاستها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تبعه فيه بعض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الأخبار التي وقفنا عليها في هذا الباب ونقلها الأصحاب في الاحتجاج ثلاث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حمزة بن أحمد 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أو سأله غيري عن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بمئزر وغضّ بصرك ولا تغتسل من البئر التي يجتمع فيها ماء الحمّام فإنّه يسيل فيها ما يغتسل به الجنب وولد الزنا والناصب لنا أهل البيت وهو شرّهم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من البئر التي تجتمع فيها غسالة الحمّام فإنّ فيها غسالة ولد الزنا وهو لا يطهر إلى ستّة آباء ، وفيها غسالة الناصب وهو شرّهما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تدلّان على ما قاله 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التعليل فيهما أنّه مع العمل بخلوّها من الامور المذكورة لا مانع من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الصدوقان التعليل أيضا وهو مشعر بأنّهما لا يقولان بالمنع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وبالرواية الاولى احتجّ المحقّق رحمه‌اللّه في المعتبر على ما حكيناه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فيها معلّل باجتماعه من النجاسة فينتفي التنجيس عند انتفاء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رأيه هنا ورأي الصدوقين واحد وإن لم يصرّحا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طريق هاتين الروايتين أو واحدة منهما لكان هذا القول متّجها لكنّهما 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يحيى الواسطي عن بعض أصحابنا عن أبي الحسن الماضي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مجتمع الماء في الحمّام من غسالة الناس يصيب الثوب؟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الطهارة إلّا أنّ في طريقها ضعفا بالإرسال ، وجهالة أبي يحيى حيث ذكره الشيخ من غير تعرّض لثناء أو غيره </w:t>
      </w:r>
      <w:r>
        <w:rPr>
          <w:rStyle w:val="FootnoteAnchor"/>
          <w:rtl w:val="true"/>
        </w:rPr>
        <w:footnoteReference w:id="899"/>
      </w:r>
      <w:r>
        <w:rPr>
          <w:rFonts w:ascii="Amiri" w:hAnsi="Amiri" w:eastAsia="Amiri" w:cs="Amiri"/>
          <w:color w:val="111111"/>
          <w:sz w:val="28"/>
          <w:sz w:val="28"/>
          <w:szCs w:val="28"/>
          <w:rtl w:val="true"/>
          <w:lang w:bidi="ar-SA"/>
        </w:rPr>
        <w:t xml:space="preserve">، وقد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لها بقصد جعلها مؤيّدة لما حكم به من عدم المنع إذا علم خلوّها من النجاسة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أنّها وإن كانت مرسلة إلّا أنّ الأصل يؤيّدها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جعلها شاهدا على ما ذهب إليه من الحكم بالطهارة مطلقا مع الأصل وبيان ضعف ما دلّ على خلافه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الشيخ في النهاية من تعميم المنع فلم نقف له على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بناه على ما تقضي به العادة من عدم انفكاكها من ملاقاة النجاسة ، كما اعتذر له به المحقّق في نكت النهاية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المعتبر 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عبّر بما ذكره الشيخ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وغسالة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إجماع وقد وردت به أخبار معتمدة </w:t>
      </w:r>
      <w:r>
        <w:rPr>
          <w:rStyle w:val="FootnoteAnchor"/>
          <w:rtl w:val="true"/>
        </w:rPr>
        <w:footnoteReference w:id="903"/>
      </w:r>
      <w:r>
        <w:rPr>
          <w:rFonts w:ascii="Amiri" w:hAnsi="Amiri" w:eastAsia="Amiri" w:cs="Amiri"/>
          <w:color w:val="111111"/>
          <w:sz w:val="28"/>
          <w:sz w:val="28"/>
          <w:szCs w:val="28"/>
          <w:rtl w:val="true"/>
          <w:lang w:bidi="ar-SA"/>
        </w:rPr>
        <w:t xml:space="preserve">قد أجمع عليها ودليل الاحتياط 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لفظ النهاية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خلاف الرواية وخلاف ما ذكره ابن بابويه ولم نقف على رواية بهذا الحكم سوى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حمزة بن أحمد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مرسلة ذكرها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ابن أبي يعفور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مع الإرسال ابن جمهور وهو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النجاشي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الإجماع وأين الأخبار المعتمدة؟ نحن نطالبه بما ادّعاه وأفرط في دعواه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 المحقّق عليه الرحمة وهو واضح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على القول بنجاستها ولم يذكر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حجّته النهي عن استعمالها ، وسقوطها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تحرّز من هذا أنّه ليس على حكمها بالخصوص دليل فيجب الرجوع فيها إلى ما يقتضيه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الأصل يقتضي طهارتها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السابق لعدم المنع من المستعمل يدلّ على جواز استعمالها إلّا أن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يخرج عن ذلك ولو بقرائن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فاجتنابها أحوط على كلّ حال</w:t>
      </w:r>
      <w:r>
        <w:rPr>
          <w:rFonts w:eastAsia="Amiri" w:cs="Amiri" w:ascii="Amiri" w:hAnsi="Amiri"/>
          <w:color w:val="111111"/>
          <w:sz w:val="28"/>
          <w:szCs w:val="28"/>
          <w:rtl w:val="true"/>
          <w:lang w:bidi="ar-SA"/>
        </w:rPr>
        <w:t xml:space="preserve">. </w:t>
      </w:r>
      <w:bookmarkStart w:id="600" w:name="pg8731_77286"/>
    </w:p>
    <w:p>
      <w:pPr>
        <w:pStyle w:val="Heading6"/>
        <w:numPr>
          <w:ilvl w:val="5"/>
          <w:numId w:val="1"/>
        </w:numPr>
        <w:rPr/>
      </w:pPr>
      <w:bookmarkStart w:id="601" w:name="__RefHeading___Toc3140289_653776707"/>
      <w:bookmarkStart w:id="602" w:name="_Toc219"/>
      <w:bookmarkEnd w:id="600"/>
      <w:bookmarkEnd w:id="601"/>
      <w:r>
        <w:rPr>
          <w:rtl w:val="true"/>
        </w:rPr>
        <w:t xml:space="preserve">البحث الخامس </w:t>
      </w:r>
      <w:r>
        <w:rPr>
          <w:rtl w:val="true"/>
        </w:rPr>
        <w:t xml:space="preserve">: </w:t>
      </w:r>
      <w:r>
        <w:rPr>
          <w:rtl w:val="true"/>
        </w:rPr>
        <w:t>في الأسآر</w:t>
      </w:r>
      <w:bookmarkEnd w:id="602"/>
    </w:p>
    <w:p>
      <w:pPr>
        <w:pStyle w:val="Heading6"/>
        <w:numPr>
          <w:ilvl w:val="5"/>
          <w:numId w:val="1"/>
        </w:numPr>
        <w:rPr/>
      </w:pPr>
      <w:bookmarkStart w:id="603" w:name="__RefHeading___Toc3140291_653776707"/>
      <w:bookmarkStart w:id="604" w:name="_Toc220"/>
      <w:bookmarkEnd w:id="603"/>
      <w:r>
        <w:rPr>
          <w:rtl w:val="true"/>
        </w:rPr>
        <w:t xml:space="preserve">مسألة </w:t>
      </w:r>
      <w:r>
        <w:rPr>
          <w:rtl w:val="true"/>
        </w:rPr>
        <w:t>[</w:t>
      </w:r>
      <w:r>
        <w:rPr/>
        <w:t>1</w:t>
      </w:r>
      <w:r>
        <w:rPr>
          <w:rtl w:val="true"/>
        </w:rPr>
        <w:t>] :</w:t>
      </w:r>
      <w:bookmarkEnd w:id="604"/>
    </w:p>
    <w:p>
      <w:pPr>
        <w:pStyle w:val="BookText"/>
        <w:rPr/>
      </w:pPr>
      <w:r>
        <w:rPr>
          <w:rFonts w:ascii="Amiri" w:hAnsi="Amiri" w:eastAsia="Amiri" w:cs="Amiri"/>
          <w:color w:val="111111"/>
          <w:sz w:val="28"/>
          <w:sz w:val="28"/>
          <w:szCs w:val="28"/>
          <w:rtl w:val="true"/>
          <w:lang w:bidi="ar-SA"/>
        </w:rPr>
        <w:t>السؤر في اللغة ما يبقى بعد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والمبحوث عنه هنا ما يكون من الماء القليل مع مباشرة فم الحيوان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تابع للحيوان في النجاسة عند القائلين بانفعال القليل بغير خلاف نعرفه ؛ لأنّ الأدلّة على انفعال القليل بالملاقاة تتناوله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يذكر هاهنا من الاختلاف لم يقع موقعه إذ مرجعه إلى الخلاف في نفس الحيوان هل هو طاهر أو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أن يذكر في بحث النجاسات إذ لا خصوصيّة للسؤر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حكوا هنا الخلاف في نجاسته باعتبار الاختلاف فيما هو سؤره ، خمسة أسئار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المحقّق في المعتبر عن المفيد أنّ </w:t>
      </w:r>
    </w:p>
    <w:p>
      <w:pPr>
        <w:pStyle w:val="BookText"/>
        <w:rPr/>
      </w:pPr>
      <w:r>
        <w:rPr>
          <w:rFonts w:ascii="Amiri" w:hAnsi="Amiri" w:eastAsia="Amiri" w:cs="Amiri"/>
          <w:color w:val="111111"/>
          <w:sz w:val="28"/>
          <w:sz w:val="28"/>
          <w:szCs w:val="28"/>
          <w:rtl w:val="true"/>
          <w:lang w:bidi="ar-SA"/>
        </w:rPr>
        <w:t xml:space="preserve">له فيه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أكثر كتبه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الرسالة العزيّة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ابن الجنيد القول بالكراهية أيضا فإنّه قال في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والتنزّه عن سؤر جميع من يستحلّ المحرّمات من ملّي وذمّي وما ماسّوه بأبدانهم أحبّ إليّ إذا كان الماء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على الأوّل إذ لا نعرف بينهم </w:t>
      </w:r>
      <w:r>
        <w:rPr>
          <w:rStyle w:val="FootnoteAnchor"/>
          <w:rtl w:val="true"/>
        </w:rPr>
        <w:footnoteReference w:id="909"/>
      </w:r>
      <w:r>
        <w:rPr>
          <w:rFonts w:ascii="Amiri" w:hAnsi="Amiri" w:eastAsia="Amiri" w:cs="Amiri"/>
          <w:color w:val="111111"/>
          <w:sz w:val="28"/>
          <w:sz w:val="28"/>
          <w:szCs w:val="28"/>
          <w:rtl w:val="true"/>
          <w:lang w:bidi="ar-SA"/>
        </w:rPr>
        <w:t>الخلاف من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المجسّمة والمجبّرة ، فذهب الشيخ في بعض كتبه إلى نجاسته </w:t>
      </w:r>
      <w:r>
        <w:rPr>
          <w:rStyle w:val="FootnoteAnchor"/>
          <w:rtl w:val="true"/>
        </w:rPr>
        <w:footnoteReference w:id="910"/>
      </w:r>
      <w:r>
        <w:rPr>
          <w:rFonts w:ascii="Amiri" w:hAnsi="Amiri" w:eastAsia="Amiri" w:cs="Amiri"/>
          <w:color w:val="111111"/>
          <w:sz w:val="28"/>
          <w:sz w:val="28"/>
          <w:szCs w:val="28"/>
          <w:rtl w:val="true"/>
          <w:lang w:bidi="ar-SA"/>
        </w:rPr>
        <w:t>، ووافقه في المجسّمة بعض الأصحاب ، وخالفه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والأكثرون على خلافه في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كلّ من لم يعتقد الحقّ غير المستضعف ، فقال ابن إدريس بنجاسته </w:t>
      </w:r>
      <w:r>
        <w:rPr>
          <w:rStyle w:val="FootnoteAnchor"/>
          <w:rtl w:val="true"/>
        </w:rPr>
        <w:footnoteReference w:id="911"/>
      </w:r>
      <w:r>
        <w:rPr>
          <w:rFonts w:ascii="Amiri" w:hAnsi="Amiri" w:eastAsia="Amiri" w:cs="Amiri"/>
          <w:color w:val="111111"/>
          <w:sz w:val="28"/>
          <w:sz w:val="28"/>
          <w:szCs w:val="28"/>
          <w:rtl w:val="true"/>
          <w:lang w:bidi="ar-SA"/>
        </w:rPr>
        <w:t>وسيأتي الكلام في باب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Style w:val="FootnoteAnchor"/>
          <w:rtl w:val="true"/>
        </w:rPr>
        <w:footnoteReference w:id="912"/>
      </w:r>
      <w:r>
        <w:rPr>
          <w:rFonts w:ascii="Amiri" w:hAnsi="Amiri" w:eastAsia="Amiri" w:cs="Amiri"/>
          <w:color w:val="111111"/>
          <w:sz w:val="28"/>
          <w:sz w:val="28"/>
          <w:szCs w:val="28"/>
          <w:rtl w:val="true"/>
          <w:lang w:bidi="ar-SA"/>
        </w:rPr>
        <w:t>بعض الأصحاب عن المرتضى القول بنجاسة غير المؤمن وهو يقتضي نجاسة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ذلك الباقون ممّن وصل إلينا كلامه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ولد الزنا فيحكى عن المرتضى القول بنجاسته ؛ لأنّه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القول بكفره إلى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إلى الصدوق القول بنجاسة سؤره ، وكلامه ليس بصريح فيه فإنّه قال في من لا يحضره الفقيه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الوضوء بسؤر اليهودي والنصراني وولد الزنا والمشرك وكلّ من خالف الإسلام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جواز الوضوء به أعمّ من الحكم بنجاسته إلّا أنّ ذكره مع المشرك ونحوه قرينة على إرادة النجاسة ولا نعرف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ما عدا الخنزير من أنواع المسوخ فذهب الشيخ إلى نجاستها فينجس سؤرها </w:t>
      </w:r>
      <w:r>
        <w:rPr>
          <w:rStyle w:val="FootnoteAnchor"/>
          <w:rtl w:val="true"/>
        </w:rPr>
        <w:footnoteReference w:id="914"/>
      </w:r>
      <w:r>
        <w:rPr>
          <w:rFonts w:ascii="Amiri" w:hAnsi="Amiri" w:eastAsia="Amiri" w:cs="Amiri"/>
          <w:color w:val="111111"/>
          <w:sz w:val="28"/>
          <w:sz w:val="28"/>
          <w:szCs w:val="28"/>
          <w:rtl w:val="true"/>
          <w:lang w:bidi="ar-SA"/>
        </w:rPr>
        <w:t>، واستثناها ابن الجنيد ممّا حكم بطهارة سؤره مع حكمه بطهارة سؤر السباع ، وقرنها في الاستثناء بالكلب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القول بنجاستها أو نجاسة لعابها كما حكاه الفاضلان عن بعض الأصحاب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سلّار في رسالته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سوق كلامه كونها في معنى الكلب فيوافق قول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المختلف بنسبة القول بنجاستها إليه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ابن حمزة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والباقون على طهارتها بحيث لا نعرف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الخلاف هنا تابع للاختلاف في النجاسة فتأخير البحث في ذلك وبيان ما هو الحقّ فيه إلى محلّه من باب النجاسات هو المناسب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المحقّق اختار طهارة ما عدا الأوّل من الأسئار </w:t>
      </w:r>
    </w:p>
    <w:p>
      <w:pPr>
        <w:pStyle w:val="BookText"/>
        <w:rPr/>
      </w:pPr>
      <w:r>
        <w:rPr>
          <w:rFonts w:ascii="Amiri" w:hAnsi="Amiri" w:eastAsia="Amiri" w:cs="Amiri"/>
          <w:color w:val="111111"/>
          <w:sz w:val="28"/>
          <w:sz w:val="28"/>
          <w:szCs w:val="28"/>
          <w:rtl w:val="true"/>
          <w:lang w:bidi="ar-SA"/>
        </w:rPr>
        <w:t xml:space="preserve">المذكورة ، واستوجه في بعضها الكراهة خروجا من خلاف من قال بالنجاسة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آت من الكلّ ، فلا وجه للتخصيص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كراهة سؤر اليهود والنصارى على القول بطهارته فلا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بالطهارة مصرّح به ، كما قد علم ، والأخبار ناطقة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بن جعفر عن أخيه موسى عليه‌السلام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عن اليهودي والنصراني يدخل يده في الماء ، أيتوضّأ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يضطرّ إليه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سعيد الأعرج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سؤر اليهوديّ والنصرانيّ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الوشّاء عمّن ذكره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سؤر ولد الزنا واليهوديّ والنصرانيّ والمشرك ، وكلّ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ذلك عنده سؤر الناصب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الأخيرة تدلّ على كراهة سؤر ولد الزنا أيضا ، إن قيل بطهارته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فكراهة المذكورات لا ينبغي التوقّف فيها حيث يقال بالطهارة ؛ فإنّ رعاية الخروج من الخلاف كافية في مثله</w:t>
      </w:r>
      <w:r>
        <w:rPr>
          <w:rFonts w:eastAsia="Amiri" w:cs="Amiri" w:ascii="Amiri" w:hAnsi="Amiri"/>
          <w:color w:val="111111"/>
          <w:sz w:val="28"/>
          <w:szCs w:val="28"/>
          <w:rtl w:val="true"/>
          <w:lang w:bidi="ar-SA"/>
        </w:rPr>
        <w:t xml:space="preserve">. </w:t>
      </w:r>
      <w:bookmarkStart w:id="605" w:name="pg8731_77290"/>
    </w:p>
    <w:p>
      <w:pPr>
        <w:pStyle w:val="Heading6"/>
        <w:numPr>
          <w:ilvl w:val="5"/>
          <w:numId w:val="1"/>
        </w:numPr>
        <w:rPr/>
      </w:pPr>
      <w:bookmarkStart w:id="606" w:name="__RefHeading___Toc3140293_653776707"/>
      <w:bookmarkStart w:id="607" w:name="_Toc221"/>
      <w:bookmarkEnd w:id="605"/>
      <w:bookmarkEnd w:id="606"/>
      <w:r>
        <w:rPr>
          <w:rtl w:val="true"/>
        </w:rPr>
        <w:t xml:space="preserve">مسألة </w:t>
      </w:r>
      <w:r>
        <w:rPr>
          <w:rtl w:val="true"/>
        </w:rPr>
        <w:t>[</w:t>
      </w:r>
      <w:r>
        <w:rPr/>
        <w:t>2</w:t>
      </w:r>
      <w:r>
        <w:rPr>
          <w:rtl w:val="true"/>
        </w:rPr>
        <w:t>] :</w:t>
      </w:r>
      <w:bookmarkEnd w:id="607"/>
    </w:p>
    <w:p>
      <w:pPr>
        <w:pStyle w:val="Heading6"/>
        <w:numPr>
          <w:ilvl w:val="5"/>
          <w:numId w:val="1"/>
        </w:numPr>
        <w:rPr/>
      </w:pPr>
      <w:bookmarkStart w:id="608" w:name="__RefHeading___Toc3140295_653776707"/>
      <w:bookmarkStart w:id="609" w:name="_Toc222"/>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وفي تبعيّة السؤر للحيوان في الطهارة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أكثر الأصحاب ، كالفاضلين والشهيدين </w:t>
      </w:r>
      <w:r>
        <w:rPr>
          <w:rStyle w:val="FootnoteAnchor"/>
          <w:rtl w:val="true"/>
        </w:rPr>
        <w:footnoteReference w:id="922"/>
      </w:r>
      <w:r>
        <w:rPr>
          <w:rFonts w:ascii="Amiri" w:hAnsi="Amiri" w:eastAsia="Amiri" w:cs="Amiri"/>
          <w:color w:val="111111"/>
          <w:sz w:val="28"/>
          <w:sz w:val="28"/>
          <w:szCs w:val="28"/>
          <w:rtl w:val="true"/>
          <w:lang w:bidi="ar-SA"/>
        </w:rPr>
        <w:t xml:space="preserve">وجمهور المتأخّرين إلى طهارة سؤر كلّ حيوان طاهر ، وحكاه المحقّق في المعتبر عن المرتضى في المصباح </w:t>
      </w:r>
      <w:r>
        <w:rPr>
          <w:rStyle w:val="FootnoteAnchor"/>
          <w:rtl w:val="true"/>
        </w:rPr>
        <w:footnoteReference w:id="923"/>
      </w:r>
      <w:r>
        <w:rPr>
          <w:rFonts w:ascii="Amiri" w:hAnsi="Amiri" w:eastAsia="Amiri" w:cs="Amiri"/>
          <w:color w:val="111111"/>
          <w:sz w:val="28"/>
          <w:sz w:val="28"/>
          <w:szCs w:val="28"/>
          <w:rtl w:val="true"/>
          <w:lang w:bidi="ar-SA"/>
        </w:rPr>
        <w:t xml:space="preserve">، وهو اختيار الشيخ في الخلاف والنهاية </w:t>
      </w:r>
      <w:r>
        <w:rPr>
          <w:rStyle w:val="FootnoteAnchor"/>
          <w:rtl w:val="true"/>
        </w:rPr>
        <w:footnoteReference w:id="924"/>
      </w:r>
      <w:r>
        <w:rPr>
          <w:rFonts w:ascii="Amiri" w:hAnsi="Amiri" w:eastAsia="Amiri" w:cs="Amiri"/>
          <w:color w:val="111111"/>
          <w:sz w:val="28"/>
          <w:sz w:val="28"/>
          <w:szCs w:val="28"/>
          <w:rtl w:val="true"/>
          <w:lang w:bidi="ar-SA"/>
        </w:rPr>
        <w:t>، إلّا أنّه استثنى منه في النهاية سؤر ما أكل الجيف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رحمه‌اللّه أنّ المرتضى قدس‌سره استثنى الجلّال في المصباح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ينجس الماء بشرب ما أكل لحمه من الدوابّ والطيور ، وكذلك السباع وإن ماسّته بأبدانها ما لم يعلم بما ماسّه نجاسة ولم يكن جلّالا وهو الآكل العذرة ولم يكن أيضا كلبا ولا خنزيرا ولا مسخا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التهذيب المنع من سؤر ما لا يؤكل لحمه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الاستبصار إلّا أنّه استثنى منه الفأرة ، ونحو البازي والصقر من الطيور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المبسوط إلى نجاسة سؤر ما لا يؤكل من الحيوان الإنسيّ ما عدا ما لا يمكن التحرّز منه كالفأرة والحيّة والهرّة ، وطهارة سؤر الطاهر من الحيوان </w:t>
      </w:r>
    </w:p>
    <w:p>
      <w:pPr>
        <w:pStyle w:val="BookText"/>
        <w:rPr/>
      </w:pPr>
      <w:r>
        <w:rPr>
          <w:rFonts w:ascii="Amiri" w:hAnsi="Amiri" w:eastAsia="Amiri" w:cs="Amiri"/>
          <w:color w:val="111111"/>
          <w:sz w:val="28"/>
          <w:sz w:val="28"/>
          <w:szCs w:val="28"/>
          <w:rtl w:val="true"/>
          <w:lang w:bidi="ar-SA"/>
        </w:rPr>
        <w:t>الوحشي ، طيرا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 المحقّق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العلّامة عن ابن إدريس أنّه حكم بنجاسته ما يمكن التحرّز عنه ممّا لا يؤكل لحمه من حيوان الحضر غير الطير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عندي مختار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بالتقريب السابق في المستعمل ، والأخبار الكثيرة الواردة بطهارة كثير ممّا وقع النزاع فيه ، كرواية الفضل أبي العبّاس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فضل الهرّة والشاة والبقرة والإبل والحمار والخيل والبغال والوحش والسباع ، فلم أترك شيئا إلّا 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تتوضّأ بفضله واصبب ذلك الماء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هذه الرواية جيّد ، لكن في بلوغه حدّ الصحّة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شريح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عذافر أبا عبد اللّه عليه‌السلام وأنا عنده عن سؤر السنّور والشاة والبقرة والبعير والحمار والفرس والبغل والسباع ، يشرب منه ، أو يتوضّأ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نجس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هذه الرواية صحيح إلى معاوية ، لكن هو مجهول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الكلب </w:t>
      </w:r>
    </w:p>
    <w:p>
      <w:pPr>
        <w:pStyle w:val="BookText"/>
        <w:rPr/>
      </w:pPr>
      <w:r>
        <w:rPr>
          <w:rFonts w:ascii="Amiri" w:hAnsi="Amiri" w:eastAsia="Amiri" w:cs="Amiri"/>
          <w:color w:val="111111"/>
          <w:sz w:val="28"/>
          <w:sz w:val="28"/>
          <w:szCs w:val="28"/>
          <w:rtl w:val="true"/>
          <w:lang w:bidi="ar-SA"/>
        </w:rPr>
        <w:t xml:space="preserve">يشرب من الإناء؟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تتوضّأ من فضلها ، إنّما هي من السباع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الصباح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فضل السنّور أن تتوضّأ منه ، إنّما هي سبع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قوله في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السباع ، وإنّما هي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بنوع من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في المنتهى الرواية الثانية دليلا على طهارة سؤر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طريقها بالصحّة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فيه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الخلاصة جماعة من الضعفاء بهذا الاسم ، ولا قرينة على التميّز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الهرّة سبع ولا بأس بسؤره ، وإنّي لأستحيي من اللّه أن أدع طعاما لأنّ الهرّ قد أكل منه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سؤر الدوابّ والغنم والبقر ، أيتوضّأ منه ويشرب؟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عن عمّار بن موسى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عمّا يشرب منه باز أو صقر أو عقاب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إلّا أن ترى في منقاره دما ، فإن رأيت في منقاره دما فلا توضّأ منه ولا تشرب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إسحاق بن عمّار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الفأرة إذا شربت من الإناء أن تشرب منه وتتوضّأ منه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وبهاتين الروايتين احتجّ الشيخ في الاستبصار للاستثناء الذي 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للمنع من سؤر غير المأكول بما رواه عمّار بن موسى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عن ما يشرب منه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يؤكل لحمه يتوضّأ من سؤره ويشرب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ما لا يؤكل لحمه لا يجوز التوضّؤ به والشرب منه ؛ لأنّه إذا شرط في استباحة سؤره أن يؤكل لحمه دلّ على أنّ ما عداه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مجرى قول النبيّ صلى‌اللّه‌عليه‌وآله في سائمة الغنم الزكاة ، فإنّه يدلّ على أن المعلوفة ليس فيها الزكاة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الحجّة ضعيفة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فلابتنائها على أنّ مفهوم الوصف حجّة ، وقد قدّمنا البحث فيه ، </w:t>
      </w:r>
    </w:p>
    <w:p>
      <w:pPr>
        <w:pStyle w:val="BookText"/>
        <w:rPr/>
      </w:pPr>
      <w:r>
        <w:rPr>
          <w:rFonts w:ascii="Amiri" w:hAnsi="Amiri" w:eastAsia="Amiri" w:cs="Amiri"/>
          <w:color w:val="111111"/>
          <w:sz w:val="28"/>
          <w:sz w:val="28"/>
          <w:szCs w:val="28"/>
          <w:rtl w:val="true"/>
          <w:lang w:bidi="ar-SA"/>
        </w:rPr>
        <w:t>وبيّنا أنّ الحقّ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سند الرواية مشتمل على جماعة من الفطحيّة وقد مرّ بيان ضعف القول بقبول رواية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المحقّق رحمه‌اللّه بعد ردّه لاحتجاج الشيخ بهذه الرواية هنا وطعنه فيها بضعف السند احتجّ لطهارة سؤر الطيور برواية عمّار السابقة المتضمّنة للسؤال عمّا يشرب منه الباز أو الصقر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بأنّ عمّار فطحيّ ، فلا يعمل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 الوجه الذي لأجله عمل برواية الثقة قبول الأصحاب أو انضمام القرينة لأنّه لو لا ذلك لمنع العقل من العمل بخبر الثقة ، إذ لا قطع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موجود هنا ؛ فإنّ الأصحاب عملوا بمثل هذه الرواية ، كما عملوا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ردّوا رواية مثله في بعض المواضع؟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ردّوا رواية الثقة في بعض المواضع متعلّلين بأنّه خبر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لم نر من فقهائنا من ردّ هذه الرواية ، بل عمل المعتبر منهم بمضمونها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مخالف بظاهره ما حكيناه عنه في بحث الأخبار من مقدّمة الكتاب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ادّعى عمل الطائفة بخبر الفطحيّة ومن ضارعهم ، وأنّه لم يعلم إلى الآن أنّ الطائفة عملت بأخبار هؤلاء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يريد هنا بقبول الأصحاب للرواية وعملهم بها مجرّد موافقة فتواهم لها ، لا كونها مستندة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قد حكينا عنه في تتمّة مسائل البئر كلاما </w:t>
      </w:r>
    </w:p>
    <w:p>
      <w:pPr>
        <w:pStyle w:val="BookText"/>
        <w:rPr/>
      </w:pPr>
      <w:r>
        <w:rPr>
          <w:rFonts w:ascii="Amiri" w:hAnsi="Amiri" w:eastAsia="Amiri" w:cs="Amiri"/>
          <w:color w:val="111111"/>
          <w:sz w:val="28"/>
          <w:sz w:val="28"/>
          <w:szCs w:val="28"/>
          <w:rtl w:val="true"/>
          <w:lang w:bidi="ar-SA"/>
        </w:rPr>
        <w:t xml:space="preserve">في معنى ما ذكره هنا </w:t>
      </w:r>
      <w:r>
        <w:rPr>
          <w:rStyle w:val="FootnoteAnchor"/>
          <w:rtl w:val="true"/>
        </w:rPr>
        <w:footnoteReference w:id="944"/>
      </w:r>
      <w:r>
        <w:rPr>
          <w:rFonts w:ascii="Amiri" w:hAnsi="Amiri" w:eastAsia="Amiri" w:cs="Amiri"/>
          <w:color w:val="111111"/>
          <w:sz w:val="28"/>
          <w:sz w:val="28"/>
          <w:szCs w:val="28"/>
          <w:rtl w:val="true"/>
          <w:lang w:bidi="ar-SA"/>
        </w:rPr>
        <w:t>، وهو صريح في المخالفة لما قرّره في الاصول غير قابل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أنّ مراده في الموضعين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ردّ حجّة الشيخ بضعف السند ، وكونها مبنيّة على المفهوم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حاول الجواب عنها بوجه آخر دقّق فيه ، وذكر أنّه ملخّص ممّا أفاده في كتاب استقصاء الاعتبار في تحقيق معاني الأخبار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كون المفهوم المذكور حجّة يكفي في دلالته مخالفة المسكوت عنه للمنطوق في الحكم الثابت للمنطوق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الحكم الثابت للمنطوق الوضوء بسؤر ما يؤكل لحمه والشرب منه وهو لا يدلّ على أنّ كلّ ما لا يؤكل لحمه لا يتوضّأ منه ولا يشرب ، بل جاز اقتسامه إلى قسمين أحدهما يجوز الوضوء به والشرب منه والآخر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الاقتسام حكم مخالف لأحد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بموجبه ؛ فإنّ ما لا يؤكل لحمه منه الكلب والخنزير ولا يجوز الوضوء بسؤرهما ولا شربه ، والباقي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ساوى أحد قسمي المسكوت عنه المنطوق في الحكم لانتفت دلالة المفهوم ونحن إنّما استدللنا بالحديث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انتفاء الدلالة لحصول التنافي بين المنطوق والكلّ المسكوت عنه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نظر ؛ لأنّ فرض حجّيّة المفهوم يقتضي كون الحكم الثابت للمنطوق منفيّا عن غير محلّ النطق ، والمعنيّ بالمنطوق في مفهومي الوصف والشرط ما يتحقّق فيه القيد المعتبر شرطا أو وصفا ممّا جعل متعلّقا له ، وبغير </w:t>
      </w:r>
      <w:bookmarkStart w:id="610" w:name="pg8731_77296"/>
    </w:p>
    <w:p>
      <w:pPr>
        <w:pStyle w:val="BookText"/>
        <w:rPr/>
      </w:pPr>
      <w:bookmarkEnd w:id="610"/>
      <w:r>
        <w:rPr>
          <w:rFonts w:ascii="Amiri" w:hAnsi="Amiri" w:eastAsia="Amiri" w:cs="Amiri"/>
          <w:color w:val="111111"/>
          <w:sz w:val="28"/>
          <w:sz w:val="28"/>
          <w:szCs w:val="28"/>
          <w:rtl w:val="true"/>
          <w:lang w:bidi="ar-SA"/>
        </w:rPr>
        <w:t>محلّ النطق ما ينتفي فيه القيد من ذلك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متعلّق القيد هنا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حيوان ، والقيد المعتبر وصفا 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فالمنطوق هو مأكول اللحم من كلّ حيوان ، والحكم الثابت له هو جواز الوضوء من سؤره والشرب ، وغير محلّ النطق ما انتفى عنه الوصف وهو عبارة عن غير مأكول اللحم من كلّ حيوان ، وانتفاء الحكم الثابت للمنطوق عنه يقتضي ثبوت المنع ؛ لأنّه اللازم لرفع الجواز ، وذلك واضح ، وإن قدّر عروض اشتباه فيه فليوضح بالنظر في مثاله المشهور الذي أشار إليه الشيخ أعني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على تقدير اعتبار المفهوم فيه يدلّ على نفي الوجوب في مطلق الغنم المعلوفة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بتقريب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في الغنم للعموم وهو متعلّق القيد أعني وصف السوم فالمنطوق هو السائم من جميع الغنم ، والحكم الثابت له هو وجوب الزكاة فإذا فرضنا دلالة الوصف على النفي عن غير محلّه كان مقتضاه هنا نفي الوجوب عمّا انتفى عنه الوصف من جميع الغنم ، وذلك بثبوت نقيضه الذي هو العلف ، فيدلّ على النفي عن كلّ معلوف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الأقوال التي حكيت في هذا الباب لم ينقل لها حجج فكلفة البحث فيها عنّا ساقطة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140297_653776707"/>
      <w:bookmarkStart w:id="612" w:name="_Toc223"/>
      <w:bookmarkEnd w:id="611"/>
      <w:r>
        <w:rPr>
          <w:rtl w:val="true"/>
        </w:rPr>
        <w:t xml:space="preserve">فروع </w:t>
      </w:r>
      <w:r>
        <w:rPr>
          <w:rtl w:val="true"/>
        </w:rPr>
        <w:t>:</w:t>
      </w:r>
      <w:bookmarkEnd w:id="612"/>
    </w:p>
    <w:p>
      <w:pPr>
        <w:pStyle w:val="Heading6"/>
        <w:numPr>
          <w:ilvl w:val="5"/>
          <w:numId w:val="1"/>
        </w:numPr>
        <w:rPr/>
      </w:pPr>
      <w:bookmarkStart w:id="613" w:name="__RefHeading___Toc3140299_653776707"/>
      <w:bookmarkStart w:id="614" w:name="_Toc224"/>
      <w:bookmarkEnd w:id="613"/>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61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الفاضلان وجماعة من الأصحاب إلى كراهة سؤر الجلّال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يأكل العذرة محضا</w:t>
      </w:r>
      <w:r>
        <w:rPr>
          <w:rFonts w:eastAsia="Amiri" w:cs="Amiri" w:ascii="Amiri" w:hAnsi="Amiri"/>
          <w:color w:val="111111"/>
          <w:sz w:val="28"/>
          <w:szCs w:val="28"/>
          <w:rtl w:val="true"/>
          <w:lang w:bidi="ar-SA"/>
        </w:rPr>
        <w:t xml:space="preserve">. </w:t>
      </w:r>
      <w:bookmarkStart w:id="615" w:name="pg8731_77297"/>
    </w:p>
    <w:p>
      <w:pPr>
        <w:pStyle w:val="BookText"/>
        <w:rPr/>
      </w:pPr>
      <w:bookmarkEnd w:id="615"/>
      <w:r>
        <w:rPr>
          <w:rFonts w:ascii="Amiri" w:hAnsi="Amiri" w:eastAsia="Amiri" w:cs="Amiri"/>
          <w:color w:val="111111"/>
          <w:sz w:val="28"/>
          <w:sz w:val="28"/>
          <w:szCs w:val="28"/>
          <w:rtl w:val="true"/>
          <w:lang w:bidi="ar-SA"/>
        </w:rPr>
        <w:t xml:space="preserve">وحكاه في المعتبر عن المرتضى في جمل العلم والعمل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حكاية كلامه في المصباح أنّه استثناء من المباح ، وابن الجنيد اشترط في طهارة 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الحيوان جلّالا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 إلى الشيخ في المبسوط استثناؤه من المباح </w:t>
      </w:r>
      <w:r>
        <w:rPr>
          <w:rStyle w:val="FootnoteAnchor"/>
          <w:rtl w:val="true"/>
        </w:rPr>
        <w:footnoteReference w:id="949"/>
      </w:r>
      <w:r>
        <w:rPr>
          <w:rFonts w:ascii="Amiri" w:hAnsi="Amiri" w:eastAsia="Amiri" w:cs="Amiri"/>
          <w:color w:val="111111"/>
          <w:sz w:val="28"/>
          <w:sz w:val="28"/>
          <w:szCs w:val="28"/>
          <w:rtl w:val="true"/>
          <w:lang w:bidi="ar-SA"/>
        </w:rPr>
        <w:t>كما فعله المرتضى ، ولم نقف لما قالوه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الأخبار المتقدّمة يقتضي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رطوبة أفواهها ينشأ عن غذاء نجس فيجب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بمنع الملازمة ، وبالنقض ببصاق من شرب الخمر إذا لم يتغيّر ، وبما لو أكلت غير العذرة ممّا هو بخس وما ذكره متّجه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بأس بالقول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لخلاف الجماعة</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3140301_653776707"/>
      <w:bookmarkStart w:id="617" w:name="_Toc225"/>
      <w:bookmarkEnd w:id="616"/>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617"/>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سؤر ما أكل الجيف من الطير إذا خلا موضع الملاقاة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علم الهدى قدس‌سره في المصباح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الشيخ استثناؤه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ذلك عنه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احتجّ المحقّق لما صار إليه من نفي التحريم بأنّ الإذن في استعمال سؤر </w:t>
      </w:r>
      <w:bookmarkStart w:id="618" w:name="pg8731_77298"/>
    </w:p>
    <w:p>
      <w:pPr>
        <w:pStyle w:val="BookText"/>
        <w:rPr/>
      </w:pPr>
      <w:bookmarkEnd w:id="618"/>
      <w:r>
        <w:rPr>
          <w:rFonts w:ascii="Amiri" w:hAnsi="Amiri" w:eastAsia="Amiri" w:cs="Amiri"/>
          <w:color w:val="111111"/>
          <w:sz w:val="28"/>
          <w:sz w:val="28"/>
          <w:szCs w:val="28"/>
          <w:rtl w:val="true"/>
          <w:lang w:bidi="ar-SA"/>
        </w:rPr>
        <w:t xml:space="preserve">الطيور والسباع يدلّ على ذلك ؛ لأنّها لا تنفكّ عنه عادة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المدّعى والدليل العلّامة في المنتهى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ووافقهما على القول بالكراهة جماعة أيضا ، وله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الشيخ لا نعرف له حجّة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140303_653776707"/>
      <w:bookmarkStart w:id="620" w:name="_Toc226"/>
      <w:bookmarkEnd w:id="619"/>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620"/>
    </w:p>
    <w:p>
      <w:pPr>
        <w:pStyle w:val="BookText"/>
        <w:rPr/>
      </w:pPr>
      <w:r>
        <w:rPr>
          <w:rFonts w:ascii="Amiri" w:hAnsi="Amiri" w:eastAsia="Amiri" w:cs="Amiri"/>
          <w:color w:val="111111"/>
          <w:sz w:val="28"/>
          <w:sz w:val="28"/>
          <w:szCs w:val="28"/>
          <w:rtl w:val="true"/>
          <w:lang w:bidi="ar-SA"/>
        </w:rPr>
        <w:t xml:space="preserve">قال العلّامة أعلى اللّه مقامه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فم الهرّة بسبب كأكل فأرة وشبهه ، ثمّ ولغت في ماء قليل ونحن نتيقّن نجاسة فمها ، فالأقوى النجاسة ؛ لأنّه ماء قليل لاقى نجاسة ، والاحتراز يعسر عن مطلق الولوغ لا عن الولوغ بعد تيقّن نجاسة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غابت عن العين ، واحتمل ولوغها في ماء كثير أو جار لم ينجس ؛ لأنّ الإناء معلوم الطهارة ، فلا يحكم بنجاسته بالشكّ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مشكل ؛ لأنّا إمّا أن نكتفي في طهر فمها بمجرّد زوال عين النجاسة ، أو نعتبر فيه ما يعتبر في تطهير المنجّسات من الطرق المعهودة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حاجة إلى اشتراط غيبتها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يظهر من كلامه الميل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يكتفى بمجرّد الاحتمال لا سيّما مع بعده ، بل يتوقّف الحكم بالطهارة على العلم بوجود سببها كغيره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الضرورة قاضية بعدم اعتبار ذلك شرعا ، وعموم الأخبار السابقة يدلّ على خلافه ؛ فإنّ إطلاق الحكم بطهارة سؤر الهرّ فيها من دون </w:t>
      </w:r>
    </w:p>
    <w:p>
      <w:pPr>
        <w:pStyle w:val="BookText"/>
        <w:rPr/>
      </w:pPr>
      <w:r>
        <w:rPr>
          <w:rFonts w:ascii="Amiri" w:hAnsi="Amiri" w:eastAsia="Amiri" w:cs="Amiri"/>
          <w:color w:val="111111"/>
          <w:sz w:val="28"/>
          <w:sz w:val="28"/>
          <w:szCs w:val="28"/>
          <w:rtl w:val="true"/>
          <w:lang w:bidi="ar-SA"/>
        </w:rPr>
        <w:t>الاشتراط بشي‌ء مع كون الغالب فيه عدم الانفكاك من أمثال هذه الملاقاة دليل على عدم اعتبار أمر آخر غير ذهاب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عدم دلالة الأخبار على العموم فلا ريب أنّ الحكم بتوقّف الطهارة في مثلها على التطهير المعهود شرعا منفيّ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والواسطة بين ذلك وبين زوال العين يتوقّف على الدليل ،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اكتفى في المنتهى بزوال العين عن فمها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كراهة سؤر آكل الجيف وبيّن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سؤر الهرّة وإن أكلت الميتة وشربت ، قلّ الماء أو كثر غابت عن العين أو لم تغب ؛ لعموم الأحاديث المبيحة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ما ذكره في النهاية عن بعض أهل الخلاف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أكلت الهرّة فأرة ثمّ شربت من الإناء فلا بأس بالوضوء من سؤرها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بعض العامّة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قبل أن تغيب عن العين لا يجوز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ما قلناه إجماع الفرقة على أنّ سؤر الهرّ طاهر ولم يفصّلوا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أكلت الهرّة ميتة ثمّ شربت لم ينجس الماء وإن قلّ ، سواء غابت أو لم تغب ، ذكره في المبسوط لعموم الأحاديث المبيحة سؤر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عبد اللّه عليه‌السلام من كتاب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الهرّ سبع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الرواية وقد تقدّمت</w:t>
      </w:r>
      <w:r>
        <w:rPr>
          <w:rFonts w:eastAsia="Amiri" w:cs="Amiri" w:ascii="Amiri" w:hAnsi="Amiri"/>
          <w:color w:val="111111"/>
          <w:sz w:val="28"/>
          <w:szCs w:val="28"/>
          <w:rtl w:val="true"/>
          <w:lang w:bidi="ar-SA"/>
        </w:rPr>
        <w:t xml:space="preserve">. </w:t>
      </w:r>
      <w:bookmarkStart w:id="621" w:name="pg8731_77300"/>
    </w:p>
    <w:p>
      <w:pPr>
        <w:pStyle w:val="Heading6"/>
        <w:numPr>
          <w:ilvl w:val="5"/>
          <w:numId w:val="1"/>
        </w:numPr>
        <w:rPr/>
      </w:pPr>
      <w:bookmarkStart w:id="622" w:name="__RefHeading___Toc3140305_653776707"/>
      <w:bookmarkStart w:id="623" w:name="_Toc227"/>
      <w:bookmarkEnd w:id="621"/>
      <w:bookmarkEnd w:id="622"/>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623"/>
    </w:p>
    <w:p>
      <w:pPr>
        <w:pStyle w:val="BookText"/>
        <w:rPr/>
      </w:pPr>
      <w:r>
        <w:rPr>
          <w:rFonts w:ascii="Amiri" w:hAnsi="Amiri" w:eastAsia="Amiri" w:cs="Amiri"/>
          <w:color w:val="111111"/>
          <w:sz w:val="28"/>
          <w:sz w:val="28"/>
          <w:szCs w:val="28"/>
          <w:rtl w:val="true"/>
          <w:lang w:bidi="ar-SA"/>
        </w:rPr>
        <w:t>المشهور كراهة سؤر البغال والحمير ، وعمّم جماعة الحكم في كلّ مكروه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على التقديرين بأنّ فضلات الفم التي لا ينفكّ </w:t>
      </w:r>
      <w:r>
        <w:rPr>
          <w:rStyle w:val="FootnoteAnchor"/>
          <w:rtl w:val="true"/>
        </w:rPr>
        <w:footnoteReference w:id="959"/>
      </w:r>
      <w:r>
        <w:rPr>
          <w:rFonts w:ascii="Amiri" w:hAnsi="Amiri" w:eastAsia="Amiri" w:cs="Amiri"/>
          <w:color w:val="111111"/>
          <w:sz w:val="28"/>
          <w:sz w:val="28"/>
          <w:szCs w:val="28"/>
          <w:rtl w:val="true"/>
          <w:lang w:bidi="ar-SA"/>
        </w:rPr>
        <w:t>عنها تابعة 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في ذلك حديث ، بل الأخبار السابقة مصرّحة بنفي البأس عنه كرواية الفضل </w:t>
      </w:r>
      <w:r>
        <w:rPr>
          <w:rStyle w:val="FootnoteAnchor"/>
          <w:rtl w:val="true"/>
        </w:rPr>
        <w:footnoteReference w:id="960"/>
      </w:r>
      <w:r>
        <w:rPr>
          <w:rFonts w:ascii="Amiri" w:hAnsi="Amiri" w:eastAsia="Amiri" w:cs="Amiri"/>
          <w:color w:val="111111"/>
          <w:sz w:val="28"/>
          <w:sz w:val="28"/>
          <w:szCs w:val="28"/>
          <w:rtl w:val="true"/>
          <w:lang w:bidi="ar-SA"/>
        </w:rPr>
        <w:t xml:space="preserve">وصحيحة جميل بن درّاج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بكراهة كلّ حيوان غير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خروج من خلاف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في الحسن عن الوشّاء عمّن ذكره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يكره سؤر كلّ شي‌ء لا يؤكل لحمه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3140307_653776707"/>
      <w:bookmarkStart w:id="625" w:name="_Toc228"/>
      <w:bookmarkEnd w:id="624"/>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625"/>
    </w:p>
    <w:p>
      <w:pPr>
        <w:pStyle w:val="BookText"/>
        <w:rPr/>
      </w:pPr>
      <w:r>
        <w:rPr>
          <w:rFonts w:ascii="Amiri" w:hAnsi="Amiri" w:eastAsia="Amiri" w:cs="Amiri"/>
          <w:color w:val="111111"/>
          <w:sz w:val="28"/>
          <w:sz w:val="28"/>
          <w:szCs w:val="28"/>
          <w:rtl w:val="true"/>
          <w:lang w:bidi="ar-SA"/>
        </w:rPr>
        <w:t>أطلق العلّامة وغيره كراهة سؤر الدجاج ، وعلّل بعدم انفكاك منقارها غالبا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المعتبر عن الشيخ في المبسوط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سؤر الدّجاج على كلّ حال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إن قصد المهملة ؛ لأنّها لا تنفكّ من الاغتذاء بالنجاسة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شرطه في الحسن هو الحسن</w:t>
      </w:r>
      <w:r>
        <w:rPr>
          <w:rFonts w:eastAsia="Amiri" w:cs="Amiri" w:ascii="Amiri" w:hAnsi="Amiri"/>
          <w:color w:val="111111"/>
          <w:sz w:val="28"/>
          <w:szCs w:val="28"/>
          <w:rtl w:val="true"/>
          <w:lang w:bidi="ar-SA"/>
        </w:rPr>
        <w:t xml:space="preserve">. </w:t>
      </w:r>
      <w:bookmarkStart w:id="626" w:name="pg8731_77301"/>
    </w:p>
    <w:p>
      <w:pPr>
        <w:pStyle w:val="Heading6"/>
        <w:numPr>
          <w:ilvl w:val="5"/>
          <w:numId w:val="1"/>
        </w:numPr>
        <w:rPr/>
      </w:pPr>
      <w:bookmarkStart w:id="627" w:name="__RefHeading___Toc3140309_653776707"/>
      <w:bookmarkStart w:id="628" w:name="_Toc229"/>
      <w:bookmarkEnd w:id="626"/>
      <w:bookmarkEnd w:id="627"/>
      <w:r>
        <w:rPr>
          <w:rtl w:val="true"/>
        </w:rPr>
        <w:t xml:space="preserve">[ </w:t>
      </w:r>
      <w:r>
        <w:rPr>
          <w:rtl w:val="true"/>
        </w:rPr>
        <w:t xml:space="preserve">الفرع </w:t>
      </w:r>
      <w:r>
        <w:rPr>
          <w:rtl w:val="true"/>
        </w:rPr>
        <w:t xml:space="preserve">] </w:t>
      </w:r>
      <w:r>
        <w:rPr>
          <w:rtl w:val="true"/>
        </w:rPr>
        <w:t xml:space="preserve">السادس </w:t>
      </w:r>
      <w:r>
        <w:rPr>
          <w:rtl w:val="true"/>
        </w:rPr>
        <w:t>:</w:t>
      </w:r>
      <w:bookmarkEnd w:id="628"/>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بسؤر الفأرة والحيّة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وقعتا في الماء وخرجتا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الشيخ أنّه قال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ترك استعماله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المحقّق لما ذكره برواية إسحاق بن عمّار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الفأرة إذا شربت من الإناء أن تشرب منه وتتوضّأ منه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إنّما تدلّ على 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صرّح به قبل العبارة التي حكاها عنه المحقّق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الفأرة والحيّة في الآنية أو شربتا منها ثمّ خرجتا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ترك استعماله على كلّ حال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يتوجّه عليه المطالبة بدليل ما ذكره من أفضليّة ترك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نظر في الفأرة إلى ما سيأتي في باب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بعض الأخبار على رجحان الغسل ممّا لاقته برطوبة ، وفي الحيّة إلى ما نخشى من تأثير سمّها في الماء ؛ فإنّ ذلك ونحوه كاف في أفضليّة العدول عن الماء إلى غيره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140311_653776707"/>
      <w:bookmarkStart w:id="630" w:name="_Toc230"/>
      <w:bookmarkEnd w:id="629"/>
      <w:r>
        <w:rPr>
          <w:rtl w:val="true"/>
        </w:rPr>
        <w:t xml:space="preserve">مسألة </w:t>
      </w:r>
      <w:r>
        <w:rPr>
          <w:rtl w:val="true"/>
        </w:rPr>
        <w:t>[</w:t>
      </w:r>
      <w:r>
        <w:rPr/>
        <w:t>3</w:t>
      </w:r>
      <w:r>
        <w:rPr>
          <w:rtl w:val="true"/>
        </w:rPr>
        <w:t>] :</w:t>
      </w:r>
      <w:bookmarkEnd w:id="630"/>
    </w:p>
    <w:p>
      <w:pPr>
        <w:pStyle w:val="Heading6"/>
        <w:numPr>
          <w:ilvl w:val="5"/>
          <w:numId w:val="1"/>
        </w:numPr>
        <w:rPr/>
      </w:pPr>
      <w:bookmarkStart w:id="631" w:name="__RefHeading___Toc3140313_653776707"/>
      <w:bookmarkStart w:id="632" w:name="_Toc231"/>
      <w:bookmarkEnd w:id="631"/>
      <w:r>
        <w:rPr>
          <w:rtl w:val="true"/>
        </w:rPr>
        <w:t>اشارة</w:t>
      </w:r>
      <w:bookmarkEnd w:id="63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استعمال سؤر الحائض إذا كانت متّهمة </w:t>
      </w:r>
    </w:p>
    <w:p>
      <w:pPr>
        <w:pStyle w:val="BookText"/>
        <w:rPr/>
      </w:pPr>
      <w:r>
        <w:rPr>
          <w:rFonts w:ascii="Amiri" w:hAnsi="Amiri" w:eastAsia="Amiri" w:cs="Amiri"/>
          <w:color w:val="111111"/>
          <w:sz w:val="28"/>
          <w:sz w:val="28"/>
          <w:szCs w:val="28"/>
          <w:rtl w:val="true"/>
          <w:lang w:bidi="ar-SA"/>
        </w:rPr>
        <w:t xml:space="preserve">فإن كانت مأمونة فلا بأس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المبسوط أنّه أطلق فيه كراهة سؤرها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المرتضى في المصباح </w:t>
      </w:r>
      <w:r>
        <w:rPr>
          <w:rStyle w:val="FootnoteAnchor"/>
          <w:rtl w:val="true"/>
        </w:rPr>
        <w:footnoteReference w:id="968"/>
      </w:r>
      <w:r>
        <w:rPr>
          <w:rFonts w:ascii="Amiri" w:hAnsi="Amiri" w:eastAsia="Amiri" w:cs="Amiri"/>
          <w:color w:val="111111"/>
          <w:sz w:val="28"/>
          <w:sz w:val="28"/>
          <w:szCs w:val="28"/>
          <w:rtl w:val="true"/>
          <w:lang w:bidi="ar-SA"/>
        </w:rPr>
        <w:t>، وكلام ابن الجنيد في ذلك 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الفاضلان والشهيدان مختار النهاية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بعض من عاصرناه من مشايخنا قول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عن علي بن يقطين 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يتوضّأ بفضل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مأمونة فلا بأس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سؤر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منه وتوضّأ من سؤر الجنب إذا كانت مأمونة وتغسل يدها قبل أن تدخلها الإناء وقد كان رسوله اللّه صلى‌اللّه‌عليه‌وآله يغتسل هو وعائشة في إناء واحد ولا </w:t>
      </w:r>
      <w:r>
        <w:rPr>
          <w:rStyle w:val="FootnoteAnchor"/>
          <w:rtl w:val="true"/>
        </w:rPr>
        <w:footnoteReference w:id="971"/>
      </w:r>
      <w:r>
        <w:rPr>
          <w:rFonts w:ascii="Amiri" w:hAnsi="Amiri" w:eastAsia="Amiri" w:cs="Amiri"/>
          <w:color w:val="111111"/>
          <w:sz w:val="28"/>
          <w:sz w:val="28"/>
          <w:szCs w:val="28"/>
          <w:rtl w:val="true"/>
          <w:lang w:bidi="ar-SA"/>
        </w:rPr>
        <w:t xml:space="preserve">يغتسلان جميعا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المراد بالمأمونة المتحفّظة من الدم وبالمتّهمة ضدّها أي التي لا تتحفّظ من نجاسة ولا تبالي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تطرّق ظنّ النجاسة الذي هو المقتضي للكراهة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للعبادة واحتياطا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يتأتّى مع عدم التحفّظ</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كثير من الأخبار الواردة بالنهي عن سؤرها ، </w:t>
      </w:r>
    </w:p>
    <w:p>
      <w:pPr>
        <w:pStyle w:val="BookText"/>
        <w:rPr/>
      </w:pPr>
      <w:r>
        <w:rPr>
          <w:rFonts w:ascii="Amiri" w:hAnsi="Amiri" w:eastAsia="Amiri" w:cs="Amiri"/>
          <w:color w:val="111111"/>
          <w:sz w:val="28"/>
          <w:sz w:val="28"/>
          <w:szCs w:val="28"/>
          <w:rtl w:val="true"/>
          <w:lang w:bidi="ar-SA"/>
        </w:rPr>
        <w:t xml:space="preserve">كرواية عنبسة بن مصعب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سؤر الحائض يشرب منه ولا يتوضّأ به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أبي العلاء عنه عليه‌السلام في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يشرب من سؤرها ولا يتوضّأ منه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 هل يتوضّأ من فضل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الأوّلون بأنّ هذا المطلق محمول على ذلك المقيّد جمعا بين الأخبار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الروايات بأجمعها غير نقيّة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الثاني من الحجّة الاولى مرويّ في الكافي بطريق جيّد ربّما عدّ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زيادة تخرج بسببها عن التقييد إلى الإطلاق ؛ فإنّه رواه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سؤر الحائض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تتوضّأ منه وتوضّأ من سؤر الجنب إذا كانت مؤمنة وتغسل يديها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فالتقييد أولى ؛ لتوقّف الإطلاق على سلامة الطريق ولو في بعض أخباره وهو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التقييد بمتوقّف على ذلك لاتّفاق الكلّ عليه ومساعدة الوجه الاعتباري الذي ذكر في حجّته على المصير إليه</w:t>
      </w:r>
      <w:r>
        <w:rPr>
          <w:rFonts w:eastAsia="Amiri" w:cs="Amiri" w:ascii="Amiri" w:hAnsi="Amiri"/>
          <w:color w:val="111111"/>
          <w:sz w:val="28"/>
          <w:szCs w:val="28"/>
          <w:rtl w:val="true"/>
          <w:lang w:bidi="ar-SA"/>
        </w:rPr>
        <w:t xml:space="preserve">. </w:t>
      </w:r>
      <w:bookmarkStart w:id="633" w:name="pg8731_77304"/>
    </w:p>
    <w:p>
      <w:pPr>
        <w:pStyle w:val="Heading6"/>
        <w:numPr>
          <w:ilvl w:val="5"/>
          <w:numId w:val="1"/>
        </w:numPr>
        <w:rPr/>
      </w:pPr>
      <w:bookmarkStart w:id="634" w:name="__RefHeading___Toc3140315_653776707"/>
      <w:bookmarkStart w:id="635" w:name="_Toc232"/>
      <w:bookmarkEnd w:id="633"/>
      <w:bookmarkEnd w:id="634"/>
      <w:r>
        <w:rPr>
          <w:rtl w:val="true"/>
        </w:rPr>
        <w:t xml:space="preserve">فرع </w:t>
      </w:r>
      <w:r>
        <w:rPr>
          <w:rtl w:val="true"/>
        </w:rPr>
        <w:t>:</w:t>
      </w:r>
      <w:bookmarkEnd w:id="635"/>
    </w:p>
    <w:p>
      <w:pPr>
        <w:pStyle w:val="BookText"/>
        <w:rPr/>
      </w:pPr>
      <w:r>
        <w:rPr>
          <w:rFonts w:ascii="Amiri" w:hAnsi="Amiri" w:eastAsia="Amiri" w:cs="Amiri"/>
          <w:color w:val="111111"/>
          <w:sz w:val="28"/>
          <w:sz w:val="28"/>
          <w:szCs w:val="28"/>
          <w:rtl w:val="true"/>
          <w:lang w:bidi="ar-SA"/>
        </w:rPr>
        <w:t xml:space="preserve">ألحق الشهيد في البيان بالحايض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من التقييد بالتهمة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متّهم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والدي قدس‌سره في الروضة وبعض مشايخنا المعاصرين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الشيخ علي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مجال ، وإن كان للإلحاق في الجملة وجه</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3140317_653776707"/>
      <w:bookmarkStart w:id="637" w:name="_Toc233"/>
      <w:bookmarkEnd w:id="636"/>
      <w:r>
        <w:rPr>
          <w:rtl w:val="true"/>
        </w:rPr>
        <w:t xml:space="preserve">مسألة </w:t>
      </w:r>
      <w:r>
        <w:rPr>
          <w:rtl w:val="true"/>
        </w:rPr>
        <w:t>[</w:t>
      </w:r>
      <w:r>
        <w:rPr/>
        <w:t>4</w:t>
      </w:r>
      <w:r>
        <w:rPr>
          <w:rtl w:val="true"/>
        </w:rPr>
        <w:t>] :</w:t>
      </w:r>
      <w:bookmarkEnd w:id="637"/>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أن يستعمل الرجل فضل وضوء المرأة إذا لم يلاق نجاسة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الرجل ، لما ثبت من بقائه على التطهير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يعرف فيه بين الأصحاب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الشيخ في الخلاف إجماع الفرقة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خالف فيه بعض العامّة فقال بكراهة فضل المرأة إذا خلت به استنادا إلى حجّة ضعيفة لا تغني عندنا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الفاضلان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الخلاف بعد أن احتجّ للحكم بالإجماع كما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مسكان عن رجل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الرجل بفضل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تعرف الوضوء وتغسل يدها قبل أن تدخلها </w:t>
      </w:r>
    </w:p>
    <w:p>
      <w:pPr>
        <w:pStyle w:val="BookText"/>
        <w:rPr/>
      </w:pPr>
      <w:r>
        <w:rPr>
          <w:rFonts w:ascii="Amiri" w:hAnsi="Amiri" w:eastAsia="Amiri" w:cs="Amiri"/>
          <w:color w:val="111111"/>
          <w:sz w:val="28"/>
          <w:sz w:val="28"/>
          <w:szCs w:val="28"/>
          <w:rtl w:val="true"/>
          <w:lang w:bidi="ar-SA"/>
        </w:rPr>
        <w:t xml:space="preserve">في الإناء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الشيخ أخذ هذه الرواية من كتاب ابن مسكان إذ لم أرها في كتب الحديث المشهورة ، ولا ذكرها المحقّق ولا العلّامة في المنتهى مع محافظته فيه على استقصاء الأخبار في أكثر المسائل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الكليني في الكافي عن ابن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الرجل من فضل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تعرف الوضوء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هذا فاعلم أنّ العلّامة سوّى في هذا الحكم بين فضل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الشيخ ولا المحقّق لفضل الغسل على 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ومن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تغتسل المرأة وزوجها من إناء واحد ولكن تغتسل بفضله ولا يغتسل بفضلها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ما وقفت عليه في هذا الباب من الأخبار ثلاثة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الكافي والتهذيب عن محمّد بن مسلم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وقت غسل الجنابة كم يجزي من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يغتسل بخمسة أمداد بينه وبين صاحبته ويغتسلان جميعا من إناء واحد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بالطريق الذي أشرنا إلى جودته في المسألة </w:t>
      </w:r>
    </w:p>
    <w:p>
      <w:pPr>
        <w:pStyle w:val="BookText"/>
        <w:rPr/>
      </w:pPr>
      <w:r>
        <w:rPr>
          <w:rFonts w:ascii="Amiri" w:hAnsi="Amiri" w:eastAsia="Amiri" w:cs="Amiri"/>
          <w:color w:val="111111"/>
          <w:sz w:val="28"/>
          <w:sz w:val="28"/>
          <w:szCs w:val="28"/>
          <w:rtl w:val="true"/>
          <w:lang w:bidi="ar-SA"/>
        </w:rPr>
        <w:t xml:space="preserve">السابقة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الرجل والمرأة من إناء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يفرغان على أيديهما قبل أن يضعا أيديهما في الإناء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يغتسل هو وعائشة في إناء واحد يغتسلان جميعا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زرارة ومحمّد بن مسلم وأبي بصير عن أبي جعفر وأبي عبد اللّه عليهما‌السلام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توضّأ رسول اللّه صلى‌اللّه‌عليه‌وآله واغتسل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هو وزوجته بخمسة أمداد من إناء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هو فضرب بيده في الماء قبلها وأنقى فرجه ثمّ ضربت فأنقت فرجها ، ثمّ أفاض هو وأفاضت هي على نفسها حتّى فرغا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الأخبار يشهد لما ذكره العلّامة</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8731_77308"/>
      <w:bookmarkStart w:id="639" w:name="pg8731_77308"/>
      <w:bookmarkEnd w:id="639"/>
    </w:p>
    <w:p>
      <w:pPr>
        <w:pStyle w:val="Heading6"/>
        <w:numPr>
          <w:ilvl w:val="5"/>
          <w:numId w:val="1"/>
        </w:numPr>
        <w:rPr/>
      </w:pPr>
      <w:bookmarkStart w:id="640" w:name="pg8731_77308"/>
      <w:bookmarkStart w:id="641" w:name="__RefHeading___Toc3140319_653776707"/>
      <w:bookmarkStart w:id="642" w:name="_Toc234"/>
      <w:bookmarkEnd w:id="640"/>
      <w:bookmarkEnd w:id="641"/>
      <w:r>
        <w:rPr>
          <w:rtl w:val="true"/>
        </w:rPr>
        <w:t xml:space="preserve">البحث السادس </w:t>
      </w:r>
      <w:r>
        <w:rPr>
          <w:rtl w:val="true"/>
        </w:rPr>
        <w:t xml:space="preserve">: </w:t>
      </w:r>
      <w:r>
        <w:rPr>
          <w:rtl w:val="true"/>
        </w:rPr>
        <w:t>في المشتبه</w:t>
      </w:r>
      <w:bookmarkEnd w:id="642"/>
    </w:p>
    <w:p>
      <w:pPr>
        <w:pStyle w:val="Heading6"/>
        <w:numPr>
          <w:ilvl w:val="5"/>
          <w:numId w:val="1"/>
        </w:numPr>
        <w:rPr/>
      </w:pPr>
      <w:bookmarkStart w:id="643" w:name="__RefHeading___Toc3140321_653776707"/>
      <w:bookmarkStart w:id="644" w:name="_Toc235"/>
      <w:bookmarkEnd w:id="643"/>
      <w:r>
        <w:rPr>
          <w:rtl w:val="true"/>
        </w:rPr>
        <w:t xml:space="preserve">مسألة </w:t>
      </w:r>
      <w:r>
        <w:rPr>
          <w:rtl w:val="true"/>
        </w:rPr>
        <w:t>[</w:t>
      </w:r>
      <w:r>
        <w:rPr/>
        <w:t>1</w:t>
      </w:r>
      <w:r>
        <w:rPr>
          <w:rtl w:val="true"/>
        </w:rPr>
        <w:t>] :</w:t>
      </w:r>
      <w:bookmarkEnd w:id="644"/>
    </w:p>
    <w:p>
      <w:pPr>
        <w:pStyle w:val="Heading6"/>
        <w:numPr>
          <w:ilvl w:val="5"/>
          <w:numId w:val="1"/>
        </w:numPr>
        <w:rPr/>
      </w:pPr>
      <w:bookmarkStart w:id="645" w:name="__RefHeading___Toc3140323_653776707"/>
      <w:bookmarkStart w:id="646" w:name="_Toc236"/>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لا نعلم خلافا بين علمائنا في أنّ الماء إذا كان طاهرا وهو في إناء واشتبه بماء نجس في إناء آخر وجب اجتنابهما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المحقّق بعد دعوى الاتّفاق عليه بأنّ يقين الطهارة في كلّ منهما معارض بيقين النجاسة ، ولا رجحان فيتحقّق المنع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الشيخ في التهذيب بما رواه عمّار الساباطي عن أبي عبد اللّه عليه‌السلام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رجل معه إناءان فيهما ماء وقع في أحدهما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أيّهما هو وليس يقدر على ماء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عن رجل معه إناءان فيهما ماء وقع في أحدهما قذر لا يدري أيّهما هو وليس يقدر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w:t>
      </w:r>
      <w:bookmarkStart w:id="647" w:name="pg8731_77309"/>
    </w:p>
    <w:p>
      <w:pPr>
        <w:pStyle w:val="BookText"/>
        <w:rPr/>
      </w:pPr>
      <w:bookmarkEnd w:id="647"/>
      <w:r>
        <w:rPr>
          <w:rFonts w:ascii="Amiri" w:hAnsi="Amiri" w:eastAsia="Amiri" w:cs="Amiri"/>
          <w:color w:val="111111"/>
          <w:sz w:val="28"/>
          <w:sz w:val="28"/>
          <w:szCs w:val="28"/>
          <w:rtl w:val="true"/>
          <w:lang w:bidi="ar-SA"/>
        </w:rPr>
        <w:t xml:space="preserve">ويتيمّم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هاتين الروايتين ضعف بجماعة من الفطحيّة والواقفيّة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المحقّق بمعارضة كلّ من اليقينين بالآخر يلوح عليه علم المنع ؛ فإن يقين الطهارة في كلّ واحد بانفراده إنّما يعارضه الشكّ في النجاسة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في المنتهى وجهين آخرين في الاستدلال من جهة الاعتبار وهما من الركاكة بمكان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نذكرهما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ليس فيه للتوقّف مجال بعد حكاية المحقّق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الاشتباه الذي له تأثير في الماء ولو على بعض الوجوه قد يعرض بغير النجس كالمستعمل على القول بالمنع منه ، والمضاف والمغصوب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البحث في ذلك هاهنا بمناسب وإن تكرّر في كلام الأصحاب ؛ إذ محلّه اللائق به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تأخير البحث في ذاك إلى هناك</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140325_653776707"/>
      <w:bookmarkStart w:id="649" w:name="_Toc237"/>
      <w:bookmarkEnd w:id="648"/>
      <w:r>
        <w:rPr>
          <w:rtl w:val="true"/>
        </w:rPr>
        <w:t xml:space="preserve">فروع </w:t>
      </w:r>
      <w:r>
        <w:rPr>
          <w:rtl w:val="true"/>
        </w:rPr>
        <w:t>:</w:t>
      </w:r>
      <w:bookmarkEnd w:id="649"/>
    </w:p>
    <w:p>
      <w:pPr>
        <w:pStyle w:val="Heading6"/>
        <w:numPr>
          <w:ilvl w:val="5"/>
          <w:numId w:val="1"/>
        </w:numPr>
        <w:rPr/>
      </w:pPr>
      <w:bookmarkStart w:id="650" w:name="__RefHeading___Toc3140327_653776707"/>
      <w:bookmarkStart w:id="651" w:name="_Toc238"/>
      <w:bookmarkEnd w:id="650"/>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65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أوجب جماعة من الأصحاب ، منهم الصدوقان والشيخان في ظاهر كلامهم إهراق الماء عند اشتباهه بالنجس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كلام الصدوقين ربّما أشعر باختصاص الحكم بحال إرادة التيمّم ، حيث قالا في الرسالة ومن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معك إناءان فوقع في أحدهما ما ينجّس الماء ولم تعلم </w:t>
      </w:r>
    </w:p>
    <w:p>
      <w:pPr>
        <w:pStyle w:val="BookText"/>
        <w:rPr/>
      </w:pPr>
      <w:r>
        <w:rPr>
          <w:rFonts w:ascii="Amiri" w:hAnsi="Amiri" w:eastAsia="Amiri" w:cs="Amiri"/>
          <w:color w:val="111111"/>
          <w:sz w:val="28"/>
          <w:sz w:val="28"/>
          <w:szCs w:val="28"/>
          <w:rtl w:val="true"/>
          <w:lang w:bidi="ar-SA"/>
        </w:rPr>
        <w:t xml:space="preserve">في أيّهما وقع فاهرقهما جميعا وتيمّم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المفيد في المقنعة صريح في عدم التقييد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إنسانا كان معه إناءان فوقع في أحدهما ما ينجّسه ولم يعلم في أيّهما هو ، يحرم عليه الطهور منهما جميعا ووجب عليه إهراقهما والوضوء بماء من سواهما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الشيخ في النهاية محتملة للأمرين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مع الإنسان إناءان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إهراق جميعه والتيمّم للصلاة إذا لم تقدر على غيره من المياه الطاهرة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شرطا لوجوب الإهراق والتيمّم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شرطا للتيمّم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الاحتمال الثاني إليها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الجماعة استندوا في هذا الحكم إلى الروايتين السابقتين حيث تضمّنتا الأمر بالإهراق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بالإراقة محتمل لأن يكون كناية عن الحكم بالنجاسة لأنّ استبقاءه قد يتعلّق به غرض كالاستعمال في غير الطهارة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الكلام وجه لورود الأمر بالإراقة في إدخال اليد القذرة في الماء القليل وهو في عدّة أخبار ولا قائل ثمّ بالوجوب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لفهمهم منا إرادة الحكم بالنجاسة على طريق الكناية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والنكتة في هذه الكناية هي التفخيم للمنع ، على ما ذكره المحقّق</w:t>
      </w:r>
      <w:r>
        <w:rPr>
          <w:rFonts w:eastAsia="Amiri" w:cs="Amiri" w:ascii="Amiri" w:hAnsi="Amiri"/>
          <w:color w:val="111111"/>
          <w:sz w:val="28"/>
          <w:szCs w:val="28"/>
          <w:rtl w:val="true"/>
          <w:lang w:bidi="ar-SA"/>
        </w:rPr>
        <w:t xml:space="preserve">. </w:t>
      </w:r>
      <w:bookmarkStart w:id="652" w:name="pg8731_77311"/>
    </w:p>
    <w:p>
      <w:pPr>
        <w:pStyle w:val="BookText"/>
        <w:rPr/>
      </w:pPr>
      <w:bookmarkEnd w:id="652"/>
      <w:r>
        <w:rPr>
          <w:rFonts w:ascii="Amiri" w:hAnsi="Amiri" w:eastAsia="Amiri" w:cs="Amiri"/>
          <w:color w:val="111111"/>
          <w:sz w:val="28"/>
          <w:sz w:val="28"/>
          <w:szCs w:val="28"/>
          <w:rtl w:val="true"/>
          <w:lang w:bidi="ar-SA"/>
        </w:rPr>
        <w:t xml:space="preserve">ويحتمل أن تكون هي النظر إلى عسر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توقّفه على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مؤيّدة للقول باعتباره في حصول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في المختلف عن الاحتجاج بالروايتين في هذا الحكم بالطعن في سندهما </w:t>
      </w:r>
      <w:r>
        <w:rPr>
          <w:rStyle w:val="FootnoteAnchor"/>
          <w:rtl w:val="true"/>
        </w:rPr>
        <w:footnoteReference w:id="997"/>
      </w:r>
      <w:r>
        <w:rPr>
          <w:rFonts w:ascii="Amiri" w:hAnsi="Amiri" w:eastAsia="Amiri" w:cs="Amiri"/>
          <w:color w:val="111111"/>
          <w:sz w:val="28"/>
          <w:sz w:val="28"/>
          <w:szCs w:val="28"/>
          <w:rtl w:val="true"/>
          <w:lang w:bidi="ar-SA"/>
        </w:rPr>
        <w:t xml:space="preserve">، مع أنّه في المنتهى استدلّ بهما على أصل المسألة وذكر أنّ الضعف يندفع بتلقّي الأصحاب لهما بالقبول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سبقه إلى نحو هذا الكلام المحقّق ، وحكى في المعتبر عن بعض الأصحاب تعليل وجوب الإراقة بتوقّف صحّة التيمّم عليها لأنّه مشروط بعدم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بأنّ وجود الماء الممنوع من استعماله لا يمنع التيمّم ، كالمغصوب وما يمنع من استعماله مرض أو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الشارع أقوى الموانع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140329_653776707"/>
      <w:bookmarkStart w:id="654" w:name="_Toc239"/>
      <w:bookmarkEnd w:id="653"/>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654"/>
    </w:p>
    <w:p>
      <w:pPr>
        <w:pStyle w:val="BookText"/>
        <w:rPr/>
      </w:pPr>
      <w:r>
        <w:rPr>
          <w:rFonts w:ascii="Amiri" w:hAnsi="Amiri" w:eastAsia="Amiri" w:cs="Amiri"/>
          <w:color w:val="111111"/>
          <w:sz w:val="28"/>
          <w:sz w:val="28"/>
          <w:szCs w:val="28"/>
          <w:rtl w:val="true"/>
          <w:lang w:bidi="ar-SA"/>
        </w:rPr>
        <w:t xml:space="preserve">نصّ كثير من الأصحاب كالشيخين والفاضلين على عدم الفرق في وجوب الاجتناب مع الاشتباه بالنجس بين وقوعه في إناءين أو أكثر </w:t>
      </w:r>
      <w:r>
        <w:rPr>
          <w:rStyle w:val="FootnoteAnchor"/>
          <w:rtl w:val="true"/>
        </w:rPr>
        <w:footnoteReference w:id="1000"/>
      </w:r>
      <w:r>
        <w:rPr>
          <w:rFonts w:ascii="Amiri" w:hAnsi="Amiri" w:eastAsia="Amiri" w:cs="Amiri"/>
          <w:color w:val="111111"/>
          <w:sz w:val="28"/>
          <w:sz w:val="28"/>
          <w:szCs w:val="28"/>
          <w:rtl w:val="true"/>
          <w:lang w:bidi="ar-SA"/>
        </w:rPr>
        <w:t>مع أنّ الحديثين اللذين احتجّوا بهما للحكم إنّما وردا في الإنائين ، فكأنّهم استندوا في التعميم إلى الاتّفاق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بعضهم على عدم الفرق بين كون المائين في إناءين أو غديرين والحال </w:t>
      </w:r>
      <w:bookmarkStart w:id="655" w:name="pg8731_77312"/>
    </w:p>
    <w:p>
      <w:pPr>
        <w:pStyle w:val="BookText"/>
        <w:rPr/>
      </w:pPr>
      <w:bookmarkEnd w:id="655"/>
      <w:r>
        <w:rPr>
          <w:rFonts w:ascii="Amiri" w:hAnsi="Amiri" w:eastAsia="Amiri" w:cs="Amiri"/>
          <w:color w:val="111111"/>
          <w:sz w:val="28"/>
          <w:sz w:val="28"/>
          <w:szCs w:val="28"/>
          <w:rtl w:val="true"/>
          <w:lang w:bidi="ar-SA"/>
        </w:rPr>
        <w:t xml:space="preserve">فيه كالأوّل ، ولو تمّ الاحتجاج بالاعتبارات التي ذكروها لكانت دليلا في الجمع </w:t>
      </w:r>
      <w:r>
        <w:rPr>
          <w:rStyle w:val="FootnoteAnchor"/>
          <w:rtl w:val="true"/>
        </w:rPr>
        <w:footnoteReference w:id="1001"/>
      </w:r>
      <w:r>
        <w:rPr>
          <w:rFonts w:ascii="Amiri" w:hAnsi="Amiri" w:eastAsia="Amiri" w:cs="Amiri"/>
          <w:color w:val="111111"/>
          <w:sz w:val="28"/>
          <w:sz w:val="28"/>
          <w:szCs w:val="28"/>
          <w:rtl w:val="true"/>
          <w:lang w:bidi="ar-SA"/>
        </w:rPr>
        <w:t>وأمّا النصّ فخاصّ ، كما قد علم ، فتتوقّف التسوية التي ذكروها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الاتّفاق مضافا إلى الاعتبار</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140331_653776707"/>
      <w:bookmarkStart w:id="657" w:name="_Toc240"/>
      <w:bookmarkEnd w:id="656"/>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657"/>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 الإنائين متيقّن الطهارة والآخر مشكوك النجاسة ، كما لو انقلب أحد المشتبهين ، ثمّ اشتبه الباقي بمتيقّن 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وجب الاجتناب </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يخلو عن إشكال فإنّ الفرض المذكور خارج عن مورد النصّ ومحلّ الوفاق المدّعى ، فلا بدّ لما ذكره 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الواضح ولم أر من تعرّض له من الأصحاب سواه</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140333_653776707"/>
      <w:bookmarkStart w:id="659" w:name="_Toc241"/>
      <w:bookmarkEnd w:id="658"/>
      <w:r>
        <w:rPr>
          <w:rtl w:val="true"/>
        </w:rPr>
        <w:t xml:space="preserve">مسألة </w:t>
      </w:r>
      <w:r>
        <w:rPr>
          <w:rtl w:val="true"/>
        </w:rPr>
        <w:t>[</w:t>
      </w:r>
      <w:r>
        <w:rPr/>
        <w:t>2</w:t>
      </w:r>
      <w:r>
        <w:rPr>
          <w:rtl w:val="true"/>
        </w:rPr>
        <w:t>] :</w:t>
      </w:r>
      <w:bookmarkEnd w:id="659"/>
    </w:p>
    <w:p>
      <w:pPr>
        <w:pStyle w:val="Heading6"/>
        <w:numPr>
          <w:ilvl w:val="5"/>
          <w:numId w:val="1"/>
        </w:numPr>
        <w:rPr/>
      </w:pPr>
      <w:bookmarkStart w:id="660" w:name="__RefHeading___Toc3140335_653776707"/>
      <w:bookmarkStart w:id="661" w:name="_Toc242"/>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وإذا وقع الاشتباه في إصابة النجاسة للماء على وجه ينفعل بها فلا ريب في عدم تأثيره مع توهّم الإصابة أو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الظنّ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بالتنجيس مطلقا ، وقيل يبقى على حكم الأصل وهو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محكيّ عن أبي الصلاح ، والثاني عن ابن البرّاج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استند الظنّ إلى سبب كقول العدل فهو </w:t>
      </w:r>
    </w:p>
    <w:p>
      <w:pPr>
        <w:pStyle w:val="BookText"/>
        <w:rPr/>
      </w:pPr>
      <w:r>
        <w:rPr>
          <w:rFonts w:ascii="Amiri" w:hAnsi="Amiri" w:eastAsia="Amiri" w:cs="Amiri"/>
          <w:color w:val="111111"/>
          <w:sz w:val="28"/>
          <w:sz w:val="28"/>
          <w:szCs w:val="28"/>
          <w:rtl w:val="true"/>
          <w:lang w:bidi="ar-SA"/>
        </w:rPr>
        <w:t xml:space="preserve">كالمتيقّن ، وإلّا فلا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أخبره عدل بنجاسة الماء لم يجب القبول ، أمّا لو شهد عدلان فالأولى القبول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أخبر العدل بنجاسة إنائه فالوجه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أخبر الفاسق بنجاسة إنائه فالأقرب القبول أيضا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لقبول العدلين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شهادتهما معتبرة في نظر الشرع قطعا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كان الماء مبيعا فادّعى المشتري فيه العيب لكونه نجسا وشهد له عدلان ، ثبت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فصّله في المنتهى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نحوه في موضع آخر من التذكرة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وجزم المحقّق في المعتبر بعدم القبول مع إخبار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ابن البرّاج القول بعدم القبول في العدلين أيضا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والأظهر القبول لثبوت الأحكام بشهادتهما عند التنازع ، كما لو اشتراه وادّعى المشتري نجاسته قبل العقد ، فلو شهد شاهدان لساغ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ثبوت العيب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ونصّ بعض الأصحاب على اشتراط القبول في العدلين بتبيين السبب المقتضي للنجاسة لوقوع الخلاف فيه إلّا أن يعلم الوفاق فيكتفى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الاشتراط حسن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جماعة الحكم بقبول إخبار الواحد بنجاسة مائه بما إذا وقع الإخبار قبل الاستعمال ، فلو كان بعده لم يقبل بالنظر إلى نجاسة المستعمل له ؛ فإنّ ذلك في الحقيقة إخبار بنجاسة العين </w:t>
      </w:r>
      <w:r>
        <w:rPr>
          <w:rStyle w:val="FootnoteAnchor"/>
          <w:rtl w:val="true"/>
        </w:rPr>
        <w:footnoteReference w:id="1010"/>
      </w:r>
      <w:r>
        <w:rPr>
          <w:rFonts w:ascii="Amiri" w:hAnsi="Amiri" w:eastAsia="Amiri" w:cs="Amiri"/>
          <w:color w:val="111111"/>
          <w:sz w:val="28"/>
          <w:sz w:val="28"/>
          <w:szCs w:val="28"/>
          <w:rtl w:val="true"/>
          <w:lang w:bidi="ar-SA"/>
        </w:rPr>
        <w:t>فلا يكفي فيه الواحد وإن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الماء يخرج بالاستعمال عن ملكه إذ هو في معنى الإتلاف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التقييد صرّح في التذكرة أيضا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أبي الصلاح الاحتجاج لما ذهب إليه بأنّ الشرعيّات كلّها ظنّيّة وأنّ العمل بالمرجوح مع قيام الراجح باطل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أنّه احتجّ على عدم القبول حيث يشهد العدلان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الطهارة معلومة بالأصل ، وشهادة الشاهدين لا تفيد إلّا الظنّ فلا يترك لأجله المعلوم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 احتجاج أبي الصلاح بالمنع من العمل بمطلق الظنّ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في مواضع مخصوصة لدليل خاصّ لا يقتضي التعدية إلّا بالقياس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حجّة ابن البرّاج بأنّ شهادة العدلين في معنى العلم شرعا للتقريب المذكور آنفا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معلوميّة الطهارة بالأصل إن أراد بها تيقّن عدم عروض </w:t>
      </w:r>
      <w:bookmarkStart w:id="662" w:name="pg8731_77315"/>
    </w:p>
    <w:p>
      <w:pPr>
        <w:pStyle w:val="BookText"/>
        <w:rPr/>
      </w:pPr>
      <w:bookmarkEnd w:id="662"/>
      <w:r>
        <w:rPr>
          <w:rFonts w:ascii="Amiri" w:hAnsi="Amiri" w:eastAsia="Amiri" w:cs="Amiri"/>
          <w:color w:val="111111"/>
          <w:sz w:val="28"/>
          <w:sz w:val="28"/>
          <w:szCs w:val="28"/>
          <w:rtl w:val="true"/>
          <w:lang w:bidi="ar-SA"/>
        </w:rPr>
        <w:t>منجّس فهو ممنوع ، وإن أراد حكم الشارع بالطهارة قطعا استنادا إلى الأصل فكذلك شهادة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العلّامة في التذكرة فلم يتعرّض للاحتجاج عليه فيها ، ولكنّه في النهاية احتمل قبول إخبار العدل الواحد بنجاسة إناء معيّن إن وجد غيره ، ووجهه بأنّ الشهادة في الامور المتعلّقة بالعبادة كالرواية ، والواحد فيها مقبول فيقبل فيما يشبهها من الشهادة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التفاته في كلام التذكرة إلى نحو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البيّنتين في الماء بالطهارة والنجاسة موجب للإلحاق بما لو اشتبه الإناء الطاهر بالنجس عند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صورتان </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140337_653776707"/>
      <w:bookmarkStart w:id="664" w:name="_Toc243"/>
      <w:bookmarkEnd w:id="663"/>
      <w:r>
        <w:rPr>
          <w:rtl w:val="true"/>
        </w:rPr>
        <w:t xml:space="preserve">[ </w:t>
      </w:r>
      <w:r>
        <w:rPr>
          <w:rtl w:val="true"/>
        </w:rPr>
        <w:t xml:space="preserve">الصورة </w:t>
      </w:r>
      <w:r>
        <w:rPr>
          <w:rtl w:val="true"/>
        </w:rPr>
        <w:t xml:space="preserve">] </w:t>
      </w:r>
      <w:r>
        <w:rPr>
          <w:rtl w:val="true"/>
        </w:rPr>
        <w:t xml:space="preserve">الاولى </w:t>
      </w:r>
      <w:r>
        <w:rPr>
          <w:rtl w:val="true"/>
        </w:rPr>
        <w:t>:</w:t>
      </w:r>
      <w:bookmarkEnd w:id="664"/>
    </w:p>
    <w:p>
      <w:pPr>
        <w:pStyle w:val="BookText"/>
        <w:rPr/>
      </w:pPr>
      <w:r>
        <w:rPr>
          <w:rFonts w:ascii="Amiri" w:hAnsi="Amiri" w:eastAsia="Amiri" w:cs="Amiri"/>
          <w:color w:val="111111"/>
          <w:sz w:val="28"/>
          <w:sz w:val="28"/>
          <w:szCs w:val="28"/>
          <w:rtl w:val="true"/>
          <w:lang w:bidi="ar-SA"/>
        </w:rPr>
        <w:t>أن يقع التعارض في إناء واحد بأن تشهد إحدى البيّنتين بعروض النجاسة له في وقت معيّن وتشهد الاخرى بعدمه لادّعائها ملاحظته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بعدم حصول النجاسة له فيه وإلحاقه حينئذ بالمشتبه بالنجس أحد الأقوال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به العلّامة في التذكرة والقواعد </w:t>
      </w:r>
      <w:r>
        <w:rPr>
          <w:rStyle w:val="FootnoteAnchor"/>
          <w:rtl w:val="true"/>
        </w:rPr>
        <w:footnoteReference w:id="1016"/>
      </w:r>
      <w:r>
        <w:rPr>
          <w:rFonts w:ascii="Amiri" w:hAnsi="Amiri" w:eastAsia="Amiri" w:cs="Amiri"/>
          <w:color w:val="111111"/>
          <w:sz w:val="28"/>
          <w:sz w:val="28"/>
          <w:szCs w:val="28"/>
          <w:rtl w:val="true"/>
          <w:lang w:bidi="ar-SA"/>
        </w:rPr>
        <w:t xml:space="preserve">، وجعله فخر المحقّقين في الشرح أولى </w:t>
      </w:r>
      <w:r>
        <w:rPr>
          <w:rStyle w:val="FootnoteAnchor"/>
          <w:rtl w:val="true"/>
        </w:rPr>
        <w:footnoteReference w:id="1017"/>
      </w:r>
      <w:r>
        <w:rPr>
          <w:rFonts w:ascii="Amiri" w:hAnsi="Amiri" w:eastAsia="Amiri" w:cs="Amiri"/>
          <w:color w:val="111111"/>
          <w:sz w:val="28"/>
          <w:sz w:val="28"/>
          <w:szCs w:val="28"/>
          <w:rtl w:val="true"/>
          <w:lang w:bidi="ar-SA"/>
        </w:rPr>
        <w:t xml:space="preserve">، وقوّاه والدي في بعض فوائده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ببيّنة الطهارة لاعتضادها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فخر المحقّقين </w:t>
      </w:r>
      <w:bookmarkStart w:id="665" w:name="pg8731_77316"/>
    </w:p>
    <w:p>
      <w:pPr>
        <w:pStyle w:val="BookText"/>
        <w:rPr/>
      </w:pPr>
      <w:bookmarkEnd w:id="665"/>
      <w:r>
        <w:rPr>
          <w:rFonts w:ascii="IRNazanin" w:hAnsi="IRNazanin" w:eastAsia="IRNazanin"/>
          <w:color w:val="111111"/>
          <w:sz w:val="28"/>
          <w:sz w:val="28"/>
          <w:szCs w:val="28"/>
          <w:rtl w:val="true"/>
          <w:lang w:bidi="fa-IR"/>
        </w:rPr>
        <w:t xml:space="preserve">عن بعض الأصحاب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بتساقط البيّنتين والرجوع إلى أصالة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الشهيد في البيان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بعد أن استقرب الإلحاق بالمشتبه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ةوعزاه فخر المحقّقين للشيخ مع القول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ببيّنه النجاسة لأنّها ناقلة عن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وبيّنة الطهارة مقرّرة ، والناقل أولى من المقرّر عند التعارض ، كما مرّ توجيهه في البحث عن تعارض الأدلّة ، ولموافقتها الاحتياط ، ولأنّها في معنى الإثبات ، والطهارة في معنى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يعزى إلى ابن إدريس </w:t>
      </w:r>
      <w:r>
        <w:rPr>
          <w:rStyle w:val="FootnoteAnchor"/>
          <w:rtl w:val="true"/>
        </w:rPr>
        <w:footnoteReference w:id="1021"/>
      </w:r>
      <w:r>
        <w:rPr>
          <w:rFonts w:ascii="Amiri" w:hAnsi="Amiri" w:eastAsia="Amiri" w:cs="Amiri"/>
          <w:color w:val="111111"/>
          <w:sz w:val="28"/>
          <w:sz w:val="28"/>
          <w:szCs w:val="28"/>
          <w:rtl w:val="true"/>
          <w:lang w:bidi="ar-SA"/>
        </w:rPr>
        <w:t>، ومال إليه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غير أنّ القول بالطهارة للتساقط أقرب</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3140339_653776707"/>
      <w:bookmarkStart w:id="667" w:name="_Toc244"/>
      <w:bookmarkEnd w:id="666"/>
      <w:r>
        <w:rPr>
          <w:rtl w:val="true"/>
        </w:rPr>
        <w:t xml:space="preserve">[ </w:t>
      </w:r>
      <w:r>
        <w:rPr>
          <w:rtl w:val="true"/>
        </w:rPr>
        <w:t xml:space="preserve">الصورة </w:t>
      </w:r>
      <w:r>
        <w:rPr>
          <w:rtl w:val="true"/>
        </w:rPr>
        <w:t xml:space="preserve">] </w:t>
      </w:r>
      <w:r>
        <w:rPr>
          <w:rtl w:val="true"/>
        </w:rPr>
        <w:t xml:space="preserve">الثانية </w:t>
      </w:r>
      <w:r>
        <w:rPr>
          <w:rtl w:val="true"/>
        </w:rPr>
        <w:t>:</w:t>
      </w:r>
      <w:bookmarkEnd w:id="667"/>
    </w:p>
    <w:p>
      <w:pPr>
        <w:pStyle w:val="Heading6"/>
        <w:numPr>
          <w:ilvl w:val="5"/>
          <w:numId w:val="1"/>
        </w:numPr>
        <w:rPr/>
      </w:pPr>
      <w:bookmarkStart w:id="668" w:name="__RefHeading___Toc3140341_653776707"/>
      <w:bookmarkStart w:id="669" w:name="_Toc245"/>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أن تتعارضا في إناءين بأن تشهد إحداهما بأنّ النجس هو هذا بعينه وتشهد الاخرى بأنّه الآخر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جمع من الأصحاب منهم المحقّق في المعتبر </w:t>
      </w:r>
      <w:r>
        <w:rPr>
          <w:rStyle w:val="FootnoteAnchor"/>
          <w:rtl w:val="true"/>
        </w:rPr>
        <w:footnoteReference w:id="1022"/>
      </w:r>
      <w:r>
        <w:rPr>
          <w:rFonts w:ascii="Amiri" w:hAnsi="Amiri" w:eastAsia="Amiri" w:cs="Amiri"/>
          <w:color w:val="111111"/>
          <w:sz w:val="28"/>
          <w:sz w:val="28"/>
          <w:szCs w:val="28"/>
          <w:rtl w:val="true"/>
          <w:lang w:bidi="ar-SA"/>
        </w:rPr>
        <w:t xml:space="preserve">، والعلّامة في التحرير </w:t>
      </w:r>
      <w:r>
        <w:rPr>
          <w:rStyle w:val="FootnoteAnchor"/>
          <w:rtl w:val="true"/>
        </w:rPr>
        <w:footnoteReference w:id="1023"/>
      </w:r>
      <w:r>
        <w:rPr>
          <w:rFonts w:ascii="Amiri" w:hAnsi="Amiri" w:eastAsia="Amiri" w:cs="Amiri"/>
          <w:color w:val="111111"/>
          <w:sz w:val="28"/>
          <w:sz w:val="28"/>
          <w:szCs w:val="28"/>
          <w:rtl w:val="true"/>
          <w:lang w:bidi="ar-SA"/>
        </w:rPr>
        <w:t xml:space="preserve">، والشهيد في الذكرى </w:t>
      </w:r>
      <w:r>
        <w:rPr>
          <w:rStyle w:val="FootnoteAnchor"/>
          <w:rtl w:val="true"/>
        </w:rPr>
        <w:footnoteReference w:id="1024"/>
      </w:r>
      <w:r>
        <w:rPr>
          <w:rFonts w:ascii="Amiri" w:hAnsi="Amiri" w:eastAsia="Amiri" w:cs="Amiri"/>
          <w:color w:val="111111"/>
          <w:sz w:val="28"/>
          <w:sz w:val="28"/>
          <w:szCs w:val="28"/>
          <w:rtl w:val="true"/>
          <w:lang w:bidi="ar-SA"/>
        </w:rPr>
        <w:t xml:space="preserve">، والشيخ علي في شرح القواعد </w:t>
      </w:r>
      <w:r>
        <w:rPr>
          <w:rStyle w:val="FootnoteAnchor"/>
          <w:rtl w:val="true"/>
        </w:rPr>
        <w:footnoteReference w:id="1025"/>
      </w:r>
      <w:r>
        <w:rPr>
          <w:rFonts w:ascii="Amiri" w:hAnsi="Amiri" w:eastAsia="Amiri" w:cs="Amiri"/>
          <w:color w:val="111111"/>
          <w:sz w:val="28"/>
          <w:sz w:val="28"/>
          <w:szCs w:val="28"/>
          <w:rtl w:val="true"/>
          <w:lang w:bidi="ar-SA"/>
        </w:rPr>
        <w:t xml:space="preserve">وغيره ، </w:t>
      </w:r>
    </w:p>
    <w:p>
      <w:pPr>
        <w:pStyle w:val="BookText"/>
        <w:rPr/>
      </w:pPr>
      <w:r>
        <w:rPr>
          <w:rFonts w:ascii="Amiri" w:hAnsi="Amiri" w:eastAsia="Amiri" w:cs="Amiri"/>
          <w:color w:val="111111"/>
          <w:sz w:val="28"/>
          <w:sz w:val="28"/>
          <w:szCs w:val="28"/>
          <w:rtl w:val="true"/>
          <w:lang w:bidi="ar-SA"/>
        </w:rPr>
        <w:t xml:space="preserve">ووالدي في بعض فوائده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يصير بذلك كالمشتبه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الشهادتان ويبقى الماء على أصل الطهارة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عدلان بأنّ النجس أحد الإنائين وشهد عدلان بأنّ النجس هو الآخر ، فإن أمكن العمل بشهادتهما وجب ، وإن تنافيا اطرح الجميع وحكم بأصل الطهارة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آخر البحث كلام يدلّ على الميل إلى إلحاقه بالمشتبه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العبارة التي حكيناها عنه بأنّها تقتضي الحصر في عدم إمكان الجمع فلا يصحّ التقسيم إليه وإلى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 لكنّه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المختلف عن الشيخ في المبسوط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القبول سواء أمكن الجمع أو لم يمكن والماء على أصل الطهارة أو النجاسة فأيّهما كان معلوما 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قلنا إذا أمكن الجمع بينهما قبل شهادتهما وحكم بنجاسة الإنائين كان قويّا لأنّ وجوب قبول شهادة الشاهدين معلوم في الشرع وليسا متنافيين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وأهمل الطرف الآخر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احتمل مع إمكان الجمع الحكم بنجاسة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الحكم على تقدير عدم إمكان الجمع الذي هو الطرف الآخر للترديد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العلّامة عن الشيخ نحو هذا الكلام في المنتهى والتحرير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بيّن ، لأنّ كلام الشيخ ظاهر في أنّ صورة عدم إمكان الجمع باقية على الحكم الذي ذكره أوّلا أعني عدم وجوب القبول وبقاء الماء على مقتضى الأصل حيث عمّم الحكم في الصورتين أوّلا ثمّ أخرج إحداهما وهي صورة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فيها ما ذكره ، فتبقى الصورة الاخرى بحالها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غفلة العلّامة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حكى عن ابن إدريس التفصيل بإمكان الجمع بينهما وعدمه وأنّه حكم بنجاسة الإنائين في الأوّل واضطرب في الثاني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تحت عموم وجوب القرعة في 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 استعمال القرعة في الأواني والثياب ، ولا أولويّة للعمل بإحدى الشهادتين دون الاخرى فيطرح الجميع ؛ لأنّه ماء طاهر في الأصل ، وحصل الشكّ في النجاسة فيبقى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أفتى بعد ذلك كلّه بنجاسة الإنائين وقبول الشهود الأربعة ؛ لأنّ ظاهر الشرع يقتضي صحّة شهادتهم ؛ لأنّ كلّ شاهدين قد شهدا بإثبات ما نفاه الشاهدان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انقطع نظره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الذاهبون إلى إلحاقه بما لو اشتبه الطاهر بالنجس بأنّ الاتّفاق حاصل من البيّنتين على نجاسة أحد الإنائين ، والتعارض إنّما هو في التعيين فيحكم بما لا تعارض فيه ، ويتوقّف في موضع التعارض</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على أصل الطهارة ، وليس على </w:t>
      </w:r>
    </w:p>
    <w:p>
      <w:pPr>
        <w:pStyle w:val="BookText"/>
        <w:rPr/>
      </w:pPr>
      <w:r>
        <w:rPr>
          <w:rFonts w:ascii="Amiri" w:hAnsi="Amiri" w:eastAsia="Amiri" w:cs="Amiri"/>
          <w:color w:val="111111"/>
          <w:sz w:val="28"/>
          <w:sz w:val="28"/>
          <w:szCs w:val="28"/>
          <w:rtl w:val="true"/>
          <w:lang w:bidi="ar-SA"/>
        </w:rPr>
        <w:t xml:space="preserve">وجوب القبول من الفريقين ولا من واحد منهما دليل ، فوجب طرحهما وبقي الماء على حكم الأصل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إمكان الجمع يحصل المقتضي لنجاسة الإنائين فيثبت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امتناع الجمع يكون كلّ واحدة من الشهادتين منافية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قطعا كذب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تكذيب واحدة منهما بعينها أولى من تكذيب الاخرى فيجب طرح الجميع والرجوع إلى الأصل وهو الطهارة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هذه الحجج الثلاث وجدت التحقيق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سوقها صريح في الاختصاص بصورة عدم إمكان الجمع كما هو الحقّ ؛ فإنّ وجوب العمل بالبيّنتين في صورة الإمكان واضح جليّ ، وسنبيّنه أيضا ، ولذلك لم يتعرّض في هذه الحجّة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المحقّق رحمه‌اللّه ممّن يذهب هنا إلى القول بالإلحاق بالمشتبه بالنجس ، وهو مصرّح بالحكم بنجاسة الإنائين إذا أمكن الجمع ، لكنّه لم يحتجّ على ما ذهب إليه بشي‌ء والحجّة التي حكيناها إنّما احتجّ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حجّة الشيخ فيرد عليها أنّه لا مقتضي للإطراح إلّا التعارض وهو منفيّ بالنظر إلى أحد الإنائين من غير تعيين وإنّما وقع التعارض في التعيين ، والإطراح فيه لا يقتضي الإطراح مطلقا فيبقى معنى الاشتباه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صورة عدم إمكان الجمع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بالنظر إلى الإمكان فسيعلم من الكلام على حجّة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w:t>
      </w:r>
    </w:p>
    <w:p>
      <w:pPr>
        <w:pStyle w:val="BookText"/>
        <w:rPr/>
      </w:pPr>
      <w:r>
        <w:rPr>
          <w:rFonts w:ascii="Amiri" w:hAnsi="Amiri" w:eastAsia="Amiri" w:cs="Amiri"/>
          <w:color w:val="111111"/>
          <w:sz w:val="28"/>
          <w:sz w:val="28"/>
          <w:szCs w:val="28"/>
          <w:rtl w:val="true"/>
          <w:lang w:bidi="ar-SA"/>
        </w:rPr>
        <w:t xml:space="preserve">أن يعلم أنّ كلام الشيخ في هذه الحجّة وإن لم يكن ظاهرا في التسوية بين حالتي إمكان الجمع وعدمه إلّا أنّ سوق عبارته في هذه المسألة يشعر بذلك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شاهدان أنّه ولغ الكلب في واحد من الإنائين وشهد آخران أنّه ولغ في الآخر سقطت شهادتهما وبقي الماء على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ما يقتضي الفرق بين صورتي التنافي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حكم بنجاستهما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بعد ذلك على ما اختاره بالحجّة التي حكيناها </w:t>
      </w:r>
      <w:r>
        <w:rPr>
          <w:rStyle w:val="FootnoteAnchor"/>
          <w:rtl w:val="true"/>
        </w:rPr>
        <w:footnoteReference w:id="1035"/>
      </w:r>
      <w:r>
        <w:rPr>
          <w:rFonts w:ascii="Amiri" w:hAnsi="Amiri" w:eastAsia="Amiri" w:cs="Amiri"/>
          <w:color w:val="111111"/>
          <w:sz w:val="28"/>
          <w:sz w:val="28"/>
          <w:szCs w:val="28"/>
          <w:rtl w:val="true"/>
          <w:lang w:bidi="ar-SA"/>
        </w:rPr>
        <w:t>، ودلالة ذلك على تسويته بين الصورتين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كلامه في الحجّة ربّما أفهم كونه ناظرا في إسقاط الشهادتين والحكم بالطهارة إلى عدم قبول البيّنة بالنجاسة كقول ابن البرّاج ولم أقف له على ما يخالف ذلك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المحكيّة عن المبسوط سابقا لا تخلو عن إيذان بالتردّد في هذا الحكم أيضا ، وهو يقرّب احتمال البناء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القول بذلك لا يعرف لغير ابن البرّاج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العلّامة فالذي يتعلّق منها بصورة إمكان الجمع حسن ؛ لأنّ فرض قبول البيّنة في كلّ من الإنائين مع الانفراد يقتضي القبول مع الاجتماع ؛ للقطع بعدم تأثيره حيث لا تنافي </w:t>
      </w:r>
      <w:r>
        <w:rPr>
          <w:rStyle w:val="FootnoteAnchor"/>
          <w:rtl w:val="true"/>
        </w:rPr>
        <w:footnoteReference w:id="1036"/>
      </w:r>
      <w:r>
        <w:rPr>
          <w:rFonts w:ascii="Amiri" w:hAnsi="Amiri" w:eastAsia="Amiri" w:cs="Amiri"/>
          <w:color w:val="111111"/>
          <w:sz w:val="28"/>
          <w:sz w:val="28"/>
          <w:szCs w:val="28"/>
          <w:rtl w:val="true"/>
          <w:lang w:bidi="ar-SA"/>
        </w:rPr>
        <w:t>كما هو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صورة عدم الإمكان فيرجع إلى كلام الشيخ في الخلاف وقد علم حاله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تنبّه لورود المناقشة على ما ذكره في الصورة الثانية بما أشرنا إليه وحاول الجواب عنها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بنجاسه أحد الإنائين وصحّة إحدى الشهادتين فيكون بمنزلة الإنائين المشتبهين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w:t>
      </w:r>
      <w:r>
        <w:rPr>
          <w:rStyle w:val="FootnoteAnchor"/>
          <w:rtl w:val="true"/>
        </w:rPr>
        <w:footnoteReference w:id="1037"/>
      </w:r>
      <w:r>
        <w:rPr>
          <w:rFonts w:ascii="Amiri" w:hAnsi="Amiri" w:eastAsia="Amiri" w:cs="Amiri"/>
          <w:color w:val="111111"/>
          <w:sz w:val="28"/>
          <w:sz w:val="28"/>
          <w:szCs w:val="28"/>
          <w:rtl w:val="true"/>
          <w:lang w:bidi="ar-SA"/>
        </w:rPr>
        <w:t xml:space="preserve">حصول العلم بنجاسة أحد الإنائين وصحّة إحدى الشهادتين لأنّ صحّة الشهادة إنّما يثبت مع انتفاء المكذّب أمّا مع وجوده فلا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ظاهر الضعف ؛ فإنّ التكذيب إنّما وقع في التعيين لا مطلقا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مجال المناقشة باقيا بحاله مع هذا الجواب استدرك العلّامة في آخر كلامه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قيل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جعله كالمشتبه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 ولهذا يردّهما المشتري سواء تعدّد أو اتّحد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يردّهما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اشترى هذين الإنائين مشتر أو اثنان ثمّ شهد الشهود كما ذكر ثبت له أو لهما الخيار ، ولو لا قبول الشهادة بالنجاسة لما 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بأنّا لا نعلم ثبوت الخيار إلّا على تقدير قبول شهادة النجاسة فلو جعل دليلا على قبولها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الخيار ثبت جزما ؛ لأنّ شهادة الشهود بالعيب لا سبيل إلى ردّها لا سيّما مع اتّفاقهم على وجود العيب في أحد الإنائين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حقوق الآدميّين مبنيّة على الاحتياط التامّ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الخيار استنادا إلى الأصل؟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الخيار لا يصلح دليلا على الاشتباه ، وإنّما </w:t>
      </w:r>
      <w:bookmarkStart w:id="670" w:name="pg8731_77322"/>
    </w:p>
    <w:p>
      <w:pPr>
        <w:pStyle w:val="BookText"/>
        <w:rPr/>
      </w:pPr>
      <w:bookmarkEnd w:id="670"/>
      <w:r>
        <w:rPr>
          <w:rFonts w:ascii="Amiri" w:hAnsi="Amiri" w:eastAsia="Amiri" w:cs="Amiri"/>
          <w:color w:val="111111"/>
          <w:sz w:val="28"/>
          <w:sz w:val="28"/>
          <w:szCs w:val="28"/>
          <w:rtl w:val="true"/>
          <w:lang w:bidi="ar-SA"/>
        </w:rPr>
        <w:t>يدلّ على عدم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حاصل كلام الشيخ في المبسوط يرجع إلى ما ذهب إليه العلّامة في المختلف فيعلم حاله توجيها وردّا ممّا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على احتجاج ابن إدريس وما حكي عنه من الاضطراب ، وقد اشتمل كلامه على عدّة وجوده ، بعضها يوافق كلام الجماعة وبعضها يخالفه ، وحكم الموافق يعلم ممّا ذكرناه في 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المخالف فوجهان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القرعة وهو مستبعد ، كما اعترف به ؛ لعدم ظهور تناول دليل اعتبارها لمثله خصوصا بعد ملاحظة عدم التعرّض لاحتماله في مسألة اشتباه الإناء الطاهر بالنجس فضلا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بنجاسة الإنائين معلّلا بأنّ ظاهر الشرع يقتضي صحّة شهادتهم ؛ لأنّ كلّ شاهدين قد شهدا بإثبات ما نفاه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البيّنتين تضمّنت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والإثبات هو الشهادة بالنجاسة ، والنفي الشهادة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القواعد المقرّرة تقديم شهادة الإثبات على شهادة النفي ، فتقبل هاهنا الشهادة بالنجاسة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اللازم من قبول البيّنتين الحكم بطهارة أحد الإنائين لاتّفاقهما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التعيين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تقديم شهادة الإثبات ليس على إطلاقه لو سلّمنا كون الشهادة بالطهارة في صورة عدم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بالنفي</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140343_653776707"/>
      <w:bookmarkStart w:id="672" w:name="_Toc246"/>
      <w:bookmarkEnd w:id="671"/>
      <w:r>
        <w:rPr>
          <w:rtl w:val="true"/>
        </w:rPr>
        <w:t xml:space="preserve">فرع </w:t>
      </w:r>
      <w:r>
        <w:rPr>
          <w:rtl w:val="true"/>
        </w:rPr>
        <w:t>:</w:t>
      </w:r>
      <w:bookmarkEnd w:id="67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إناءانة فولغ الكلب في أحدهما </w:t>
      </w:r>
      <w:bookmarkStart w:id="673" w:name="pg8731_77323"/>
    </w:p>
    <w:p>
      <w:pPr>
        <w:pStyle w:val="BookText"/>
        <w:rPr/>
      </w:pPr>
      <w:bookmarkEnd w:id="673"/>
      <w:r>
        <w:rPr>
          <w:rFonts w:ascii="Amiri" w:hAnsi="Amiri" w:eastAsia="Amiri" w:cs="Amiri"/>
          <w:color w:val="111111"/>
          <w:sz w:val="28"/>
          <w:sz w:val="28"/>
          <w:szCs w:val="28"/>
          <w:rtl w:val="true"/>
          <w:lang w:bidi="ar-SA"/>
        </w:rPr>
        <w:t xml:space="preserve">واشتبها عليه وأخبره عدل بعين ما ولغ الكلب فيه لا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بعض العامّة القبول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ما قدّمناه من خبر عمّار وسماعة ، وأنّه أمره بإراقة الإنائين والتيمّم ولم يقل إلّا أن يشهد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علمنا أنّه لا يجوز له استعمالها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القبول من العدل يحتاج إليه دليل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وروايتا عمّار وسماعة اللتان أشار إليهما هما السابقتان في الاحتجاج لوجوب اجتناب الإناء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احتمل الشهيد في الذكرى القبول في مثله معلّلا له بأصالة صحّة إخباره </w:t>
      </w:r>
      <w:r>
        <w:rPr>
          <w:rStyle w:val="FootnoteAnchor"/>
          <w:rtl w:val="true"/>
        </w:rPr>
        <w:footnoteReference w:id="1041"/>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w:t>
      </w:r>
    </w:p>
    <w:p>
      <w:pPr>
        <w:pStyle w:val="Heading6"/>
        <w:numPr>
          <w:ilvl w:val="5"/>
          <w:numId w:val="1"/>
        </w:numPr>
        <w:rPr/>
      </w:pPr>
      <w:bookmarkStart w:id="674" w:name="__RefHeading___Toc3140345_653776707"/>
      <w:bookmarkStart w:id="675" w:name="_Toc247"/>
      <w:bookmarkEnd w:id="674"/>
      <w:r>
        <w:rPr>
          <w:rtl w:val="true"/>
        </w:rPr>
        <w:t xml:space="preserve">[ </w:t>
      </w:r>
      <w:r>
        <w:rPr>
          <w:rtl w:val="true"/>
        </w:rPr>
        <w:t xml:space="preserve">فرع </w:t>
      </w:r>
      <w:r>
        <w:rPr>
          <w:rtl w:val="true"/>
        </w:rPr>
        <w:t xml:space="preserve">] </w:t>
      </w:r>
      <w:r>
        <w:rPr>
          <w:rtl w:val="true"/>
        </w:rPr>
        <w:t xml:space="preserve">آخر </w:t>
      </w:r>
      <w:r>
        <w:rPr>
          <w:rtl w:val="true"/>
        </w:rPr>
        <w:t>:</w:t>
      </w:r>
      <w:bookmarkEnd w:id="675"/>
    </w:p>
    <w:p>
      <w:pPr>
        <w:pStyle w:val="BookText"/>
        <w:rPr/>
      </w:pPr>
      <w:r>
        <w:rPr>
          <w:rFonts w:ascii="Amiri" w:hAnsi="Amiri" w:eastAsia="Amiri" w:cs="Amiri"/>
          <w:color w:val="111111"/>
          <w:sz w:val="28"/>
          <w:sz w:val="28"/>
          <w:szCs w:val="28"/>
          <w:rtl w:val="true"/>
          <w:lang w:bidi="ar-SA"/>
        </w:rPr>
        <w:t xml:space="preserve">حكى في الذكرى الخلاف في اعتبار ظنّ إصابة النجاسة للماء ورجّح في غير المستند إلى إخبار العدلين الطهارة ثمّ حكم باستحباب الاجتناب عند عروض هذا الاشتباه بشرط أن يكون الظنّ ناشيا عن سبب ظاهر ، كشهادة العدل وإدمان الخمر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وجه ، وأقلّه الخروج من خلاف من حكم بالنجاسة في مثله</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3140347_653776707"/>
      <w:bookmarkStart w:id="677" w:name="_Toc248"/>
      <w:bookmarkEnd w:id="676"/>
      <w:r>
        <w:rPr>
          <w:rtl w:val="true"/>
        </w:rPr>
        <w:t xml:space="preserve">مسألة </w:t>
      </w:r>
      <w:r>
        <w:rPr>
          <w:rtl w:val="true"/>
        </w:rPr>
        <w:t>[</w:t>
      </w:r>
      <w:r>
        <w:rPr/>
        <w:t>3</w:t>
      </w:r>
      <w:r>
        <w:rPr>
          <w:rtl w:val="true"/>
        </w:rPr>
        <w:t>] :</w:t>
      </w:r>
      <w:bookmarkEnd w:id="67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 الاشتباه في نجاسة الواقع في الماء القليل وطهارته بني على أصل </w:t>
      </w:r>
    </w:p>
    <w:p>
      <w:pPr>
        <w:pStyle w:val="BookText"/>
        <w:rPr/>
      </w:pPr>
      <w:r>
        <w:rPr>
          <w:rFonts w:ascii="Amiri" w:hAnsi="Amiri" w:eastAsia="Amiri" w:cs="Amiri"/>
          <w:color w:val="111111"/>
          <w:sz w:val="28"/>
          <w:sz w:val="28"/>
          <w:szCs w:val="28"/>
          <w:rtl w:val="true"/>
          <w:lang w:bidi="ar-SA"/>
        </w:rPr>
        <w:t>الطهارة بغير إشكال ولا خلاف يعرف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من هذا الباب ما لو وقع فيه صيد مجروح حلال اللحم نجس الميتة وكان المحلّ الملاقي للماء منه خاليا من النجاسة فمات فيه واشتبه استناد موته إلى الجرح أو الماء فيحكم بطهارة الماء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القولين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بعض كتبه </w:t>
      </w:r>
      <w:r>
        <w:rPr>
          <w:rStyle w:val="FootnoteAnchor"/>
          <w:rtl w:val="true"/>
        </w:rPr>
        <w:footnoteReference w:id="1043"/>
      </w:r>
      <w:r>
        <w:rPr>
          <w:rFonts w:ascii="Amiri" w:hAnsi="Amiri" w:eastAsia="Amiri" w:cs="Amiri"/>
          <w:color w:val="111111"/>
          <w:sz w:val="28"/>
          <w:sz w:val="28"/>
          <w:szCs w:val="28"/>
          <w:rtl w:val="true"/>
          <w:lang w:bidi="ar-SA"/>
        </w:rPr>
        <w:t xml:space="preserve">، وقوّاه الفاضل الشيخ علي في شرح القواعد </w:t>
      </w:r>
      <w:r>
        <w:rPr>
          <w:rStyle w:val="FootnoteAnchor"/>
          <w:rtl w:val="true"/>
        </w:rPr>
        <w:footnoteReference w:id="1044"/>
      </w:r>
      <w:r>
        <w:rPr>
          <w:rFonts w:ascii="Amiri" w:hAnsi="Amiri" w:eastAsia="Amiri" w:cs="Amiri"/>
          <w:color w:val="111111"/>
          <w:sz w:val="28"/>
          <w:sz w:val="28"/>
          <w:szCs w:val="28"/>
          <w:rtl w:val="true"/>
          <w:lang w:bidi="ar-SA"/>
        </w:rPr>
        <w:t xml:space="preserve">وحكم جمع من الأصحاب بنجاسة الماء بذلك وهو القول الثاني للعلّامة ذهب إليه في أكثر كتبه </w:t>
      </w:r>
      <w:r>
        <w:rPr>
          <w:rStyle w:val="FootnoteAnchor"/>
          <w:rtl w:val="true"/>
        </w:rPr>
        <w:footnoteReference w:id="1045"/>
      </w:r>
      <w:r>
        <w:rPr>
          <w:rFonts w:ascii="Amiri" w:hAnsi="Amiri" w:eastAsia="Amiri" w:cs="Amiri"/>
          <w:color w:val="111111"/>
          <w:sz w:val="28"/>
          <w:sz w:val="28"/>
          <w:szCs w:val="28"/>
          <w:rtl w:val="true"/>
          <w:lang w:bidi="ar-SA"/>
        </w:rPr>
        <w:t xml:space="preserve">، ووافقه ولده فخر المحقّقين في الشرح ، والشهيدان رحمهم‌اللّه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المحقّق في المعتبر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طهارة الماء السالمة عن معارضة يقين حصول الرافع لها شرعا فإنّ الشكّ في استناد الموت إلى الجرح أو الماء يقتضي الشكّ في عروض النجاسة فلا يعلم حصول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تحريم الصيد حينئذ ثابت بالإجماع ، وجملة من الأخبار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رمى صيدا وهو على جبل أو حائط فيخرق فيه السهم فيموت؟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w:t>
      </w:r>
    </w:p>
    <w:p>
      <w:pPr>
        <w:pStyle w:val="BookText"/>
        <w:rPr/>
      </w:pPr>
      <w:r>
        <w:rPr>
          <w:rFonts w:ascii="Amiri" w:hAnsi="Amiri" w:eastAsia="Amiri" w:cs="Amiri"/>
          <w:color w:val="111111"/>
          <w:sz w:val="28"/>
          <w:sz w:val="28"/>
          <w:szCs w:val="28"/>
          <w:rtl w:val="true"/>
          <w:lang w:bidi="ar-SA"/>
        </w:rPr>
        <w:t xml:space="preserve">في الماء من رميتك فمات فلا تأكل منه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بتحريم اللحم يدلّ على عدم تحقّق الذكاة ، وذلك يقتضي الحكم بموته حتف أنفه ، والنجاسة 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دلالة حرمة اللحم على عدم تحقّق الذكاة وإنّما يدلّ على ذلك لو كان الحكم بالتحريم موقوفا عليه ، وهو في حيّز المنع أيضا ؛ لجواز استناده إلى جهالة الحال وحصول الاشتباه ؛ فإنّ التحريم حينئذ هو مقتضى الأصل لاشتراط الحلّ بأمر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الأصل في مثله العدم فيعمل بكلّ من أصلي طهارة الماء وحرمة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بالأصلين إنّما يصحّ مع إمكانه وهو منتف ؛ لأنّه كما يستحيل اجتماع الشي‌ء مع نقيضه كذلك يستحيل اجتماعه مع نقيض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الحيوان يستلزم نجاسة الماء فلا يجامع الحكم بطهارته كما لا يجامع تذكيته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الإمكان إنّما يتحقّق إذا جعل التحريم مستندا إلى العلم بعدم التذكية الذي هو عبارة عن موته حتف أنفه لا إذا جعل مسبّبا عن عدم العلم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بطهارة الماء إنّما يتوقّف على عدم العلم بوجود النجاسة لا على العلم بعدمها ؛ إذ الشكّ في نجاسة الواقع لا يقتضي نجاسة الماء قطعا كما بيّناه</w:t>
      </w:r>
      <w:r>
        <w:rPr>
          <w:rFonts w:eastAsia="Amiri" w:cs="Amiri" w:ascii="Amiri" w:hAnsi="Amiri"/>
          <w:color w:val="111111"/>
          <w:sz w:val="28"/>
          <w:szCs w:val="28"/>
          <w:rtl w:val="true"/>
          <w:lang w:bidi="ar-SA"/>
        </w:rPr>
        <w:t xml:space="preserve">. </w:t>
      </w:r>
      <w:bookmarkStart w:id="678" w:name="pg8731_77326"/>
    </w:p>
    <w:p>
      <w:pPr>
        <w:pStyle w:val="Heading6"/>
        <w:numPr>
          <w:ilvl w:val="5"/>
          <w:numId w:val="1"/>
        </w:numPr>
        <w:rPr/>
      </w:pPr>
      <w:bookmarkStart w:id="679" w:name="__RefHeading___Toc3140349_653776707"/>
      <w:bookmarkStart w:id="680" w:name="_Toc249"/>
      <w:bookmarkEnd w:id="678"/>
      <w:bookmarkEnd w:id="679"/>
      <w:r>
        <w:rPr>
          <w:rtl w:val="true"/>
        </w:rPr>
        <w:t xml:space="preserve">البحث السابع </w:t>
      </w:r>
      <w:r>
        <w:rPr>
          <w:rtl w:val="true"/>
        </w:rPr>
        <w:t xml:space="preserve">: </w:t>
      </w:r>
      <w:r>
        <w:rPr>
          <w:rtl w:val="true"/>
        </w:rPr>
        <w:t>في بقايا مسائل متفرّقة من أحكام المطلق</w:t>
      </w:r>
      <w:bookmarkEnd w:id="680"/>
    </w:p>
    <w:p>
      <w:pPr>
        <w:pStyle w:val="Heading6"/>
        <w:numPr>
          <w:ilvl w:val="5"/>
          <w:numId w:val="1"/>
        </w:numPr>
        <w:rPr/>
      </w:pPr>
      <w:bookmarkStart w:id="681" w:name="__RefHeading___Toc3140351_653776707"/>
      <w:bookmarkStart w:id="682" w:name="_Toc250"/>
      <w:bookmarkEnd w:id="681"/>
      <w:r>
        <w:rPr>
          <w:rtl w:val="true"/>
        </w:rPr>
        <w:t xml:space="preserve">مسألة </w:t>
      </w:r>
      <w:r>
        <w:rPr>
          <w:rtl w:val="true"/>
        </w:rPr>
        <w:t>[</w:t>
      </w:r>
      <w:r>
        <w:rPr/>
        <w:t>1</w:t>
      </w:r>
      <w:r>
        <w:rPr>
          <w:rtl w:val="true"/>
        </w:rPr>
        <w:t>] :</w:t>
      </w:r>
      <w:bookmarkEnd w:id="682"/>
    </w:p>
    <w:p>
      <w:pPr>
        <w:pStyle w:val="Heading6"/>
        <w:numPr>
          <w:ilvl w:val="5"/>
          <w:numId w:val="1"/>
        </w:numPr>
        <w:rPr/>
      </w:pPr>
      <w:bookmarkStart w:id="683" w:name="__RefHeading___Toc3140353_653776707"/>
      <w:bookmarkStart w:id="684" w:name="_Toc251"/>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المشهور بين الأصحاب أنّ الماء إذا أسخنته الشمس في الآنية كره استعماله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فيه الشيخ الإجماع في الخلاف إلّا أنّه اشترط في الحكم القصد إلى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المسخّن بالشمس إذا قصد به ذلك مكروه إجماعا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في النهاية </w:t>
      </w:r>
      <w:r>
        <w:rPr>
          <w:rStyle w:val="FootnoteAnchor"/>
          <w:rtl w:val="true"/>
        </w:rPr>
        <w:footnoteReference w:id="1050"/>
      </w:r>
      <w:r>
        <w:rPr>
          <w:rFonts w:ascii="Amiri" w:hAnsi="Amiri" w:eastAsia="Amiri" w:cs="Amiri"/>
          <w:color w:val="111111"/>
          <w:sz w:val="28"/>
          <w:sz w:val="28"/>
          <w:szCs w:val="28"/>
          <w:rtl w:val="true"/>
          <w:lang w:bidi="ar-SA"/>
        </w:rPr>
        <w:t>وكذا أكثر الأصحاب بل صرّح جمع منهم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الحكم بما رواه إبراهيم بن عبد الحميد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 على عائشة وقد وضعت قمقمتها في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 ما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تعودي فإنّه يورث البرص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إسماعيل بن أبي زياد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تسخّنه الشمس لا توضّئوا به ، ولا تغتسلوا به ، ولا تعجنوا به ؛ فإنّه يورث البرص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حمل النهي في الروايتين على الكراهة مع أنّه حقيقة في التحريم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الجمع بينهما وبين ما رواه الشيخ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يتوضّأ بالماء الذي يوضع في الشمس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المذكورة للنهي راجعة إلى المصلحة الدنيويّة وذلك قرينة كون النهي للإرشاد على حدّ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العود إلى المصلحة الدنيويّة لا يدلّ على عدم كون النهي للتحريم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دفع الضرر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الضرر إنّما يجب مع العلم أو الظنّ وهما منتفيان ، والقدر الثابت هنا إنّما هو الإمكان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ظاهر الخبر الأوّل يوافق ما ذكره الشيخ في الخلاف من اشتراط الحكم بالقصد </w:t>
      </w:r>
      <w:r>
        <w:rPr>
          <w:rStyle w:val="FootnoteAnchor"/>
          <w:rtl w:val="true"/>
        </w:rPr>
        <w:footnoteReference w:id="1055"/>
      </w:r>
      <w:r>
        <w:rPr>
          <w:rFonts w:ascii="Amiri" w:hAnsi="Amiri" w:eastAsia="Amiri" w:cs="Amiri"/>
          <w:color w:val="111111"/>
          <w:sz w:val="28"/>
          <w:sz w:val="28"/>
          <w:szCs w:val="28"/>
          <w:rtl w:val="true"/>
          <w:lang w:bidi="ar-SA"/>
        </w:rPr>
        <w:t xml:space="preserve">، ولكنّ الخبر الثاني عامّ وليس بينهما منافاة تدعو إلى الجمع بحمل العام على الخاص ، فيتّجه عدم الفرق لو كانت الروايات ناهضة بإثبات الحكم ؛ فإنّها بأجمعها ضعيفة السند وضميمة الإجماع المحكي إليها إنّما يفيد بالنظر إلى الخاص إذ لم ينقل الإجماع إلّا عليه ، كما </w:t>
      </w:r>
      <w:bookmarkStart w:id="685" w:name="pg8731_77328"/>
    </w:p>
    <w:p>
      <w:pPr>
        <w:pStyle w:val="BookText"/>
        <w:rPr/>
      </w:pPr>
      <w:bookmarkEnd w:id="685"/>
      <w:r>
        <w:rPr>
          <w:rFonts w:ascii="Amiri" w:hAnsi="Amiri" w:eastAsia="Amiri" w:cs="Amiri"/>
          <w:color w:val="111111"/>
          <w:sz w:val="28"/>
          <w:sz w:val="28"/>
          <w:szCs w:val="28"/>
          <w:rtl w:val="true"/>
          <w:lang w:bidi="ar-SA"/>
        </w:rPr>
        <w:t>قد علم ، فيقع الشكّ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اعتبار العلّة يقتضي عدم الفرق</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140355_653776707"/>
      <w:bookmarkStart w:id="687" w:name="_Toc252"/>
      <w:bookmarkEnd w:id="686"/>
      <w:r>
        <w:rPr>
          <w:rtl w:val="true"/>
        </w:rPr>
        <w:t xml:space="preserve">فروع </w:t>
      </w:r>
      <w:r>
        <w:rPr>
          <w:rtl w:val="true"/>
        </w:rPr>
        <w:t>:</w:t>
      </w:r>
      <w:bookmarkEnd w:id="687"/>
    </w:p>
    <w:p>
      <w:pPr>
        <w:pStyle w:val="Heading6"/>
        <w:numPr>
          <w:ilvl w:val="5"/>
          <w:numId w:val="1"/>
        </w:numPr>
        <w:rPr/>
      </w:pPr>
      <w:bookmarkStart w:id="688" w:name="__RefHeading___Toc3140357_653776707"/>
      <w:bookmarkStart w:id="689" w:name="_Toc253"/>
      <w:bookmarkEnd w:id="688"/>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689"/>
    </w:p>
    <w:p>
      <w:pPr>
        <w:pStyle w:val="BookText"/>
        <w:rPr/>
      </w:pPr>
      <w:r>
        <w:rPr>
          <w:rFonts w:ascii="Amiri" w:hAnsi="Amiri" w:eastAsia="Amiri" w:cs="Amiri"/>
          <w:color w:val="111111"/>
          <w:sz w:val="28"/>
          <w:sz w:val="28"/>
          <w:szCs w:val="28"/>
          <w:rtl w:val="true"/>
          <w:lang w:bidi="ar-SA"/>
        </w:rPr>
        <w:t xml:space="preserve">نصّ كثير من الأصحاب على أنّه لا فرق في ثبوت الكراهة هنا بين كون الآنية منطبعة </w:t>
      </w:r>
      <w:r>
        <w:rPr>
          <w:rStyle w:val="FootnoteAnchor"/>
          <w:rtl w:val="true"/>
        </w:rPr>
        <w:footnoteReference w:id="1056"/>
      </w:r>
      <w:r>
        <w:rPr>
          <w:rFonts w:ascii="Amiri" w:hAnsi="Amiri" w:eastAsia="Amiri" w:cs="Amiri"/>
          <w:color w:val="111111"/>
          <w:sz w:val="28"/>
          <w:sz w:val="28"/>
          <w:szCs w:val="28"/>
          <w:rtl w:val="true"/>
          <w:lang w:bidi="ar-SA"/>
        </w:rPr>
        <w:t xml:space="preserve">وغيرها ، ولا بين كون ذلك في قطر حارّ وعدمه ، محتجّين بعموم النصّ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علّلنا كراهة الشمس بأنّه يورث البرص احتمل اشتراط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الأواني المنطبعة كالحديد والرصاص والنحاس ؛ لأنّ الشمس إذا أثّرت فيها استخرجت منها زهومة تعلو الماء ومنها يتولّد المحذور عدا الذهب والفضّة لصفاء جوهرهما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واتّفاقه في البلاد المفرطة الحرارة دون الباردة والمعتدلة لضعف تأثير الشمس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يقع ذلك قصدا أو اتّفاقا ؛ لعدم اختلاف المحذور ، ويحتمل عموم الكراهة في الأواني المنطبعة وغيرها كالخزفيّة وفي البلاد الحارّة وغيرها لعدم توقّف الكراهة على خوف المحذور عملا بإطلاق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والتعرّض للمحذور إشارة إلى حكمته فلا يشترط حصولها في كلّ صورة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 وهو جيّد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ظاهر الأصحاب الإطباق على التعميم إذ لم ينقلوا القول بالاختصاص في الآنية والبلاد إلّا عن بعض العامّة</w:t>
      </w:r>
      <w:r>
        <w:rPr>
          <w:rFonts w:eastAsia="Amiri" w:cs="Amiri" w:ascii="Amiri" w:hAnsi="Amiri"/>
          <w:color w:val="111111"/>
          <w:sz w:val="28"/>
          <w:szCs w:val="28"/>
          <w:rtl w:val="true"/>
          <w:lang w:bidi="ar-SA"/>
        </w:rPr>
        <w:t xml:space="preserve">. </w:t>
      </w:r>
      <w:bookmarkStart w:id="690" w:name="pg8731_77329"/>
    </w:p>
    <w:p>
      <w:pPr>
        <w:pStyle w:val="Heading6"/>
        <w:numPr>
          <w:ilvl w:val="5"/>
          <w:numId w:val="1"/>
        </w:numPr>
        <w:rPr/>
      </w:pPr>
      <w:bookmarkStart w:id="691" w:name="__RefHeading___Toc3140359_653776707"/>
      <w:bookmarkStart w:id="692" w:name="_Toc254"/>
      <w:bookmarkEnd w:id="690"/>
      <w:bookmarkEnd w:id="691"/>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692"/>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زال التشميس احتمل بقاء الكراهة لعدم خروجه عن كونه مشمسا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وقطع الشهيد رحمه‌اللّه في الذكرى ببقائها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من المتأخّرين محتجّين بالاستصحاب ، وبظاهر التعليل بخوف البرص ، وبصدق الاسم بعد الزوال إذ المشتقّ لا يشترط فيه بقاء أصله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بمثل هذا الاستصحاب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الاستناد إلى التعليل إشكال ، ووجهه يعلم ممّا ذكر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ملاحظة صدق الاسم فلا يخلو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اقتصر عليه في تعليل احتمال البقاء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في المنتهى البقاء محتجّا به </w:t>
      </w:r>
      <w:r>
        <w:rPr>
          <w:rStyle w:val="FootnoteAnchor"/>
          <w:rtl w:val="true"/>
        </w:rPr>
        <w:footnoteReference w:id="1061"/>
      </w:r>
      <w:r>
        <w:rPr>
          <w:rFonts w:ascii="IRNazanin" w:hAnsi="IRNazanin" w:eastAsia="IRNazanin"/>
          <w:color w:val="111111"/>
          <w:sz w:val="28"/>
          <w:sz w:val="28"/>
          <w:szCs w:val="28"/>
          <w:rtl w:val="true"/>
          <w:lang w:bidi="fa-IR"/>
        </w:rPr>
        <w:t>، وله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اشتراط بقاء المعنى في المشتقّ إنّما هو إذا لم يكن زواله بطريان وصف وجوديّ يضادّه ، كما حقّق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زوال السخونة إنّما هو بطريان البرودة وهي وصف وجوديّ يضادّها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الاشتقاق من التسخين لا من السخونة فليتأمّل</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140361_653776707"/>
      <w:bookmarkStart w:id="694" w:name="_Toc255"/>
      <w:bookmarkEnd w:id="69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694"/>
    </w:p>
    <w:p>
      <w:pPr>
        <w:pStyle w:val="BookText"/>
        <w:rPr/>
      </w:pPr>
      <w:r>
        <w:rPr>
          <w:rFonts w:ascii="Amiri" w:hAnsi="Amiri" w:eastAsia="Amiri" w:cs="Amiri"/>
          <w:color w:val="111111"/>
          <w:sz w:val="28"/>
          <w:sz w:val="28"/>
          <w:szCs w:val="28"/>
          <w:rtl w:val="true"/>
          <w:lang w:bidi="ar-SA"/>
        </w:rPr>
        <w:t>ذهب بعض من عاصرناه من مشايخنا إلى اشتراط الكراهة هنا بقلّة الماء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جماعة من متأخّري الأصحاب القول بعدم الفرق بين القليل والكثير تمسّكا بإطلاق النصّ والفتوى ،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ذلك مجال</w:t>
      </w:r>
      <w:r>
        <w:rPr>
          <w:rFonts w:eastAsia="Amiri" w:cs="Amiri" w:ascii="Amiri" w:hAnsi="Amiri"/>
          <w:color w:val="111111"/>
          <w:sz w:val="28"/>
          <w:szCs w:val="28"/>
          <w:rtl w:val="true"/>
          <w:lang w:bidi="ar-SA"/>
        </w:rPr>
        <w:t xml:space="preserve">. </w:t>
      </w:r>
      <w:bookmarkStart w:id="695" w:name="pg8731_77330"/>
    </w:p>
    <w:p>
      <w:pPr>
        <w:pStyle w:val="BookText"/>
        <w:rPr/>
      </w:pPr>
      <w:bookmarkEnd w:id="695"/>
      <w:r>
        <w:rPr>
          <w:rFonts w:ascii="Amiri" w:hAnsi="Amiri" w:eastAsia="Amiri" w:cs="Amiri"/>
          <w:color w:val="111111"/>
          <w:sz w:val="28"/>
          <w:sz w:val="28"/>
          <w:szCs w:val="28"/>
          <w:rtl w:val="true"/>
          <w:lang w:bidi="ar-SA"/>
        </w:rPr>
        <w:t>وربّما كان اعتبار القلّة أقرب</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3140363_653776707"/>
      <w:bookmarkStart w:id="697" w:name="_Toc256"/>
      <w:bookmarkEnd w:id="696"/>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697"/>
    </w:p>
    <w:p>
      <w:pPr>
        <w:pStyle w:val="BookText"/>
        <w:rPr/>
      </w:pP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بالكراهة هنا إذا وجد ماء آخر للطهارة إذ مع عدم وجدان غيره تجب الطهارة به فلا يتصوّر ثبوت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 الوجوب عينا والكراهة ، كما في الصلاة وغيرها من العبادات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عدم زوال الكراهة هنا بفقدان غيره ؛ لبقاء العلّة ، وعدم منافاة وجوب الاستعمال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140365_653776707"/>
      <w:bookmarkStart w:id="699" w:name="_Toc257"/>
      <w:bookmarkEnd w:id="698"/>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699"/>
    </w:p>
    <w:p>
      <w:pPr>
        <w:pStyle w:val="BookText"/>
        <w:rPr/>
      </w:pPr>
      <w:r>
        <w:rPr>
          <w:rFonts w:ascii="Amiri" w:hAnsi="Amiri" w:eastAsia="Amiri" w:cs="Amiri"/>
          <w:color w:val="111111"/>
          <w:sz w:val="28"/>
          <w:sz w:val="28"/>
          <w:szCs w:val="28"/>
          <w:rtl w:val="true"/>
          <w:lang w:bidi="ar-SA"/>
        </w:rPr>
        <w:t>لا كراهة فيما تسخّنه الشمس في غير الآنية من حوض أو نهر أو 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فيه العلّامة الإجماع في النهاية والتذكرة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ممّا ليس فيه إشكال ولا شبهة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140367_653776707"/>
      <w:bookmarkStart w:id="701" w:name="_Toc258"/>
      <w:bookmarkEnd w:id="700"/>
      <w:r>
        <w:rPr>
          <w:rtl w:val="true"/>
        </w:rPr>
        <w:t xml:space="preserve">[ </w:t>
      </w:r>
      <w:r>
        <w:rPr>
          <w:rtl w:val="true"/>
        </w:rPr>
        <w:t xml:space="preserve">الفرع </w:t>
      </w:r>
      <w:r>
        <w:rPr>
          <w:rtl w:val="true"/>
        </w:rPr>
        <w:t xml:space="preserve">] </w:t>
      </w:r>
      <w:r>
        <w:rPr>
          <w:rtl w:val="true"/>
        </w:rPr>
        <w:t xml:space="preserve">السادس </w:t>
      </w:r>
      <w:r>
        <w:rPr>
          <w:rtl w:val="true"/>
        </w:rPr>
        <w:t>:</w:t>
      </w:r>
      <w:bookmarkEnd w:id="701"/>
    </w:p>
    <w:p>
      <w:pPr>
        <w:pStyle w:val="BookText"/>
        <w:rPr/>
      </w:pPr>
      <w:r>
        <w:rPr>
          <w:rFonts w:ascii="Amiri" w:hAnsi="Amiri" w:eastAsia="Amiri" w:cs="Amiri"/>
          <w:color w:val="111111"/>
          <w:sz w:val="28"/>
          <w:sz w:val="28"/>
          <w:szCs w:val="28"/>
          <w:rtl w:val="true"/>
          <w:lang w:bidi="ar-SA"/>
        </w:rPr>
        <w:t>ألحق جماعة من الأصحاب باستعمال المسخّن بالشمس في الطهارة ساير وجوه الاستعمال له من تناول ، وإزالة نجاسة ، ونحوهما ، فحكموا بكراهة الجميع ؛ نظرا إلى دلالة التعليل عليها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الشهيد رحمه‌اللّه في الذكرى على استعماله في الطهارة والعجين محتجّا لذلك بالخبر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رواية إسماعيل بن أبي زياد </w:t>
      </w:r>
      <w:r>
        <w:rPr>
          <w:rStyle w:val="FootnoteAnchor"/>
          <w:rtl w:val="true"/>
        </w:rPr>
        <w:footnoteReference w:id="1064"/>
      </w:r>
      <w:r>
        <w:rPr>
          <w:rFonts w:ascii="Amiri" w:hAnsi="Amiri" w:eastAsia="Amiri" w:cs="Amiri"/>
          <w:color w:val="111111"/>
          <w:sz w:val="28"/>
          <w:sz w:val="28"/>
          <w:szCs w:val="28"/>
          <w:rtl w:val="true"/>
          <w:lang w:bidi="ar-SA"/>
        </w:rPr>
        <w:t>الجمع بين الطهارة والعجين في النهي عن استعماله ، وهو ما عناه الشهيد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أفتى </w:t>
      </w:r>
      <w:bookmarkStart w:id="702" w:name="pg8731_77331"/>
    </w:p>
    <w:p>
      <w:pPr>
        <w:pStyle w:val="BookText"/>
        <w:rPr/>
      </w:pPr>
      <w:bookmarkEnd w:id="702"/>
      <w:r>
        <w:rPr>
          <w:rFonts w:ascii="Amiri" w:hAnsi="Amiri" w:eastAsia="Amiri" w:cs="Amiri"/>
          <w:color w:val="111111"/>
          <w:sz w:val="28"/>
          <w:sz w:val="28"/>
          <w:szCs w:val="28"/>
          <w:rtl w:val="true"/>
          <w:lang w:bidi="ar-SA"/>
        </w:rPr>
        <w:t xml:space="preserve">بمضمونه أيضا في من لا يحضره الفقيه ، فاقتصر على الطهارة والعجين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3140369_653776707"/>
      <w:bookmarkStart w:id="704" w:name="_Toc259"/>
      <w:bookmarkEnd w:id="703"/>
      <w:r>
        <w:rPr>
          <w:rtl w:val="true"/>
        </w:rPr>
        <w:t xml:space="preserve">مسألة </w:t>
      </w:r>
      <w:r>
        <w:rPr>
          <w:rtl w:val="true"/>
        </w:rPr>
        <w:t>[</w:t>
      </w:r>
      <w:r>
        <w:rPr/>
        <w:t>2</w:t>
      </w:r>
      <w:r>
        <w:rPr>
          <w:rtl w:val="true"/>
        </w:rPr>
        <w:t>] :</w:t>
      </w:r>
      <w:bookmarkEnd w:id="704"/>
    </w:p>
    <w:p>
      <w:pPr>
        <w:pStyle w:val="Heading6"/>
        <w:numPr>
          <w:ilvl w:val="5"/>
          <w:numId w:val="1"/>
        </w:numPr>
        <w:rPr/>
      </w:pPr>
      <w:bookmarkStart w:id="705" w:name="__RefHeading___Toc3140371_653776707"/>
      <w:bookmarkStart w:id="706" w:name="_Toc260"/>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والماء المسخّن بالنار لا بأس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أكثر الأصحاب </w:t>
      </w:r>
      <w:r>
        <w:rPr>
          <w:rStyle w:val="FootnoteAnchor"/>
          <w:rtl w:val="true"/>
        </w:rPr>
        <w:footnoteReference w:id="1066"/>
      </w:r>
      <w:r>
        <w:rPr>
          <w:rFonts w:ascii="Amiri" w:hAnsi="Amiri" w:eastAsia="Amiri" w:cs="Amiri"/>
          <w:color w:val="111111"/>
          <w:sz w:val="28"/>
          <w:sz w:val="28"/>
          <w:szCs w:val="28"/>
          <w:rtl w:val="true"/>
          <w:lang w:bidi="ar-SA"/>
        </w:rPr>
        <w:t>، لا يعرف بينهم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واستثنوا من ذلك غسل الأموات ، فحكموا بكراهة استعماله فيه ، وقد روي استعماله في غير الأموات من فعل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تصيبه الجنابة ، وهو في أرض باردة ولا يجد الماء وعسى أن يكون الماء جامدا؟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عبد اللّه عليه‌السلام أنّه اضطرّ إليه وهو مريض فأتوه به مسخّنا فاغتسل به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روايات بالنهي عن استعماله في غسل الميّت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الصحيح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تسخّن الماء للميّت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الحسن عن عبد اللّه بن المغيرة عن رجل عن أبي جعفر وأبي عبد اللّه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 الميت ماء جميعا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707" w:name="pg8731_77332"/>
    </w:p>
    <w:p>
      <w:pPr>
        <w:pStyle w:val="BookText"/>
        <w:rPr/>
      </w:pPr>
      <w:bookmarkEnd w:id="707"/>
      <w:r>
        <w:rPr>
          <w:rFonts w:ascii="Amiri" w:hAnsi="Amiri" w:eastAsia="Amiri" w:cs="Amiri"/>
          <w:color w:val="111111"/>
          <w:sz w:val="28"/>
          <w:sz w:val="28"/>
          <w:szCs w:val="28"/>
          <w:rtl w:val="true"/>
          <w:lang w:bidi="ar-SA"/>
        </w:rPr>
        <w:t xml:space="preserve">وروى الكليني في الكافي عن يعقوب بن يزيد عن عدّة من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للميت الماء ، لا يعجّل له النار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140373_653776707"/>
      <w:bookmarkStart w:id="709" w:name="_Toc261"/>
      <w:bookmarkEnd w:id="708"/>
      <w:r>
        <w:rPr>
          <w:rtl w:val="true"/>
        </w:rPr>
        <w:t xml:space="preserve">فرعان </w:t>
      </w:r>
      <w:r>
        <w:rPr>
          <w:rtl w:val="true"/>
        </w:rPr>
        <w:t>:</w:t>
      </w:r>
      <w:bookmarkEnd w:id="709"/>
    </w:p>
    <w:p>
      <w:pPr>
        <w:pStyle w:val="Heading6"/>
        <w:numPr>
          <w:ilvl w:val="5"/>
          <w:numId w:val="1"/>
        </w:numPr>
        <w:rPr/>
      </w:pPr>
      <w:bookmarkStart w:id="710" w:name="__RefHeading___Toc3140375_653776707"/>
      <w:bookmarkStart w:id="711" w:name="_Toc262"/>
      <w:bookmarkEnd w:id="710"/>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711"/>
    </w:p>
    <w:p>
      <w:pPr>
        <w:pStyle w:val="BookText"/>
        <w:rPr/>
      </w:pPr>
      <w:r>
        <w:rPr>
          <w:rFonts w:ascii="Amiri" w:hAnsi="Amiri" w:eastAsia="Amiri" w:cs="Amiri"/>
          <w:color w:val="111111"/>
          <w:sz w:val="28"/>
          <w:sz w:val="28"/>
          <w:szCs w:val="28"/>
          <w:rtl w:val="true"/>
          <w:lang w:bidi="ar-SA"/>
        </w:rPr>
        <w:t xml:space="preserve">استثنى الشهيد في الذكرى من نفي البأس عن استعمال المسخّن بالنار في غير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اشتدّت السخونة بحيث يقضي إلى عسر الإسباغ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الأولى الكراهيّة حينئذ لفوات الأفضليّة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pStyle w:val="Heading6"/>
        <w:numPr>
          <w:ilvl w:val="5"/>
          <w:numId w:val="1"/>
        </w:numPr>
        <w:rPr/>
      </w:pPr>
      <w:bookmarkStart w:id="712" w:name="__RefHeading___Toc3140377_653776707"/>
      <w:bookmarkStart w:id="713" w:name="_Toc263"/>
      <w:bookmarkEnd w:id="712"/>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713"/>
    </w:p>
    <w:p>
      <w:pPr>
        <w:pStyle w:val="BookText"/>
        <w:rPr/>
      </w:pPr>
      <w:r>
        <w:rPr>
          <w:rFonts w:ascii="Amiri" w:hAnsi="Amiri" w:eastAsia="Amiri" w:cs="Amiri"/>
          <w:color w:val="111111"/>
          <w:sz w:val="28"/>
          <w:sz w:val="28"/>
          <w:szCs w:val="28"/>
          <w:rtl w:val="true"/>
          <w:lang w:bidi="ar-SA"/>
        </w:rPr>
        <w:t xml:space="preserve">استثنى الشيخان من كراهة المسخّن بالنار للأموات </w:t>
      </w:r>
      <w:r>
        <w:rPr>
          <w:rStyle w:val="FootnoteAnchor"/>
          <w:rtl w:val="true"/>
        </w:rPr>
        <w:footnoteReference w:id="1072"/>
      </w:r>
      <w:r>
        <w:rPr>
          <w:rFonts w:ascii="Amiri" w:hAnsi="Amiri" w:eastAsia="Amiri" w:cs="Amiri"/>
          <w:color w:val="111111"/>
          <w:sz w:val="28"/>
          <w:sz w:val="28"/>
          <w:szCs w:val="28"/>
          <w:rtl w:val="true"/>
          <w:lang w:bidi="ar-SA"/>
        </w:rPr>
        <w:t xml:space="preserve">ما إذا خاف الغاسل على نفسه من استعمال الماء لشدّة البرد ، فحكما بعدم كراهيّة المسخّن حينئذ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الشيخ أطلق في النهاية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المفيد في المقنعة بالقلّة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الشتاء شديد البرد فليسخن له قليلا ليتمكّن غاسله من غسله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وتبعهما في أصل الاستثناء جمع من الأصحاب محتجّين له بأنّ فيه دفعا </w:t>
      </w:r>
      <w:bookmarkStart w:id="714" w:name="pg8731_77333"/>
    </w:p>
    <w:p>
      <w:pPr>
        <w:pStyle w:val="BookText"/>
        <w:rPr/>
      </w:pPr>
      <w:bookmarkEnd w:id="714"/>
      <w:r>
        <w:rPr>
          <w:rFonts w:ascii="Amiri" w:hAnsi="Amiri" w:eastAsia="Amiri" w:cs="Amiri"/>
          <w:color w:val="111111"/>
          <w:sz w:val="28"/>
          <w:sz w:val="28"/>
          <w:szCs w:val="28"/>
          <w:rtl w:val="true"/>
          <w:lang w:bidi="ar-SA"/>
        </w:rPr>
        <w:t>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والصدوقان استثنيا أيضا من الكراهة هنا حالة شدّة البرد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كلامهما كون المقتضي لذلك رعاية حال الميّت لا خوف الغاسل حيث قال الشيخ علي في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تسخّن الماء إلّا أن يكون شتاء باردا فتوقي الميّت ممّا توقي منه نفسك ولا يكون الماء حارّا شديد الحرارة ، وليكن فاترا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ولده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يسخّن الماء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شتاء باردا فتوقي الميّت ممّا توقي منه نفسك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كما دلّ على ذهابهما إلى كون المقتضي لنفي الكراهة حينئذ هو ملاحظة الميّت على خلاف ما ذكره غيرهما من الأصحاب ، فقد دلّ أيضا على أنّ الحجّة في ذلك هي النصّ لا دفع الضرر ، كما احتجّ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من لا يحضره الفقيه وإن لم يصرّح فيها بالحكم حيث أورده بلفظ روي ، إلّا أنّ البناء على قاعدته التي قرّرها في أوّله من أنّه لا يورد فيه من الروايات إلّا ما يفتي به يدلّ على ذلك لا سيّما مع قرب العهد بها كما لا يخفى</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140379_653776707"/>
      <w:bookmarkStart w:id="716" w:name="_Toc264"/>
      <w:bookmarkEnd w:id="715"/>
      <w:r>
        <w:rPr>
          <w:rtl w:val="true"/>
        </w:rPr>
        <w:t xml:space="preserve">مسألة </w:t>
      </w:r>
      <w:r>
        <w:rPr>
          <w:rtl w:val="true"/>
        </w:rPr>
        <w:t>[</w:t>
      </w:r>
      <w:r>
        <w:rPr/>
        <w:t>3</w:t>
      </w:r>
      <w:r>
        <w:rPr>
          <w:rtl w:val="true"/>
        </w:rPr>
        <w:t>] :</w:t>
      </w:r>
      <w:bookmarkEnd w:id="71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بالطهارة بماء الحمّات وهي العيون الحارّة التي يشمّ منها رائحة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 ذلك من الأصحاب مخالفا إلّا ابن الجنيد فإنّه قال في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الحمّات التي لا يوجد إلّا والرائحة المكروهة مقارنة لها كالكبريت وغيره ممّا أكره الطهارة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حيث قال بكراهة استعمالها ، </w:t>
      </w:r>
      <w:bookmarkStart w:id="717" w:name="pg8731_77334"/>
    </w:p>
    <w:p>
      <w:pPr>
        <w:pStyle w:val="BookText"/>
        <w:rPr/>
      </w:pPr>
      <w:bookmarkEnd w:id="717"/>
      <w:r>
        <w:rPr>
          <w:rFonts w:ascii="Amiri" w:hAnsi="Amiri" w:eastAsia="Amiri" w:cs="Amiri"/>
          <w:color w:val="111111"/>
          <w:sz w:val="28"/>
          <w:sz w:val="28"/>
          <w:szCs w:val="28"/>
          <w:rtl w:val="true"/>
          <w:lang w:bidi="ar-SA"/>
        </w:rPr>
        <w:t xml:space="preserve">فيما يحكى عنه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لما قالاه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الصدوق رحمه‌اللّه في من لا يحضره الفقيه أنّ النبيّ صلى‌اللّه‌عليه‌وآله نهى أن يستشفى بها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فوج جهنّم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عدّة أخبار تدلّ على ذلك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حكم كثير من الأصحاب بكراهة التداوي بها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3140381_653776707"/>
      <w:bookmarkStart w:id="719" w:name="_Toc265"/>
      <w:bookmarkEnd w:id="718"/>
      <w:r>
        <w:rPr>
          <w:rtl w:val="true"/>
        </w:rPr>
        <w:t xml:space="preserve">مسألة </w:t>
      </w:r>
      <w:r>
        <w:rPr>
          <w:rtl w:val="true"/>
        </w:rPr>
        <w:t>[</w:t>
      </w:r>
      <w:r>
        <w:rPr/>
        <w:t>4</w:t>
      </w:r>
      <w:r>
        <w:rPr>
          <w:rtl w:val="true"/>
        </w:rPr>
        <w:t>] :</w:t>
      </w:r>
      <w:bookmarkEnd w:id="719"/>
    </w:p>
    <w:p>
      <w:pPr>
        <w:pStyle w:val="BookText"/>
        <w:rPr/>
      </w:pPr>
      <w:r>
        <w:rPr>
          <w:rFonts w:ascii="Amiri" w:hAnsi="Amiri" w:eastAsia="Amiri" w:cs="Amiri"/>
          <w:color w:val="111111"/>
          <w:sz w:val="28"/>
          <w:sz w:val="28"/>
          <w:szCs w:val="28"/>
          <w:rtl w:val="true"/>
          <w:lang w:bidi="ar-SA"/>
        </w:rPr>
        <w:t xml:space="preserve">إذا تغيّر المطلق في أحد الأوصاف بممازجة طاهر أو مجاورته لم يخرج بالتغيير عن إفادة التطهير ما لم يسلبه إطلاق اسم الماء سواء كان المقتضي للتغيير </w:t>
      </w:r>
      <w:r>
        <w:rPr>
          <w:rStyle w:val="FootnoteAnchor"/>
          <w:rtl w:val="true"/>
        </w:rPr>
        <w:footnoteReference w:id="1081"/>
      </w:r>
      <w:r>
        <w:rPr>
          <w:rFonts w:ascii="Amiri" w:hAnsi="Amiri" w:eastAsia="Amiri" w:cs="Amiri"/>
          <w:color w:val="111111"/>
          <w:sz w:val="28"/>
          <w:sz w:val="28"/>
          <w:szCs w:val="28"/>
          <w:rtl w:val="true"/>
          <w:lang w:bidi="ar-SA"/>
        </w:rPr>
        <w:t>ممّا لا ينفكّ الماء عنه كالتراب والطحلب والكبريت وورق الشجر ، أو ممّا ينفكّ كالدقيق والزعفران ، أو من المائعات كاللبن وماء الورد ، أو ممّا يجاوره ولا يشبع فيه كالعود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 في ذلك كلّه لأحد من الأصحاب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حكوا فيه خلافا لبعض العامّة حقيقا بالإعراض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الأصحاب في ذلك إنّ إفادة التطهير منوطة بالمائيّة وهي موجودة فيه ، وأنّ الصحابة كانوا يسافرون وغالب أسقيتهم الأدم وهي لا تنفكّ عن الدباغ المغيّر للماء غالبا ولم يمنع منها ، وأنّ الماء لرطوبته ولطافته منفعل </w:t>
      </w:r>
      <w:bookmarkStart w:id="720" w:name="pg8731_77335"/>
    </w:p>
    <w:p>
      <w:pPr>
        <w:pStyle w:val="BookText"/>
        <w:rPr/>
      </w:pPr>
      <w:bookmarkEnd w:id="720"/>
      <w:r>
        <w:rPr>
          <w:rFonts w:ascii="Amiri" w:hAnsi="Amiri" w:eastAsia="Amiri" w:cs="Amiri"/>
          <w:color w:val="111111"/>
          <w:sz w:val="28"/>
          <w:sz w:val="28"/>
          <w:szCs w:val="28"/>
          <w:rtl w:val="true"/>
          <w:lang w:bidi="ar-SA"/>
        </w:rPr>
        <w:t>بالكيفيّات الملاقية ، فلو خرج بتغيّر أحد الأوصاف عن التطهير لعسرت الطهارة ؛ لأنّه لا يكاد ينفكّ عن التكيّف برائحة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معه ما لا يكفيه لطهارته فأكمله بمائع فإن لم يسلبه الإطلاق صحّ الوضوء به ؛ لاستهلاك المائع فيه وبقاء الصفة المقتضية للتطهير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الأصحاب أنّ هذا الحكم موضع وفاق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يعلم من الحكم بعدم تأثير تغيّر أحد الأوصاف بمثله حيث لا يوجب الخروج عن الاسم كما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وجوب الإكمال حينئذ إذا لم يجد ماء آخر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في ذلك باب التيمّم</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3140383_653776707"/>
      <w:bookmarkStart w:id="722" w:name="_Toc266"/>
      <w:bookmarkEnd w:id="721"/>
      <w:r>
        <w:rPr>
          <w:rtl w:val="true"/>
        </w:rPr>
        <w:t xml:space="preserve">مسألة </w:t>
      </w:r>
      <w:r>
        <w:rPr>
          <w:rtl w:val="true"/>
        </w:rPr>
        <w:t>[</w:t>
      </w:r>
      <w:r>
        <w:rPr/>
        <w:t>5</w:t>
      </w:r>
      <w:r>
        <w:rPr>
          <w:rtl w:val="true"/>
        </w:rPr>
        <w:t>] :</w:t>
      </w:r>
      <w:bookmarkEnd w:id="722"/>
    </w:p>
    <w:p>
      <w:pPr>
        <w:pStyle w:val="BookText"/>
        <w:rPr/>
      </w:pPr>
      <w:r>
        <w:rPr>
          <w:rFonts w:ascii="Amiri" w:hAnsi="Amiri" w:eastAsia="Amiri" w:cs="Amiri"/>
          <w:color w:val="111111"/>
          <w:sz w:val="28"/>
          <w:sz w:val="28"/>
          <w:szCs w:val="28"/>
          <w:rtl w:val="true"/>
          <w:lang w:bidi="ar-SA"/>
        </w:rPr>
        <w:t>وإذا حصل التغيّر للمطلق من قبل نفسه لطول المكث فإن بقي صدق الاسم فهو على حكمه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الأمرين ظاهر ممّا سلف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كثير من الأصحاب كراهة الطهارة به على تقدير بقاء الاسم مع وجدان غيره ؛ استنادا إلى ما رواه الشيخ في الحسن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الماء الآجن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أن يجد ماء غيره فيتنزّه </w:t>
      </w:r>
      <w:bookmarkStart w:id="723" w:name="pg8731_77336"/>
    </w:p>
    <w:p>
      <w:pPr>
        <w:pStyle w:val="BookText"/>
        <w:rPr/>
      </w:pPr>
      <w:bookmarkEnd w:id="723"/>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مستخبث طبعا فكان اجتنابه أنسب بحال المستظهر </w:t>
      </w:r>
      <w:r>
        <w:rPr>
          <w:rStyle w:val="FootnoteAnchor"/>
          <w:rtl w:val="true"/>
        </w:rPr>
        <w:footnoteReference w:id="1084"/>
      </w:r>
      <w:r>
        <w:rPr>
          <w:rFonts w:ascii="IRNazanin" w:hAnsi="IRNazanin" w:eastAsia="IRNazanin"/>
          <w:color w:val="111111"/>
          <w:sz w:val="28"/>
          <w:sz w:val="28"/>
          <w:szCs w:val="28"/>
          <w:rtl w:val="true"/>
          <w:lang w:bidi="fa-IR"/>
        </w:rPr>
        <w:t>لطهارته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يقدح في الاحتجاج بالحديث كونه أخصّ من المدّعى حيث لا تعرّض فيه لغير الوضوء ، فقد قرّبه الشهيد في الذكرى بأنّ الغسل أولى لقوّته وإزالة الخبث أحرى ؛ لأنّ العينيّة أشدّ من الحكميّة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3140385_653776707"/>
      <w:bookmarkStart w:id="725" w:name="_Toc267"/>
      <w:bookmarkEnd w:id="724"/>
      <w:r>
        <w:rPr>
          <w:rtl w:val="true"/>
        </w:rPr>
        <w:t xml:space="preserve">مسألة </w:t>
      </w:r>
      <w:r>
        <w:rPr>
          <w:rtl w:val="true"/>
        </w:rPr>
        <w:t>[</w:t>
      </w:r>
      <w:r>
        <w:rPr/>
        <w:t>6</w:t>
      </w:r>
      <w:r>
        <w:rPr>
          <w:rtl w:val="true"/>
        </w:rPr>
        <w:t>] :</w:t>
      </w:r>
      <w:bookmarkEnd w:id="725"/>
    </w:p>
    <w:p>
      <w:pPr>
        <w:pStyle w:val="Heading6"/>
        <w:numPr>
          <w:ilvl w:val="5"/>
          <w:numId w:val="1"/>
        </w:numPr>
        <w:rPr/>
      </w:pPr>
      <w:bookmarkStart w:id="726" w:name="__RefHeading___Toc3140387_653776707"/>
      <w:bookmarkStart w:id="727" w:name="_Toc268"/>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قد بيّنا أنّ جمود الماء يخرجه عن الاسم ويلحقه بالجامدات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ادّعاء العلّامة في المنتهى عدم خروجه بذلك عنه </w:t>
      </w:r>
      <w:r>
        <w:rPr>
          <w:rStyle w:val="FootnoteAnchor"/>
          <w:rtl w:val="true"/>
        </w:rPr>
        <w:footnoteReference w:id="108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استعمل أحدهما في الطهارة بحيث يصدق معه مسمّى الغسل في الوضوء أو الغسل بأن ينحلّ منه بعض الأجزاء وتجري على الأعضاء بقدر ما يتوقّف عليه صدق اسم الغسل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فيه الشيخ في الخلاف إجماع الفرقة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لم أعرف فيه من الأصحاب مخالفا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 الشيخ في الخلاف الاكتفاء في صحّة الوضوء به بمجرّد </w:t>
      </w:r>
    </w:p>
    <w:p>
      <w:pPr>
        <w:pStyle w:val="BookText"/>
        <w:rPr/>
      </w:pPr>
      <w:r>
        <w:rPr>
          <w:rFonts w:ascii="Amiri" w:hAnsi="Amiri" w:eastAsia="Amiri" w:cs="Amiri"/>
          <w:color w:val="111111"/>
          <w:sz w:val="28"/>
          <w:sz w:val="28"/>
          <w:szCs w:val="28"/>
          <w:rtl w:val="true"/>
          <w:lang w:bidi="ar-SA"/>
        </w:rPr>
        <w:t>الدهن وأنّ ذلك ثابت بالإجماع ولولاه لم يكتف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 هذا المعنى ببحث الوضوء أليق ؛ إذ الغرض هنا إثبات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بالانحلال يعود إليه اسم الماء فيثبت له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يجنب في السفر لا يجد إلّا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بالثلج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الجنب أو على غير وضوء لا يكون معه ماء وهو يصيب ثلجا وصعيدا أيّهما أفضل أيتيمّم أم يمسح بالثلج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إذا بلّ رأسه وجسده أفضل ، فإن لم يقدر على أن يغتسل به فليتيمّم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شريح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يصيبنا الدمق والثلج ونريد أن نتوضّأ ولا نجد إلّا ماء جامدا ، فكيف أتوضّأ؟ أدلّك به جلدي؟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الكليني في الكافي عن محمّد بن مسلم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أجنب في سفر ولم يجد إلّا الثلج أو ماء جامدا؟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الضرورة يتيمّم ، ولا نرى أن يعود إلى هذه الأرض التي توثق دينه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ما إذا لم يتمكّن من استعماله على وجه </w:t>
      </w:r>
      <w:bookmarkStart w:id="728" w:name="pg8731_77338"/>
    </w:p>
    <w:p>
      <w:pPr>
        <w:pStyle w:val="BookText"/>
        <w:rPr/>
      </w:pPr>
      <w:bookmarkEnd w:id="728"/>
      <w:r>
        <w:rPr>
          <w:rFonts w:ascii="Amiri" w:hAnsi="Amiri" w:eastAsia="Amiri" w:cs="Amiri"/>
          <w:color w:val="111111"/>
          <w:sz w:val="28"/>
          <w:sz w:val="28"/>
          <w:szCs w:val="28"/>
          <w:rtl w:val="true"/>
          <w:lang w:bidi="ar-SA"/>
        </w:rPr>
        <w:t>يصدق معه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في تلك الأراضي التي لا يوجد فيها إلّا الثلج أو الجمد شدّة البرودة المانعة من الملامسة فيحمل عليه لظهوره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أنّ صحّة استعمال الثلج والجمد لا يختصّ بحال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اشتراطه بتحقّق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يبقى بينه وبين غيره من المياه فرق وأمّا على ما يظهر من كلام الشيخ من الاكتفاء فيه بالدهن وجعل ذلك من خصوصيّاته </w:t>
      </w:r>
      <w:r>
        <w:rPr>
          <w:rStyle w:val="FootnoteAnchor"/>
          <w:rtl w:val="true"/>
        </w:rPr>
        <w:footnoteReference w:id="1094"/>
      </w:r>
      <w:r>
        <w:rPr>
          <w:rFonts w:ascii="Amiri" w:hAnsi="Amiri" w:eastAsia="Amiri" w:cs="Amiri"/>
          <w:color w:val="111111"/>
          <w:sz w:val="28"/>
          <w:sz w:val="28"/>
          <w:szCs w:val="28"/>
          <w:rtl w:val="true"/>
          <w:lang w:bidi="ar-SA"/>
        </w:rPr>
        <w:t>، فالذي ينبغي تقييده بحال الضرورة</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3140389_653776707"/>
      <w:bookmarkStart w:id="730" w:name="_Toc269"/>
      <w:bookmarkEnd w:id="729"/>
      <w:r>
        <w:rPr>
          <w:rtl w:val="true"/>
        </w:rPr>
        <w:t xml:space="preserve">فرع </w:t>
      </w:r>
      <w:r>
        <w:rPr>
          <w:rtl w:val="true"/>
        </w:rPr>
        <w:t>:</w:t>
      </w:r>
      <w:bookmarkEnd w:id="730"/>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الذائب من الثلج والبرد يجوز التطهّر به أمّا الملح الذائب إذا كان أصله من السبخ فلا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يلوح منه أنّه يرى الفرق في الملح بين ما أصله من السبخ وهو المسمّى بالجبلي وبين ما أصله الماء ويعبّر عنه بالمائي وأنّ المنع من الاستعمال في الطهارة مخصوص بالجبلي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النهاية كلام يخالف هذا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 المائي أصله الأرض أيضا ؛ لأنّ المياه تنزل من السماء عذبة ثمّ يختلط بها أجزاء السبخة فينعقد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تذوب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منعقدا من الماء لذاب كالمجمّد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 xml:space="preserve">. </w:t>
      </w:r>
      <w:bookmarkStart w:id="731" w:name="pg8731_77339"/>
    </w:p>
    <w:p>
      <w:pPr>
        <w:pStyle w:val="Heading6"/>
        <w:numPr>
          <w:ilvl w:val="5"/>
          <w:numId w:val="1"/>
        </w:numPr>
        <w:rPr/>
      </w:pPr>
      <w:bookmarkStart w:id="732" w:name="__RefHeading___Toc3140391_653776707"/>
      <w:bookmarkStart w:id="733" w:name="_Toc270"/>
      <w:bookmarkEnd w:id="731"/>
      <w:bookmarkEnd w:id="732"/>
      <w:r>
        <w:rPr>
          <w:rtl w:val="true"/>
        </w:rPr>
        <w:t xml:space="preserve">مسألة </w:t>
      </w:r>
      <w:r>
        <w:rPr>
          <w:rtl w:val="true"/>
        </w:rPr>
        <w:t>[</w:t>
      </w:r>
      <w:r>
        <w:rPr/>
        <w:t>7</w:t>
      </w:r>
      <w:r>
        <w:rPr>
          <w:rtl w:val="true"/>
        </w:rPr>
        <w:t>] :</w:t>
      </w:r>
      <w:bookmarkEnd w:id="733"/>
    </w:p>
    <w:p>
      <w:pPr>
        <w:pStyle w:val="BookText"/>
        <w:rPr/>
      </w:pPr>
      <w:r>
        <w:rPr>
          <w:rFonts w:ascii="Amiri" w:hAnsi="Amiri" w:eastAsia="Amiri" w:cs="Amiri"/>
          <w:color w:val="111111"/>
          <w:sz w:val="28"/>
          <w:sz w:val="28"/>
          <w:szCs w:val="28"/>
          <w:rtl w:val="true"/>
          <w:lang w:bidi="ar-SA"/>
        </w:rPr>
        <w:t>ماء البحر كغيره من أصناف الماء المطلق فيجوز استعماله في الطهارة وإن وجد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موضع وفاق بيننا ؛ إذ حكى فيه إجماعنا جمع من الأصحاب ، منهم الشيخ في الخلاف </w:t>
      </w:r>
      <w:r>
        <w:rPr>
          <w:rStyle w:val="FootnoteAnchor"/>
          <w:rtl w:val="true"/>
        </w:rPr>
        <w:footnoteReference w:id="1097"/>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1098"/>
      </w:r>
      <w:r>
        <w:rPr>
          <w:rFonts w:ascii="Amiri" w:hAnsi="Amiri" w:eastAsia="Amiri" w:cs="Amiri"/>
          <w:color w:val="111111"/>
          <w:sz w:val="28"/>
          <w:sz w:val="28"/>
          <w:szCs w:val="28"/>
          <w:rtl w:val="true"/>
          <w:lang w:bidi="ar-SA"/>
        </w:rPr>
        <w:t xml:space="preserve">والعلّامة في المنتهى والتذكرة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الجمهور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شذوذ منهم الخلاف فيه وهو ممّا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الحكم مع الإجماع المذكور أنّه يصدق عليه اسم الماء فيساوي غيره في تناول عموم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ماء البحر أطهور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أبو بكر الحضرمي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ماء البحر أطهور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734" w:name="pg8731_77340"/>
    </w:p>
    <w:p>
      <w:pPr>
        <w:pStyle w:val="Heading6"/>
        <w:numPr>
          <w:ilvl w:val="5"/>
          <w:numId w:val="1"/>
        </w:numPr>
        <w:rPr/>
      </w:pPr>
      <w:bookmarkStart w:id="735" w:name="__RefHeading___Toc3140393_653776707"/>
      <w:bookmarkStart w:id="736" w:name="_Toc271"/>
      <w:bookmarkEnd w:id="734"/>
      <w:bookmarkEnd w:id="735"/>
      <w:r>
        <w:rPr>
          <w:rtl w:val="true"/>
        </w:rPr>
        <w:t xml:space="preserve">مسألة </w:t>
      </w:r>
      <w:r>
        <w:rPr>
          <w:rtl w:val="true"/>
        </w:rPr>
        <w:t>[</w:t>
      </w:r>
      <w:r>
        <w:rPr/>
        <w:t>8</w:t>
      </w:r>
      <w:r>
        <w:rPr>
          <w:rtl w:val="true"/>
        </w:rPr>
        <w:t>] :</w:t>
      </w:r>
      <w:bookmarkEnd w:id="736"/>
    </w:p>
    <w:p>
      <w:pPr>
        <w:pStyle w:val="BookText"/>
        <w:rPr/>
      </w:pPr>
      <w:r>
        <w:rPr>
          <w:rFonts w:ascii="Amiri" w:hAnsi="Amiri" w:eastAsia="Amiri" w:cs="Amiri"/>
          <w:color w:val="111111"/>
          <w:sz w:val="28"/>
          <w:sz w:val="28"/>
          <w:szCs w:val="28"/>
          <w:rtl w:val="true"/>
          <w:lang w:bidi="ar-SA"/>
        </w:rPr>
        <w:t xml:space="preserve">ذهب الشيخ في النهاية إلى المنع من استعمال الماء الذي وقع فيه الوزغ وخرج منه حيّا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والوزغ إذا وقع في الماء ثمّ خرج منه لم يجز استعماله على حال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الصدوقين يعطي ذلك أيضا حيث قال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وقع وزغ في إناء فيه ماء اهريق ذلك الماء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هذه العبارة عبارة والده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الشيخ بنى ذلك على ما حكم به في باب تطهير الثياب من مساواة الوزغ للكلب والخنزير في وجوب غسل ما يصيبه من الثوب أو البدن برطوبة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وبيان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كلام الصدوقين ناظر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المحقّق في المعتبر بعد حكايته لهذا الحكم عن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الكراهيّة تمسّكا بالأصل ؛ ولأنّه ليس بنجس العين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علي بن جعفر عن أخيه موسى بن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العظاية والحيّة والوزغ يقع في الماء فلا يموت أيتوضّأ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المحقّق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ذكره صحيح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الكراهيّة رعاية الخروج من خلاف الجماعة</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8731_77342"/>
      <w:bookmarkStart w:id="738" w:name="pg8731_77342"/>
      <w:bookmarkEnd w:id="738"/>
    </w:p>
    <w:p>
      <w:pPr>
        <w:pStyle w:val="Heading5"/>
        <w:numPr>
          <w:ilvl w:val="4"/>
          <w:numId w:val="1"/>
        </w:numPr>
        <w:rPr/>
      </w:pPr>
      <w:bookmarkStart w:id="739" w:name="pg8731_77342"/>
      <w:bookmarkStart w:id="740" w:name="__RefHeading___Toc3140395_653776707"/>
      <w:bookmarkStart w:id="741" w:name="_Toc272"/>
      <w:bookmarkEnd w:id="739"/>
      <w:bookmarkEnd w:id="740"/>
      <w:r>
        <w:rPr>
          <w:rtl w:val="true"/>
        </w:rPr>
        <w:t xml:space="preserve">المقام الثاني </w:t>
      </w:r>
      <w:r>
        <w:rPr>
          <w:rtl w:val="true"/>
        </w:rPr>
        <w:t xml:space="preserve">: </w:t>
      </w:r>
      <w:r>
        <w:rPr>
          <w:rtl w:val="true"/>
        </w:rPr>
        <w:t>في المضاف</w:t>
      </w:r>
      <w:bookmarkEnd w:id="74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42" w:name="__RefHeading___Toc3140397_653776707"/>
      <w:bookmarkStart w:id="743" w:name="_Toc273"/>
      <w:bookmarkEnd w:id="742"/>
      <w:r>
        <w:rPr>
          <w:rtl w:val="true"/>
        </w:rPr>
        <w:t>اشارة</w:t>
      </w:r>
      <w:bookmarkEnd w:id="74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8731_77344"/>
      <w:bookmarkStart w:id="745" w:name="pg8731_77344"/>
      <w:bookmarkEnd w:id="745"/>
    </w:p>
    <w:p>
      <w:pPr>
        <w:pStyle w:val="BookText"/>
        <w:rPr/>
      </w:pPr>
      <w:bookmarkStart w:id="746" w:name="pg8731_77344"/>
      <w:bookmarkEnd w:id="746"/>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 المضاف</w:t>
      </w:r>
    </w:p>
    <w:p>
      <w:pPr>
        <w:pStyle w:val="Heading6"/>
        <w:numPr>
          <w:ilvl w:val="5"/>
          <w:numId w:val="1"/>
        </w:numPr>
        <w:rPr/>
      </w:pPr>
      <w:bookmarkStart w:id="747" w:name="__RefHeading___Toc3140399_653776707"/>
      <w:bookmarkStart w:id="748" w:name="_Toc274"/>
      <w:bookmarkEnd w:id="747"/>
      <w:r>
        <w:rPr>
          <w:rtl w:val="true"/>
        </w:rPr>
        <w:t xml:space="preserve">مسألة </w:t>
      </w:r>
      <w:r>
        <w:rPr>
          <w:rtl w:val="true"/>
        </w:rPr>
        <w:t>[</w:t>
      </w:r>
      <w:r>
        <w:rPr/>
        <w:t>1</w:t>
      </w:r>
      <w:r>
        <w:rPr>
          <w:rtl w:val="true"/>
        </w:rPr>
        <w:t>] :</w:t>
      </w:r>
      <w:bookmarkEnd w:id="748"/>
    </w:p>
    <w:p>
      <w:pPr>
        <w:pStyle w:val="BookText"/>
        <w:rPr/>
      </w:pPr>
      <w:r>
        <w:rPr>
          <w:rFonts w:ascii="Amiri" w:hAnsi="Amiri" w:eastAsia="Amiri" w:cs="Amiri"/>
          <w:color w:val="111111"/>
          <w:sz w:val="28"/>
          <w:sz w:val="28"/>
          <w:szCs w:val="28"/>
          <w:rtl w:val="true"/>
          <w:lang w:bidi="ar-SA"/>
        </w:rPr>
        <w:t xml:space="preserve">الماء المضاف هو ما لا ينصرف إليه لفظ الماء عند الإطلاق في العرف ، ويصدق عليه مع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كالمصعّد من الأنوار ، والمعتصر من الثمار ، والممتزج بما يسلبه صدق الاسم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أصل الطهارة بإجماع الناس فيما حكاه المحقّق وغيره </w:t>
      </w:r>
      <w:r>
        <w:rPr>
          <w:rStyle w:val="FootnoteAnchor"/>
          <w:rtl w:val="true"/>
        </w:rPr>
        <w:footnoteReference w:id="1107"/>
      </w:r>
      <w:r>
        <w:rPr>
          <w:rFonts w:ascii="Amiri" w:hAnsi="Amiri" w:eastAsia="Amiri" w:cs="Amiri"/>
          <w:color w:val="111111"/>
          <w:sz w:val="28"/>
          <w:sz w:val="28"/>
          <w:szCs w:val="28"/>
          <w:rtl w:val="true"/>
          <w:lang w:bidi="ar-SA"/>
        </w:rPr>
        <w:t>، ولأنّ النجاسة حكم يستفاد من الأدلّة الشرعيّة ، ولا دليل هنا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وينجس بملاقاة النجاسة له وإن كان كثيرا ، وذلك مذهب الأصحاب لا يعرف فيه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المعتبر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هو قول علمائنا أجمع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نفى الخلاف بيننا فيه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الشهيدان في الذكرى والروضة </w:t>
      </w:r>
    </w:p>
    <w:p>
      <w:pPr>
        <w:pStyle w:val="BookText"/>
        <w:rPr/>
      </w:pPr>
      <w:r>
        <w:rPr>
          <w:rFonts w:ascii="Amiri" w:hAnsi="Amiri" w:eastAsia="Amiri" w:cs="Amiri"/>
          <w:color w:val="111111"/>
          <w:sz w:val="28"/>
          <w:sz w:val="28"/>
          <w:szCs w:val="28"/>
          <w:rtl w:val="true"/>
          <w:lang w:bidi="ar-SA"/>
        </w:rPr>
        <w:t xml:space="preserve">والروض بدعوى الإجماع عليه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احتجّوا له مع ذلك بما رواه زرارة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الفأرة في السمن فماتت ، فإن كان جامدا فألقها وما يليها وكل ما بقي ، وإن كان ذائبا فلا تأكله واستصبح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مثل ذلك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المائع قابل للنجاسة ، والنجاسة موجبة لنجاسة ما لاقته فيظهر حكمها عند الملاقاة ثمّ تسري النجاسة بممازجة المائع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والكلفة على الوجهين ظاهرة ؛ فإنّ مورد الرواية ليس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الاشتراك في المائعيّة وأنّها هي المقتضية للنجاسة حينئذ بقرينة المقابلة الحكم الجمود وأنّ الماء المطلق خرج بالدليل ممكن لكنّه عين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المائع قابل للنجاسة ، والنجاسة موجبة لنجاسة ما 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منظور فيه ؛ فإنّ قبول المائع للنجاسة إن كان باعتبار الرطوبة المقتضية للتأثّر عند ملاقاة النجس فمن البيّن أنّها موجودة في كثير من أفراد الجامد الذي من شأنه الميعان كالسمن ، ولا ريب في عدم تأثّره بنجاسة ما يتّصل به من أجزائه المحكوم بنجاستها مع تحقّق الملاقاة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بهذا في الحديث الذي احتجّوا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باعتبار الدليل الدالّ عليه فكان الأولى الاحتجاج به على تقدير وجوده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الملحوظ في الاحتجاج هو الاحتمال الأوّل ؛ إذ لم نجد في الروايات ما يقتضي تعلّق الحكم بعنوان المائع على جهة العموم ، وإنّما ورد </w:t>
      </w:r>
      <w:bookmarkStart w:id="749" w:name="pg8731_77346"/>
    </w:p>
    <w:p>
      <w:pPr>
        <w:pStyle w:val="BookText"/>
        <w:rPr/>
      </w:pPr>
      <w:bookmarkEnd w:id="749"/>
      <w:r>
        <w:rPr>
          <w:rFonts w:ascii="Amiri" w:hAnsi="Amiri" w:eastAsia="Amiri" w:cs="Amiri"/>
          <w:color w:val="111111"/>
          <w:sz w:val="28"/>
          <w:sz w:val="28"/>
          <w:szCs w:val="28"/>
          <w:rtl w:val="true"/>
          <w:lang w:bidi="ar-SA"/>
        </w:rPr>
        <w:t>معلّقا بمائع خاصّ فيحتاج التعدية إلى ارتكاب التكلّف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فكون الحكم إجماعيّا يسهّل الخطب</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3140401_653776707"/>
      <w:bookmarkStart w:id="751" w:name="_Toc275"/>
      <w:bookmarkEnd w:id="750"/>
      <w:r>
        <w:rPr>
          <w:rtl w:val="true"/>
        </w:rPr>
        <w:t xml:space="preserve">مسألة </w:t>
      </w:r>
      <w:r>
        <w:rPr>
          <w:rtl w:val="true"/>
        </w:rPr>
        <w:t>[</w:t>
      </w:r>
      <w:r>
        <w:rPr/>
        <w:t>2</w:t>
      </w:r>
      <w:r>
        <w:rPr>
          <w:rtl w:val="true"/>
        </w:rPr>
        <w:t>] :</w:t>
      </w:r>
      <w:bookmarkEnd w:id="751"/>
    </w:p>
    <w:p>
      <w:pPr>
        <w:pStyle w:val="BookText"/>
        <w:rPr/>
      </w:pPr>
      <w:r>
        <w:rPr>
          <w:rFonts w:ascii="Amiri" w:hAnsi="Amiri" w:eastAsia="Amiri" w:cs="Amiri"/>
          <w:color w:val="111111"/>
          <w:sz w:val="28"/>
          <w:sz w:val="28"/>
          <w:szCs w:val="28"/>
          <w:rtl w:val="true"/>
          <w:lang w:bidi="ar-SA"/>
        </w:rPr>
        <w:t xml:space="preserve">جمهور الأصحاب على أنّ الماء المضاف لا يرفع الحدث بل ادّعى عليه الإجماع جماعة منهم المحقّق في الشرائع </w:t>
      </w:r>
      <w:r>
        <w:rPr>
          <w:rStyle w:val="FootnoteAnchor"/>
          <w:rtl w:val="true"/>
        </w:rPr>
        <w:footnoteReference w:id="1113"/>
      </w:r>
      <w:r>
        <w:rPr>
          <w:rFonts w:ascii="Amiri" w:hAnsi="Amiri" w:eastAsia="Amiri" w:cs="Amiri"/>
          <w:color w:val="111111"/>
          <w:sz w:val="28"/>
          <w:sz w:val="28"/>
          <w:szCs w:val="28"/>
          <w:rtl w:val="true"/>
          <w:lang w:bidi="ar-SA"/>
        </w:rPr>
        <w:t xml:space="preserve">والعلّامة في النهاية والمنتهى </w:t>
      </w:r>
      <w:r>
        <w:rPr>
          <w:rStyle w:val="FootnoteAnchor"/>
          <w:rtl w:val="true"/>
        </w:rPr>
        <w:footnoteReference w:id="1114"/>
      </w:r>
      <w:r>
        <w:rPr>
          <w:rFonts w:ascii="Amiri" w:hAnsi="Amiri" w:eastAsia="Amiri" w:cs="Amiri"/>
          <w:color w:val="111111"/>
          <w:sz w:val="28"/>
          <w:sz w:val="28"/>
          <w:szCs w:val="28"/>
          <w:rtl w:val="true"/>
          <w:lang w:bidi="ar-SA"/>
        </w:rPr>
        <w:t xml:space="preserve">، والشهيد في الذكرى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ذلك الصدوق رحمه‌اللّه فقال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بالوضوء والغسل من الجنابة والاستياك بماء الورد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الشيخ في الخلاف عن قوم من أصحاب الحديث منّا أنّهم أجازوا الوضوء بماء الورد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عندي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أوجب عند عدم الماء المطلق التيمّم ، فعلم انتفاء الواسطة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عن أبي بصير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 xml:space="preserve">يكون معه اللبن أيتوضّأ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الماء والصعيد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وكلمة إنّما للحصر بنصّ أهل اللغة وقضاء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ذهب إليه الصدوق رحمه‌اللّه فلا نعلم تمسّكه فيه بأي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مستنده ما رواه سهل بن زياد عن محمّد بن عيسى بن عبيد عن يونس 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يتوضّأ بماء الورد ويغتسل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أجاب عنه بالطعن في السند أوّلا ؛ فإنّ سهلا ومحمّد بن عيسى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وبمنع دلالته على موضع النزاع ثانيا ؛ لأنّه يحتمل السؤال عن الوضوء والغسل به للتطيّب والتحسّن لا لرفع الحدث ، ولأنّ تسميته بماء الورد قد تكون لإضافة قليلة لا تسلبه إطلاق اسم الماء فيحتمل أن تكون الإشارة إلى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الشيخ المحقّق إلى الكلام على هذا الحديث بنحو ما حكيناه عن المحقّق مبالغا في تقريبه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خبر شاذّ شديد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تكرّر في الكتب والاصول فإنّما أصله يونس عن أبي الحسن ولم يروه غيره وقد أجمعت العصابة على ترك العمل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هذا حكمه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لاحتمل أن يكون أراد به الوضوء الذي هو التحسين وقد بيّنا فيما تقدّم أنّ ذلك يسمّى 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لأحد أن يقول إنّ في الخبر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الورد يتوضّأ به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لا ينافي ما قلناه ؛ لأنّه يجوز أن يستعمل للتحسين ومع هذا يقصد </w:t>
      </w:r>
      <w:r>
        <w:rPr>
          <w:rStyle w:val="FootnoteAnchor"/>
          <w:rtl w:val="true"/>
        </w:rPr>
        <w:footnoteReference w:id="1122"/>
      </w:r>
      <w:r>
        <w:rPr>
          <w:rFonts w:ascii="Amiri" w:hAnsi="Amiri" w:eastAsia="Amiri" w:cs="Amiri"/>
          <w:color w:val="111111"/>
          <w:sz w:val="28"/>
          <w:sz w:val="28"/>
          <w:szCs w:val="28"/>
          <w:rtl w:val="true"/>
          <w:lang w:bidi="ar-SA"/>
        </w:rPr>
        <w:t>الدخول به في الصلاة من حيث إنّه متى استعمل الرائحة الطيّبة لدخوله في الصلاة ولمناجاة ربّه كان أفضل من أن يقصد التلذّذ به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يكون أراد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وقع فيه الورد لأنّ ذلك قد يسمّى ماء ورد وإن لم يكن معتصرا منه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في شرح حديث رواه في الصحيح عن ابن بكير عن عبيد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الدقيق يتوضّأ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يتوضّأ به وينتفع به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يجوز التمسّح به والتوضّؤ الذي هو التحسين دون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الشيخ روى في الصحيح عن عبد اللّه بن المغيرة عن بعض الصادقين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الرجل لا يقدر على الماء وهو يقدر على اللبن فلا يتوضّأ باللبن إنّما هو الماء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الماء وكان نبيذا فإنّي سمعت حريزا يذكر في حديث أنّ النبيّ صلى‌اللّه‌عليه‌وآله قد توضّأ بنبيذ ولم يقدر على الماء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الشيخ وغيره من الأصحاب على هذا الحديث حيث ادّعي </w:t>
      </w:r>
    </w:p>
    <w:p>
      <w:pPr>
        <w:pStyle w:val="BookText"/>
        <w:rPr/>
      </w:pPr>
      <w:r>
        <w:rPr>
          <w:rFonts w:ascii="Amiri" w:hAnsi="Amiri" w:eastAsia="Amiri" w:cs="Amiri"/>
          <w:color w:val="111111"/>
          <w:sz w:val="28"/>
          <w:sz w:val="28"/>
          <w:szCs w:val="28"/>
          <w:rtl w:val="true"/>
          <w:lang w:bidi="ar-SA"/>
        </w:rPr>
        <w:t>الإجماع على ترك العمل بظاهره فطعنوا فيه بالإرسال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الشيخ والعلّامة بأنّ عبد اللّه بن المغيرة لم يسند إلى إمام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قطعا إلى الإمام بل ولا ظاهرا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فإنّ الظاهر من هذه الكناية كونها عن الصادق عليه‌السلام لكن المتعلّق بهذه العبارة من الحديث لا إشكال فيه ، وموضع البحث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حريزا يذكر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مرسل قطعا ؛ إذ لم يذكر الواسطة في النقل عن النبيّ صلى‌اللّه‌عليه‌وآله وليس هذا الكلام من تتمّة الكلام الأوّل كما لا يخفى ، بل هو كلام مستأنف ابتداؤه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عبد اللّه بن المغيرة بطريق الضميمة إلى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الشهيد رحمه‌اللّه في الذكرى الطعن فيه بالإرسال </w:t>
      </w:r>
      <w:r>
        <w:rPr>
          <w:rStyle w:val="FootnoteAnchor"/>
          <w:rtl w:val="true"/>
        </w:rPr>
        <w:footnoteReference w:id="1127"/>
      </w:r>
      <w:r>
        <w:rPr>
          <w:rFonts w:ascii="Amiri" w:hAnsi="Amiri" w:eastAsia="Amiri" w:cs="Amiri"/>
          <w:color w:val="111111"/>
          <w:sz w:val="28"/>
          <w:sz w:val="28"/>
          <w:szCs w:val="28"/>
          <w:rtl w:val="true"/>
          <w:lang w:bidi="ar-SA"/>
        </w:rPr>
        <w:t>، فسلم كلامه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تأوّلوا متنه ثانيا فحملوه على ماء مالح طيّب بتمرات يسيرة طرحت فيه حتّى عذب ولم يخرجه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وقرّبوه بأنّ النبيذ في اللغة هو ما ينبذ فيه الشي‌ء فيجوز أن يسمّى مثل هذا نبيذا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له الشيخ مع ذلك بما رواه سماعة بن مهران عن الكليني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عليه‌السلام 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ننبذه فنطرح فيه </w:t>
      </w:r>
      <w:bookmarkStart w:id="752" w:name="pg8731_77350"/>
    </w:p>
    <w:p>
      <w:pPr>
        <w:pStyle w:val="BookText"/>
        <w:rPr/>
      </w:pPr>
      <w:bookmarkEnd w:id="752"/>
      <w:r>
        <w:rPr>
          <w:rFonts w:ascii="Amiri" w:hAnsi="Amiri" w:eastAsia="Amiri" w:cs="Amiri"/>
          <w:color w:val="111111"/>
          <w:sz w:val="28"/>
          <w:sz w:val="28"/>
          <w:szCs w:val="28"/>
          <w:rtl w:val="true"/>
          <w:lang w:bidi="ar-SA"/>
        </w:rPr>
        <w:t>العكر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نبيذ تعني؟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شكوا إلى رسول اللّه صلى‌اللّه‌عليه‌وآله تغيّر الماء وفساد طبائعهم فأمرهم أن ينبذوا ، فكان الرجل يأمر خادمه أن ينبذ له فيعمد إلى كفّ من تمر فيقذف به في الشنّ فمنه شربه ومنه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عدد التمر الذي في الكفّ؟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أو ثنتين؟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وربّما كانت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يسع الشنّ؟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إلى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بالأرطال؟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مكيال العراق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3140403_653776707"/>
      <w:bookmarkStart w:id="754" w:name="_Toc276"/>
      <w:bookmarkEnd w:id="753"/>
      <w:r>
        <w:rPr>
          <w:rtl w:val="true"/>
        </w:rPr>
        <w:t xml:space="preserve">مسألة </w:t>
      </w:r>
      <w:r>
        <w:rPr>
          <w:rtl w:val="true"/>
        </w:rPr>
        <w:t>[</w:t>
      </w:r>
      <w:r>
        <w:rPr/>
        <w:t>3</w:t>
      </w:r>
      <w:r>
        <w:rPr>
          <w:rtl w:val="true"/>
        </w:rPr>
        <w:t>] :</w:t>
      </w:r>
      <w:bookmarkEnd w:id="754"/>
    </w:p>
    <w:p>
      <w:pPr>
        <w:pStyle w:val="Heading6"/>
        <w:numPr>
          <w:ilvl w:val="5"/>
          <w:numId w:val="1"/>
        </w:numPr>
        <w:rPr/>
      </w:pPr>
      <w:bookmarkStart w:id="755" w:name="__RefHeading___Toc3140405_653776707"/>
      <w:bookmarkStart w:id="756" w:name="_Toc277"/>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وللأصحاب في إزالة النجاسة بالمضاف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وهو قول المعظم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وهو اختيار الشيخ المفيد </w:t>
      </w:r>
      <w:r>
        <w:rPr>
          <w:rStyle w:val="FootnoteAnchor"/>
          <w:rtl w:val="true"/>
        </w:rPr>
        <w:footnoteReference w:id="1130"/>
      </w:r>
      <w:r>
        <w:rPr>
          <w:rFonts w:ascii="Amiri" w:hAnsi="Amiri" w:eastAsia="Amiri" w:cs="Amiri"/>
          <w:color w:val="111111"/>
          <w:sz w:val="28"/>
          <w:sz w:val="28"/>
          <w:szCs w:val="28"/>
          <w:rtl w:val="true"/>
          <w:lang w:bidi="ar-SA"/>
        </w:rPr>
        <w:t xml:space="preserve">والسيّد المرتضى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ابن أبي عقيل ما يشعر بالمصير إليه أيضا </w:t>
      </w:r>
      <w:r>
        <w:rPr>
          <w:rStyle w:val="FootnoteAnchor"/>
          <w:rtl w:val="true"/>
        </w:rPr>
        <w:footnoteReference w:id="1132"/>
      </w:r>
      <w:r>
        <w:rPr>
          <w:rFonts w:ascii="Amiri" w:hAnsi="Amiri" w:eastAsia="Amiri" w:cs="Amiri"/>
          <w:color w:val="111111"/>
          <w:sz w:val="28"/>
          <w:sz w:val="28"/>
          <w:szCs w:val="28"/>
          <w:rtl w:val="true"/>
          <w:lang w:bidi="ar-SA"/>
        </w:rPr>
        <w:t>إلّا أنّه خصّ جواز الاستعمال بحال الضرورة وعدم وجدان غيره ، وظاهر العبارة المحكيّة عنه أنّه يرى جواز الاستعمال حينئذ في رفع الحدث أيضا حيث أطلق تجويز الاستعمال مع الضرورة ، ولم يذكر الأكثر خلافه في المسألة السابقة</w:t>
      </w:r>
      <w:r>
        <w:rPr>
          <w:rFonts w:eastAsia="Amiri" w:cs="Amiri" w:ascii="Amiri" w:hAnsi="Amiri"/>
          <w:color w:val="111111"/>
          <w:sz w:val="28"/>
          <w:szCs w:val="28"/>
          <w:rtl w:val="true"/>
          <w:lang w:bidi="ar-SA"/>
        </w:rPr>
        <w:t xml:space="preserve">. </w:t>
      </w:r>
      <w:bookmarkStart w:id="757" w:name="pg8731_77351"/>
    </w:p>
    <w:p>
      <w:pPr>
        <w:pStyle w:val="BookText"/>
        <w:rPr/>
      </w:pPr>
      <w:bookmarkEnd w:id="757"/>
      <w:r>
        <w:rPr>
          <w:rFonts w:ascii="Amiri" w:hAnsi="Amiri" w:eastAsia="Amiri" w:cs="Amiri"/>
          <w:color w:val="111111"/>
          <w:sz w:val="28"/>
          <w:sz w:val="28"/>
          <w:szCs w:val="28"/>
          <w:rtl w:val="true"/>
          <w:lang w:bidi="ar-SA"/>
        </w:rPr>
        <w:t xml:space="preserve">وقد نبّه عليه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الحسن بن أبي عقيل طرد الحكم في المضاف والاستعمال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8" w:name="__RefHeading___Toc3140407_653776707"/>
      <w:bookmarkStart w:id="759" w:name="_Toc278"/>
      <w:bookmarkEnd w:id="758"/>
      <w:r>
        <w:rPr>
          <w:rtl w:val="true"/>
        </w:rPr>
        <w:t xml:space="preserve">احتجّوا للأوّل بوجوه </w:t>
      </w:r>
      <w:r>
        <w:rPr>
          <w:rtl w:val="true"/>
        </w:rPr>
        <w:t>:</w:t>
      </w:r>
      <w:bookmarkEnd w:id="759"/>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الأوامر بالغسل من النجاسة بالماء ، وإنّما يفهم منه عند الإطلاق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الحسين بن أبي العلاء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روى أبو إسحاق النحوي عنه عليه‌السلام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الحلبي في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بول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الصحيح عن محمّد الحلبي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عليه‌السلام عن رجل أجنب في ثوبه 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فإذا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 دلالة إيجاب الغسل بالمطلق على عدم جواز غيره أنّه لو كان الغسل بغير المطلق جائزا لكان تعيين المطلق تضييقا وهو غير جائز ؛ لما فيه من الحرج</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المطلق صالحا لإزالة النجاسة لكان المكلّف مخيّرا </w:t>
      </w:r>
    </w:p>
    <w:p>
      <w:pPr>
        <w:pStyle w:val="BookText"/>
        <w:rPr/>
      </w:pPr>
      <w:r>
        <w:rPr>
          <w:rFonts w:ascii="Amiri" w:hAnsi="Amiri" w:eastAsia="Amiri" w:cs="Amiri"/>
          <w:color w:val="111111"/>
          <w:sz w:val="28"/>
          <w:sz w:val="28"/>
          <w:szCs w:val="28"/>
          <w:rtl w:val="true"/>
          <w:lang w:bidi="ar-SA"/>
        </w:rPr>
        <w:t>في الغسل بالمطلق ، والتعيين المستفاد من الأوامر الدالّة على الوجوب العيني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بأنّ الأوامر المذكورة مخصوصة بنجاسات معيّنة والبحث مطلق والمدّعى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في بعض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قائل منّا بالفرق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ملاقاة المائع للنجاسة تقتضي نجاسته ، والنجس لا تزال </w:t>
      </w:r>
      <w:r>
        <w:rPr>
          <w:rStyle w:val="FootnoteAnchor"/>
          <w:rtl w:val="true"/>
        </w:rPr>
        <w:footnoteReference w:id="1139"/>
      </w:r>
      <w:r>
        <w:rPr>
          <w:rFonts w:ascii="Amiri" w:hAnsi="Amiri" w:eastAsia="Amiri" w:cs="Amiri"/>
          <w:color w:val="111111"/>
          <w:sz w:val="28"/>
          <w:sz w:val="28"/>
          <w:szCs w:val="28"/>
          <w:rtl w:val="true"/>
          <w:lang w:bidi="ar-SA"/>
        </w:rPr>
        <w:t>به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 مثله وارد في المطلق القليل ؛ فإنّ النجاسة تزول به مع تنجّسه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أيضا بالمنع من نجاسة المطلق عند وروده على النجاسة كما هو مذهب المرتضى في بعض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مقتضى الدليل التسوية بينهما لكن ترك العمل به في المطلق للإجماع ، ولضرورة الحاجة إلى الإزالة ، والضرورة تندفع بالمطلق فلا يسوّى به غيره ؛ لما في ذلك من تكثير المخالفة للدليل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الشرع من استصحاب الثوب النجس مثلا في الصلاة ثابت قبل غسله بالماء ، فيثبت بعد غسله بغير الماء عملا بالاستصحاب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على ما مرّ تحقيقه في مقدّمة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يكون دليل الحكم فيه غير مقيّد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تحقّق ذلك </w:t>
      </w:r>
    </w:p>
    <w:p>
      <w:pPr>
        <w:pStyle w:val="BookText"/>
        <w:rPr/>
      </w:pPr>
      <w:r>
        <w:rPr>
          <w:rFonts w:ascii="Amiri" w:hAnsi="Amiri" w:eastAsia="Amiri" w:cs="Amiri"/>
          <w:color w:val="111111"/>
          <w:sz w:val="28"/>
          <w:sz w:val="28"/>
          <w:szCs w:val="28"/>
          <w:rtl w:val="true"/>
          <w:lang w:bidi="ar-SA"/>
        </w:rPr>
        <w:t>هاهنا نظر ؛ إذ العمدة في إثبات المنع المذكور بطريق العموم على الإجماع ومن البيّن أنّ الاتّفاق إنّما وقع على منع استصحاب النجس قبل الغسل في الجملة لا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طهارة تراد لأجل الصلاة فلا يجوز إلّا بالماء كطهارة الحدث ، بل اشتراط الماء هنا أولى لأنّ اشتراطه في النجاسة الحكميّة يعطي أولويّة اشتراطه في النجاسة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قياسا ، وإنّما هو استدلال بالاقتضاء ، فإنّ التنصيص على الأضعف يقتضي أولويّة ثبوت الحكم في الأقوى ، كما في دلالة تحريم التأفيف على تحريم الضرب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الجواب بشي‌ء ؛ فإنّ دعوى كونه من باب الاقتضاء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موقوفة على تحقّق الأولويّة بين المنطوق والمفهوم كالمثال الذي ذكره ، ولا ريب في انتفاء ذلك هنا ؛ فإنّ كون النجاسة الحكميّة أضعف من العينيّة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والحكميّة لا ترتفع عندهم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صدورها وتعلّقها ما لا يعتبر في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خفاء في اشتراط مفهوم الموافقة بالعلم بالعلّة وظهور كونها في المسكوت عنه أقوى ، كما في مثال التأفيف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مثله في موضع النزاع مجازفة ظاهرة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الاحتجاج بها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خصّص التطهير بالماء ، فلا يقع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تعالى ذكرها في معرض الامتنان فلو حصلت الطهارة بغيره كان الامتنان بالأعمّ أولى ، ولم يكن للتخصيص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واعترضه بعض المتأخّرين بأنّه يجوز التخصيص بالذكر والامتنان بأحد الشيئين الممتنّ بهما إذا كان أحدهما أبلغ أو أكثر وجودا أو أعمّ نفعا فجاز كون التخصيص بالماء لذلك لا لكونه مختصّا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المعترض أخذ في توجيه الاحتجاج بالآية طريقا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بالآية من جهة اخرى وهي أنّ النجاسة والطهارة حكمان شرعيّان يطريان على المحل ، فإذا ثبت أحدهما لم يرتفع إلّا بدليل من الشرع استصحابا لما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الحكم بالنجاسة ، إذا غسل بالماء يطهر بظاهر الآية ، وبغيره لا يطهر ، تمسّكا بالاستصحاب ، وعدم وجود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الاعتراض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التوجيه فشديد البرودة ؛ لأنّ مرجعه إلى الاحتجاج على كون الماء المطلق مطهّرا بالآية وعلى نفي طهوريّة المضاف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ليس محلّا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خروج عن الوجه المستدلّ به إلى وجه آخر مذكور في احتجاجهم لهذا المطلب وقد ذكرناه مع ما فيه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كون الماء المطلق مطهّرا أمر معلوم من الآية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دلالة الآية على نفي كون غيره مطهّرا ، وحديث الاستصحاب أجنبيّ </w:t>
      </w:r>
      <w:bookmarkStart w:id="760" w:name="pg8731_77355"/>
    </w:p>
    <w:p>
      <w:pPr>
        <w:pStyle w:val="BookText"/>
        <w:rPr/>
      </w:pPr>
      <w:bookmarkEnd w:id="760"/>
      <w:r>
        <w:rPr>
          <w:rFonts w:ascii="Amiri" w:hAnsi="Amiri" w:eastAsia="Amiri" w:cs="Amiri"/>
          <w:color w:val="111111"/>
          <w:sz w:val="28"/>
          <w:sz w:val="28"/>
          <w:szCs w:val="28"/>
          <w:rtl w:val="true"/>
          <w:lang w:bidi="ar-SA"/>
        </w:rPr>
        <w:t xml:space="preserve">منه ؛ إذ يمكن تقريبه من دون ملاحظة الآية أو التفات إليها بوجه فيقال على نمط 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 والطهارة حكمان شرعيّان وقد ثبت بالضرورة كون الماء المطلق في الجملة مطهّرا فإذا غسل به النجس طهر ومع غسله بغيره لا يطهر عملا بالاستصحاب</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140409_653776707"/>
      <w:bookmarkStart w:id="762" w:name="_Toc279"/>
      <w:bookmarkEnd w:id="761"/>
      <w:r>
        <w:rPr>
          <w:rtl w:val="true"/>
        </w:rPr>
        <w:t xml:space="preserve">حجّة القول الثاني </w:t>
      </w:r>
      <w:r>
        <w:rPr>
          <w:rtl w:val="true"/>
        </w:rPr>
        <w:t xml:space="preserve">: </w:t>
      </w:r>
      <w:r>
        <w:rPr>
          <w:rtl w:val="true"/>
        </w:rPr>
        <w:t xml:space="preserve">وجوه </w:t>
      </w:r>
      <w:r>
        <w:rPr>
          <w:rtl w:val="true"/>
        </w:rPr>
        <w:t>:</w:t>
      </w:r>
      <w:bookmarkEnd w:id="7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المختلف عن المرتضى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في بعض تصانيفه أنّ المفيد والمرتضى أضافا القول بالجواز هنا إلى مذهبنا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بتطهير الثوب ، ولم يفصّل بين الماء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حكي في المختلف عن المرتضى الاحتجاج به ، وأنّه اعترض على نفسه فيه بالمنع من تناول الطهارة للغسل بغير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بأنّ تطهير الثوب ليس بأكثر من إزالة النجاسة عنه ، وقد زالت بغير الماء مشاهدة ؛ لأنّ الثوب لا يلحقه عبادة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بالغسل من النجاسة من غير تقييد بالماء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الجمهور عن النبيّ صلى‌اللّه‌عليه‌وآله أنّه قال لخولة بنت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حتيه ثمّ اقرصيه ثمّ اغسليه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ما رواه الأصحاب عن الصادق عليه‌السلام أنّه قال لابن أبي يعفور وقد سأله عن المنيّ يصيب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عرفت مكانه فاغسله فإن خفي عليك مكانه فاغسله كلّه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في الحسن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الرجل فأصاب ثوبه منيّ فليغسل الذي أصابه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أحدهما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أبي يعفور مثله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مملوّة بهذا الإطلاق وليس في الإكثار من نقله كثير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في المختلف عن المرتضى الاحتجاج بهذا الوجه أيضا وذكر عنه التعرّض لجملة من الأخبار المتضمّنة لذلك ، وأنّه اعترض على نفسه فيه أيضا بأنّ إطلاق الأمر بالغسل يصرف إلى ما يغسل به في العادة ولم تقض العادة بالغسل بغير الماء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بالمنع من اختصاص الغسل بما يسمّى الغاسل به غاسلا عادة ؛ إذ لو كان الغسل كذلك لوجب المنع من غسل الثوب بماء الكبريت والنفط وغيرهما ممّا لم تجر العادة بالغسل به ، ولما جاز ذلك ، وإن لم يكن إجماعا علمنا عدم الاشتراط بالعادة ، وأنّ المراد بالغسل ما يتناوله اسمه حقيقة من </w:t>
      </w:r>
    </w:p>
    <w:p>
      <w:pPr>
        <w:pStyle w:val="BookText"/>
        <w:rPr/>
      </w:pPr>
      <w:r>
        <w:rPr>
          <w:rFonts w:ascii="Amiri" w:hAnsi="Amiri" w:eastAsia="Amiri" w:cs="Amiri"/>
          <w:color w:val="111111"/>
          <w:sz w:val="28"/>
          <w:sz w:val="28"/>
          <w:szCs w:val="28"/>
          <w:rtl w:val="true"/>
          <w:lang w:bidi="ar-SA"/>
        </w:rPr>
        <w:t xml:space="preserve">غير اعتبار العادة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الطهارة إزالة عين النجاسة كما تشهد به حسنة حكم ابن حكيم الصير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اصيب الماء وقد أصاب يدي شي‌ء من البول فأمسحه بالحايط والتراب ثمّ تعرق يدي فأمسّ وجهي أو بعض جسدي أو يصيب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بن إبراهيم عن أبي عبد اللّه عليه‌السلام عن أبيه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الدم بالبصاق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الأوّلون عن جميع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المختلف بعد أن حكاه عن المرتضى كما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قيل إنّ الإجماع على خلاف دعواه أمكن ، إن اريد به إجماع أكثر الفقهاء ؛ إذ لم يوافقه على ما ذهب إليه من وصل إلينا خلافه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نظر ؛ لأنّ وفاق المفيد له محكيّ في غير موضع من كتب الأصحاب ، وقد حكاه هو أيضا في بعض كتبه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بعد أن ذكر ما نقلناه عنه من إضافة المفيد والمرتضى القول بالجواز إلى مذهبنا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 الهدى فإنّه ذكر في الخلاف أنّه إنّما أضاف ذلك إلى المذهب لأنّ من أصلنا العمل بدليل العقل ما لم يثبت الناقل ، وليس في الأدلّة ما يمنع من استعمال المائعات في الإزالة ، ولا ما يوجبها ونحن نعلم </w:t>
      </w:r>
    </w:p>
    <w:p>
      <w:pPr>
        <w:pStyle w:val="BookText"/>
        <w:rPr/>
      </w:pPr>
      <w:r>
        <w:rPr>
          <w:rFonts w:ascii="Amiri" w:hAnsi="Amiri" w:eastAsia="Amiri" w:cs="Amiri"/>
          <w:color w:val="111111"/>
          <w:sz w:val="28"/>
          <w:sz w:val="28"/>
          <w:szCs w:val="28"/>
          <w:rtl w:val="true"/>
          <w:lang w:bidi="ar-SA"/>
        </w:rPr>
        <w:t>أنّه لا فرق بين الماء والخلّ في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غير الماء أبلغ فحكمنا حينئذ بدليل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المفيد فإنّه ادّعى في مسائل الخلاف أنّ ذلك مرويّ عن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نحن فقد فرّقنا بين الماء والخلّ ، فلم يرد علينا ما ذكره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المفيد فنمنع دعواه ونطالبه بنقل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فقد فرّقنا بين الماء 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ذكره في الجواب عن الاحتجاج بالآية وسنحكيه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 العلّامة في المختلف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تلبسها على معصية ولا على غدر فإنّ الغادر الفاجر يسمّى دنس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المراد بالطهارة المتعارف شرعا ، لكن لا دلالة فيه على أنّ الطهارة بأيّ شي‌ء تحصل ، بل دلالتها على أنّ الطهارة إنّما تحصل بالماء أولى ؛ إذ مع الغسل بالماء يحصل الامتثال قطعا وليس كذلك لو غسلت بغيره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النجاسة قد زالت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زوالها في الحسّ زوالها شرعا ، فإنّ الثوب له يبس بلله بالماء النجس أو بالبول لم يطهر وإن زالت النجاسة عنه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حين سئل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الأعيان ليست نجسة لأنّها عبارة عن جواهر مركّبة وهي متماثلة فلو نجس بعضها لنجس سائرها ، وانتفى الفرق بين الخنزير وغيره ، وقد 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التنجيس </w:t>
      </w:r>
      <w:r>
        <w:rPr>
          <w:rStyle w:val="FootnoteAnchor"/>
          <w:rtl w:val="true"/>
        </w:rPr>
        <w:footnoteReference w:id="1157"/>
      </w:r>
      <w:r>
        <w:rPr>
          <w:rFonts w:ascii="Amiri" w:hAnsi="Amiri" w:eastAsia="Amiri" w:cs="Amiri"/>
          <w:color w:val="111111"/>
          <w:sz w:val="28"/>
          <w:sz w:val="28"/>
          <w:szCs w:val="28"/>
          <w:rtl w:val="true"/>
          <w:lang w:bidi="ar-SA"/>
        </w:rPr>
        <w:t>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نجس العين إلّا على وجه المجاز دون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النجاسة حكما شرعيّا </w:t>
      </w:r>
    </w:p>
    <w:p>
      <w:pPr>
        <w:pStyle w:val="BookText"/>
        <w:rPr/>
      </w:pPr>
      <w:r>
        <w:rPr>
          <w:rFonts w:ascii="Amiri" w:hAnsi="Amiri" w:eastAsia="Amiri" w:cs="Amiri"/>
          <w:color w:val="111111"/>
          <w:sz w:val="28"/>
          <w:sz w:val="28"/>
          <w:szCs w:val="28"/>
          <w:rtl w:val="true"/>
          <w:lang w:bidi="ar-SA"/>
        </w:rPr>
        <w:t>لم يزل عن المحل إلّا بحكم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رحمه‌اللّه بزوالها عن المحلّ لزوالها حسّا ممنوع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والمحقّق أجاب عن الاحتجاج بالآية أيضا فمنع دلالتها على موضع النزاع ؛ لأنّها دالّة على وجوب التطهير والبحث ليس فيه بل في كيفيّة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إزالة النجاسة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بغير الماء يزيل عين الدنس فيكون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بالمنع ؛ فإنّ النجاسة إذا مازجت المائع شاعت فيه فالباقي في الثوب منه تعلّق به حصّة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النجاسة ربّما سرت في الثوب فسدّت مسامّه فيمنع غير الماء من الولوج حيث هي ، وتبقى مرتبكة </w:t>
      </w:r>
      <w:r>
        <w:rPr>
          <w:rStyle w:val="FootnoteAnchor"/>
          <w:rtl w:val="true"/>
        </w:rPr>
        <w:footnoteReference w:id="1159"/>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سلّم زوال عين النجاسة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نسلّم زوال نجاسة يخلفها ؛ فإنّ المائع بملاقاة النجاسة يصير عين نجاسة فالبلّة المتخلّفة منه في الثوب بعض المنفصل النجس فيكون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 الرطبة أثر في تعدّي حكمها إلى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النجاسة عند ملاقاة المائع تتعدّى نجاستها إليه فعند وقوع النجاسة الرطبة تعود أجزاء الثوب الملاقية لها نجسة شرعا ، وتلك العين المنفعلة لا تزول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فجوابهم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الغسل حقيقة في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بين مطلق للفظ الحقيقة ، ومقيّد لها بالشرعيّة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والمطلقون احتجّوا لما قالوه بسبقه إلى الذهن عند الإطلاق كما يسبق عند </w:t>
      </w:r>
      <w:bookmarkStart w:id="763" w:name="pg8731_77360"/>
    </w:p>
    <w:p>
      <w:pPr>
        <w:pStyle w:val="BookText"/>
        <w:rPr/>
      </w:pPr>
      <w:bookmarkEnd w:id="763"/>
      <w:r>
        <w:rPr>
          <w:rFonts w:ascii="Amiri" w:hAnsi="Amiri" w:eastAsia="Amiri" w:cs="Amiri"/>
          <w:color w:val="111111"/>
          <w:sz w:val="28"/>
          <w:sz w:val="28"/>
          <w:szCs w:val="28"/>
          <w:rtl w:val="true"/>
          <w:lang w:bidi="ar-SA"/>
        </w:rPr>
        <w:t>إطلاق الأمر بالسقي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الوارد في الأوامر التي ذكروها محمول على المقيّد في الأوامر المذكورة في حجّة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المحقّق بأنّ خبر حكم بن حكيم مطرح ؛ لأنّ البول لا يزول عن الجسد بالتراب باتّفاق منّا ومن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غياث متروك ؛ لأنّ غياثا بتريّ ضعيف الرواية فلا يعمل على 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نزّلت على جواز الاستعانة في غسله بالبصاق ، لا ليطهر المحلّ به منفردا ؛ فإنّ جواز غسله به لا يقتضي طهارة المحلّ ، ولم يتضمّن الخبر ذلك ، والبحث ليس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للبحث في كثير من كلامهم في الجانبين </w:t>
      </w:r>
      <w:r>
        <w:rPr>
          <w:rStyle w:val="FootnoteAnchor"/>
          <w:rtl w:val="true"/>
        </w:rPr>
        <w:footnoteReference w:id="1160"/>
      </w:r>
      <w:r>
        <w:rPr>
          <w:rFonts w:ascii="Amiri" w:hAnsi="Amiri" w:eastAsia="Amiri" w:cs="Amiri"/>
          <w:color w:val="111111"/>
          <w:sz w:val="28"/>
          <w:sz w:val="28"/>
          <w:szCs w:val="28"/>
          <w:rtl w:val="true"/>
          <w:lang w:bidi="ar-SA"/>
        </w:rPr>
        <w:t>مجالا غير أنّ الراجح في حجّة المنع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والاحتياط يؤيّدان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ذيل الكلام آخذا من التطويل لحظّ غير قليل فلا جرم كان الإجمال بالإشارة إلى ما فيه والاتّكال على التدبّر في مطاويه أولى من التفصيل</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140411_653776707"/>
      <w:bookmarkStart w:id="765" w:name="_Toc280"/>
      <w:bookmarkEnd w:id="764"/>
      <w:r>
        <w:rPr>
          <w:rtl w:val="true"/>
        </w:rPr>
        <w:t xml:space="preserve">مسألة </w:t>
      </w:r>
      <w:r>
        <w:rPr>
          <w:rtl w:val="true"/>
        </w:rPr>
        <w:t>[</w:t>
      </w:r>
      <w:r>
        <w:rPr/>
        <w:t>4</w:t>
      </w:r>
      <w:r>
        <w:rPr>
          <w:rtl w:val="true"/>
        </w:rPr>
        <w:t>] :</w:t>
      </w:r>
      <w:bookmarkEnd w:id="76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مازج المطلق مضاف عار من الوصف ، كمنقطع الرائحة من ماء الورد ،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للأكثر ، فإن تساويا ينبغي القول بجواز استعماله ؛ لأنّ الأصل الإباحة ، وإن قلنا يستعمل ذلك ويتيمّم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w:t>
      </w:r>
    </w:p>
    <w:p>
      <w:pPr>
        <w:pStyle w:val="BookText"/>
        <w:rPr/>
      </w:pPr>
      <w:r>
        <w:rPr>
          <w:rFonts w:ascii="Amiri" w:hAnsi="Amiri" w:eastAsia="Amiri" w:cs="Amiri"/>
          <w:color w:val="111111"/>
          <w:sz w:val="28"/>
          <w:sz w:val="28"/>
          <w:szCs w:val="28"/>
          <w:rtl w:val="true"/>
          <w:lang w:bidi="ar-SA"/>
        </w:rPr>
        <w:t xml:space="preserve">العلّامة في المختلف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عن ابن البرّاج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عندي أنّه لا يجوز استعماله في رفع الحدث ولا إزالة النجاسة ويجوز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نقل مباحثة جرت بينه وبين الشيخ رحمه‌اللّه وخلاصتها تمسّك الشيخ بالأصل الدالّ على الإباحة ، وتمسّكه هو بالاحتياط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عندي خلاف القولين معا ، وأنّ جواز التطهير به تابع لإطلاق الاسم ، فإن كانت الممازجة أخرجته عن الإطلاق لم تجز الطهارة به ، وإلّا جاز ، ولا أعتبر في ذلك المساواة والتفاضل ، فلو كان ماء الورد أكثر وبقي إطلاق اسم الماء أجزأت الطهارة به لأنّه امتثل المأمور به وهو الطهارة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معرفة ذلك أن يقدّر ماء الورد باقيا على أوصافه ثمّ يعتبر ممازجته حينئذ فيحمل عليه منقطع الرائحة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من اعتبار بقاء الاسم حسن وتوجيهه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تقدير الوصف ففيه نظر ولم يتعرّض لتوجيهه هنا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الإخراج عن الاسم سالب للطهوريّة وهذا الممازج لا يخرج عن الاسم بسبب الموافقة في الأوصاف فيعتبره </w:t>
      </w:r>
      <w:r>
        <w:rPr>
          <w:rStyle w:val="FootnoteAnchor"/>
          <w:rtl w:val="true"/>
        </w:rPr>
        <w:footnoteReference w:id="1164"/>
      </w:r>
      <w:r>
        <w:rPr>
          <w:rFonts w:ascii="Amiri" w:hAnsi="Amiri" w:eastAsia="Amiri" w:cs="Amiri"/>
          <w:color w:val="111111"/>
          <w:sz w:val="28"/>
          <w:sz w:val="28"/>
          <w:szCs w:val="28"/>
          <w:rtl w:val="true"/>
          <w:lang w:bidi="ar-SA"/>
        </w:rPr>
        <w:t xml:space="preserve">بغيره كما يفعل ذلك في حكومات الجراح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وضعف هذا التوجيه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على هذا القول الشهيد في الدروس </w:t>
      </w:r>
      <w:r>
        <w:rPr>
          <w:rStyle w:val="FootnoteAnchor"/>
          <w:rtl w:val="true"/>
        </w:rPr>
        <w:footnoteReference w:id="1166"/>
      </w:r>
      <w:r>
        <w:rPr>
          <w:rFonts w:ascii="Amiri" w:hAnsi="Amiri" w:eastAsia="Amiri" w:cs="Amiri"/>
          <w:color w:val="111111"/>
          <w:sz w:val="28"/>
          <w:sz w:val="28"/>
          <w:szCs w:val="28"/>
          <w:rtl w:val="true"/>
          <w:lang w:bidi="ar-SA"/>
        </w:rPr>
        <w:t>وقوّاه الشيخ علي في بعض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بأنّ الحكم لمّا كان دايرا مع بقاء اسم الماء مطلقا ، وهو إنّما يعلم بالأوصاف وجب تقدير بقائها قطعا كما يقدّر الحرّ عبدا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المنع إليه بيّن ؛ فإنّ المرجع في بقاء الاسم وعدمه إلى العرف ، واستعلامه ممكن بدون الوصف إذا علم مقدار المائين في الجملة قبل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الذي ذكره الشيخ غير بعيد من مقتضى العرف لكنّ انضباطه بما حدّده </w:t>
      </w:r>
      <w:r>
        <w:rPr>
          <w:rStyle w:val="FootnoteAnchor"/>
          <w:rtl w:val="true"/>
        </w:rPr>
        <w:footnoteReference w:id="1167"/>
      </w:r>
      <w:r>
        <w:rPr>
          <w:rFonts w:ascii="Amiri" w:hAnsi="Amiri" w:eastAsia="Amiri" w:cs="Amiri"/>
          <w:color w:val="111111"/>
          <w:sz w:val="28"/>
          <w:sz w:val="28"/>
          <w:szCs w:val="28"/>
          <w:rtl w:val="true"/>
          <w:lang w:bidi="ar-SA"/>
        </w:rPr>
        <w:t>مشكل فالإحالة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 العلّامة ذكر اعتبار تقدير الوصف في كثير من كتبه </w:t>
      </w:r>
      <w:r>
        <w:rPr>
          <w:rStyle w:val="FootnoteAnchor"/>
          <w:rtl w:val="true"/>
        </w:rPr>
        <w:footnoteReference w:id="1168"/>
      </w:r>
      <w:r>
        <w:rPr>
          <w:rFonts w:ascii="Amiri" w:hAnsi="Amiri" w:eastAsia="Amiri" w:cs="Amiri"/>
          <w:color w:val="111111"/>
          <w:sz w:val="28"/>
          <w:sz w:val="28"/>
          <w:szCs w:val="28"/>
          <w:rtl w:val="true"/>
          <w:lang w:bidi="ar-SA"/>
        </w:rPr>
        <w:t>ولم يتعرّض فيها لبيان الوصف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عنه الفاضل الشيخ علي أنّه قال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التقدير على وجه يكون المخالفة وسطا ولا يقدّر الأوصاف التي كانت قبل ذلك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واستوجه الشيخ علي هذا الكلام وقرّبه بأنّه بعد زوال تلك الأوصاف صارت هي وغيرها على حدّ سواء فيجب رعاية الوسط لأنّه الأغلب والمتبادر عند الإطلاق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أنّ الزائل هنا لا ينظر إليه بعد الزوال ؛ لأنّه لو كان المضاف </w:t>
      </w:r>
      <w:bookmarkStart w:id="766" w:name="pg8731_77363"/>
    </w:p>
    <w:p>
      <w:pPr>
        <w:pStyle w:val="BookText"/>
        <w:rPr/>
      </w:pPr>
      <w:bookmarkEnd w:id="766"/>
      <w:r>
        <w:rPr>
          <w:rFonts w:ascii="Amiri" w:hAnsi="Amiri" w:eastAsia="Amiri" w:cs="Amiri"/>
          <w:color w:val="111111"/>
          <w:sz w:val="28"/>
          <w:sz w:val="28"/>
          <w:szCs w:val="28"/>
          <w:rtl w:val="true"/>
          <w:lang w:bidi="ar-SA"/>
        </w:rPr>
        <w:t xml:space="preserve">في غاية المخالفة في أوصافه فنقصت مخالفته لم يعتبر ذلك القدر الناقص ، فكذا لو زالت أصلا ورأسا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النظر إلى كلامه الأخير يقتضي كون المقدّر هو أقلّ ما يتحقّق معه الوصف لا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المخالفة كما فرضه لو انتهى إلى حدّ لم يبق معه إلّا أقلّ ما يصدق به المسمّى لم يؤثّر ذلك النقصان ، ولا اعتبر مع الوصف الباقي أمر آخر ، فكذا مع زوال الوصف من أصله واعتبار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والتبادر هاهنا ممّا لا وجه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المتّجه على القول بتقدير الوصف هو اعتبار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الشهيد في الذكرى باعتبار الوسط وليس بجيّد</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3140413_653776707"/>
      <w:bookmarkStart w:id="768" w:name="_Toc281"/>
      <w:bookmarkEnd w:id="767"/>
      <w:r>
        <w:rPr>
          <w:rtl w:val="true"/>
        </w:rPr>
        <w:t xml:space="preserve">مسألة </w:t>
      </w:r>
      <w:r>
        <w:rPr>
          <w:rtl w:val="true"/>
        </w:rPr>
        <w:t>[</w:t>
      </w:r>
      <w:r>
        <w:rPr/>
        <w:t>5</w:t>
      </w:r>
      <w:r>
        <w:rPr>
          <w:rtl w:val="true"/>
        </w:rPr>
        <w:t>] :</w:t>
      </w:r>
      <w:bookmarkEnd w:id="768"/>
    </w:p>
    <w:p>
      <w:pPr>
        <w:pStyle w:val="BookText"/>
        <w:rPr/>
      </w:pPr>
      <w:r>
        <w:rPr>
          <w:rFonts w:ascii="Amiri" w:hAnsi="Amiri" w:eastAsia="Amiri" w:cs="Amiri"/>
          <w:color w:val="111111"/>
          <w:sz w:val="28"/>
          <w:sz w:val="28"/>
          <w:szCs w:val="28"/>
          <w:rtl w:val="true"/>
          <w:lang w:bidi="ar-SA"/>
        </w:rPr>
        <w:t xml:space="preserve">للأصحاب في طريق تطهير المضاف إذا عرض له التنجيس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في المبسوط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يختلط بما زاد على الكرّ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ننظر فإن سلبه إطلاق اسم الماء لم يجز استعماله بحال ، وإن لم يسلبه إطلاق اسم الماء وغيّر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لونه أو طعمه أو رايحته ، لم يجز استعماله أيضا بحال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ذهب العلّامة أيضا في التحرير </w:t>
      </w:r>
      <w:r>
        <w:rPr>
          <w:rStyle w:val="FootnoteAnchor"/>
          <w:rtl w:val="true"/>
        </w:rPr>
        <w:footnoteReference w:id="1172"/>
      </w:r>
      <w:r>
        <w:rPr>
          <w:rFonts w:ascii="Amiri" w:hAnsi="Amiri" w:eastAsia="Amiri" w:cs="Amiri"/>
          <w:color w:val="111111"/>
          <w:sz w:val="28"/>
          <w:sz w:val="28"/>
          <w:szCs w:val="28"/>
          <w:rtl w:val="true"/>
          <w:lang w:bidi="ar-SA"/>
        </w:rPr>
        <w:t xml:space="preserve">إلّا أنّه لم يعتبر الزيادة </w:t>
      </w:r>
    </w:p>
    <w:p>
      <w:pPr>
        <w:pStyle w:val="BookText"/>
        <w:rPr/>
      </w:pPr>
      <w:r>
        <w:rPr>
          <w:rFonts w:ascii="Amiri" w:hAnsi="Amiri" w:eastAsia="Amiri" w:cs="Amiri"/>
          <w:color w:val="111111"/>
          <w:sz w:val="28"/>
          <w:sz w:val="28"/>
          <w:szCs w:val="28"/>
          <w:rtl w:val="true"/>
          <w:lang w:bidi="ar-SA"/>
        </w:rPr>
        <w:t>على الكرّ كما اتّفق في عبارة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بممازجة الكرّ له من غير اشتراط للزيادة عليه ، ولا لعدم تغيّره في أحد أوصافه بالمضاف ، بل ولا لعدم سلبه الإطلاق وإن خرج المطلق بذلك عن كونه مطهّرا ، فأمّا الطهارة فتثبت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مختار العلّامة في القواعد والمنتهى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بممازجته للكرّ لكن بشرط بقاء الإطلاق بعد الامتزاج ، ولا أثر لتغيّر أحد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العلّامة في النهاية والتذكرة </w:t>
      </w:r>
      <w:r>
        <w:rPr>
          <w:rStyle w:val="FootnoteAnchor"/>
          <w:rtl w:val="true"/>
        </w:rPr>
        <w:footnoteReference w:id="1174"/>
      </w:r>
      <w:r>
        <w:rPr>
          <w:rFonts w:ascii="Amiri" w:hAnsi="Amiri" w:eastAsia="Amiri" w:cs="Amiri"/>
          <w:color w:val="111111"/>
          <w:sz w:val="28"/>
          <w:sz w:val="28"/>
          <w:szCs w:val="28"/>
          <w:rtl w:val="true"/>
          <w:lang w:bidi="ar-SA"/>
        </w:rPr>
        <w:t xml:space="preserve">، وجمع من المتأخّرين منهم الشهيدان </w:t>
      </w:r>
      <w:r>
        <w:rPr>
          <w:rStyle w:val="FootnoteAnchor"/>
          <w:rtl w:val="true"/>
        </w:rPr>
        <w:footnoteReference w:id="1175"/>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الغرض من الكثرة عدم قبول المطلق للنجاسة وبلوغ الكرّيّة كاف فيه ، فلا وجه لاعتبار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وقع في كلام الشيخ على جهة التساهل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بقاء الإطلاق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المضاف متوقّف طهره على شيوعه في المطلق بحيث يستهلك ، وهذا لا يتمّ بدون بقاء المطلق على إطلاقه ، وإذا لم يحصل الطهارة للمضاف وصار المطلق بخروجه عن الاسم قابلا للانفعال فلا جرم ينجس الجميع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تغيّر أحد الأوصاف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الأصل في الماء الطهارة ، والدليل إنّما دلّ على نجاسته مع التغيّر بالنجاسة ولم يحصل ؛ إذ التغيّر إنّما هو بالمنجّس ، وبينهما فرق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يظهر ضعف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الاحتجاج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بعد تنجيسه صار في حكم النجاسة فكما ينجس الملاقي له ينجس المتغيّر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الكرّيّة سبب لعدم الانفعال من دون التغيّر بالنجاسة فلا يؤثّر المضاف في تنجيسه باستهلاكه إيّاه لقيام السبب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 عين نجسة يشار إليها يقتضي </w:t>
      </w:r>
      <w:r>
        <w:rPr>
          <w:rStyle w:val="FootnoteAnchor"/>
          <w:rtl w:val="true"/>
        </w:rPr>
        <w:footnoteReference w:id="1176"/>
      </w:r>
      <w:r>
        <w:rPr>
          <w:rFonts w:ascii="Amiri" w:hAnsi="Amiri" w:eastAsia="Amiri" w:cs="Amiri"/>
          <w:color w:val="111111"/>
          <w:sz w:val="28"/>
          <w:sz w:val="28"/>
          <w:szCs w:val="28"/>
          <w:rtl w:val="true"/>
          <w:lang w:bidi="ar-SA"/>
        </w:rPr>
        <w:t>التنجيس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وجوابهما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صيرورة المضاف بعد التنجيس في حكم النجاسة إن اخذ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حيّز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بلوغ الكرّيّة وصف للماء المطلق فإنّما يكون سببا لعدم الانفعال مع وجود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استهلاك المضاف للمطلق وقهره إيّاه يخرج عن الاسم فيزول الوصف الذي هو السبب لعدم الانفعال فينفعل حينئذ ولو بالمنجّس كسائر أقسام المضاف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بالنظر إلى القول الثاني ما إذا القي المضاف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انعكس الفرض وجب الحكم بعدم الطهارة جزما ؛ لأنّ مكان المضاف متنجّس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يصر مطلقا لا يطهر ، وملاقاته له مستمرّة فيردّه إلى النجاسة لو فرضنا طهارته</w:t>
      </w:r>
      <w:r>
        <w:rPr>
          <w:rFonts w:eastAsia="Amiri" w:cs="Amiri" w:ascii="Amiri" w:hAnsi="Amiri"/>
          <w:color w:val="111111"/>
          <w:sz w:val="28"/>
          <w:szCs w:val="28"/>
          <w:rtl w:val="true"/>
          <w:lang w:bidi="ar-SA"/>
        </w:rPr>
        <w:t xml:space="preserve">. </w:t>
      </w:r>
      <w:bookmarkStart w:id="769" w:name="pg8731_77366"/>
    </w:p>
    <w:p>
      <w:pPr>
        <w:pStyle w:val="Heading3"/>
        <w:numPr>
          <w:ilvl w:val="2"/>
          <w:numId w:val="1"/>
        </w:numPr>
        <w:rPr/>
      </w:pPr>
      <w:bookmarkStart w:id="770" w:name="__RefHeading___Toc3140415_653776707"/>
      <w:bookmarkStart w:id="771" w:name="_Toc282"/>
      <w:bookmarkEnd w:id="769"/>
      <w:bookmarkEnd w:id="770"/>
      <w:r>
        <w:rPr>
          <w:rtl w:val="true"/>
        </w:rPr>
        <w:t>الفهرس التفصيلي</w:t>
      </w:r>
      <w:bookmarkEnd w:id="771"/>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الفقه الإمامي حتّى عصر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السياسية والاجتماعية والثقافية في عصر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العلمية في عصر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صاحب المعالم الشخصية وشخصيته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نشاطه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منهجه وملامح مدرسته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فقه المعالم وقيمته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منهج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أُسلوبنا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الفهرس الإجمالي لمباحث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مقدّمة المؤلف ، وتضمّنت خطبة ومقصدين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سبب ومنهج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الفقه وما يلزم معرفته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العلم عقلاً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فضيلة العلم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العلم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العلماء مراعاته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المعلم على 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على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مع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علم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الحاجة إلى علم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علم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الفقه ومسائله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مبادئ علم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مسائل علم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مهمات المباحث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من مباحث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تقسيم اللفظ والمعنى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الواحد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عن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الأصل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الموسّع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الأصل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مع انتفاء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صيغة النهي ، التحريم أو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صيغة النهي ، الكفّ أو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والدوام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وفساد المنهي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العموم في لغة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المحلّى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 للمعدومين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مباحث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بعد التخصيص حقيقة أو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بعد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قبل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تعقّب المخصص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بالضمير العائد إلى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بمفهوم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وخاص متنافيا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 والمجمل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وأنواعه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المطلب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قول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الأصل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الأصل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الاجماع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المطلب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الأصل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الأصل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معرفة عدالة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الأصل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قبول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772" w:name="pg8731_77370"/>
    </w:p>
    <w:p>
      <w:pPr>
        <w:pStyle w:val="Heading2"/>
        <w:numPr>
          <w:ilvl w:val="1"/>
          <w:numId w:val="1"/>
        </w:numPr>
        <w:rPr/>
      </w:pPr>
      <w:bookmarkStart w:id="773" w:name="__RefHeading___Toc3140417_653776707"/>
      <w:bookmarkStart w:id="774" w:name="_Toc283"/>
      <w:bookmarkEnd w:id="772"/>
      <w:bookmarkEnd w:id="773"/>
      <w:r>
        <w:rPr>
          <w:rtl w:val="true"/>
        </w:rPr>
        <w:t xml:space="preserve">المجلد </w:t>
      </w:r>
      <w:r>
        <w:rPr/>
        <w:t>2</w:t>
      </w:r>
      <w:bookmarkEnd w:id="774"/>
    </w:p>
    <w:p>
      <w:pPr>
        <w:pStyle w:val="Heading3"/>
        <w:numPr>
          <w:ilvl w:val="2"/>
          <w:numId w:val="1"/>
        </w:numPr>
        <w:rPr/>
      </w:pPr>
      <w:bookmarkStart w:id="775" w:name="__RefHeading___Toc3140419_653776707"/>
      <w:bookmarkStart w:id="776" w:name="_Toc284"/>
      <w:bookmarkEnd w:id="775"/>
      <w:r>
        <w:rPr>
          <w:rtl w:val="true"/>
        </w:rPr>
        <w:t xml:space="preserve">المطلب الثاني </w:t>
      </w:r>
      <w:r>
        <w:rPr>
          <w:rtl w:val="true"/>
        </w:rPr>
        <w:t xml:space="preserve">: </w:t>
      </w:r>
      <w:r>
        <w:rPr>
          <w:rtl w:val="true"/>
        </w:rPr>
        <w:t>في الطهارة من النجاسات وما يتعلّق بها</w:t>
      </w:r>
      <w:bookmarkEnd w:id="776"/>
    </w:p>
    <w:p>
      <w:pPr>
        <w:pStyle w:val="Heading4"/>
        <w:numPr>
          <w:ilvl w:val="3"/>
          <w:numId w:val="1"/>
        </w:numPr>
        <w:rPr/>
      </w:pPr>
      <w:bookmarkStart w:id="777" w:name="__RefHeading___Toc3140421_653776707"/>
      <w:bookmarkStart w:id="778" w:name="_Toc285"/>
      <w:bookmarkEnd w:id="777"/>
      <w:r>
        <w:rPr>
          <w:rtl w:val="true"/>
        </w:rPr>
        <w:t xml:space="preserve">الفصل الأوّل </w:t>
      </w:r>
      <w:r>
        <w:rPr>
          <w:rtl w:val="true"/>
        </w:rPr>
        <w:t xml:space="preserve">: </w:t>
      </w:r>
      <w:r>
        <w:rPr>
          <w:rtl w:val="true"/>
        </w:rPr>
        <w:t>في أصناف النجاسات</w:t>
      </w:r>
      <w:bookmarkEnd w:id="778"/>
    </w:p>
    <w:p>
      <w:pPr>
        <w:pStyle w:val="Heading5"/>
        <w:numPr>
          <w:ilvl w:val="4"/>
          <w:numId w:val="1"/>
        </w:numPr>
        <w:rPr/>
      </w:pPr>
      <w:bookmarkStart w:id="779" w:name="__RefHeading___Toc3140423_653776707"/>
      <w:bookmarkStart w:id="780" w:name="_Toc286"/>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النجاسات</w:t>
      </w:r>
    </w:p>
    <w:p>
      <w:pPr>
        <w:pStyle w:val="Heading5"/>
        <w:numPr>
          <w:ilvl w:val="4"/>
          <w:numId w:val="1"/>
        </w:numPr>
        <w:rPr/>
      </w:pPr>
      <w:bookmarkStart w:id="781" w:name="__RefHeading___Toc3140425_653776707"/>
      <w:bookmarkStart w:id="782" w:name="_Toc287"/>
      <w:bookmarkEnd w:id="781"/>
      <w:r>
        <w:rPr>
          <w:rtl w:val="true"/>
        </w:rPr>
        <w:t xml:space="preserve">مسألة </w:t>
      </w:r>
      <w:r>
        <w:rPr>
          <w:rtl w:val="true"/>
        </w:rPr>
        <w:t>[</w:t>
      </w:r>
      <w:r>
        <w:rPr/>
        <w:t>1</w:t>
      </w:r>
      <w:r>
        <w:rPr>
          <w:rtl w:val="true"/>
        </w:rPr>
        <w:t>] :</w:t>
      </w:r>
      <w:bookmarkEnd w:id="782"/>
    </w:p>
    <w:p>
      <w:pPr>
        <w:pStyle w:val="BookText"/>
        <w:rPr/>
      </w:pPr>
      <w:r>
        <w:rPr>
          <w:rFonts w:ascii="Amiri" w:hAnsi="Amiri" w:eastAsia="Amiri" w:cs="Amiri"/>
          <w:color w:val="111111"/>
          <w:sz w:val="28"/>
          <w:sz w:val="28"/>
          <w:szCs w:val="28"/>
          <w:rtl w:val="true"/>
          <w:lang w:bidi="ar-SA"/>
        </w:rPr>
        <w:t>بول الآدميّ وغائطه نجسان ، وعلى ذلك إجماع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المحقّق والفاضل </w:t>
      </w:r>
      <w:r>
        <w:rPr>
          <w:rStyle w:val="FootnoteAnchor"/>
          <w:rtl w:val="true"/>
        </w:rPr>
        <w:footnoteReference w:id="1177"/>
      </w:r>
      <w:r>
        <w:rPr>
          <w:rFonts w:ascii="Amiri" w:hAnsi="Amiri" w:eastAsia="Amiri" w:cs="Amiri"/>
          <w:color w:val="111111"/>
          <w:sz w:val="28"/>
          <w:sz w:val="28"/>
          <w:szCs w:val="28"/>
          <w:rtl w:val="true"/>
          <w:lang w:bidi="ar-SA"/>
        </w:rPr>
        <w:t>، لكنّهما استثنيا منه بعض العامّة فحكيا عنه القول بطهارة بول رسول اللّه صلى‌اللّه‌عليه‌وآله ، وأمر هذا الاستثناء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الواردة عن الأئمّة عليهم‌السلام بغسل البول عن الثوب والبدن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ابن أبي يعفور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البول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الحسين أبي العلاء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w:t>
      </w:r>
    </w:p>
    <w:p>
      <w:pPr>
        <w:pStyle w:val="BookText"/>
        <w:rPr/>
      </w:pPr>
      <w:r>
        <w:rPr>
          <w:rFonts w:ascii="Amiri" w:hAnsi="Amiri" w:eastAsia="Amiri" w:cs="Amiri"/>
          <w:color w:val="111111"/>
          <w:sz w:val="28"/>
          <w:sz w:val="28"/>
          <w:szCs w:val="28"/>
          <w:rtl w:val="true"/>
          <w:lang w:bidi="ar-SA"/>
        </w:rPr>
        <w:t xml:space="preserve">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بول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 فإن كان قد أكل فاغسله غسلا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إسحاق النحوي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زياد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الرجل يبول فيصيب بعض فخذه نكتة من بوله فيصلّي ثمّ يذكر بعد أنّه لم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ويعيد صلاته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في المركن مرّتين ، 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تعدّ في الصحيح ، لكن في طريقها السنديّ بن محمّد ، ولم استثبت عدالته إذ لم يوثّقه غير النجاشي </w:t>
      </w:r>
      <w:r>
        <w:rPr>
          <w:rStyle w:val="FootnoteAnchor"/>
          <w:rtl w:val="true"/>
        </w:rPr>
        <w:footnoteReference w:id="1185"/>
      </w:r>
      <w:r>
        <w:rPr>
          <w:rFonts w:ascii="Amiri" w:hAnsi="Amiri" w:eastAsia="Amiri" w:cs="Amiri"/>
          <w:color w:val="111111"/>
          <w:sz w:val="28"/>
          <w:sz w:val="28"/>
          <w:szCs w:val="28"/>
          <w:rtl w:val="true"/>
          <w:lang w:bidi="ar-SA"/>
        </w:rPr>
        <w:t xml:space="preserve">، وتبعه العلّامة في الخلاصة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القول في مثله بل سبق الكلام على هذا السند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الغائط فيدلّ على حكمه من جهة النصّ أخبار الاستنجاء وسيأتي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يصلّي وفي ثوبه عذرة من إنسان أو سنّور أو كلب أيعيد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يعلم فلا يعد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الشرط وجوب الإعادة مع العلم وهو دليل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موسى بن القاسم عن عليّ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والدجاجة والحمام وأشباههما تطأ العذرة ثمّ تطأ الثوب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استبان من أثره شي‌ء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بأس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هذا فاعلم أنّ جمهور الأصحاب لم يفرّقوا في حكم البول بالنظر إلى أصل التنجيس بين الصغير والكبير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ابن الجنيد فحكم بطهارة بول غير البالغ ما لم يأكل اللحم بشرط أن يكون ذكرا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 برواية السكوني </w:t>
      </w:r>
      <w:r>
        <w:rPr>
          <w:rStyle w:val="FootnoteAnchor"/>
          <w:rtl w:val="true"/>
        </w:rPr>
        <w:footnoteReference w:id="1190"/>
      </w:r>
      <w:r>
        <w:rPr>
          <w:rFonts w:ascii="Amiri" w:hAnsi="Amiri" w:eastAsia="Amiri" w:cs="Amiri"/>
          <w:color w:val="111111"/>
          <w:sz w:val="28"/>
          <w:sz w:val="28"/>
          <w:szCs w:val="28"/>
          <w:rtl w:val="true"/>
          <w:lang w:bidi="ar-SA"/>
        </w:rPr>
        <w:t xml:space="preserve">عن جعفر عن أبيه ، أنّ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الجارية وبولها يغسل منه الثوب قبل أن تطعم ؛ لأنّ لبنها يخرج من مثانة امّها ، ولبن الغلام لا يغسل منه الثوب ، ولا بوله قبل أن يطعم لأنّ لبن الغلام يخرج من العضدين والمنكبين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783" w:name="pg8731_77373"/>
    </w:p>
    <w:p>
      <w:pPr>
        <w:pStyle w:val="BookText"/>
        <w:rPr/>
      </w:pPr>
      <w:bookmarkEnd w:id="783"/>
      <w:r>
        <w:rPr>
          <w:rFonts w:ascii="Amiri" w:hAnsi="Amiri" w:eastAsia="Amiri" w:cs="Amiri"/>
          <w:color w:val="111111"/>
          <w:sz w:val="28"/>
          <w:sz w:val="28"/>
          <w:szCs w:val="28"/>
          <w:rtl w:val="true"/>
          <w:lang w:bidi="ar-SA"/>
        </w:rPr>
        <w:t>وهذه الرواية مع ضعف سندها غير دالّة على مدّعاه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معترفون بما دلّت عليه من عدم وجوب الغسل من بول الرضيع ويوجبون التطهير منه بصبّ الماء ، كما ورد في حسنة الحلبي </w:t>
      </w:r>
      <w:r>
        <w:rPr>
          <w:rStyle w:val="FootnoteAnchor"/>
          <w:rtl w:val="true"/>
        </w:rPr>
        <w:footnoteReference w:id="1192"/>
      </w:r>
      <w:r>
        <w:rPr>
          <w:rFonts w:ascii="Amiri" w:hAnsi="Amiri" w:eastAsia="Amiri" w:cs="Amiri"/>
          <w:color w:val="111111"/>
          <w:sz w:val="28"/>
          <w:sz w:val="28"/>
          <w:szCs w:val="28"/>
          <w:rtl w:val="true"/>
          <w:lang w:bidi="ar-SA"/>
        </w:rPr>
        <w:t>، فعلم أنّ نفي وجوب الغسل لا يصلح دليلا على عدم التنجيس</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140427_653776707"/>
      <w:bookmarkStart w:id="785" w:name="_Toc288"/>
      <w:bookmarkEnd w:id="784"/>
      <w:r>
        <w:rPr>
          <w:rtl w:val="true"/>
        </w:rPr>
        <w:t xml:space="preserve">مسألة </w:t>
      </w:r>
      <w:r>
        <w:rPr>
          <w:rtl w:val="true"/>
        </w:rPr>
        <w:t>[</w:t>
      </w:r>
      <w:r>
        <w:rPr/>
        <w:t>2</w:t>
      </w:r>
      <w:r>
        <w:rPr>
          <w:rtl w:val="true"/>
        </w:rPr>
        <w:t>] :</w:t>
      </w:r>
      <w:bookmarkEnd w:id="785"/>
    </w:p>
    <w:p>
      <w:pPr>
        <w:pStyle w:val="Heading6"/>
        <w:numPr>
          <w:ilvl w:val="5"/>
          <w:numId w:val="1"/>
        </w:numPr>
        <w:rPr/>
      </w:pPr>
      <w:bookmarkStart w:id="786" w:name="__RefHeading___Toc3140429_653776707"/>
      <w:bookmarkStart w:id="787" w:name="_Toc289"/>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وفي حكم بول الآدميّ وغائطه بول ما لا يؤكل لحمه ممّا له نفس سائلة وروثه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فيه الفاضلان إجماع علماء الإسلام أيضا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الفاضل استثنى شذوذا من أهل الخلاف فحكى عنه القول بطهارة أبوال البهائم كلّها ، وذكر أنّه لا يعرف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النجاسة هنا بالنظر إلى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السابقة ، وخصوص ما رواه الشيخ في الحسن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رواية سماعة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الثوب شي‌ء من بول السنّور فلا تصلح الصلاة فيه حتّى تغسله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للأصحاب في فضلة الطير خلافا ، فأكثرهم على أنّها كفضلة غيره ، فهي من غير المأكول نجسة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الصدوق طهارتها مطلقا ؛ فإنّه 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بخرء ما طار وبوله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ابن أبي عقيل نحوه </w:t>
      </w:r>
      <w:r>
        <w:rPr>
          <w:rStyle w:val="FootnoteAnchor"/>
          <w:rtl w:val="true"/>
        </w:rPr>
        <w:footnoteReference w:id="1197"/>
      </w:r>
      <w:r>
        <w:rPr>
          <w:rFonts w:ascii="Amiri" w:hAnsi="Amiri" w:eastAsia="Amiri" w:cs="Amiri"/>
          <w:color w:val="111111"/>
          <w:sz w:val="28"/>
          <w:sz w:val="28"/>
          <w:szCs w:val="28"/>
          <w:rtl w:val="true"/>
          <w:lang w:bidi="ar-SA"/>
        </w:rPr>
        <w:t xml:space="preserve">، وعن الشيخ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الطيور كلّها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أكل لحمها أو لم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وذرقها إلّا الخشّاف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على الفاضلين أن يستثنيا الطير من عموم غير المأكول في حكاية الإجماع ، ولعلّهما اعتمدا في ترك التصريح بذلك على نقلهما الخلاف فيه على أثر الإجماع أو على عدم تأثير مثل هذا الخلاف في دعوى الإجماع لمعلوميّة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قول الشيخ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الشيخ استند إلى رواية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فلا بأس بخرئه وبوله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احتجّ المحقّق لما ذهب إليه من مساواة الطير لغيره بأنّ ما دلّ على نجاسة العذرة ممّا لا يؤكل لحمه يتناول موضع النزاع ؛ لأنّ الخرء والعذرة مترادفان وردّ الاستناد إلى رواية أبي بصير بأنّها وإن كانت حسنة لكنّ العامل بها من الأصحاب قليل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في كلامه هاهنا تأمّل ؛ لأنّ الإجماع الذي ادّعاه على نجاسة البول والغائط من مطلق الحيوان غير المأكول إن كان على عمومه فهو الحجّة في عدم التفرقة بين الطير وغيره ، وإن كان مخصوصا بما عدا الطير فأين الأدلّة </w:t>
      </w:r>
    </w:p>
    <w:p>
      <w:pPr>
        <w:pStyle w:val="BookText"/>
        <w:rPr/>
      </w:pPr>
      <w:r>
        <w:rPr>
          <w:rFonts w:ascii="Amiri" w:hAnsi="Amiri" w:eastAsia="Amiri" w:cs="Amiri"/>
          <w:color w:val="111111"/>
          <w:sz w:val="28"/>
          <w:sz w:val="28"/>
          <w:szCs w:val="28"/>
          <w:rtl w:val="true"/>
          <w:lang w:bidi="ar-SA"/>
        </w:rPr>
        <w:t>العامّة على نجاسة العذرة ممّا لا يؤكل؟ والحال أنّا لم نقف في هذا الباب إلّا على حسنة عبد اللّه بن سنان ، ولا ذكر أحد من الأصحاب الذين وصل إلينا كلامهم في احتجاجهم لهذا الحكم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واردة في البول ، ولم يذكرها هو في بحثه للمسألة بل اقتصر على نقل الإجماع كما حكيناه عنه ، فلا يدرى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وقع معلّقا عليه الحكم ليضطرّ إلى بيان مرادفة الخرء له ويجعلها دليلا على التسوية التي صار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عجيب من مثل المحقّق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أيضا في هذا المبحث كلمات ركيكة جدّا ؛ فإنّه اختار مذهب المحقّق ، واحتجّ له في المختلف بحسنة ابن سنان ، وادّعى عمومها في صورة النزاع ، وبأنّ الذمّة مشغولة بالصلاة قطعا ولا تبرأ بأدائها قطعا مع ملاقاة الثوب أو البدن لهذه الأبوال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حجّة الشيخ رواية أبي بصير ، وأصالة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الرواية بأنّها مخصوصة بالخشّاف إجماعا فيخصّ بما شاركه في العلّة وهو عدم كونه مأكولا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الوجه الآخر بالمعارضة بالاحتياط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لاحظت كلامه هذا بأدنى النظر تعلم ما فيه من التعسّف والقصور فلا حاجة إلى الإطالة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أصالة الطهارة لا تدفع بمثل هذه التمحّلات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وحسنة عبد اللّه بن سنان على تقدير العمل بها إنّما تدلّ على حكم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 الطيور إنّما هو الرجيع فلا دلالة لها بالنظر إلى الطيور وإن كانت عامّة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أبي بصير فهي وإن تطرّق إليها الإشكال من حيث عدم صحّة </w:t>
      </w:r>
      <w:bookmarkStart w:id="788" w:name="pg8731_77376"/>
    </w:p>
    <w:p>
      <w:pPr>
        <w:pStyle w:val="BookText"/>
        <w:rPr/>
      </w:pPr>
      <w:bookmarkEnd w:id="788"/>
      <w:r>
        <w:rPr>
          <w:rFonts w:ascii="Amiri" w:hAnsi="Amiri" w:eastAsia="Amiri" w:cs="Amiri"/>
          <w:color w:val="111111"/>
          <w:sz w:val="28"/>
          <w:sz w:val="28"/>
          <w:szCs w:val="28"/>
          <w:rtl w:val="true"/>
          <w:lang w:bidi="ar-SA"/>
        </w:rPr>
        <w:t>سندها واقتضائها تحقّق البول للطيور على خلاف ما هو الظاهر المعروف ، إلّا أنّ ضعف سندها منجبر بموافقتها لمقتضى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ومخالفتها للظاهر قابلة للتأويل فيتّجه حينئذ القول بطهارة ذرق الطيور إن لم يكن الإجماع المدّعى مأخوذا على جهة العموم وإلّا لكان هو الحجّة والمخرج عن مقتضى الأصل</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3140431_653776707"/>
      <w:bookmarkStart w:id="790" w:name="_Toc290"/>
      <w:bookmarkEnd w:id="789"/>
      <w:r>
        <w:rPr>
          <w:rtl w:val="true"/>
        </w:rPr>
        <w:t xml:space="preserve">فروع </w:t>
      </w:r>
      <w:r>
        <w:rPr>
          <w:rtl w:val="true"/>
        </w:rPr>
        <w:t>:</w:t>
      </w:r>
      <w:bookmarkEnd w:id="790"/>
    </w:p>
    <w:p>
      <w:pPr>
        <w:pStyle w:val="Heading6"/>
        <w:numPr>
          <w:ilvl w:val="5"/>
          <w:numId w:val="1"/>
        </w:numPr>
        <w:rPr/>
      </w:pPr>
      <w:bookmarkStart w:id="791" w:name="__RefHeading___Toc3140433_653776707"/>
      <w:bookmarkStart w:id="792" w:name="_Toc291"/>
      <w:bookmarkEnd w:id="791"/>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792"/>
    </w:p>
    <w:p>
      <w:pPr>
        <w:pStyle w:val="BookText"/>
        <w:rPr/>
      </w:pPr>
      <w:r>
        <w:rPr>
          <w:rFonts w:ascii="Amiri" w:hAnsi="Amiri" w:eastAsia="Amiri" w:cs="Amiri"/>
          <w:color w:val="111111"/>
          <w:sz w:val="28"/>
          <w:sz w:val="28"/>
          <w:szCs w:val="28"/>
          <w:rtl w:val="true"/>
          <w:lang w:bidi="ar-SA"/>
        </w:rPr>
        <w:t>لا فرق في حكم غير المأكول بين ما يكون تحريمه بالأصالة كالسباع ، وبين ما يكون بالعارض كالجلّال وموطوء الإنسان ؛ فإنّ الدليل يتناول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في التذكرة أنّه لا خلاف في ذلك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3140435_653776707"/>
      <w:bookmarkStart w:id="794" w:name="_Toc292"/>
      <w:bookmarkEnd w:id="793"/>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794"/>
    </w:p>
    <w:p>
      <w:pPr>
        <w:pStyle w:val="BookText"/>
        <w:rPr/>
      </w:pPr>
      <w:r>
        <w:rPr>
          <w:rFonts w:ascii="Amiri" w:hAnsi="Amiri" w:eastAsia="Amiri" w:cs="Amiri"/>
          <w:color w:val="111111"/>
          <w:sz w:val="28"/>
          <w:sz w:val="28"/>
          <w:szCs w:val="28"/>
          <w:rtl w:val="true"/>
          <w:lang w:bidi="ar-SA"/>
        </w:rPr>
        <w:t xml:space="preserve">إذا قلنا بطهارة رجيع الطير فالظاهر عدم الفرق بين الخفّاش وغيره ، كما هو الظاهر من كلام الصدوق وابن أبي عقيل </w:t>
      </w:r>
      <w:r>
        <w:rPr>
          <w:rStyle w:val="FootnoteAnchor"/>
          <w:rtl w:val="true"/>
        </w:rPr>
        <w:footnoteReference w:id="1202"/>
      </w:r>
      <w:r>
        <w:rPr>
          <w:rFonts w:ascii="Amiri" w:hAnsi="Amiri" w:eastAsia="Amiri" w:cs="Amiri"/>
          <w:color w:val="111111"/>
          <w:sz w:val="28"/>
          <w:sz w:val="28"/>
          <w:szCs w:val="28"/>
          <w:rtl w:val="true"/>
          <w:lang w:bidi="ar-SA"/>
        </w:rPr>
        <w:t xml:space="preserve">؛ فإنّ مستند الشيخ في استثنائه له من بينها في المبسوط </w:t>
      </w:r>
      <w:r>
        <w:rPr>
          <w:rStyle w:val="FootnoteAnchor"/>
          <w:rtl w:val="true"/>
        </w:rPr>
        <w:footnoteReference w:id="1203"/>
      </w:r>
      <w:r>
        <w:rPr>
          <w:rFonts w:ascii="Amiri" w:hAnsi="Amiri" w:eastAsia="Amiri" w:cs="Amiri"/>
          <w:color w:val="111111"/>
          <w:sz w:val="28"/>
          <w:sz w:val="28"/>
          <w:szCs w:val="28"/>
          <w:rtl w:val="true"/>
          <w:lang w:bidi="ar-SA"/>
        </w:rPr>
        <w:t xml:space="preserve">على ما يظهر هو التمسّك برواية داود الرقي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بول الخشاشيف يصيب ثوبي فأطلبه ولا أجده؟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ضعيفة السند بداود وغيره</w:t>
      </w:r>
      <w:r>
        <w:rPr>
          <w:rFonts w:eastAsia="Amiri" w:cs="Amiri" w:ascii="Amiri" w:hAnsi="Amiri"/>
          <w:color w:val="111111"/>
          <w:sz w:val="28"/>
          <w:szCs w:val="28"/>
          <w:rtl w:val="true"/>
          <w:lang w:bidi="ar-SA"/>
        </w:rPr>
        <w:t xml:space="preserve">. </w:t>
      </w:r>
      <w:bookmarkStart w:id="795" w:name="pg8731_77377"/>
    </w:p>
    <w:p>
      <w:pPr>
        <w:pStyle w:val="BookText"/>
        <w:rPr/>
      </w:pPr>
      <w:bookmarkEnd w:id="795"/>
      <w:r>
        <w:rPr>
          <w:rFonts w:ascii="Amiri" w:hAnsi="Amiri" w:eastAsia="Amiri" w:cs="Amiri"/>
          <w:color w:val="111111"/>
          <w:sz w:val="28"/>
          <w:sz w:val="28"/>
          <w:szCs w:val="28"/>
          <w:rtl w:val="true"/>
          <w:lang w:bidi="ar-SA"/>
        </w:rPr>
        <w:t xml:space="preserve">وروى الشيخ عن غياث عن جعفر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بدم البراغيث والبق وبول الخشاشيف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هذه الرواية ضعف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تحقّق للخفّاش بول وعملنا بالحديث الحسن تعيّن اطراح هذه لدلالة حسنة عبد اللّه بن سنان على نجاسة البول من كلّ حيوان غير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فتتناول بعمومها الخفّاش وتقصر هذه عن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Style w:val="FootnoteAnchor"/>
          <w:rtl w:val="true"/>
        </w:rPr>
        <w:footnoteReference w:id="1206"/>
      </w:r>
      <w:r>
        <w:rPr>
          <w:rFonts w:ascii="Amiri" w:hAnsi="Amiri" w:eastAsia="Amiri" w:cs="Amiri"/>
          <w:color w:val="111111"/>
          <w:sz w:val="28"/>
          <w:sz w:val="28"/>
          <w:szCs w:val="28"/>
          <w:rtl w:val="true"/>
          <w:lang w:bidi="ar-SA"/>
        </w:rPr>
        <w:t>إن ثبت عموم محلّ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فالأصل يساعد على العمل بهذه وإن ضعفت ، ويكون ذكر البول فيها محمولا على التجوّز ، وقد 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وردت للتقيّة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3140437_653776707"/>
      <w:bookmarkStart w:id="797" w:name="_Toc293"/>
      <w:bookmarkEnd w:id="796"/>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797"/>
    </w:p>
    <w:p>
      <w:pPr>
        <w:pStyle w:val="BookText"/>
        <w:rPr/>
      </w:pPr>
      <w:r>
        <w:rPr>
          <w:rFonts w:ascii="Amiri" w:hAnsi="Amiri" w:eastAsia="Amiri" w:cs="Amiri"/>
          <w:color w:val="111111"/>
          <w:sz w:val="28"/>
          <w:sz w:val="28"/>
          <w:szCs w:val="28"/>
          <w:rtl w:val="true"/>
          <w:lang w:bidi="ar-SA"/>
        </w:rPr>
        <w:t>لا نعرف بين الأصحاب خلافا في أنّ رجيع ما لا نفس له من الحيوان غير المأكول ليس بنجس وهو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رجيع ما لا نفس له كالذباب والخنافس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أنّه طاهر لأنّ ميتته </w:t>
      </w:r>
      <w:r>
        <w:rPr>
          <w:rStyle w:val="FootnoteAnchor"/>
          <w:rtl w:val="true"/>
        </w:rPr>
        <w:footnoteReference w:id="1208"/>
      </w:r>
      <w:r>
        <w:rPr>
          <w:rFonts w:ascii="Amiri" w:hAnsi="Amiri" w:eastAsia="Amiri" w:cs="Amiri"/>
          <w:color w:val="111111"/>
          <w:sz w:val="28"/>
          <w:sz w:val="28"/>
          <w:szCs w:val="28"/>
          <w:rtl w:val="true"/>
          <w:lang w:bidi="ar-SA"/>
        </w:rPr>
        <w:t xml:space="preserve">ودمه ولعابه طاهر فصارت فضلاته كعصارة النبات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يؤذن بظنّ تناول الأدلّة الدالّة على نجاسة فضلة الحيوان </w:t>
      </w:r>
      <w:bookmarkStart w:id="798" w:name="pg8731_77378"/>
    </w:p>
    <w:p>
      <w:pPr>
        <w:pStyle w:val="BookText"/>
        <w:rPr/>
      </w:pPr>
      <w:bookmarkEnd w:id="798"/>
      <w:r>
        <w:rPr>
          <w:rFonts w:ascii="Amiri" w:hAnsi="Amiri" w:eastAsia="Amiri" w:cs="Amiri"/>
          <w:color w:val="111111"/>
          <w:sz w:val="28"/>
          <w:sz w:val="28"/>
          <w:szCs w:val="28"/>
          <w:rtl w:val="true"/>
          <w:lang w:bidi="ar-SA"/>
        </w:rPr>
        <w:t>غير المأكول له ، وإلّا فقد كان التمسّك في طهارته بالأصل أولى من التوجيه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تلك الأدلّة لا تصلح لتناوله فلا مخرج </w:t>
      </w:r>
      <w:r>
        <w:rPr>
          <w:rStyle w:val="FootnoteAnchor"/>
          <w:rtl w:val="true"/>
        </w:rPr>
        <w:footnoteReference w:id="1210"/>
      </w:r>
      <w:r>
        <w:rPr>
          <w:rFonts w:ascii="Amiri" w:hAnsi="Amiri" w:eastAsia="Amiri" w:cs="Amiri"/>
          <w:color w:val="111111"/>
          <w:sz w:val="28"/>
          <w:sz w:val="28"/>
          <w:szCs w:val="28"/>
          <w:rtl w:val="true"/>
          <w:lang w:bidi="ar-SA"/>
        </w:rPr>
        <w:t>في حكمه عن الأصل</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140439_653776707"/>
      <w:bookmarkStart w:id="800" w:name="_Toc294"/>
      <w:bookmarkEnd w:id="799"/>
      <w:r>
        <w:rPr>
          <w:rtl w:val="true"/>
        </w:rPr>
        <w:t xml:space="preserve">مسألة </w:t>
      </w:r>
      <w:r>
        <w:rPr>
          <w:rtl w:val="true"/>
        </w:rPr>
        <w:t>[</w:t>
      </w:r>
      <w:r>
        <w:rPr/>
        <w:t>3</w:t>
      </w:r>
      <w:r>
        <w:rPr>
          <w:rtl w:val="true"/>
        </w:rPr>
        <w:t>] :</w:t>
      </w:r>
      <w:bookmarkEnd w:id="800"/>
    </w:p>
    <w:p>
      <w:p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1211"/>
      </w:r>
      <w:r>
        <w:rPr>
          <w:rFonts w:ascii="Amiri" w:hAnsi="Amiri" w:eastAsia="Amiri" w:cs="Amiri"/>
          <w:color w:val="111111"/>
          <w:sz w:val="28"/>
          <w:sz w:val="28"/>
          <w:szCs w:val="28"/>
          <w:rtl w:val="true"/>
          <w:lang w:bidi="ar-SA"/>
        </w:rPr>
        <w:t>الأصحاب على أنّ البول والروث من كلّ حيوان مأكول اللحم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بالنجاسة في ذلك جماعة فاستثنى بعضهم منه الخيل والبغال والحمير فحكم بنجاسة أبوالها وأرواثها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البعض 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هنا يقع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أبوال الدوابّ الثلاث وأرواثها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طهارتها على كراهيّة بحيث لا نعرف الخلاف في ذلك إلّا من ابن الجنيد والشيخ في النهاية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الطهارة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 إيجاب إزالتها تكليف ، والأصل يقتضي براءة الذمّة منه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من عدا ابن الجنيد من الأصحاب الذين نعرف فتاويهم فإنّهم لم ينقلوا الموافقة له عن أحد سوى الشيخ وهو قد وافق على المشهور </w:t>
      </w:r>
    </w:p>
    <w:p>
      <w:pPr>
        <w:pStyle w:val="BookText"/>
        <w:rPr/>
      </w:pPr>
      <w:r>
        <w:rPr>
          <w:rFonts w:ascii="Amiri" w:hAnsi="Amiri" w:eastAsia="Amiri" w:cs="Amiri"/>
          <w:color w:val="111111"/>
          <w:sz w:val="28"/>
          <w:sz w:val="28"/>
          <w:szCs w:val="28"/>
          <w:rtl w:val="true"/>
          <w:lang w:bidi="ar-SA"/>
        </w:rPr>
        <w:t xml:space="preserve">في غير النهاية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في الاستبصار أنّ تضعيفه متأخّر عن النهاية ، ومختاره فيه الكراهة </w:t>
      </w:r>
      <w:r>
        <w:rPr>
          <w:rStyle w:val="FootnoteAnchor"/>
          <w:rtl w:val="true"/>
        </w:rPr>
        <w:footnoteReference w:id="1214"/>
      </w:r>
      <w:r>
        <w:rPr>
          <w:rFonts w:ascii="Amiri" w:hAnsi="Amiri" w:eastAsia="Amiri" w:cs="Amiri"/>
          <w:color w:val="111111"/>
          <w:sz w:val="28"/>
          <w:sz w:val="28"/>
          <w:szCs w:val="28"/>
          <w:rtl w:val="true"/>
          <w:lang w:bidi="ar-SA"/>
        </w:rPr>
        <w:t>، فيكون رجوعه إنّما هو إلى وفاق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في المعتبر بعد حكايته القول بالنجاسة عن ابن الجنيد ونهاية الشيخ أنّ على القول بالكراهية عامّة الأصحاب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طهارة فضلة ما يؤكل لحمه ، فإنّه متناول لموضع النزاع ؛ إذ المفروض كون الأنواع المذكورة مأكولة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الكليني في الحسن عن زرارة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ثوبك من بول شي‌ء يؤكل لحمه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رواه الصدوق في كتاب من لا يحضره الفقيه عن أبيه عن محمّد بن يحيى العطّار عن إبراهيم بن هاشم عن صفوان بن يحيى ومحمّد ابن أبي عمير عن أبي الأعزّ النخّاس أنّه سأل 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اعالج الدوابّ فربّما خرجت بالليل وقد بالت وراثت فتضرب إحداها بيدها </w:t>
      </w:r>
    </w:p>
    <w:p>
      <w:pPr>
        <w:pStyle w:val="BookText"/>
        <w:rPr/>
      </w:pPr>
      <w:r>
        <w:rPr>
          <w:rFonts w:ascii="Amiri" w:hAnsi="Amiri" w:eastAsia="Amiri" w:cs="Amiri"/>
          <w:color w:val="111111"/>
          <w:sz w:val="28"/>
          <w:sz w:val="28"/>
          <w:szCs w:val="28"/>
          <w:rtl w:val="true"/>
          <w:lang w:bidi="ar-SA"/>
        </w:rPr>
        <w:t xml:space="preserve">أو برجلها فينضح على 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الكافي عن محمّد بن يحيى عن محمّد بن الحسين عن عليّ بن الحكم عن أبي الأعزّ النخّاس إلّا أنّ فيه قليل تغيّر حيث قال بعد قوله وراثت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فيضرب أحدها بيده أو رجله فينضح على ثيابي فأصبح فأرى أثره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بإسناده الصحيح عن محمّد بن أحمد بن يحيى عن محمّد ابن الحسين عن الحكم بن مسكين عن إسحاق بن عمّار عن معلّى بن خنيس وعبد اللّه بن أبي يعفور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وقدّامنا حمار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فجاءت الريح ببوله حتّى صكّت وجوهنا وثيابنا فدخلنا على أبي عبد اللّه عليه‌السلام فأخبرناه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بأس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أيضا بإسناده الصحيح عن أحمد بن محمّد عن البرقي عن أبان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بروث الحمير واغسل أبوالها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في هذا الحديث نفي البأس عن الروث فيكون الأمر بغسل البول للاستحباب إذ لا قائل بالفصل في ما يظهر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هذا الحديث رواية أبي مريم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تقول في أبوال الدوابّ وأرواثها؟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أبوالها فاغسل ما أصابك وأمّا أرواثها فهي أكثر من ذلك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الأعلى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أبوال الحمير والبغال؟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فأرواثها؟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من ذلك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رحمه‌اللّه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كثرتها يمنع التكليف بإزالتها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بالنجاسة عدّة روايات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ألبان الإبل والغنم والبقر وأبوالها؟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تتوضّأ منه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أبوال الدوابّ والبغال والحمير؟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فإن لم تعلم مكانه فاغسل الثوب كلّه ، فإن شككت فانضحه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الحسين بن سعيد عن فضالة عن حسين بن عثمان عن ابن مسكان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أبوال الخيل والبغال؟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أصابك منه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سعيد عن فضالة عن أبان بن عثمان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تمسّه بعض أبوال البهائم أيغسل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الحمار والفرس 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الشاة وكلّ ما يؤكل </w:t>
      </w:r>
    </w:p>
    <w:p>
      <w:pPr>
        <w:pStyle w:val="BookText"/>
        <w:rPr/>
      </w:pPr>
      <w:r>
        <w:rPr>
          <w:rFonts w:ascii="IRNazanin" w:hAnsi="IRNazanin" w:eastAsia="IRNazanin"/>
          <w:color w:val="111111"/>
          <w:sz w:val="28"/>
          <w:sz w:val="28"/>
          <w:szCs w:val="28"/>
          <w:rtl w:val="true"/>
          <w:lang w:bidi="fa-IR"/>
        </w:rPr>
        <w:t xml:space="preserve">لحمه فلا بأس ببوله </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بول السنّور والكلب والحمار والفرس؟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كأبوال الإنسان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رحمه‌اللّه بعد أن روى هذه الأحاديث في التهذيب والإستبصار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كلّها محمولة على ضرب من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ذلك ما أوردناه من أنّ ما يؤكل لحمه لا بأس ببوله وروثه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الأشياء غير محرّمة اللحوم لم يكن أبوالها وأرواثها محرّما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ما رواه أحمد بن محمّد عن محمّد بن خالد عن القاسم بن عروة عن ابن بكير عن زرارة عن أحدهما عليه‌السلام في أبوال الدواب تصيب الثوب ، 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لحومها حلالا؟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ليس ممّا جعله اللّه للأكل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الخبر مفسّرا لهذه الأخبار كلّها ومصرّحا بكراهيّة ما تضمّنته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الوجه في هذه الأحاديث أيضا ضربا من التقيّة ؛ لأنّها موافقة لمذهب بعض العامّة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متعارضة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روايات النجاسة على استحباب الإزالة طريق الجمع لا سيّما بقرينة الرواية التي رواها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بالنضح مع الشكّ وهو للاستحباب باعتراف </w:t>
      </w:r>
    </w:p>
    <w:p>
      <w:pPr>
        <w:pStyle w:val="BookText"/>
        <w:rPr/>
      </w:pPr>
      <w:r>
        <w:rPr>
          <w:rFonts w:ascii="Amiri" w:hAnsi="Amiri" w:eastAsia="Amiri" w:cs="Amiri"/>
          <w:color w:val="111111"/>
          <w:sz w:val="28"/>
          <w:sz w:val="28"/>
          <w:szCs w:val="28"/>
          <w:rtl w:val="true"/>
          <w:lang w:bidi="ar-SA"/>
        </w:rPr>
        <w:t>الخصم مع أنّه وقع في الحديث مجرّدا عن القرينة الدالّة على ذلك فلا بعد في كون الأوامر الواقعة في صحّته مثله بل المستبعد من الحكيم سوق الكلام على نمط يعطي الاتّفاق في الحكم والحال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يجمع بينها بحمل أخبار النجاسة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ذلك ما أوردناه من أنّ 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المضمون عامّ والأخبار التي يحاول تأويلها خاصّة ، فطريق الجمع بينها حمل العامّ على الخاصّ لا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الصواب التمسّك في ذلك بالأخبار التي ذكرناها في الاحتجاج للطهارة فإنّها خاصّة كأخبار النجاسة فيقع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أراد هذا المعنى ولكن جاءت العبارة قاصرة عن تأديته ، وقد اتّفق له في محل آخر الإشارة إلى هذا البحث بعبارة جارية على 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سهل لوضوح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الشأن في استقامة هذا الجمع ، وقد اقتفى أثره فيه جماعة من الأصحاب مقتصرين على محصول كلامه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تكلّف الجمع فرع حصول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التأويل إنّما يصحّ عند قيام المعارض ، وذلك مفقود هنا ؛ فإنّ في أخبار التنجيس ما هو صحيح السند ، وليس في جانب الطهارة حديث صحيح ؛ فإنّ رواية أبي الأعز ضعيفة لجهالة حاله ؛ إذ لم يذكره الأصحاب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المعلّى وابن أبي يعفور في طريقها الحكم بن مسكين وهو مجهول الحال أيضا وإسحاق بن عمّار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رواية الحلبي البرقي وقد ضعّفه النجاشي </w:t>
      </w:r>
      <w:r>
        <w:rPr>
          <w:rStyle w:val="FootnoteAnchor"/>
          <w:rtl w:val="true"/>
        </w:rPr>
        <w:footnoteReference w:id="1231"/>
      </w:r>
      <w:r>
        <w:rPr>
          <w:rFonts w:ascii="Amiri" w:hAnsi="Amiri" w:eastAsia="Amiri" w:cs="Amiri"/>
          <w:color w:val="111111"/>
          <w:sz w:val="28"/>
          <w:sz w:val="28"/>
          <w:szCs w:val="28"/>
          <w:rtl w:val="true"/>
          <w:lang w:bidi="ar-SA"/>
        </w:rPr>
        <w:t>، وأبان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مريم </w:t>
      </w:r>
    </w:p>
    <w:p>
      <w:pPr>
        <w:pStyle w:val="BookText"/>
        <w:rPr/>
      </w:pPr>
      <w:r>
        <w:rPr>
          <w:rFonts w:ascii="Amiri" w:hAnsi="Amiri" w:eastAsia="Amiri" w:cs="Amiri"/>
          <w:color w:val="111111"/>
          <w:sz w:val="28"/>
          <w:sz w:val="28"/>
          <w:szCs w:val="28"/>
          <w:rtl w:val="true"/>
          <w:lang w:bidi="ar-SA"/>
        </w:rPr>
        <w:t>ضعيفة وكذا رواية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عندي أنّ الأسانيد من الطرفين ليست بواضحة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الاولى من روايات التنجيس حسنة كما ذكرنا ، والثانية في طريقها الحسين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مشترك بين رجلين وثّقهما النجاشي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الكشّي توثيق أحدهما عن حمدويه عن أشياخه </w:t>
      </w:r>
      <w:r>
        <w:rPr>
          <w:rStyle w:val="FootnoteAnchor"/>
          <w:rtl w:val="true"/>
        </w:rPr>
        <w:footnoteReference w:id="1233"/>
      </w:r>
      <w:r>
        <w:rPr>
          <w:rFonts w:ascii="Amiri" w:hAnsi="Amiri" w:eastAsia="Amiri" w:cs="Amiri"/>
          <w:color w:val="111111"/>
          <w:sz w:val="28"/>
          <w:sz w:val="28"/>
          <w:szCs w:val="28"/>
          <w:rtl w:val="true"/>
          <w:lang w:bidi="ar-SA"/>
        </w:rPr>
        <w:t>مع أنّ عبارة الاختيار توهم مغايرة المحكيّ توثيقه لهما ، وهذه الحكاية لا تخرجه عند التحقيق عن عداد من عرفت عدالته بتزكية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هذا يؤخذ على الرواية الثالثة ؛ فإنّ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ابن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لتعديله مأخذ إلّا شهادة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الأخيرة في طريقها عثمان بن عيسى وسماعة وحالهما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الاولى من أخبار الطهارة وإن كان حال راويها مجهولا من حيث عدم ذكره في كتب الرجال إلّا أنّ الراوي عنه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الثقتان الجليلان صفوان بن يحيى ومحمّد بن أبي عمير اللذين قد أكثر الأصحاب من مدحهما والثناء عليهما ، حتّى قال الشيخ في حقّ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أوثق أهل زمانه عند أصحاب الحديث وأعبدهم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أوثق الناس عند الخاصّة والعامّة وأنسكهم نسكا وأورعهم وأعبدهم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الكشّي إجماع الأصحاب على تصحيح ما يصحّ عنهما في جملة </w:t>
      </w:r>
    </w:p>
    <w:p>
      <w:pPr>
        <w:pStyle w:val="BookText"/>
        <w:rPr/>
      </w:pPr>
      <w:r>
        <w:rPr>
          <w:rFonts w:ascii="Amiri" w:hAnsi="Amiri" w:eastAsia="Amiri" w:cs="Amiri"/>
          <w:color w:val="111111"/>
          <w:sz w:val="28"/>
          <w:sz w:val="28"/>
          <w:szCs w:val="28"/>
          <w:rtl w:val="true"/>
          <w:lang w:bidi="ar-SA"/>
        </w:rPr>
        <w:t xml:space="preserve">آخرين وتصديقهم والإقرار لهم بالفقه والعلم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روايتهما لها بل ولغيرها من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الصدوق في كتابه ؛ إذ الإسناد الذي ذكرناه للرواية هو طريقه إلى كلّ ما رواه فيه عن أبي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حسن حاله ، ثمّ ينضاف إلى ذلك إيداع الرواية كتاب من لا يحضره الفقيه وقد قال مصنّفه الصدوق رحمه‌اللّه إنّ جميع ما فيه مستخرج من كتب مشهورة ، عليها المعوّل وإليها المرجع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المتضمّن لنفي البأس عن روث الحمير لا يقصر عن الأخبار التي تظنّ صحّتها في روايات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والتشبّث في تضعيفه باشتمال طريقه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عند من يحكم بصحّة شي‌ء من أخبار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البرقي فلأنّ الشيخ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النجاشي في تضعيفه </w:t>
      </w:r>
      <w:r>
        <w:rPr>
          <w:rStyle w:val="FootnoteAnchor"/>
          <w:rtl w:val="true"/>
        </w:rPr>
        <w:footnoteReference w:id="1238"/>
      </w:r>
      <w:r>
        <w:rPr>
          <w:rFonts w:ascii="Amiri" w:hAnsi="Amiri" w:eastAsia="Amiri" w:cs="Amiri"/>
          <w:color w:val="111111"/>
          <w:sz w:val="28"/>
          <w:sz w:val="28"/>
          <w:szCs w:val="28"/>
          <w:rtl w:val="true"/>
          <w:lang w:bidi="ar-SA"/>
        </w:rPr>
        <w:t>غير صريح ؛ لأنّه محتمل لإرادة كثرة روايته عن الضعفاء كما ذكره ابن الغضائري في حقّه وذلك غير قادح في نفسه فلا منافي لتوثيق الشيخ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أبان فلأنّ القرائن قائمة على أنّه ابن عثمان وهو أحد </w:t>
      </w:r>
      <w:r>
        <w:rPr>
          <w:rStyle w:val="FootnoteAnchor"/>
          <w:rtl w:val="true"/>
        </w:rPr>
        <w:footnoteReference w:id="1239"/>
      </w:r>
      <w:r>
        <w:rPr>
          <w:rFonts w:ascii="Amiri" w:hAnsi="Amiri" w:eastAsia="Amiri" w:cs="Amiri"/>
          <w:color w:val="111111"/>
          <w:sz w:val="28"/>
          <w:sz w:val="28"/>
          <w:szCs w:val="28"/>
          <w:rtl w:val="true"/>
          <w:lang w:bidi="ar-SA"/>
        </w:rPr>
        <w:t xml:space="preserve">الجماعة الذين حكى الكشّي الإجماع على تصحيح ما يصحّ عنهم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جرح به لم يثبت ؛ لأنّ الأصل فيه علي بن الحسن بن فضّال ، والمتقرّر </w:t>
      </w:r>
    </w:p>
    <w:p>
      <w:pPr>
        <w:pStyle w:val="BookText"/>
        <w:rPr/>
      </w:pPr>
      <w:r>
        <w:rPr>
          <w:rFonts w:ascii="Amiri" w:hAnsi="Amiri" w:eastAsia="Amiri" w:cs="Amiri"/>
          <w:color w:val="111111"/>
          <w:sz w:val="28"/>
          <w:sz w:val="28"/>
          <w:szCs w:val="28"/>
          <w:rtl w:val="true"/>
          <w:lang w:bidi="ar-SA"/>
        </w:rPr>
        <w:t>في كلام الأصحاب أنّه من جملة الفطحيّة ، فلو قبل طعنه في أبان لم يتّجه المنع من قبول رواية أبان ؛ إذ ليس القدح إلّا بفساد المذهب وهو مشترك بين الجارح والمجروح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بهذا وجه ثبوت التعارض بين الأخبار لكن بعد رعاية مقدّمة اخرى وهي انتفاء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الأقوال في طهارة البول والروث من الكلّ ونجاستهما ليكون إثبات الطهارة في البعض مقتضيا لإثباته في الجميع ؛ فإنّ الخبر المبحوث عنه لم يتعرّض فيه لغير روث الحمير كما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العلّامة في المختلف هذه المقدّمة مع الحديث عند الاحتجاج به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حجّة القول بالتنجيس لا يتمّ بدون هذه المقدّمة أيضا ؛ لخلوّ أخباره عن حكم الروث واختصاص الأمر بغسل الأبوال بما إذا أصابت الثوب أو البدن ، والمدّعى عموم الحكم بنجاستها ، فلا بدّ لهم من الموافقة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المشي على طريقهم في تصحيح الأخبار مقتض لصحّة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الأمرين ثبوت الطهارة وتبقى الأخبار الاخر عاضدة للحجّة ومؤيّدة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اشار المحقّق رحمه‌اللّه في المعتبر إلى خلوّ الأخبار عن الدلالة على نجاسة الروث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الروايات الواردة في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فخلص من هذا تطابق أخبارنا على طهارة الروث وتصادمها على البول فيقضى بالكراهيّة عملا بالروايتين ؛ ولأنّ تعارض النقل يثمر الطهارة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الطهارة فيكون طرفها أرجح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w:t>
      </w:r>
    </w:p>
    <w:p>
      <w:pPr>
        <w:pStyle w:val="BookText"/>
        <w:rPr/>
      </w:pPr>
      <w:r>
        <w:rPr>
          <w:rFonts w:ascii="IRNazanin" w:hAnsi="IRNazanin" w:eastAsia="IRNazanin"/>
          <w:color w:val="111111"/>
          <w:sz w:val="28"/>
          <w:sz w:val="28"/>
          <w:szCs w:val="28"/>
          <w:rtl w:val="true"/>
          <w:lang w:bidi="fa-IR"/>
        </w:rPr>
        <w:t xml:space="preserve">قذر </w:t>
      </w:r>
      <w:r>
        <w:rPr>
          <w:rFonts w:eastAsia="IRNazanin" w:cs="IRNazanin"/>
          <w:color w:val="111111"/>
          <w:sz w:val="28"/>
          <w:szCs w:val="28"/>
          <w:rtl w:val="true"/>
          <w:lang w:bidi="fa-IR"/>
        </w:rPr>
        <w:t xml:space="preserve">»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عدم خلوص ما قرّره في جهة الأبوال من ثبوت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مقام الخصام والإلزام التمسّك بما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التحقيق فترى أنّ الأخبار كلّها غير بالغة حدّ الصحّة على الوجه الذي رجّحناه في المقدّمات الاصوليّة فلا يبقى لمقتضى الأصل المعتضد بعمل جمهور الأصحاب ومخالفة ما عليه أهل الخلاف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ريب أنّ أصالة براءة الذمّة سبب متين لا يقطعه إلّا الدليل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القول بالتنجيس احتياطا للدين غالبا واتّباعا لما عليه إجماع الكلّ من أرجحيّة النزاهة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ذلك في مورد النصوص وهو إصابة الأبوال للثوب أو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الشيخان إلى نجاسته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الأصحاب أنّه كغيره من الحيوان المأكول اللحم بحيث لا يعرف القول بالنجاسة لغيرهما ، بل الشيخ رحمه‌اللّه وافق على الطهارة في التهذيب والإستبصار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ينحصر الخلاف في المقيّد بتقريب ما قلناه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فالقول بالطهارة عندي هو الأقرب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مؤيّدا بعموم رواية عمّار الساباطي عن أبي عبد اللّه عليه‌السلام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وهب بن وهب عن جعفر عن ابيه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بذرق الدجاج </w:t>
      </w:r>
      <w:r>
        <w:rPr>
          <w:rStyle w:val="FootnoteAnchor"/>
          <w:rtl w:val="true"/>
        </w:rPr>
        <w:footnoteReference w:id="1246"/>
      </w:r>
      <w:r>
        <w:rPr>
          <w:rFonts w:ascii="Amiri" w:hAnsi="Amiri" w:eastAsia="Amiri" w:cs="Amiri"/>
          <w:color w:val="111111"/>
          <w:sz w:val="28"/>
          <w:sz w:val="28"/>
          <w:szCs w:val="28"/>
          <w:rtl w:val="true"/>
          <w:lang w:bidi="ar-SA"/>
        </w:rPr>
        <w:t xml:space="preserve">والحمام يصيب الثوب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في التهذيب للقول بالتنجيس عند نقله لكلام المفيد برواية فارس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رجل يسأله عن ذرق الدجاج تجوز الصلاة فيه؟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هذا الاحتجاج الطعن في الرواية ؛ فإنّ راويها مذموم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حاتم غال ملعون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الكذّابين المشهورين ، الفاجر فارس بن حاتم وحكى فيه امورا اخر </w:t>
      </w:r>
      <w:r>
        <w:rPr>
          <w:rStyle w:val="FootnoteAnchor"/>
          <w:rtl w:val="true"/>
        </w:rPr>
        <w:footnoteReference w:id="1250"/>
      </w:r>
      <w:r>
        <w:rPr>
          <w:rFonts w:ascii="Amiri" w:hAnsi="Amiri" w:eastAsia="Amiri" w:cs="Amiri"/>
          <w:color w:val="111111"/>
          <w:sz w:val="28"/>
          <w:sz w:val="28"/>
          <w:szCs w:val="28"/>
          <w:rtl w:val="true"/>
          <w:lang w:bidi="ar-SA"/>
        </w:rPr>
        <w:t>، لا حاجة إلى نقلها ، ومن هذا شأنه كيف يلتفت إلى روايته؟</w:t>
      </w:r>
    </w:p>
    <w:p>
      <w:pPr>
        <w:pStyle w:val="BookText"/>
        <w:rPr/>
      </w:pPr>
      <w:r>
        <w:rPr>
          <w:rFonts w:ascii="Amiri" w:hAnsi="Amiri" w:eastAsia="Amiri" w:cs="Amiri"/>
          <w:color w:val="111111"/>
          <w:sz w:val="28"/>
          <w:sz w:val="28"/>
          <w:szCs w:val="28"/>
          <w:rtl w:val="true"/>
          <w:lang w:bidi="ar-SA"/>
        </w:rPr>
        <w:t>والرواية التي وردت بالطهارة وحكيناها ضعيفة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يجعلها حجّة بل مؤيّدة </w:t>
      </w:r>
      <w:r>
        <w:rPr>
          <w:rStyle w:val="FootnoteAnchor"/>
          <w:rtl w:val="true"/>
        </w:rPr>
        <w:footnoteReference w:id="1251"/>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للروايتين وتنبيهه على ضعفهما وأنّ المرجع </w:t>
      </w:r>
      <w:bookmarkStart w:id="801" w:name="pg8731_77389"/>
    </w:p>
    <w:p>
      <w:pPr>
        <w:pStyle w:val="BookText"/>
        <w:rPr/>
      </w:pPr>
      <w:bookmarkEnd w:id="801"/>
      <w:r>
        <w:rPr>
          <w:rFonts w:ascii="Amiri" w:hAnsi="Amiri" w:eastAsia="Amiri" w:cs="Amiri"/>
          <w:color w:val="111111"/>
          <w:sz w:val="28"/>
          <w:sz w:val="28"/>
          <w:szCs w:val="28"/>
          <w:rtl w:val="true"/>
          <w:lang w:bidi="ar-SA"/>
        </w:rPr>
        <w:t xml:space="preserve">إلى الأصل وهو الطهارة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 يتوقّى النجاسة فرجيعه مستحيل عنها فيكون نجسا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أن يكون ذلك محضا يكون التنجيس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يمزج علفه فإنّه يستحيل إمّا عنهما أو عن أحدهما ، فلا يتحقّق الاستحالة عن النجاسة ، إذ لو حكم بغلبة النجاسة لسرى التحريم إلى لحمها ، ولمّا حصل الإجماع على حلّها مع الإرسال بطل الحكم بغلبة النجاسة على رجيعها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3140441_653776707"/>
      <w:bookmarkStart w:id="803" w:name="_Toc295"/>
      <w:bookmarkEnd w:id="802"/>
      <w:r>
        <w:rPr>
          <w:rtl w:val="true"/>
        </w:rPr>
        <w:t xml:space="preserve">مسألة </w:t>
      </w:r>
      <w:r>
        <w:rPr>
          <w:rtl w:val="true"/>
        </w:rPr>
        <w:t>[</w:t>
      </w:r>
      <w:r>
        <w:rPr/>
        <w:t>4</w:t>
      </w:r>
      <w:r>
        <w:rPr>
          <w:rtl w:val="true"/>
        </w:rPr>
        <w:t>] :</w:t>
      </w:r>
      <w:bookmarkEnd w:id="803"/>
    </w:p>
    <w:p>
      <w:pPr>
        <w:pStyle w:val="BookText"/>
        <w:rPr/>
      </w:pPr>
      <w:r>
        <w:rPr>
          <w:rFonts w:ascii="Amiri" w:hAnsi="Amiri" w:eastAsia="Amiri" w:cs="Amiri"/>
          <w:color w:val="111111"/>
          <w:sz w:val="28"/>
          <w:sz w:val="28"/>
          <w:szCs w:val="28"/>
          <w:rtl w:val="true"/>
          <w:lang w:bidi="ar-SA"/>
        </w:rPr>
        <w:t xml:space="preserve">والمني من الآدمي نجس بإجماع علمائنا ، حكاه في التذكرة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وأخبارنا بذلك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الشيخ عن محمّد بن مسلم في الصحيح عن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مكانه فاغسله ، وإن خفي عليك فاغسله كلّه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أيضا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المنيّ فشدّده وجعله أشدّ من البول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محمّد الحلبي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ثوبه </w:t>
      </w:r>
      <w:r>
        <w:rPr>
          <w:rStyle w:val="FootnoteAnchor"/>
          <w:rtl w:val="true"/>
        </w:rPr>
        <w:footnoteReference w:id="1256"/>
      </w:r>
      <w:r>
        <w:rPr>
          <w:rFonts w:ascii="Amiri" w:hAnsi="Amiri" w:eastAsia="Amiri" w:cs="Amiri"/>
          <w:color w:val="111111"/>
          <w:sz w:val="28"/>
          <w:sz w:val="28"/>
          <w:szCs w:val="28"/>
          <w:rtl w:val="true"/>
          <w:lang w:bidi="ar-SA"/>
        </w:rPr>
        <w:t xml:space="preserve">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فإذا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في الحسن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الرجل فاصاب ثوبه منيّ فليغسل الذي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 أنّه أصابه مني ولم يستيقن ولم ير مكانه فلينضحه بالماء وإن استيقن أنّه قد أصابه ولم ير مكانه فليغسل ثوبه كلّه ؛ فإنّه أحسن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ابن أبي يعفور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المنيّ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مكانه فاغسله وإن خفي عليك مكانه فاغسله كلّه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المنيّ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الثوب كلّه إذا خفي عليك مكانه قليلا كان أو كثيرا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الإطالة باستيفائها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منيّ غير الآدمي ممّا له نفس كحكم منيّ الآدميّ عند الأصحاب لا نعرف فيه خلافا بينهم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فيه الإجماع مع منيّ الآدميّ في التذكرة </w:t>
      </w:r>
      <w:r>
        <w:rPr>
          <w:rStyle w:val="FootnoteAnchor"/>
          <w:rtl w:val="true"/>
        </w:rPr>
        <w:footnoteReference w:id="1261"/>
      </w:r>
      <w:r>
        <w:rPr>
          <w:rFonts w:ascii="Amiri" w:hAnsi="Amiri" w:eastAsia="Amiri" w:cs="Amiri"/>
          <w:color w:val="111111"/>
          <w:sz w:val="28"/>
          <w:sz w:val="28"/>
          <w:szCs w:val="28"/>
          <w:rtl w:val="true"/>
          <w:lang w:bidi="ar-SA"/>
        </w:rPr>
        <w:t xml:space="preserve">، وجعل الحجّة </w:t>
      </w:r>
    </w:p>
    <w:p>
      <w:pPr>
        <w:pStyle w:val="BookText"/>
        <w:rPr/>
      </w:pPr>
      <w:r>
        <w:rPr>
          <w:rFonts w:ascii="Amiri" w:hAnsi="Amiri" w:eastAsia="Amiri" w:cs="Amiri"/>
          <w:color w:val="111111"/>
          <w:sz w:val="28"/>
          <w:sz w:val="28"/>
          <w:szCs w:val="28"/>
          <w:rtl w:val="true"/>
          <w:lang w:bidi="ar-SA"/>
        </w:rPr>
        <w:t xml:space="preserve">لنجاسته في المنتهى عموم ما دلّ على نجاسة المنيّ ولم يذكر الإجماع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صنع المحقّق في المعتبر فإنّه عمّم الحكم في أصل المسألة واحتجّ له بالأخبار ولم يتعرّض للإجماع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وعندي في تحقّق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يتناول غير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يحتجّ له بجعله أشدّ من البول في صحيح محمّد بن مسلم فإنّه وإن شهدت القرينة الحاليّة في مثله بإرادة منيّ الإنسان ، إلّا أنّ فيه إشعارا بكونه أولى بالتنجيس من البول ، فكلّما حكم بنجاسة بوله ينبغي أن يكون لمنيّه هذه الحالة وربّما كان هذا القدر كافيا مع الإجماع المنقول وعدم ظهور 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منيّ 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من الأصحاب القطع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المحقّق في المعتبر والعلّامة في المنتهى إشعار بنوع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المحقّق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منيّ ما لا نفس له تردّد أشبهه الطهارة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ما لا نفس له سائلة الأقرب طهارته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وجه الإشكال ظاهر بعد ملاحظة التمسّك في نجاسة منيّ ذي النفس من غير الآدميّ بالعموم فإنّ اعتبار النفس غير موجود في الأخبار ، فعرض عمومها على وجه يتناول غير الآدميّ يقتضي عدم الفرق بين ذي النفس وغيره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الاستناد إلى الإجماع أو التقريب الذي ذكرناه في حديث محمّد </w:t>
      </w:r>
      <w:bookmarkStart w:id="804" w:name="pg8731_77392"/>
    </w:p>
    <w:p>
      <w:pPr>
        <w:pStyle w:val="BookText"/>
        <w:rPr/>
      </w:pPr>
      <w:bookmarkEnd w:id="804"/>
      <w:r>
        <w:rPr>
          <w:rFonts w:ascii="Amiri" w:hAnsi="Amiri" w:eastAsia="Amiri" w:cs="Amiri"/>
          <w:color w:val="111111"/>
          <w:sz w:val="28"/>
          <w:sz w:val="28"/>
          <w:szCs w:val="28"/>
          <w:rtl w:val="true"/>
          <w:lang w:bidi="ar-SA"/>
        </w:rPr>
        <w:t>ابن مسلم فلا إشكال في الاختصاص بذي النفس فيبقى غيره على أصل الطهارة</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140443_653776707"/>
      <w:bookmarkStart w:id="806" w:name="_Toc296"/>
      <w:bookmarkEnd w:id="805"/>
      <w:r>
        <w:rPr>
          <w:rtl w:val="true"/>
        </w:rPr>
        <w:t xml:space="preserve">مسألة </w:t>
      </w:r>
      <w:r>
        <w:rPr>
          <w:rtl w:val="true"/>
        </w:rPr>
        <w:t>[</w:t>
      </w:r>
      <w:r>
        <w:rPr/>
        <w:t>5</w:t>
      </w:r>
      <w:r>
        <w:rPr>
          <w:rtl w:val="true"/>
        </w:rPr>
        <w:t>] :</w:t>
      </w:r>
      <w:bookmarkEnd w:id="806"/>
    </w:p>
    <w:p>
      <w:pPr>
        <w:pStyle w:val="Heading6"/>
        <w:numPr>
          <w:ilvl w:val="5"/>
          <w:numId w:val="1"/>
        </w:numPr>
        <w:rPr/>
      </w:pPr>
      <w:bookmarkStart w:id="807" w:name="__RefHeading___Toc3140445_653776707"/>
      <w:bookmarkStart w:id="808" w:name="_Toc297"/>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الذي يخرج عقيب الملاعبة والملامسة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يخرج عقيب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طاهران عند جمهور علمائنا لا يعرف في </w:t>
      </w:r>
      <w:r>
        <w:rPr>
          <w:rStyle w:val="FootnoteAnchor"/>
          <w:rtl w:val="true"/>
        </w:rPr>
        <w:footnoteReference w:id="1266"/>
      </w:r>
      <w:r>
        <w:rPr>
          <w:rFonts w:ascii="Amiri" w:hAnsi="Amiri" w:eastAsia="Amiri" w:cs="Amiri"/>
          <w:color w:val="111111"/>
          <w:sz w:val="28"/>
          <w:sz w:val="28"/>
          <w:szCs w:val="28"/>
          <w:rtl w:val="true"/>
          <w:lang w:bidi="ar-SA"/>
        </w:rPr>
        <w:t xml:space="preserve">ذلك بينهم خلاف </w:t>
      </w:r>
      <w:r>
        <w:rPr>
          <w:rStyle w:val="FootnoteAnchor"/>
          <w:rtl w:val="true"/>
        </w:rPr>
        <w:footnoteReference w:id="1267"/>
      </w:r>
      <w:r>
        <w:rPr>
          <w:rFonts w:ascii="Amiri" w:hAnsi="Amiri" w:eastAsia="Amiri" w:cs="Amiri"/>
          <w:color w:val="111111"/>
          <w:sz w:val="28"/>
          <w:sz w:val="28"/>
          <w:szCs w:val="28"/>
          <w:rtl w:val="true"/>
          <w:lang w:bidi="ar-SA"/>
        </w:rPr>
        <w:t xml:space="preserve">إلّا من ابن الجنيد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المذي ناقضا طهارة الإنسان غسل منه الثوب والجسد ، ولو غسل من جميعه كان أحوط وفسّر الناقض للطهارة بما كان حادثا عقيب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بالطهارة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ما رواه الشيخ في الصحيح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الشحّام وزرارة ومحمّد بن مسلم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سال من ذكرك شي‌ء من مذي أو ودي فلا تغسله ولا تقطع له الصلاة ولا تنقض له الوضوء إنّما ذلك بمنزلة النخامة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أبي عمير عن غير واحد من أصحابنا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المذي من الشهوة ولا من الإنعاظ ولا من القبلة ولا من مسّ الفرج ولا من المضاجعة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تغسل </w:t>
      </w:r>
      <w:r>
        <w:rPr>
          <w:rStyle w:val="FootnoteAnchor"/>
          <w:rtl w:val="true"/>
        </w:rPr>
        <w:footnoteReference w:id="1269"/>
      </w:r>
      <w:r>
        <w:rPr>
          <w:rFonts w:ascii="IRNazanin" w:hAnsi="IRNazanin" w:eastAsia="IRNazanin"/>
          <w:color w:val="111111"/>
          <w:sz w:val="28"/>
          <w:sz w:val="28"/>
          <w:szCs w:val="28"/>
          <w:rtl w:val="true"/>
          <w:lang w:bidi="fa-IR"/>
        </w:rPr>
        <w:t xml:space="preserve">منه الثوب </w:t>
      </w:r>
    </w:p>
    <w:p>
      <w:pPr>
        <w:pStyle w:val="BookText"/>
        <w:rPr/>
      </w:pPr>
      <w:r>
        <w:rPr>
          <w:rFonts w:ascii="IRNazanin" w:hAnsi="IRNazanin" w:eastAsia="IRNazanin"/>
          <w:color w:val="111111"/>
          <w:sz w:val="28"/>
          <w:sz w:val="28"/>
          <w:szCs w:val="28"/>
          <w:rtl w:val="true"/>
          <w:lang w:bidi="fa-IR"/>
        </w:rPr>
        <w:t xml:space="preserve">والجسد </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إسحاق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المذي؟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كان رجلا مذاء ، واستحيى أن يسأل رسول اللّه صلى‌اللّه‌عليه‌وآله لمكان فاطمة فأمر المقداد أن يسأله وهو جالس ، فسأله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ينقض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تغسل منه الثوب ولا الجسد ، إنّما هو بمنزلة البزاق والمخاط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يعضدها ، وإطباق من عدا ابن الجنيد من الأصحاب على العمل بمضمونها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حديثان يخالفان بظاهرهما هذه الأخبار ويقتضيان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أبي العلاء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المذي الذي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مكانه فاغسله وإن خفي مكانه عليك فاغسل الثوب كلّه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المذي يصيب الثوب فيلتزق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ولا يتوضّأ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محمولان على ضرب من الاستحباب بدلالة ما قدّمناه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الأخبار التي ذكرنا جملة منها دليلا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ذلك بيانا ما رواه هذا الراوي بعينه وهو عليّ بن الحكم عن الحسين بن أبي العلاء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عن المذي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رددنا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ينضحه بالماء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 حسن واضح لا سيّما مع عدم مقاومة هذين الخبرين تلك الأخبار من جهة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رواية الراوي بعينه نفي البأس عنه أوضح دليل على كون الأمر في ذينك الخبرين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العلّامة في المختلف جعل حجّة ابن الجنيد هذين الخبرين وأنّه خارج من أحد السبيلين فيكون نجسا كالبول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الحديثين بالمنع من صحّة السند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وبالحمل على الاستحباب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القياس بالفرق بما افترق به الأصل والفرع وإلّا اتّحدا وهو ينافي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عندنا باطل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كلا وجهي الحجّة لا يناسب قول ابن الجنيد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الخبران فلتضمّنهما الأمر بالغسل من المذي مطلقا وقد فصّل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الغسل من الناقض وجعل الغسل من الجميع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في موضع النظر من حيث إنّ المعروف من المذي ما كان عقيب الشهوة وقد فسّر به الناقض الذي جعله مناطا لوجوب الغسل إلّا أنّه بعد فرضه صدق الاسم عليه وعلى غيره لا يناسبه التمسّك في ذلك بالحديثين</w:t>
      </w:r>
      <w:r>
        <w:rPr>
          <w:rFonts w:eastAsia="Amiri" w:cs="Amiri" w:ascii="Amiri" w:hAnsi="Amiri"/>
          <w:color w:val="111111"/>
          <w:sz w:val="28"/>
          <w:szCs w:val="28"/>
          <w:rtl w:val="true"/>
          <w:lang w:bidi="ar-SA"/>
        </w:rPr>
        <w:t xml:space="preserve">. </w:t>
      </w:r>
      <w:bookmarkStart w:id="809" w:name="pg8731_77395"/>
    </w:p>
    <w:p>
      <w:pPr>
        <w:pStyle w:val="BookText"/>
        <w:rPr/>
      </w:pPr>
      <w:bookmarkEnd w:id="809"/>
      <w:r>
        <w:rPr>
          <w:rFonts w:ascii="Amiri" w:hAnsi="Amiri" w:eastAsia="Amiri" w:cs="Amiri"/>
          <w:color w:val="111111"/>
          <w:sz w:val="28"/>
          <w:sz w:val="28"/>
          <w:szCs w:val="28"/>
          <w:rtl w:val="true"/>
          <w:lang w:bidi="ar-SA"/>
        </w:rPr>
        <w:t>وأمّا القياس على البول فلأنّه يقتضي نجاسة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العلّامة عن الحجّة فما يتعلّق منه بالحديثين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بالقياس فضعيف ؛ لأنّ محاولته إبداء الفارق يشعر بكونه جوابا على طريق التنزّل ، وتسليم جواز القياس في الأحكام لا سيّما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ارتقاء من المقام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تجويز العمل بالقياس إلى منع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الفرق الذي ذكره يقتضي نفي القياس رأسا ؛ إذ ما من قياس إلّا ويتأتّى فيه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حملناه على جعله وجها لإبطال أصل القياس لم يبق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ابن الجنيد لا يعرف له غير ما ذكره العلّامة حجّة</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3140447_653776707"/>
      <w:bookmarkStart w:id="811" w:name="_Toc298"/>
      <w:bookmarkEnd w:id="810"/>
      <w:r>
        <w:rPr>
          <w:rtl w:val="true"/>
        </w:rPr>
        <w:t xml:space="preserve">تذنيب </w:t>
      </w:r>
      <w:r>
        <w:rPr>
          <w:rtl w:val="true"/>
        </w:rPr>
        <w:t>:</w:t>
      </w:r>
      <w:bookmarkEnd w:id="811"/>
    </w:p>
    <w:p>
      <w:pPr>
        <w:pStyle w:val="BookText"/>
        <w:rPr/>
      </w:pPr>
      <w:r>
        <w:rPr>
          <w:rFonts w:ascii="Amiri" w:hAnsi="Amiri" w:eastAsia="Amiri" w:cs="Amiri"/>
          <w:color w:val="111111"/>
          <w:sz w:val="28"/>
          <w:sz w:val="28"/>
          <w:szCs w:val="28"/>
          <w:rtl w:val="true"/>
          <w:lang w:bidi="ar-SA"/>
        </w:rPr>
        <w:t>رطوبة فرج المرأة ورطوبة الدبر طاهرتان إذا خلتا من استصحاب نجاسة ؛ عملا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 ذلك خلافا لأحد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يحكى عن بعض العامّة القول بنجاستهما وهو باطل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في المعتبر أنّ القائل بذلك يتشبّث بكون الرطوبة جارية من مجرى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بأنّ النجاسة لا يظهر حكمها إلّا بعد خروجها عن المجرى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ريب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إبراهيم بن أبي محمود </w:t>
      </w:r>
      <w:r>
        <w:rPr>
          <w:rStyle w:val="FootnoteAnchor"/>
          <w:rtl w:val="true"/>
        </w:rPr>
        <w:footnoteReference w:id="127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عن المرأة ولبسها قميصها أو إزارها يصيبه من بلل الفرج </w:t>
      </w:r>
      <w:bookmarkStart w:id="812" w:name="pg8731_77396"/>
    </w:p>
    <w:p>
      <w:pPr>
        <w:pStyle w:val="BookText"/>
        <w:rPr/>
      </w:pPr>
      <w:bookmarkEnd w:id="812"/>
      <w:r>
        <w:rPr>
          <w:rFonts w:ascii="Amiri" w:hAnsi="Amiri" w:eastAsia="Amiri" w:cs="Amiri"/>
          <w:color w:val="111111"/>
          <w:sz w:val="28"/>
          <w:sz w:val="28"/>
          <w:szCs w:val="28"/>
          <w:rtl w:val="true"/>
          <w:lang w:bidi="ar-SA"/>
        </w:rPr>
        <w:t xml:space="preserve">وهي جنب أتصلّي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صلّت فيهما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3140449_653776707"/>
      <w:bookmarkStart w:id="814" w:name="_Toc299"/>
      <w:bookmarkEnd w:id="813"/>
      <w:r>
        <w:rPr>
          <w:rtl w:val="true"/>
        </w:rPr>
        <w:t xml:space="preserve">مسألة </w:t>
      </w:r>
      <w:r>
        <w:rPr>
          <w:rtl w:val="true"/>
        </w:rPr>
        <w:t>[</w:t>
      </w:r>
      <w:r>
        <w:rPr/>
        <w:t>6</w:t>
      </w:r>
      <w:r>
        <w:rPr>
          <w:rtl w:val="true"/>
        </w:rPr>
        <w:t>] :</w:t>
      </w:r>
      <w:bookmarkEnd w:id="814"/>
    </w:p>
    <w:p>
      <w:pPr>
        <w:pStyle w:val="Heading6"/>
        <w:numPr>
          <w:ilvl w:val="5"/>
          <w:numId w:val="1"/>
        </w:numPr>
        <w:rPr/>
      </w:pPr>
      <w:bookmarkStart w:id="815" w:name="__RefHeading___Toc3140451_653776707"/>
      <w:bookmarkStart w:id="816" w:name="_Toc300"/>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والدّم من كلّ حيوان ذي نفس سائلة نجس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بالنفس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يخرج بدفع من العرق إذا قطع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كلّه نجس عدا دم ما لا نفس له سائلة ،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علمائنا عدا ابن الجنيد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سعته دون سعة الدرهم الذي سعته كعقد الإبهام الأعلى لم ينجس الثوب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عزاه إلى ابن الجنيد موجود في مختصره لكن بعبارة عامّة في الدم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نجاسة وقعت على ثوب فكانت عينها فيه مجتمعة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سعة الدرهم الذي يكون سعته كعقد الإبهام الأعلى لم ينجس الثوب بذلك إلّا أن تكون النجاسة دم حيض أو منيّا فإنّ قليلهما وكثيرهما سواء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العلّامة في المختلف هذه العبارة ، وفهم منها إرادة العفو عن الناقص عن سعة الدرهم من النجاسات التي ذكرها ، وجعل الخلاف بينه وبين الأصحاب في قصر اعتبار الدرهم على الدم وتعديته لغيره من النجاسات </w:t>
      </w:r>
    </w:p>
    <w:p>
      <w:pPr>
        <w:pStyle w:val="BookText"/>
        <w:rPr/>
      </w:pPr>
      <w:r>
        <w:rPr>
          <w:rFonts w:ascii="Amiri" w:hAnsi="Amiri" w:eastAsia="Amiri" w:cs="Amiri"/>
          <w:color w:val="111111"/>
          <w:sz w:val="28"/>
          <w:sz w:val="28"/>
          <w:szCs w:val="28"/>
          <w:rtl w:val="true"/>
          <w:lang w:bidi="ar-SA"/>
        </w:rPr>
        <w:t>التي أشار إليها ، وربّما كان في عدم نقل خلافه في غير الدم قرينة على إرادة ما فهمه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فخلافه ضعيف ؛ لأنّ الأخبار التي وقع فيها اعتبار الدرهم مقصورة على الدم ، وظاهرة في إرادة العفو عنه في الصلاة لا 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تحقيق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مستفيضة بنجاسة الدم في الجملة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الصحيح عن زرارة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فعلّمت أثره إلى أن اصيب له الماء فأصبت وحضرت الصلاة ونسيت أنّ بثوبي شيئا ، وصلّيت ثمّ إنّي ذكرت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وعلمت أنّه قد أصابه وطلبته فلم أقدر عليه فلمّا صلّيت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فنظرت فلم أر شيئا ثمّ صلّيت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اليقين بالشكّ أبدا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الحسن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أصاب ثوبه جنابة أو 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أنّه أصاب ثوبه جنابة أو دم قبل أن يصلّي ثمّ صلّى فيه ولم يغسله فعليه أن يعيد ما صلّى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يرى بثوبه الدم فينسى أن يغسله حتّى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كي يهتمّ بالشي‌ء إذا كان في ثوبه ، عقوبة لنسيانه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الصدوق والشيخ عن عليّ بن جعفر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أخاه موسى بن جعفر عليه‌السلام عن رجل عريان وحضرت الصلاة فأصاب ثوبا نصفه دم أو كلّه دم يصلّي فيه أو يصلّي عريانا؟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ماء غسله وإن لم يجد ماء صلّى فيه ولم يصلّ عريانا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عمر بن اذينة في الصحيح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الرجل يرعف وهو في الصلاة وقد صلّى بعض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عن يمينه أو عن شماله أو عن خلفه فليغسله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محمّد بن مسلم بإسنادين يعدّان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يأخذه الرعاف أو القي‌ء في الصلاة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ينفتل فيغسل أنفه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به الثؤلول أو الجرح هل يصلح له أن يقطع الثؤلول وهو في صلاته أو ينتف بعض لحمه من ذلك الجرح؟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يتخوّف أن يسيل الدم </w:t>
      </w:r>
    </w:p>
    <w:p>
      <w:pPr>
        <w:pStyle w:val="BookText"/>
        <w:rPr/>
      </w:pPr>
      <w:r>
        <w:rPr>
          <w:rFonts w:ascii="Amiri" w:hAnsi="Amiri" w:eastAsia="Amiri" w:cs="Amiri"/>
          <w:color w:val="111111"/>
          <w:sz w:val="28"/>
          <w:sz w:val="28"/>
          <w:szCs w:val="28"/>
          <w:rtl w:val="true"/>
          <w:lang w:bidi="ar-SA"/>
        </w:rPr>
        <w:t xml:space="preserve">فلا بأس ، وإن تخوّف أن يسيل الدم فلا يفعله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بهذا المعنى كثيرة لكنّها غير وافية ببيان الحكم على الوجه الذي يذهب إليه الأصحاب ، فإنّهم يشترطون في الحكم بالتنجيس وجود النفس ، ويستثنون منه المتخلّف في لحم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خالية من اعتبار الشرط وبيان التفرقة بين أنواع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 هاهنا غير محرز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نبيّن أقسام الدم التي يحتمل اختلاف الحكم باختلافها ونذكر ما يقتضيه التحقيق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إمّا مسفوح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المسفوح إمّا دم حيوان لا نفس له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من السمك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متخلّف في اللحم بعد الذبح المعتدّ به شرعا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مأكول اللحم أو ممّا ليس بمأكول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نجس مطلقا عند جميع علماء الإسلام على ما ذكره العلّامة في المنتهى </w:t>
      </w:r>
      <w:r>
        <w:rPr>
          <w:rStyle w:val="FootnoteAnchor"/>
          <w:rtl w:val="true"/>
        </w:rPr>
        <w:footnoteReference w:id="1290"/>
      </w:r>
      <w:r>
        <w:rPr>
          <w:rFonts w:ascii="Amiri" w:hAnsi="Amiri" w:eastAsia="Amiri" w:cs="Amiri"/>
          <w:color w:val="111111"/>
          <w:sz w:val="28"/>
          <w:sz w:val="28"/>
          <w:szCs w:val="28"/>
          <w:rtl w:val="true"/>
          <w:lang w:bidi="ar-SA"/>
        </w:rPr>
        <w:t xml:space="preserve">، وللأخبار دلالة ما عليه </w:t>
      </w:r>
      <w:r>
        <w:rPr>
          <w:rStyle w:val="FootnoteAnchor"/>
          <w:rtl w:val="true"/>
        </w:rPr>
        <w:footnoteReference w:id="1291"/>
      </w:r>
      <w:r>
        <w:rPr>
          <w:rFonts w:ascii="Amiri" w:hAnsi="Amiri" w:eastAsia="Amiri" w:cs="Amiri"/>
          <w:color w:val="111111"/>
          <w:sz w:val="28"/>
          <w:sz w:val="28"/>
          <w:szCs w:val="28"/>
          <w:rtl w:val="true"/>
          <w:lang w:bidi="ar-SA"/>
        </w:rPr>
        <w:t>وإن كانت بالنظر إلى ظاهر ألفاظها مطلقة ؛ فإنّ ترك الاستفصال في مثلها قرينة على العموم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مراتبه يتناول أفراد هذا النوع كما يرشد إليه الفكر الصحيح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السمك ولا ريب في طهارته للأصل ، وفقد شرط التنجيس عند الأصحاب أعني وجود النفس ، وعدم ظهور تناول الأخبار لمثله حيث </w:t>
      </w:r>
    </w:p>
    <w:p>
      <w:pPr>
        <w:pStyle w:val="BookText"/>
        <w:rPr/>
      </w:pPr>
      <w:r>
        <w:rPr>
          <w:rFonts w:ascii="Amiri" w:hAnsi="Amiri" w:eastAsia="Amiri" w:cs="Amiri"/>
          <w:color w:val="111111"/>
          <w:sz w:val="28"/>
          <w:sz w:val="28"/>
          <w:szCs w:val="28"/>
          <w:rtl w:val="true"/>
          <w:lang w:bidi="ar-SA"/>
        </w:rPr>
        <w:t>لا عموم فيها من جهة اللفظ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ترك الاستفصال ليس بمعلوم تناوله لمثله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الإجماع على طهارته كثير من الأصحاب وأوّلهم الشيخ في الخلاف </w:t>
      </w:r>
      <w:r>
        <w:rPr>
          <w:rStyle w:val="FootnoteAnchor"/>
          <w:rtl w:val="true"/>
        </w:rPr>
        <w:footnoteReference w:id="1292"/>
      </w:r>
      <w:r>
        <w:rPr>
          <w:rFonts w:ascii="Amiri" w:hAnsi="Amiri" w:eastAsia="Amiri" w:cs="Amiri"/>
          <w:color w:val="111111"/>
          <w:sz w:val="28"/>
          <w:sz w:val="28"/>
          <w:szCs w:val="28"/>
          <w:rtl w:val="true"/>
          <w:lang w:bidi="ar-SA"/>
        </w:rPr>
        <w:t xml:space="preserve">ثمّ المحقّق في المعتبر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مذهب علمائنا أجمع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في المختلف أنّ ظاهر تقسيم الشيخ للدم في المبسوط والجمل يعطي حكمه بنجاسة دم السمك والبقّ والبراغيث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Style w:val="FootnoteAnchor"/>
          <w:rtl w:val="true"/>
        </w:rPr>
        <w:footnoteReference w:id="1294"/>
      </w:r>
      <w:r>
        <w:rPr>
          <w:rFonts w:ascii="Amiri" w:hAnsi="Amiri" w:eastAsia="Amiri" w:cs="Amiri"/>
          <w:color w:val="111111"/>
          <w:sz w:val="28"/>
          <w:sz w:val="28"/>
          <w:szCs w:val="28"/>
          <w:rtl w:val="true"/>
          <w:lang w:bidi="ar-SA"/>
        </w:rPr>
        <w:t xml:space="preserve">تقسيم سلّار له ، بل هو أقوى في الدلالة على الحكم بالتنجيس ، لكنّه اقتصر على السمك والبراغيث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واقتفى المتأخّرون أثر العلّامة في فهم ذلك من كلام الشيخ ، فعزوا إليه القول بنجاسة دم المذكورات في الجمل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وتجاوزوا خطى العلّامة فجزموا بالنسبة ، ولم يقطع هو بها بل جعل 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النسبة خطأ نشأ من قصور عبارة الشيخ ، كما اتّفق لهم في غير موضع ، وذلك أنّه قال في الجمل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النجاسات على ضربين دم وغير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فالدم على ثلاثة أضرب ، ضرب يجب إزالة قليله وكثيره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أنواعه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لا يجب إزالة قليله ولا كثيره ، وهي خمسة أجناس دم البقّ والبراغيث والسمك والجراح اللازمة </w:t>
      </w:r>
    </w:p>
    <w:p>
      <w:pPr>
        <w:pStyle w:val="BookText"/>
        <w:rPr/>
      </w:pPr>
      <w:r>
        <w:rPr>
          <w:rFonts w:ascii="Amiri" w:hAnsi="Amiri" w:eastAsia="Amiri" w:cs="Amiri"/>
          <w:color w:val="111111"/>
          <w:sz w:val="28"/>
          <w:sz w:val="28"/>
          <w:szCs w:val="28"/>
          <w:rtl w:val="true"/>
          <w:lang w:bidi="ar-SA"/>
        </w:rPr>
        <w:t xml:space="preserve">والقروح الدامية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المبسوط هكذا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وإن أفاد بظاهره الحكم بالنجاسة في المذكورات إلّا أنّ الرجوع إلى كلامه في الخلاف يرشد إلى معرفة مراده منه ، وهم استظهروا عليه في ردّ هذا الحكم بنقله الإجماع على خلافه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كما ذكروه </w:t>
      </w:r>
      <w:r>
        <w:rPr>
          <w:rStyle w:val="FootnoteAnchor"/>
          <w:rtl w:val="true"/>
        </w:rPr>
        <w:footnoteReference w:id="1298"/>
      </w:r>
      <w:r>
        <w:rPr>
          <w:rFonts w:ascii="Amiri" w:hAnsi="Amiri" w:eastAsia="Amiri" w:cs="Amiri"/>
          <w:color w:val="111111"/>
          <w:sz w:val="28"/>
          <w:sz w:val="28"/>
          <w:szCs w:val="28"/>
          <w:rtl w:val="true"/>
          <w:lang w:bidi="ar-SA"/>
        </w:rPr>
        <w:t xml:space="preserve">؛ فإنّه بعد أن حكى فيه خلاف الشافعي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 وأيضا فإنّ النجاسة حكم شرعيّ ولا دلالة في الشرع على نجاسة هذه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بعد هذه العبارة بسطر واحد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النجاسات يجب إزالتها عن الثياب والبدن قليلا كان أو كثيرا إلّا الدم فإنّ له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البقّ والبراغيث ، ودم السمك وما لا نفس له سائلة ودم الجراح اللازمة لا بأس بقليله وكثيره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كما ترى يشبه في المعنى تقسيم الجمل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جمع بينه وبين الإجماع المذكور في عبارة واحدة فضلا عن أن يكون في كتاب واحد فمن المعلوم أنّ عبارته في التقسيم متجوّزة وأنّه أراد من النجاسات التي جعلها مورد القسمة معنى خلاف الظاهر منها اعتمادا على القرينة الحاليّة وهي معلوميّة طهارة المذكورات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إنّهم استعانوا في ردّ كلامه في الكتابين بما ذكره في الخلاف من دعوى الإجماع على الطهارة ، فهلّا أنعموا النظر وجعلوا كلام الخلاف عونا على فهم الغرض؟ </w:t>
      </w:r>
    </w:p>
    <w:p>
      <w:pPr>
        <w:pStyle w:val="BookText"/>
        <w:rPr/>
      </w:pPr>
      <w:r>
        <w:rPr>
          <w:rFonts w:ascii="Amiri" w:hAnsi="Amiri" w:eastAsia="Amiri" w:cs="Amiri"/>
          <w:color w:val="111111"/>
          <w:sz w:val="28"/>
          <w:sz w:val="28"/>
          <w:szCs w:val="28"/>
          <w:rtl w:val="true"/>
          <w:lang w:bidi="ar-SA"/>
        </w:rPr>
        <w:t>على أنّهم لو نازعوا في صحّة هذا التجوّز أو حسنه نظرا إلى عدم صلاحيّة القرينة أو خفائها لم يخف أنّ الحكم باختلال العبارة هيّن عند حكمهم باختلال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بهذا انتفاء الخلاف من جهة الشيخ ، وبقي الكلام في تقسيم سلّار فإنّ عبارته اتّفقت على نهج عبارة الشيخ ولم نقف له على ما يقتضي الخروج عن ظاهرها ، كما وقع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غرضهما واحد ، وأنّ التقسيم مبنيّ على نوع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 العلّامة احتجّ لطهارة دم السمك في المنتهى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الدلالة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التحليل يقتضي الإباحة من جميع الوجوه ، وذلك يستلزم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دم السمك ليس بمسفوح فلا يكون محرّما فلا يكون نجسا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بالآية الاولى محلّ تأمّل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الاحتجاج بها قوّة ؛ لظهور دلالتها على حلّ مثله واقتضاء الطهارة ، إلّا أنّ التمسّك بذلك يستدعي القول بحلّ دم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كثير من الأصحاب خلافه ، بل لا أعلم تصريحا بتحليله </w:t>
      </w:r>
      <w:r>
        <w:rPr>
          <w:rStyle w:val="FootnoteAnchor"/>
          <w:rtl w:val="true"/>
        </w:rPr>
        <w:footnoteReference w:id="1303"/>
      </w:r>
      <w:r>
        <w:rPr>
          <w:rFonts w:ascii="Amiri" w:hAnsi="Amiri" w:eastAsia="Amiri" w:cs="Amiri"/>
          <w:color w:val="111111"/>
          <w:sz w:val="28"/>
          <w:sz w:val="28"/>
          <w:szCs w:val="28"/>
          <w:rtl w:val="true"/>
          <w:lang w:bidi="ar-SA"/>
        </w:rPr>
        <w:t>إلّا في هذه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نهايته ما يقرب منها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السيّد أبي المكارم بن زهرة نحوها ، فإنّه احتجّ لطهارته بالإجماع وبأنّ النجاسة حكم شرعيّ فيقف على الدليل ، وليس هنا دليل ، وبالآيتين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وجه الدلالة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تقتضي إباحة السّمك بجميع أجزائه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انحصار المحرّم من الدم في المسفوح ، ودم السمك ليس بمسفوح ، فيجب أن لا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يقتضي طهارته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ولوالدي في الروضة عبارة يظهر منها أيضا الحكم بالحلّ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قواعد العلّامة في باب الأطعمة كلام يشعر بذلك أيضا ؛ فإنّه ذكر أوّلا أنّ الدم المسفوح حرام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ليس بمسفوح من الحيوان المحرّم كدم الضفادع والقراد وإن لم يكن نجسا لاستخباثه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الإشعار في هذه العبارة تقييد غير المسفوح بكونه من الحيوان المحرّم ولا يخفى أنّ ظاهره يقتضي قصر الحكم بالتحريم في غير المسفوح على دم الحيوان المحرّم ، فيبقى دم المحلّل على أصل الحلّ ومن جملته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له في أثر هذه العبارة بغير فصل كلام آخر ، ربّما نافى بحسب الظاهر حمل التقييد المذكور على ما قرّرناه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يدفعه الحيوان المأكول إذا ذبح فإنّه طاهر حلال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مراده من العبارة الاولى تعميم الحكم في كلّ دم غير مسفوح </w:t>
      </w:r>
    </w:p>
    <w:p>
      <w:pPr>
        <w:pStyle w:val="BookText"/>
        <w:rPr/>
      </w:pPr>
      <w:r>
        <w:rPr>
          <w:rFonts w:ascii="Amiri" w:hAnsi="Amiri" w:eastAsia="Amiri" w:cs="Amiri"/>
          <w:color w:val="111111"/>
          <w:sz w:val="28"/>
          <w:sz w:val="28"/>
          <w:szCs w:val="28"/>
          <w:rtl w:val="true"/>
          <w:lang w:bidi="ar-SA"/>
        </w:rPr>
        <w:t>من حيوان محلّل لم يكن للاقتصار في الثانية على المتخلّف في الذبيحة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فعباراتهم ظاهرة في تخصيص التحليل بدم الذبيحة وتعميم التحريم في غيره من الدماء ووقع التصريح بذلك أيضا في كلام بعضهم ، والتنصيص على تحريم دم السمك بالخصوص ، وليس لهم عليه حجّة غير الاستخباث وهو موضع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يثبت تحريمه تكون الآية دليلا قويّا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في الحسن عن النوفلي عن السكوني عن جعفر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كان لا يرى بأسا بدم ما لم يذكّ يكون في الثوب فيصلّي فيه الرجل يعني دم السمك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غير السمك ممّا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طاهر أيضا عند الأصحاب لا نعرف فيه بينهم خلافا إلّا ما أوهمه ظاهر التقسيم الواقع في الجمل والمبسوط من القول بنجاسة دم البقّ والبراغيث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الحال فيه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تقسيم سلّار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دم البراغيث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على حذو تقسيم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جماعة من الأصحاب الإجماع على طهارة الدم من كلّ حيوان لا نفس له ، ومنهم الشيخ في الخلاف ؛ فإنّه احتجّ لذلك بإجماع الفرقة وعدم الدلالة في الشرع على النجاسة وهي حكم شرعي لا يثبت بدون الدليل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وممّن حكى الإجماع على ذلك الشهيد في الذكرى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في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بطهارة دم ما لا نفس له مذهب علمائنا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في المعتبر يظهر ذلك منه أيضا حيث ذكر أنّ طهارة دم السمك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كلّ دم ليس لحيوانه نفس سائلة كالبقّ والبراغيث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فالحكم بالطهارة هنا ليس بموضع ريب ؛ إذ الأصل يقتضيه كما أشار إليه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المحكيّ في كلام الأصحاب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العموم الذي يمكن إثباته في الأخبار الدالّة على نجاسة الدم لا يظهر تناوله لمثل هذا ، فينتفي احتمال القول بالتنجيس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ما قلناه تأييدا رواية عبد اللّه بن أبي يعفور الصحيحة على ما ذكره المحقّق ، 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دم البقّ والبراغيث؟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يكثر ويتفاحش؟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الريّان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هذا إلى الرجل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دم البقّ مجرى دم البراغيث؟ وهل يجوز لأحد أن يقيس بدم البقّ على البراغيث فيصلّي فيه؟ وأن يقيس على نحو هذا فيعمل به؟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w:t>
      </w:r>
    </w:p>
    <w:p>
      <w:pPr>
        <w:pStyle w:val="BookText"/>
        <w:rPr/>
      </w:pPr>
      <w:r>
        <w:rPr>
          <w:rFonts w:ascii="IRNazanin" w:hAnsi="IRNazanin" w:eastAsia="IRNazanin"/>
          <w:color w:val="111111"/>
          <w:sz w:val="28"/>
          <w:sz w:val="28"/>
          <w:szCs w:val="28"/>
          <w:rtl w:val="true"/>
          <w:lang w:bidi="fa-IR"/>
        </w:rPr>
        <w:t xml:space="preserve">والطهر منه أفضل </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المتخلّف بعد الذبح في حيوان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طاهر قطعا بغير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بالتقريب المذكور في دم السمك ؛ فإنّ حلّ هذا ليس موضع خلاف أيضا ، فتمسّك بالآية في كلا الأمرين من غير ورود إشكال على التمسّك بها في الطهارة بالتشكيك في الحلّ ، كما وقع في دم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وينضاف إلى ذلك الأصل وما يظهر من كونه موضع وفاق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يتخلّف في غير المأكول ممّا يقع عليه الذكاة ، وظاهر الأصحاب نجاسته ؛ لحصرهم الدم الطاهر من ذي النفس فيما يبقى بعد الذبح في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منها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حكمه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عاصرناه من مشايخنا ؛ ومنشأ التردّد من إطلاق الأصحاب الحكم بنجاسة الدم ممّا لا نفس له مدّعين الاتّفاق عليه ، وهذا بعض أفراده ، ومن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حلّ غير المسفوح وهو يقتضي طهارته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الثاني بأنّ ظاهرهم الإطباق على تحريم ما سوى الدم المتخلّف في الذبيحة ودم السمك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إنّ المتبادر من الذبيحة ما يكون من المأكول ، فدم ما لا يؤكل حرام عندهم مطلقا وعموم ما دلّ على تحريم الحيوان الذي هو دمه يتناوله أيضا ؛ إذ أكثر الأدلّة غير مقيّدة باللحم ، وإنّما علّق </w:t>
      </w:r>
    </w:p>
    <w:p>
      <w:pPr>
        <w:pStyle w:val="BookText"/>
        <w:rPr/>
      </w:pPr>
      <w:r>
        <w:rPr>
          <w:rFonts w:ascii="Amiri" w:hAnsi="Amiri" w:eastAsia="Amiri" w:cs="Amiri"/>
          <w:color w:val="111111"/>
          <w:sz w:val="28"/>
          <w:sz w:val="28"/>
          <w:szCs w:val="28"/>
          <w:rtl w:val="true"/>
          <w:lang w:bidi="ar-SA"/>
        </w:rPr>
        <w:t>التحريم فيها بالحيوان فيتناول جميع أجزائه ، ولا يرد مثله في المحلّل ؛ لقيام الدليل هناك على تخصيص التحليل باللحم وأجزاء اخر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فحلّ الدم مع حرمة اللحم أمر مستبعد جدّا لا سيّما بعد ما قرّرناه من ظهور الاتّفاق بينهم فيه وتناول الأدلّة بظاهرها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التحريم هنا لم يبق للآية دلالة على طهارته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الأقسام المذكورة من الدماء التي لا تخرج بقوّة من عرق ولا لها </w:t>
      </w:r>
      <w:r>
        <w:rPr>
          <w:rStyle w:val="FootnoteAnchor"/>
          <w:rtl w:val="true"/>
        </w:rPr>
        <w:footnoteReference w:id="1318"/>
      </w:r>
      <w:r>
        <w:rPr>
          <w:rFonts w:ascii="Amiri" w:hAnsi="Amiri" w:eastAsia="Amiri" w:cs="Amiri"/>
          <w:color w:val="111111"/>
          <w:sz w:val="28"/>
          <w:sz w:val="28"/>
          <w:szCs w:val="28"/>
          <w:rtl w:val="true"/>
          <w:lang w:bidi="ar-SA"/>
        </w:rPr>
        <w:t>كثرة وانصباب لتناولها اسم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الأصحاب الاتّفاق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الذي حكيناه في صدر المسألة عن الفاضلين في المعتبر والتذكرة يرشد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من ظاهر كلام العلّامة في جملة من كتبه طهارته ، بل وطهارة القسم الذي قبله ، حيث قيّد الدم المحكوم بنجاسته في كثير من عباراته بالمسفوح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وأقربها إلى هذا التوهّم عبارة المنتهى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الدم المسفوح من كلّ حيوان ذي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خارجا بدفع من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علماء الإسلام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جملة من الروايات المتضمّنة للأمر بالغسل من الدّم بقول مطلق</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ويلوح من كلامه أنّه بنى الحجّة على مقدّمتين مطويّتين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الرجس في الآية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الواقع في الأخبار محمول </w:t>
      </w:r>
    </w:p>
    <w:p>
      <w:pPr>
        <w:pStyle w:val="BookText"/>
        <w:rPr/>
      </w:pPr>
      <w:r>
        <w:rPr>
          <w:rFonts w:ascii="Amiri" w:hAnsi="Amiri" w:eastAsia="Amiri" w:cs="Amiri"/>
          <w:color w:val="111111"/>
          <w:sz w:val="28"/>
          <w:sz w:val="28"/>
          <w:szCs w:val="28"/>
          <w:rtl w:val="true"/>
          <w:lang w:bidi="ar-SA"/>
        </w:rPr>
        <w:t>على التقييد بالمسفوح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البناء في كلامه شاهد وهو أنّه ذكر في أثر هذا الحكم دم ما لا نفس له وأنّه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الخلاف الواقع فيه من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ليس بمسفوح فلا يكون نجسا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وجه دلالة هذا الكلام على ما قلناه ؛ فإنّه لو لا تخيّل كون الأخبار المطلقة في الأمر بإزالة الدم محمولة على المقيّد في الآية لم يتمّ هذا الاحتجاج لجواز التمسّك بإطلاقها في عدم التفرقة بين المسفوح وغيره ، لا سيّما وفي الروايات التي نقلها ما هو من طريق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فللخصم أن يتشبّث به فيما ذهب إليه ، فإقامة الحجّة عليه لا يتمّ إلّا بملاحظة ما ذكرناه من حمل المطلق في الأخبار على المقيّد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بهذا وجه إبهام العبارة القول بطهارة الدماء المذكورة ؛ فإن حصر النجس في المسفوح يقتضي طهارة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المقدّمتين اللتين بني الاحتجاج عليهما 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إرادة النجس من الرجس غير ثابتة إذ لم يعدّه أهل اللغة في معانيه فضلا عن أن يقولوا إنّه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له معاني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أعمّ من النجس ، وباقي المعاني لا دلالة لها عليه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المطلق على المقيّد إنّما هو مع تحقّق التنافي بينهما ولا تنافي هنا إذ الحكم على المسفوح بالنجاسة لا ينافي نجاسة غيره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احتجّ بعد هذا بقليل لطهارة دم السمك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وقرّبه بأنّ دم السمك ليس بمسفوح فلا يكون محرّما فلا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حكينا هذا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أنّه بعد ثبوت انحصار النجس في المسفوح ليس بمحتاج إلى إثبات الحلّ هنا ، وجعله وسيلة إلى إثبات الطهارة ، فربّما كان في ذلك إشعار بعدم ثبوت التقييد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الباعث للعلّامة فيما يظهر على اعتبار </w:t>
      </w:r>
      <w:r>
        <w:rPr>
          <w:rStyle w:val="FootnoteAnchor"/>
          <w:rtl w:val="true"/>
        </w:rPr>
        <w:footnoteReference w:id="1321"/>
      </w:r>
      <w:r>
        <w:rPr>
          <w:rFonts w:ascii="Amiri" w:hAnsi="Amiri" w:eastAsia="Amiri" w:cs="Amiri"/>
          <w:color w:val="111111"/>
          <w:sz w:val="28"/>
          <w:sz w:val="28"/>
          <w:szCs w:val="28"/>
          <w:rtl w:val="true"/>
          <w:lang w:bidi="ar-SA"/>
        </w:rPr>
        <w:t>التقييد بالمسفوح في العبارات التي اتّفق له إدراج القيد فيها إنّما هو الاحتراز من الدم المتخلّف في الذبيحة حيث إنّه طاهر باتّفاق الكلّ فلا يستقيم الحكم بنجاسة دم ذي النفس على الإطلاق وليس في قصده إخراج شي‌ء من أصناف دم ذي النفس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 تتبّع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هذا القيد في عبارة النهاية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بعده أنواع الدم ، وذكر حكمها في النجاسة والطهارة ولم يزد في عداد الطاهر على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عند ذكر الدم المتخلّف في الذبيحة أنّه طاهر لعدم وصف كونه مسفوحا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قرينة واضحة على ما قلناه حيث تعرّض للتفصيل واقتصر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محلّ انتفاء الحكم لعدم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المتخلّف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فعدم التزام العلّامة بما يقتضيه ظاهر التقييد الذي تفرّد به أظهر من أن يخفى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بان لك أنّ ترك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الأنسب ؛ فإنّ الإشكال </w:t>
      </w:r>
      <w:bookmarkStart w:id="817" w:name="pg8731_77413"/>
    </w:p>
    <w:p>
      <w:pPr>
        <w:pStyle w:val="BookText"/>
        <w:rPr/>
      </w:pPr>
      <w:bookmarkEnd w:id="817"/>
      <w:r>
        <w:rPr>
          <w:rFonts w:ascii="Amiri" w:hAnsi="Amiri" w:eastAsia="Amiri" w:cs="Amiri"/>
          <w:color w:val="111111"/>
          <w:sz w:val="28"/>
          <w:sz w:val="28"/>
          <w:szCs w:val="28"/>
          <w:rtl w:val="true"/>
          <w:lang w:bidi="ar-SA"/>
        </w:rPr>
        <w:t>الحاصل فيه باعتبار عدم استقامة الحكم بنجاسة الدم من ذي النفس على العموم نظرا إلى دم الذبيحة يندفع بتصريحهم باستثنائه فيما بعد وإن اتّفق في بعضها بعد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الوارد على التقييد بإبهام </w:t>
      </w:r>
      <w:r>
        <w:rPr>
          <w:rStyle w:val="FootnoteAnchor"/>
          <w:rtl w:val="true"/>
        </w:rPr>
        <w:footnoteReference w:id="1323"/>
      </w:r>
      <w:r>
        <w:rPr>
          <w:rFonts w:ascii="Amiri" w:hAnsi="Amiri" w:eastAsia="Amiri" w:cs="Amiri"/>
          <w:color w:val="111111"/>
          <w:sz w:val="28"/>
          <w:sz w:val="28"/>
          <w:szCs w:val="28"/>
          <w:rtl w:val="true"/>
          <w:lang w:bidi="ar-SA"/>
        </w:rPr>
        <w:t>ما قد ذكر فيحتاج في دفعه إلى فضل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والأصوب تفصيل المقام وترك التعبير بما يتطرّق إليه الإشكال والإبهام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3140453_653776707"/>
      <w:bookmarkStart w:id="819" w:name="_Toc301"/>
      <w:bookmarkEnd w:id="818"/>
      <w:r>
        <w:rPr>
          <w:rtl w:val="true"/>
        </w:rPr>
        <w:t xml:space="preserve">فرعان </w:t>
      </w:r>
      <w:r>
        <w:rPr>
          <w:rtl w:val="true"/>
        </w:rPr>
        <w:t>:</w:t>
      </w:r>
      <w:bookmarkEnd w:id="819"/>
    </w:p>
    <w:p>
      <w:pPr>
        <w:pStyle w:val="Heading6"/>
        <w:numPr>
          <w:ilvl w:val="5"/>
          <w:numId w:val="1"/>
        </w:numPr>
        <w:rPr/>
      </w:pPr>
      <w:bookmarkStart w:id="820" w:name="__RefHeading___Toc3140455_653776707"/>
      <w:bookmarkStart w:id="821" w:name="_Toc302"/>
      <w:bookmarkEnd w:id="820"/>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821"/>
    </w:p>
    <w:p>
      <w:pPr>
        <w:pStyle w:val="BookText"/>
        <w:rPr/>
      </w:pPr>
      <w:r>
        <w:rPr>
          <w:rFonts w:ascii="Amiri" w:hAnsi="Amiri" w:eastAsia="Amiri" w:cs="Amiri"/>
          <w:color w:val="111111"/>
          <w:sz w:val="28"/>
          <w:sz w:val="28"/>
          <w:szCs w:val="28"/>
          <w:rtl w:val="true"/>
          <w:lang w:bidi="ar-SA"/>
        </w:rPr>
        <w:t>حكى المحقّق في المعتبر عن الشيخ أنّه حكم بطهارة الصديد والقيح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الصديد تردّد أشبهه النجاسة ؛ لأنّه ماء الجرح يخالطه يسير دم ، ولو خلا من ذلك لم يكن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وخلافنا مع الشيخ يؤول إلى العبارة لأنّه يوافق على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القيح فإنّ مازجه دم نجس بالممازج ، وإن خلا من الدم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مستحيل عن الدم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مستحيل من الدم لا يكون طاهرا كاللحم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فصّله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ظاهر ؛ فإنّ الأصل يقتضي طهارة كلّ منهما </w:t>
      </w:r>
      <w:bookmarkStart w:id="822" w:name="pg8731_77415"/>
    </w:p>
    <w:p>
      <w:pPr>
        <w:pStyle w:val="BookText"/>
        <w:rPr/>
      </w:pPr>
      <w:bookmarkEnd w:id="822"/>
      <w:r>
        <w:rPr>
          <w:rFonts w:ascii="Amiri" w:hAnsi="Amiri" w:eastAsia="Amiri" w:cs="Amiri"/>
          <w:color w:val="111111"/>
          <w:sz w:val="28"/>
          <w:sz w:val="28"/>
          <w:szCs w:val="28"/>
          <w:rtl w:val="true"/>
          <w:lang w:bidi="ar-SA"/>
        </w:rPr>
        <w:t xml:space="preserve">مع صرافته ، فإذا صاحبه الدم النجس ينجس به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أشار إليه من التشبّث في نجاسة القيح بكونه مستحيلا عن الدم هو حجّة من قال من الجمهور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فسادها</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3140457_653776707"/>
      <w:bookmarkStart w:id="824" w:name="_Toc303"/>
      <w:bookmarkEnd w:id="823"/>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824"/>
    </w:p>
    <w:p>
      <w:p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نجسة يعني التي يستحيل إليها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لذلك بإجماع الفرقة ، وبأنّ ما دلّ على نجاسة الدم دلّ على نجاسة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لا يخفى وجهه بعد الإحاطة بما حقّقناه في دليل 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التي يستحيل إليها نطفة الآدميّ نجسة ؛ لأنّها دم حيوان له نفس ، وكذا العلقة التي توجد في بيضة الدجاج وشبهه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وناقشه الشهيد في الذكرى بالمنع ؛ فإنّ تكوّنها في الحيوان لا يدلّ على أنّها منه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لا سيّما بالنظر إلى ما يوجد في البيضة ، مع أنّ كونه علقة ليس بمعلوم أيضا ، فالإجماع الذي ادّعاه الشيخ لو ثبت على وجه يكون حجّة لكان في تناوله 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حيث إنّه دالّ على حلّ غير المسفوح مطلقا ، خرج عن ذلك ما وقع الاتّفاق على تحريمه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الحلّ مقتض لثبوت الطهارة كما مرّ غير مرّة</w:t>
      </w:r>
      <w:r>
        <w:rPr>
          <w:rFonts w:eastAsia="Amiri" w:cs="Amiri" w:ascii="Amiri" w:hAnsi="Amiri"/>
          <w:color w:val="111111"/>
          <w:sz w:val="28"/>
          <w:szCs w:val="28"/>
          <w:rtl w:val="true"/>
          <w:lang w:bidi="ar-SA"/>
        </w:rPr>
        <w:t xml:space="preserve">. </w:t>
      </w:r>
      <w:bookmarkStart w:id="825" w:name="pg8731_77417"/>
    </w:p>
    <w:p>
      <w:pPr>
        <w:pStyle w:val="Heading5"/>
        <w:numPr>
          <w:ilvl w:val="4"/>
          <w:numId w:val="1"/>
        </w:numPr>
        <w:rPr/>
      </w:pPr>
      <w:bookmarkStart w:id="826" w:name="__RefHeading___Toc3140459_653776707"/>
      <w:bookmarkStart w:id="827" w:name="_Toc304"/>
      <w:bookmarkEnd w:id="825"/>
      <w:bookmarkEnd w:id="826"/>
      <w:r>
        <w:rPr>
          <w:rtl w:val="true"/>
        </w:rPr>
        <w:t xml:space="preserve">مسألة </w:t>
      </w:r>
      <w:r>
        <w:rPr>
          <w:rtl w:val="true"/>
        </w:rPr>
        <w:t>[</w:t>
      </w:r>
      <w:r>
        <w:rPr/>
        <w:t>7</w:t>
      </w:r>
      <w:r>
        <w:rPr>
          <w:rtl w:val="true"/>
        </w:rPr>
        <w:t>] :</w:t>
      </w:r>
      <w:bookmarkEnd w:id="827"/>
    </w:p>
    <w:p>
      <w:pPr>
        <w:pStyle w:val="Heading6"/>
        <w:numPr>
          <w:ilvl w:val="5"/>
          <w:numId w:val="1"/>
        </w:numPr>
        <w:rPr/>
      </w:pPr>
      <w:bookmarkStart w:id="828" w:name="__RefHeading___Toc3140461_653776707"/>
      <w:bookmarkStart w:id="829" w:name="_Toc305"/>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والميتة ممّا له نفس سائلة نجس بإجماع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وعلماؤنا مطبقون على أنّ نجاسته عينيّة كغيره من ذوات الأنفس السائلة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الحيوان ذي النفس السائلة نجسة سواء كان آدميّا أو غير آدميّ وهو مذهب علمائنا أجمع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في كلام الأصحاب ادّعاء الإجماع على هذا الحكم وهو الحجّة فيه إذ النصوص لا تنهض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وقفنا عليه من الروايات في هذا الباب حسنة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يصيب ثوبه جسد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أصاب الثوب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إبراهيم بن ميمون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يقع ثوبه على جسد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غسل الميت فلا تغسل ما أصاب ثوبك منه ، وإن كان لم يغسل الميّت فاغسل ما أصاب ثوبك منه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وقصور هذين الحديثين عن إفادة الحكم بكماله ظاهر مع أنّ الصحّة منتفية عن سنديهما</w:t>
      </w:r>
      <w:r>
        <w:rPr>
          <w:rFonts w:eastAsia="Amiri" w:cs="Amiri" w:ascii="Amiri" w:hAnsi="Amiri"/>
          <w:color w:val="111111"/>
          <w:sz w:val="28"/>
          <w:szCs w:val="28"/>
          <w:rtl w:val="true"/>
          <w:lang w:bidi="ar-SA"/>
        </w:rPr>
        <w:t xml:space="preserve">. </w:t>
      </w:r>
      <w:bookmarkStart w:id="830" w:name="pg8731_77419"/>
    </w:p>
    <w:p>
      <w:pPr>
        <w:pStyle w:val="BookText"/>
        <w:rPr/>
      </w:pPr>
      <w:bookmarkEnd w:id="830"/>
      <w:r>
        <w:rPr>
          <w:rFonts w:ascii="Amiri" w:hAnsi="Amiri" w:eastAsia="Amiri" w:cs="Amiri"/>
          <w:color w:val="111111"/>
          <w:sz w:val="28"/>
          <w:sz w:val="28"/>
          <w:szCs w:val="28"/>
          <w:rtl w:val="true"/>
          <w:lang w:bidi="ar-SA"/>
        </w:rPr>
        <w:t>وورد في عدّة روايات معتبرة الإسناد المنع من أكل نحو السمن الذائب والزيت إذا ماتت فيه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الحكم بنجاسته وقد تقدّم منها في بحث المضاف حديث صحيح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خاصّ أيضا كما لا يخفى ، فلا يمكن جعله دليلا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إثبات التعميم هي الإجماع المدّعى في كلام الجماعة</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140463_653776707"/>
      <w:bookmarkStart w:id="832" w:name="_Toc306"/>
      <w:bookmarkEnd w:id="831"/>
      <w:r>
        <w:rPr>
          <w:rtl w:val="true"/>
        </w:rPr>
        <w:t xml:space="preserve">فروع </w:t>
      </w:r>
      <w:r>
        <w:rPr>
          <w:rtl w:val="true"/>
        </w:rPr>
        <w:t>:</w:t>
      </w:r>
      <w:bookmarkEnd w:id="832"/>
    </w:p>
    <w:p>
      <w:pPr>
        <w:pStyle w:val="Heading6"/>
        <w:numPr>
          <w:ilvl w:val="5"/>
          <w:numId w:val="1"/>
        </w:numPr>
        <w:rPr/>
      </w:pPr>
      <w:bookmarkStart w:id="833" w:name="__RefHeading___Toc3140465_653776707"/>
      <w:bookmarkStart w:id="834" w:name="_Toc307"/>
      <w:bookmarkEnd w:id="833"/>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834"/>
    </w:p>
    <w:p>
      <w:pPr>
        <w:pStyle w:val="Heading6"/>
        <w:numPr>
          <w:ilvl w:val="5"/>
          <w:numId w:val="1"/>
        </w:numPr>
        <w:rPr/>
      </w:pPr>
      <w:bookmarkStart w:id="835" w:name="__RefHeading___Toc3140467_653776707"/>
      <w:bookmarkStart w:id="836" w:name="_Toc308"/>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حكم أبعاض الميتة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ممّا تحلّه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جملتها عند الأصحاب ، لا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ابين من أجزاء الحيّ التي فيه الحياة كالأليات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الحجّة في هذا أيضا الإجماع فإنّهم لم يحتجّوا له بحديث ، بل ذكره جماعة منهم مجرّدا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آخرون على توجيهه بمساواة الجزء للكلّ أو بوجود معنى الموت فيها ، وكلاهما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في كتابه عن الحسين بن محمّد عن معلّى بن محمّد عن الحسن بن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أهل الجبل يثقل عندهم أليات الغنم فيقطعونها؟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 يصيب اليد والثوب وهو حرام؟ </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وفي هذه الرواية إشعار بالنجاسة لكن في طريقها ضعف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بطريق ضعيف أيضا عن الكاهلي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w:t>
      </w:r>
      <w:bookmarkStart w:id="837" w:name="pg8731_77421"/>
    </w:p>
    <w:p>
      <w:pPr>
        <w:pStyle w:val="BookText"/>
        <w:rPr/>
      </w:pPr>
      <w:bookmarkEnd w:id="837"/>
      <w:r>
        <w:rPr>
          <w:rFonts w:ascii="Amiri" w:hAnsi="Amiri" w:eastAsia="Amiri" w:cs="Amiri"/>
          <w:color w:val="111111"/>
          <w:sz w:val="28"/>
          <w:sz w:val="28"/>
          <w:szCs w:val="28"/>
          <w:rtl w:val="true"/>
          <w:lang w:bidi="ar-SA"/>
        </w:rPr>
        <w:t xml:space="preserve">وأنا عنده عن قطع أليات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عليه‌السلام أنّ ما قطع منها ميّت لا ينتفع به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وبطريق آخر مثله عن أبي بصير عن أبي عبد اللّه عليه‌السلام أنّه قال في أليات الضأن تقطع وهي أحياء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ميّتة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لو تمّ سنداهما لاحتاجا في الدلالة على النجاسة إلى وجود دليل عامّ في نجاسة الميتة ليكون إثبات كون المنقطع ميتة مقتضيا لدخوله في عموم الدليل على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العمدة في التعميم الإجماع المدّعى بين الأصحاب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فالتمسّك به موقوف على كونه متناولا لهذا المنقطع ، ومعه لا حاجة إلى توسّط الاحتجاج بما دلّ على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فالحكم هاهنا ليس موضع خلاف</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3140469_653776707"/>
      <w:bookmarkStart w:id="839" w:name="_Toc309"/>
      <w:bookmarkEnd w:id="838"/>
      <w:r>
        <w:rPr>
          <w:rtl w:val="true"/>
        </w:rPr>
        <w:t xml:space="preserve">تذنيب </w:t>
      </w:r>
      <w:r>
        <w:rPr>
          <w:rtl w:val="true"/>
        </w:rPr>
        <w:t>:</w:t>
      </w:r>
      <w:bookmarkEnd w:id="839"/>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طهارة ما ينفصل من بدن الإنسان من الأجزاء الصغيرة مثل البثور والثالول وغيرهما لعدم إمكان التحرّز عنها فكان عفوا دفعا للمشقّة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تمسّكه بعدم إمكان التحرّز أنّه يرى تناول دليل نجاسة المبان من الحيّ لها وأنّ المقتضي لاستثنائها من الحكم بالتنجيس والقول بطهارتها </w:t>
      </w:r>
    </w:p>
    <w:p>
      <w:pPr>
        <w:pStyle w:val="BookText"/>
        <w:rPr/>
      </w:pPr>
      <w:r>
        <w:rPr>
          <w:rFonts w:ascii="Amiri" w:hAnsi="Amiri" w:eastAsia="Amiri" w:cs="Amiri"/>
          <w:color w:val="111111"/>
          <w:sz w:val="28"/>
          <w:sz w:val="28"/>
          <w:szCs w:val="28"/>
          <w:rtl w:val="true"/>
          <w:lang w:bidi="ar-SA"/>
        </w:rPr>
        <w:t>هو لزوم الحرج والمشقّة من التكليف بالتحرّز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عجيب ؛ فإنّ الدليل على نجاسة المبان من الحيّ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الإجماع أو الأخبار التي ذكرناها </w:t>
      </w:r>
      <w:r>
        <w:rPr>
          <w:rStyle w:val="FootnoteAnchor"/>
          <w:rtl w:val="true"/>
        </w:rPr>
        <w:footnoteReference w:id="1339"/>
      </w:r>
      <w:r>
        <w:rPr>
          <w:rFonts w:ascii="IRNazanin" w:hAnsi="IRNazanin" w:eastAsia="IRNazanin"/>
          <w:color w:val="111111"/>
          <w:sz w:val="28"/>
          <w:sz w:val="28"/>
          <w:szCs w:val="28"/>
          <w:rtl w:val="true"/>
          <w:lang w:bidi="fa-IR"/>
        </w:rPr>
        <w:t xml:space="preserve">أو الاعتباران </w:t>
      </w:r>
      <w:r>
        <w:rPr>
          <w:rStyle w:val="FootnoteAnchor"/>
          <w:rtl w:val="true"/>
        </w:rPr>
        <w:footnoteReference w:id="1340"/>
      </w:r>
      <w:r>
        <w:rPr>
          <w:rFonts w:ascii="Amiri" w:hAnsi="Amiri" w:eastAsia="Amiri" w:cs="Amiri"/>
          <w:color w:val="111111"/>
          <w:sz w:val="28"/>
          <w:sz w:val="28"/>
          <w:szCs w:val="28"/>
          <w:rtl w:val="true"/>
          <w:lang w:bidi="ar-SA"/>
        </w:rPr>
        <w:t>اللّذان حكيناهما عن بعض الأصحاب أعني مساواة الجزء للكلّ ، ووجود معنى الموت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لو كان متناولا لما نحن فيه لم يعقل الاستثناء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على تقدير صحّتها ودلالتها وعمومها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 انفصل في حال وجود الحياة فيه ، لا ما زالت عنه الحياة قبل الانفصال ، كما في 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ذينك الاعتبارين يقتضي ثبوت التنجيس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الأجزاء ؛ لتحقّق معنى الموت فيها قبله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ليس لما يعتمد عليه من أدلّة نجاسة الميتة وأبعاضها وما في معناها من الأجزاء المبانة من الحيّ دلالة على نجاسة نحو هذه الأجزاء التي يزول عنها أثر الحياة في حال اتّصالها بالبدن ، فهي على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للتمسّك بالأصل مجال فلا حاجة إلى تكلّف دعوى لزوم الحرج وتحمّل عب‌ء في إثباته في جميع الأحوال ليتمّ الحكم بالطهارة مطلقا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العلّامة في النهاية أيضا حكم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الطهارة كما قال في المنتهى ؛ وعلّلها بعدم إمكان التحرّز وبالرواية ولم يبيّنها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بها صحيحة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به الثؤلول أو الجرح هل يصلح له أن يقطع الثؤلول وهو في صلاته </w:t>
      </w:r>
      <w:bookmarkStart w:id="840" w:name="pg8731_77426"/>
    </w:p>
    <w:p>
      <w:pPr>
        <w:pStyle w:val="BookText"/>
        <w:rPr/>
      </w:pPr>
      <w:bookmarkEnd w:id="840"/>
      <w:r>
        <w:rPr>
          <w:rFonts w:ascii="Amiri" w:hAnsi="Amiri" w:eastAsia="Amiri" w:cs="Amiri"/>
          <w:color w:val="111111"/>
          <w:sz w:val="28"/>
          <w:sz w:val="28"/>
          <w:szCs w:val="28"/>
          <w:rtl w:val="true"/>
          <w:lang w:bidi="ar-SA"/>
        </w:rPr>
        <w:t xml:space="preserve">أو أن ينتف بعض لحمه من ذلك الجرح ويطرحه؟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يتخوّف أن يسيل الدم فلا بأس ، وإن تخوّف أن يسيل الدم فلا يفعله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ظاهرة في الطهارة عاضدة لما يقتضيه الأصل من حيث إطلاق نفي البأس عن مسّ هذه الأجزاء في حال الصلاة ؛ فإنّه يدلّ على عدم الفرق بين كون المسّ برطوبة ويبوسة ، إذ المقام مقام تفصيل ، كما يدلّ عليه اشتراط نفي البأس بانتفاء تخوّف سيلان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مسّ تلك الأجزاء مقتضيا للتنجيس ولو على بعض الوجوه لم يحسن الإطلاق ، بل كان اللائق البيان كما وقع في خوف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اشترطنا في تعدّي النجاسة من القطع المبانة من الحيّ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بالتعدّي مطلقا فدلالة الرواية على انتفاء التنجيس فيما نحن فيه واضحة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المختار من القولين محلّ آخر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فانضمام هذه الرواية إلى الأصل يذهب عن القول بالطهارة هنا درن شكّ</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3140471_653776707"/>
      <w:bookmarkStart w:id="842" w:name="_Toc310"/>
      <w:bookmarkEnd w:id="841"/>
      <w:r>
        <w:rPr>
          <w:rtl w:val="true"/>
        </w:rPr>
        <w:t xml:space="preserve">[ </w:t>
      </w:r>
      <w:r>
        <w:rPr>
          <w:rtl w:val="true"/>
        </w:rPr>
        <w:t xml:space="preserve">تذنيب </w:t>
      </w:r>
      <w:r>
        <w:rPr>
          <w:rtl w:val="true"/>
        </w:rPr>
        <w:t xml:space="preserve">] </w:t>
      </w:r>
      <w:r>
        <w:rPr>
          <w:rtl w:val="true"/>
        </w:rPr>
        <w:t xml:space="preserve">آخر </w:t>
      </w:r>
      <w:r>
        <w:rPr>
          <w:rtl w:val="true"/>
        </w:rPr>
        <w:t>:</w:t>
      </w:r>
      <w:bookmarkEnd w:id="842"/>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المسك إذا انفصلت عن الظبية في حياتها أو بعد التذكية طاهرة ، وإن انفصلت بعد موتها فالأقرب النجاسة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طاهر إجماعا وفأرته وإن اخذت من </w:t>
      </w:r>
      <w:bookmarkStart w:id="843" w:name="pg8731_77428"/>
    </w:p>
    <w:p>
      <w:pPr>
        <w:pStyle w:val="BookText"/>
        <w:rPr/>
      </w:pPr>
      <w:bookmarkEnd w:id="843"/>
      <w:r>
        <w:rPr>
          <w:rFonts w:ascii="Amiri" w:hAnsi="Amiri" w:eastAsia="Amiri" w:cs="Amiri"/>
          <w:color w:val="111111"/>
          <w:sz w:val="28"/>
          <w:sz w:val="28"/>
          <w:szCs w:val="28"/>
          <w:rtl w:val="true"/>
          <w:lang w:bidi="ar-SA"/>
        </w:rPr>
        <w:t xml:space="preserve">غير المذكّى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العلّامة ما يوافق كلام الذكرى ويخالف ما ذكره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إذا انفصلت من الظبية في حياتها أو بعد التذكية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انفصلت بعد موتها فالأقرب ذلك أيضا للأصل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المنتهى للاحتجاج على التفصيل الذي 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يحتجّ له بما رواه الشيخ في الصحيح عن عبد اللّه بن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محمّد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يصلّي ومعه فأرة مسك؟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كان ذكيّا </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الاحتجاج دلالة الحديث بظاهره على أنّ من أفراد فأرة المسك ما ليس يذكّى وأقلّه أن يكون هو المأخوذ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انتفاء كونه ذكيّا لا يقتضي كونه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البأس في الصلاة وهو معه لا يصلح دليلا على ذلك أيضا إذ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مختار النهاية والذكرى هو الأوجه</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3140473_653776707"/>
      <w:bookmarkStart w:id="845" w:name="_Toc311"/>
      <w:bookmarkEnd w:id="844"/>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845"/>
    </w:p>
    <w:p>
      <w:pPr>
        <w:pStyle w:val="Heading6"/>
        <w:numPr>
          <w:ilvl w:val="5"/>
          <w:numId w:val="1"/>
        </w:numPr>
        <w:rPr/>
      </w:pPr>
      <w:bookmarkStart w:id="846" w:name="__RefHeading___Toc3140475_653776707"/>
      <w:bookmarkStart w:id="847" w:name="_Toc312"/>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لا نعلم خلافا بين الأصحاب في أنّ ما لا تحلّه الحياة من الميتة طاهر وهو الصوف والشعر والريش والوبر والعظم والقرن والظلف والحافر والبيض المكتسي بالقشر الأعلى والإنفحة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الطهارة في جميع ذلك الأصل بملاحظة عدم الدليل العامّ </w:t>
      </w:r>
    </w:p>
    <w:p>
      <w:pPr>
        <w:pStyle w:val="BookText"/>
        <w:rPr/>
      </w:pPr>
      <w:r>
        <w:rPr>
          <w:rFonts w:ascii="Amiri" w:hAnsi="Amiri" w:eastAsia="Amiri" w:cs="Amiri"/>
          <w:color w:val="111111"/>
          <w:sz w:val="28"/>
          <w:sz w:val="28"/>
          <w:szCs w:val="28"/>
          <w:rtl w:val="true"/>
          <w:lang w:bidi="ar-SA"/>
        </w:rPr>
        <w:t>على نجاسة الميتة بحيث يتناول بظاهره هذه المذكورات والأخبار الكثيرة الواردة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الحسن عن حريز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لزرارة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واللبأ والبيضة والشعر والصوف والقرن والناب والحافر وكلّ شي‌ء يفضل من الشاة والدابة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أخذته منه بعد أن يموت فاغسله وصلّ فيه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مراد عن يونس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خمسة أشياء ذكيّة ممّا فيها منافع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والبيض والصوف والشعر والوبر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الحسين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وأبي يسأله عن السنّ من الميتة والبيضة من الميتة وأنفحة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ذكيّ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عليّ بن عقبة وعلي بن الحسن بن رباط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والشعر والصوف كلّه ذكيّ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والصوف والريش وكلّ نابت لا 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البيضة تخرج من بطن الدجاجة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تأكلها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أبي جعفر عليه‌السلام في حديث طويل يذكر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سأله عليه‌السلام عن الجبن وأنّه ربّما جعلت فيه إنفحة الميّت؟ فقال </w:t>
      </w:r>
      <w:r>
        <w:rPr>
          <w:rFonts w:eastAsia="Amiri" w:cs="Amiri" w:ascii="Amiri" w:hAnsi="Amiri"/>
          <w:color w:val="111111"/>
          <w:sz w:val="28"/>
          <w:szCs w:val="28"/>
          <w:rtl w:val="true"/>
          <w:lang w:bidi="ar-SA"/>
        </w:rPr>
        <w:t xml:space="preserve">: </w:t>
      </w:r>
      <w:bookmarkStart w:id="848" w:name="pg8731_77432"/>
    </w:p>
    <w:p>
      <w:pPr>
        <w:pStyle w:val="BookText"/>
        <w:rPr/>
      </w:pPr>
      <w:bookmarkEnd w:id="848"/>
      <w:r>
        <w:rPr>
          <w:rFonts w:ascii="Amiri" w:hAnsi="Amiri" w:eastAsia="Amiri" w:cs="Amiri"/>
          <w:color w:val="111111"/>
          <w:sz w:val="28"/>
          <w:sz w:val="28"/>
          <w:szCs w:val="28"/>
          <w:rtl w:val="true"/>
          <w:lang w:bidi="ar-SA"/>
        </w:rPr>
        <w:t>ليس به بأس إنّ الإنفحة ليس لها عروق ولا فيها دم ولا لها عظم إنّما تخرج من بين فرث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الإنفحة بمنزلة دجاجة ميّتة اخرجت منها بيضة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عليّ بن رئاب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الإنفحة يخرج من الجدي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بن يحيى عن الحسين بن زرارة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أبي عن الإنفحة تكون في بطن العناق أو الجدي وهو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تنقيح المقام يتوقّف على بيان امور</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140477_653776707"/>
      <w:bookmarkStart w:id="850" w:name="_Toc313"/>
      <w:bookmarkEnd w:id="849"/>
      <w:r>
        <w:rPr>
          <w:rtl w:val="true"/>
        </w:rPr>
        <w:t xml:space="preserve">أحدها </w:t>
      </w:r>
      <w:r>
        <w:rPr>
          <w:rtl w:val="true"/>
        </w:rPr>
        <w:t>:</w:t>
      </w:r>
      <w:bookmarkEnd w:id="850"/>
    </w:p>
    <w:p>
      <w:pPr>
        <w:pStyle w:val="BookText"/>
        <w:rPr/>
      </w:pPr>
      <w:r>
        <w:rPr>
          <w:rFonts w:ascii="Amiri" w:hAnsi="Amiri" w:eastAsia="Amiri" w:cs="Amiri"/>
          <w:color w:val="111111"/>
          <w:sz w:val="28"/>
          <w:sz w:val="28"/>
          <w:szCs w:val="28"/>
          <w:rtl w:val="true"/>
          <w:lang w:bidi="ar-SA"/>
        </w:rPr>
        <w:t>أنّ المشهور بين الأصحاب عدم الفرق في الحكم بطهارة الصوف والشعر والريش والوبر بين كونها مأخوذة من الميتة بطريق القلع أو الجزّ إلّا أنّه يحتاج في صورة القلع إلى غسل موضع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في النهاية فخصّ الحكم بما إذا اخذت بالجزّ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بأنّ اصولها المتّصلة باللحم من جملة أجزائه وإنّما يستكمل استحالتها إلى أحد المذكورات بعد تجاوزها عنه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بالمنع ؛ فإنّ المفروض صدق اسم أحدها على المجموع من المتّصل باللحم والمتجاوز عنه فكيف يجامع كون شي‌ء منها جزء من اللحم؟ وباب الأخبار مطلقة في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يحتاج إلى الدليل</w:t>
      </w:r>
      <w:r>
        <w:rPr>
          <w:rFonts w:eastAsia="Amiri" w:cs="Amiri" w:ascii="Amiri" w:hAnsi="Amiri"/>
          <w:color w:val="111111"/>
          <w:sz w:val="28"/>
          <w:szCs w:val="28"/>
          <w:rtl w:val="true"/>
          <w:lang w:bidi="ar-SA"/>
        </w:rPr>
        <w:t xml:space="preserve">. </w:t>
      </w:r>
      <w:bookmarkStart w:id="851" w:name="pg8731_77434"/>
    </w:p>
    <w:p>
      <w:pPr>
        <w:pStyle w:val="BookText"/>
        <w:rPr/>
      </w:pPr>
      <w:bookmarkEnd w:id="851"/>
      <w:r>
        <w:rPr>
          <w:rFonts w:ascii="Amiri" w:hAnsi="Amiri" w:eastAsia="Amiri" w:cs="Amiri"/>
          <w:color w:val="111111"/>
          <w:sz w:val="28"/>
          <w:sz w:val="28"/>
          <w:szCs w:val="28"/>
          <w:rtl w:val="true"/>
          <w:lang w:bidi="ar-SA"/>
        </w:rPr>
        <w:t>مع أنّ الأمر بالغسل في بعض الروايات قرينة على إرادة القلع بخصوصه ؛ إذ لا يجب الغسل مع الجزّ</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140479_653776707"/>
      <w:bookmarkStart w:id="853" w:name="_Toc314"/>
      <w:bookmarkEnd w:id="852"/>
      <w:r>
        <w:rPr>
          <w:rtl w:val="true"/>
        </w:rPr>
        <w:t xml:space="preserve">ثانيها </w:t>
      </w:r>
      <w:r>
        <w:rPr>
          <w:rtl w:val="true"/>
        </w:rPr>
        <w:t>:</w:t>
      </w:r>
      <w:bookmarkEnd w:id="853"/>
    </w:p>
    <w:p>
      <w:pPr>
        <w:pStyle w:val="BookText"/>
        <w:rPr/>
      </w:pPr>
      <w:r>
        <w:rPr>
          <w:rFonts w:ascii="Amiri" w:hAnsi="Amiri" w:eastAsia="Amiri" w:cs="Amiri"/>
          <w:color w:val="111111"/>
          <w:sz w:val="28"/>
          <w:sz w:val="28"/>
          <w:szCs w:val="28"/>
          <w:rtl w:val="true"/>
          <w:lang w:bidi="ar-SA"/>
        </w:rPr>
        <w:t>أنّ ما يوجد من هذه المعدودات سوى الإنفحة في الحيوان المحلّل وغيره لا يفرق في الحكم بطهارته بين النوعين إذا كان غير المحلّل طاهرا في حال الحياة وهو ممّا لا يعرف فيه خلاف إلّا من العلّامة رحمه‌اللّه فإنّه فرّق في البيض بين كونه من مأكول اللحم وغيره ، فحكم بطهارة الأوّل ونجاسة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بيض الجلّال وما لا يؤكل لحمه ممّا له نفس سائلة فالأقوى فيه النجاسة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نحوه في المنتهى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نرى لكلامه وجها ، ولا عرفنا له عليه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الشهيد في الذكرى على عدم الفرق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الإنفحة من غير المحلّل كالموطوء ففي طهارتها احتمالان ، منشأهما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أكثر الأخبار الدالّة على طهارتها واردة بالحلّ أو مسوقة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استفيدت الطهارة وذلك مفقود في غير المحلّل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عدم الدليل العام على نجاسة الميتة بحيث يتناول أمثال هذه الأجزاء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هو الطهارة إلى أن يقوم الدليل على خلافها ولا دليل ، ولم أقف لأحد من الأصحاب في ذلك على كلام</w:t>
      </w:r>
      <w:r>
        <w:rPr>
          <w:rFonts w:eastAsia="Amiri" w:cs="Amiri" w:ascii="Amiri" w:hAnsi="Amiri"/>
          <w:color w:val="111111"/>
          <w:sz w:val="28"/>
          <w:szCs w:val="28"/>
          <w:rtl w:val="true"/>
          <w:lang w:bidi="ar-SA"/>
        </w:rPr>
        <w:t xml:space="preserve">. </w:t>
      </w:r>
      <w:bookmarkStart w:id="854" w:name="pg8731_77436"/>
    </w:p>
    <w:p>
      <w:pPr>
        <w:pStyle w:val="BookText"/>
        <w:rPr/>
      </w:pPr>
      <w:bookmarkEnd w:id="854"/>
      <w:r>
        <w:rPr>
          <w:rFonts w:ascii="Amiri" w:hAnsi="Amiri" w:eastAsia="Amiri" w:cs="Amiri"/>
          <w:color w:val="111111"/>
          <w:sz w:val="28"/>
          <w:sz w:val="28"/>
          <w:szCs w:val="28"/>
          <w:rtl w:val="true"/>
          <w:lang w:bidi="ar-SA"/>
        </w:rPr>
        <w:t>وربّما يكون إطلاقهم الحكم بالطهارة قرينة على عدم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فرق العلّامة في حكم البيض يقتضي الفرق هنا أيضا</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140481_653776707"/>
      <w:bookmarkStart w:id="856" w:name="_Toc315"/>
      <w:bookmarkEnd w:id="855"/>
      <w:r>
        <w:rPr>
          <w:rtl w:val="true"/>
        </w:rPr>
        <w:t xml:space="preserve">وثالثها </w:t>
      </w:r>
      <w:r>
        <w:rPr>
          <w:rtl w:val="true"/>
        </w:rPr>
        <w:t>:</w:t>
      </w:r>
      <w:bookmarkEnd w:id="856"/>
    </w:p>
    <w:p>
      <w:pPr>
        <w:pStyle w:val="BookText"/>
        <w:rPr/>
      </w:pPr>
      <w:r>
        <w:rPr>
          <w:rFonts w:ascii="Amiri" w:hAnsi="Amiri" w:eastAsia="Amiri" w:cs="Amiri"/>
          <w:color w:val="111111"/>
          <w:sz w:val="28"/>
          <w:sz w:val="28"/>
          <w:szCs w:val="28"/>
          <w:rtl w:val="true"/>
          <w:lang w:bidi="ar-SA"/>
        </w:rPr>
        <w:t>أنّ أكثر الأصحاب أطلقوا الحكم بطهارة البيضة ولم يتعرّضوا بحال ظاهرها من حيث ملاقاته بالرطوبة للميتة النجسة ؛ فإنّ الظاهر فيه على قياس ما ذكروه في اصول نحو الصوف المقلوع احتياجه إلى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الأخبار وردت مطلقة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منها الأمر بالغسل مخصوص بالصوف والشعر ونحوهما بقرينة قوله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العلّامة ما يدلّ على أنّه يرى نجاسة ظاهرها حيث قال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البيضة من الدجاجة الميّتة طاهرة إن اكتست الجلد الفوقاني الصلب لأنّها صلبة القشر لاقت نجاسة فلم تكن نجسة في نفسها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المنتهى ما هذا محصّله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3140483_653776707"/>
      <w:bookmarkStart w:id="858" w:name="_Toc316"/>
      <w:bookmarkEnd w:id="857"/>
      <w:r>
        <w:rPr>
          <w:rtl w:val="true"/>
        </w:rPr>
        <w:t xml:space="preserve">ورابعها </w:t>
      </w:r>
      <w:r>
        <w:rPr>
          <w:rtl w:val="true"/>
        </w:rPr>
        <w:t>:</w:t>
      </w:r>
      <w:bookmarkEnd w:id="858"/>
    </w:p>
    <w:p>
      <w:pPr>
        <w:pStyle w:val="BookText"/>
        <w:rPr/>
      </w:pPr>
      <w:r>
        <w:rPr>
          <w:rFonts w:ascii="Amiri" w:hAnsi="Amiri" w:eastAsia="Amiri" w:cs="Amiri"/>
          <w:color w:val="111111"/>
          <w:sz w:val="28"/>
          <w:sz w:val="28"/>
          <w:szCs w:val="28"/>
          <w:rtl w:val="true"/>
          <w:lang w:bidi="ar-SA"/>
        </w:rPr>
        <w:t>أنّ ما دلّ على حكم البيض من الأخبار التي ذكرناها ليس فيه تعرّض لاشتراط اكتساء القشر الأعلى ، ولكن ظاهر الأصحاب الإطباق على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رواية رواها غياث بن إبراهيم عن أبي عبد اللّه عليه‌السلام في بيضة خرجت من است دجاجة 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اكتست الجلد الغليظ فلا بأس بها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فكأنّهم حملوا الإطلاق الواقع في تلك الأخبار على التقييد المستفاد </w:t>
      </w:r>
      <w:bookmarkStart w:id="859" w:name="pg8731_77438"/>
    </w:p>
    <w:p>
      <w:pPr>
        <w:pStyle w:val="BookText"/>
        <w:rPr/>
      </w:pPr>
      <w:bookmarkEnd w:id="859"/>
      <w:r>
        <w:rPr>
          <w:rFonts w:ascii="Amiri" w:hAnsi="Amiri" w:eastAsia="Amiri" w:cs="Amiri"/>
          <w:color w:val="111111"/>
          <w:sz w:val="28"/>
          <w:sz w:val="28"/>
          <w:szCs w:val="28"/>
          <w:rtl w:val="true"/>
          <w:lang w:bidi="ar-SA"/>
        </w:rPr>
        <w:t>من هذه الرواية مع أنّ طريقها غير سليم ، وتلك الأخبار وإن كانت كذلك أيضا إلّا أنّها موافقة لمقتضى الأصل كما بيّناه ، ومتعاضدة بكثرتها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الصدوق في المقنع لهذا الشرط بل أطلق القول كما في أكثر الأخبار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0" w:name="__RefHeading___Toc3140485_653776707"/>
      <w:bookmarkStart w:id="861" w:name="_Toc317"/>
      <w:bookmarkEnd w:id="860"/>
      <w:r>
        <w:rPr>
          <w:rtl w:val="true"/>
        </w:rPr>
        <w:t xml:space="preserve">وخامسها </w:t>
      </w:r>
      <w:r>
        <w:rPr>
          <w:rtl w:val="true"/>
        </w:rPr>
        <w:t>:</w:t>
      </w:r>
      <w:bookmarkEnd w:id="861"/>
    </w:p>
    <w:p>
      <w:pPr>
        <w:pStyle w:val="BookText"/>
        <w:rPr/>
      </w:pPr>
      <w:r>
        <w:rPr>
          <w:rFonts w:ascii="Amiri" w:hAnsi="Amiri" w:eastAsia="Amiri" w:cs="Amiri"/>
          <w:color w:val="111111"/>
          <w:sz w:val="28"/>
          <w:sz w:val="28"/>
          <w:szCs w:val="28"/>
          <w:rtl w:val="true"/>
          <w:lang w:bidi="ar-SA"/>
        </w:rPr>
        <w:t xml:space="preserve">إنّ كلام الأصحاب مختلف في التعبير عن الشرط الذي ذكر لطهارة 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المتقدّمين اقتصر على لفظ الحديث فعبّر بالجلد الغليظ ، ووافقه الشيخ في النهاية ، وبعض الأصحاب على التعبير بالجلد لكنّهم أبدلوا لفظ الغليظ بالفوقاني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جماعة منهم المحقّق والشهيد بالقشر الأعلى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العلّامة في جملة من كتبه الجلد الصلب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العبارة التي حكيناها عنه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التقييد بالصلابة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في مؤدّى هذه العبارات معنويّ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المرجع في الاشتراط إلى رواية غياث فينبغي أن يكون العمل على ما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وصف الصلابة زائد عن القيد المعتبر في الرواية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العلّامة في بعض كتبه عن بعض الجمهور أنّه ذهب إلى طهارة البيض وإن لم يكتس القشر الأعلى ؛ محتجّا بأنّ عليه غاشية رقيقة تحول بينه </w:t>
      </w:r>
    </w:p>
    <w:p>
      <w:pPr>
        <w:pStyle w:val="BookText"/>
        <w:rPr/>
      </w:pPr>
      <w:r>
        <w:rPr>
          <w:rFonts w:ascii="Amiri" w:hAnsi="Amiri" w:eastAsia="Amiri" w:cs="Amiri"/>
          <w:color w:val="111111"/>
          <w:sz w:val="28"/>
          <w:sz w:val="28"/>
          <w:szCs w:val="28"/>
          <w:rtl w:val="true"/>
          <w:lang w:bidi="ar-SA"/>
        </w:rPr>
        <w:t>وبين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أنّها إن كانت قد اكتست الجلد الأعلى وإن لم يكن صلبا فهي طاهرة لعدم الملاقاة وإلّا فلا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استقربه هو المتّجه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معنى الإنفحة ليس بظاهر في العرف ، وكلام أهل اللغة فيه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 الفاء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كرش الحمل والجدي ما لم يأكل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وتشديد الحاء وقد تكسر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والمنفحة والبنفحة شي‌ء يستخرج من بطن الجدي الراضع أصفر فيعصر في صوفه فيغلظ كالجبن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الجوهري الإنفحة بالكرش سهو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باعتبار هذا الخلاف وقع في كلام علمائنا الاختلاف في تفسيرها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ففسّرها ابن إدريس في السرائر بنحو ما ذكره الجوهري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وفسّرها العلّامة في غير موضع من كتبه بما يوافق كلام القاموس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لبن مستحيل في جوف السخلة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لهذا الاختلاف أثر في اللبن ؛ لأنّ احتمال غسل موضع الملاقاة للميتة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ما ذكر في نحو صوف المقلوع واحتمل في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يتأتّى </w:t>
      </w:r>
    </w:p>
    <w:p>
      <w:pPr>
        <w:pStyle w:val="BookText"/>
        <w:rPr/>
      </w:pPr>
      <w:r>
        <w:rPr>
          <w:rFonts w:ascii="Amiri" w:hAnsi="Amiri" w:eastAsia="Amiri" w:cs="Amiri"/>
          <w:color w:val="111111"/>
          <w:sz w:val="28"/>
          <w:sz w:val="28"/>
          <w:szCs w:val="28"/>
          <w:rtl w:val="true"/>
          <w:lang w:bidi="ar-SA"/>
        </w:rPr>
        <w:t>في ما له ظاهر يقبل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باعتبار مائعيّته لا يتصوّر ذلك فيه فيتعيّن كونه بأجمعه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أثر الخلاف في الجلد الذي يحويه فيمنع من الانتفاع به ويحكم بنجاسة ما يلاقيه برطوبة على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وينتفي الأمران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احتياج ظاهر الجلد إلى الغسل بتقدير طهارة ذاته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والدي في بعض فوائده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الروضة </w:t>
      </w:r>
      <w:r>
        <w:rPr>
          <w:rStyle w:val="FootnoteAnchor"/>
          <w:rtl w:val="true"/>
        </w:rPr>
        <w:footnoteReference w:id="1371"/>
      </w:r>
      <w:r>
        <w:rPr>
          <w:rFonts w:ascii="Amiri" w:hAnsi="Amiri" w:eastAsia="Amiri" w:cs="Amiri"/>
          <w:color w:val="111111"/>
          <w:sz w:val="28"/>
          <w:sz w:val="28"/>
          <w:szCs w:val="28"/>
          <w:rtl w:val="true"/>
          <w:lang w:bidi="ar-SA"/>
        </w:rPr>
        <w:t>ولا نعلم من الأصحاب مصرّحا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إطلاقهم الحكم بالطهارة إشعار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تطهير ظاهرها من الميتة للملاقاة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الصدوق في المقنع والشيخ في الخلاف والنهاية وكتابي الحديث وكثير من الأصحاب إلى أنّ اللبن من الميتة طاهر أيضا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نجس بغير خلاف عند المحصّلين من أصحابنا ؛ لأنّه مائع في ميتة ملامس لها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شيخنا في نهايته رواية شاذّة مخالفة لأصول المذهب لا يعضدها كتاب اللّه ولا سنّة مقطوع بها ولا 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ووافقه على الحكم بالتنجيس جماعة من الأصحاب ، منهم الفاضلان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للأوّل بما رواه الشيخ في الصحيح عن علي بن رئاب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وقد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الموثّق عن الحسين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وأبي يسأله عن السنّ من الميتة والإنفحة من الميتة واللبن من الميتة والبيضة من الميتة؟ فقال كلّ هذا ذكيّ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للثاني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ابن إدريس من أنّه مائع لاقى نجسا وهو الميتة فنجس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وهب بن وهب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سئل عن شاة ماتت فحلب منها لبن؟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الحرام محضا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أحطت خبرا بما قرّرناه في صدر المسألة من العمدة في الحكم بنجاسة الميتة على الإجماع المدّعى في كلام الأصحاب ، تحقّقت ضعف المتعلّق في حجّة القول الثاني بأنّه مائع لاقى نجسا ؛ فإنّ كون الميتة مؤثّرة في مثله التنجيس موقوف على انعقاد الإجماع عليه ؛ إذ الدليل منحصر فيه كما قد علم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لنا بثبوت الإجماع هنا مع ما للقول بالطهارة من الشهرة ومصير الأجلّاء من قدماء الأصحاب إليه ، حتّى أنّ الشيخ في الخلاف احتجّ للطهارة </w:t>
      </w:r>
    </w:p>
    <w:p>
      <w:pPr>
        <w:pStyle w:val="BookText"/>
        <w:rPr/>
      </w:pPr>
      <w:r>
        <w:rPr>
          <w:rFonts w:ascii="Amiri" w:hAnsi="Amiri" w:eastAsia="Amiri" w:cs="Amiri"/>
          <w:color w:val="111111"/>
          <w:sz w:val="28"/>
          <w:sz w:val="28"/>
          <w:szCs w:val="28"/>
          <w:rtl w:val="true"/>
          <w:lang w:bidi="ar-SA"/>
        </w:rPr>
        <w:t xml:space="preserve">بإجماع الفرقة وأخبارهم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لو ثبت الإجماع على التأثير لكان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إلى توسيط هذا الاعتبار؟</w:t>
      </w:r>
    </w:p>
    <w:p>
      <w:pPr>
        <w:pStyle w:val="BookText"/>
        <w:rPr/>
      </w:pPr>
      <w:r>
        <w:rPr>
          <w:rFonts w:ascii="Amiri" w:hAnsi="Amiri" w:eastAsia="Amiri" w:cs="Amiri"/>
          <w:color w:val="111111"/>
          <w:sz w:val="28"/>
          <w:sz w:val="28"/>
          <w:szCs w:val="28"/>
          <w:rtl w:val="true"/>
          <w:lang w:bidi="ar-SA"/>
        </w:rPr>
        <w:t xml:space="preserve">وأمّا الاحتجاج برواية وهب فليس بشي‌ء وقد قال الشيخ في كتابي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رواية شاذّة لم يروها عن غير وهب بن وهب وهو ضعيف جدّا عند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صحيحا لجاز أن يكون الوجه فيه ضربا من التقيّة هذا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العلّامة في المختلف عن الاحتجاج للطهارة بالخبرين بأنّهما محمولان على ما إذا قاربت الشاة الموت ؛ جمعا بين الأدلّة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عن غرابة ؛ فإنّ ارتكاب نحو هذه الكلفة في الجمع إنّما يسوغ مع حصول التعارض ، وكيف يصلح الخبر الضعيف بمثل وهب بمعارضة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الملاقاة للميتة لا يستقيم جعله معارضا للحديث ؛ لأنّه على تقدير ثبوت كون الميتة مؤثّرة للتنجيس بطريق العموم يجب أن يخصّص ذلك العموم بما دلّ على عدم تأثيرها في اللبن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العلّامة بعد تفسيره للأنفحة باللبن المستحيل وحكمه بطهارتها للأخبار الدالّة على ذلك مع تحقّق وصف المائعيّة فيها كيف يجعل اعتبار الملاقاة مع المائعيّة هنا معارضا للخبر؟</w:t>
      </w:r>
      <w:r>
        <w:rPr>
          <w:rFonts w:eastAsia="Amiri" w:cs="Amiri" w:ascii="Amiri" w:hAnsi="Amiri"/>
          <w:color w:val="111111"/>
          <w:sz w:val="28"/>
          <w:szCs w:val="28"/>
          <w:rtl w:val="true"/>
          <w:lang w:bidi="ar-SA"/>
        </w:rPr>
        <w:t xml:space="preserve">. </w:t>
      </w:r>
      <w:bookmarkStart w:id="862" w:name="pg8731_77448"/>
    </w:p>
    <w:p>
      <w:pPr>
        <w:pStyle w:val="Heading6"/>
        <w:numPr>
          <w:ilvl w:val="5"/>
          <w:numId w:val="1"/>
        </w:numPr>
        <w:rPr/>
      </w:pPr>
      <w:bookmarkStart w:id="863" w:name="__RefHeading___Toc3140487_653776707"/>
      <w:bookmarkStart w:id="864" w:name="_Toc318"/>
      <w:bookmarkEnd w:id="862"/>
      <w:bookmarkEnd w:id="86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864"/>
    </w:p>
    <w:p>
      <w:pPr>
        <w:pStyle w:val="BookText"/>
        <w:rPr/>
      </w:pPr>
      <w:r>
        <w:rPr>
          <w:rFonts w:ascii="Amiri" w:hAnsi="Amiri" w:eastAsia="Amiri" w:cs="Amiri"/>
          <w:color w:val="111111"/>
          <w:sz w:val="28"/>
          <w:sz w:val="28"/>
          <w:szCs w:val="28"/>
          <w:rtl w:val="true"/>
          <w:lang w:bidi="ar-SA"/>
        </w:rPr>
        <w:t>جمهور الأصحاب على عموم الحكم بنجاسة الميتة من ذي النفس لمطلق الحيوان وإن كان مائيّا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في الماء القليل ضفدع أو ما لا يؤكل لحمه ممّا يعيش في الماء لا ينجس الماء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أنّه لا يؤكل فإنّه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على أصل الطهارة والحكم بنجاسته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عنهم عليهم‌السلام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فيما فيه حياته لا ينجّسه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يتناول هذا الموضع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المحقّق في المعتبر صدر هذه العبارة عن الخلاف ولم يتعرّض لما فيه الاحتجاج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التنجيس بما له نفس من الحيوان المائيّ كالتمساح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بأنّه حيوان له نفس سائلة فكان موته منجّسا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لهم في قوله عليه‌السلام في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الطهور ماؤه ، الحلّ ميتته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التحليل مختصّ بالسموك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حجّة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القائلين بالطهارة هنا من العامّة وفاقا للشيخ وهم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على ذلك الشيخ في الكلام الذي حكيناه ، وعزاه إليهم العلّامة في المنتهى وحكى عنهم الاحتجاج له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الطهور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وفساد هذه الحجّة عندنا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المحقّق في عدوله عن حكاية الحجّة التي تمسّك بها الشيخ إلى ذكر حجّة المخالف الواهية مع كونه في مقام البحث مع الشيخ ، إذ لم يذكر 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جمع الضمير في نسبة الاحتجاج لم يختلج في خاطر غير الواقف على كلام الشيخ شكّ في أنّ الحجّة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احتمال مشاركة الشيخ لغيره في الاحتجاج بها ليس بمندفع عن غير العارف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العذر عدم الوقوف على عين كلام </w:t>
      </w:r>
      <w:r>
        <w:rPr>
          <w:rStyle w:val="FootnoteAnchor"/>
          <w:rtl w:val="true"/>
        </w:rPr>
        <w:footnoteReference w:id="1385"/>
      </w:r>
      <w:r>
        <w:rPr>
          <w:rFonts w:ascii="Amiri" w:hAnsi="Amiri" w:eastAsia="Amiri" w:cs="Amiri"/>
          <w:color w:val="111111"/>
          <w:sz w:val="28"/>
          <w:sz w:val="28"/>
          <w:szCs w:val="28"/>
          <w:rtl w:val="true"/>
          <w:lang w:bidi="ar-SA"/>
        </w:rPr>
        <w:t>الشيخ في نفس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تمسّك الشيخ هنا بالأصل قوّة إلّا أن يثبت تناول </w:t>
      </w:r>
      <w:r>
        <w:rPr>
          <w:rStyle w:val="FootnoteAnchor"/>
          <w:rtl w:val="true"/>
        </w:rPr>
        <w:footnoteReference w:id="1386"/>
      </w:r>
      <w:r>
        <w:rPr>
          <w:rFonts w:ascii="Amiri" w:hAnsi="Amiri" w:eastAsia="Amiri" w:cs="Amiri"/>
          <w:color w:val="111111"/>
          <w:sz w:val="28"/>
          <w:sz w:val="28"/>
          <w:szCs w:val="28"/>
          <w:rtl w:val="true"/>
          <w:lang w:bidi="ar-SA"/>
        </w:rPr>
        <w:t>ما يدّعيه الأصحاب من الإجماع في أصل المسألة لموضع النزاع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علماؤنا على أنّ ما لا نفس له سائلة من الحيوانات لا ينجس بالموت ، ولا يؤثّر في نجاسة ما يلاقيه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نجاسة ما هذا شأنه ، وانتفاء التنجيس به مذهب علمائنا أجمع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نفس سائلة من الأموات فإنّه </w:t>
      </w:r>
    </w:p>
    <w:p>
      <w:pPr>
        <w:pStyle w:val="BookText"/>
        <w:rPr/>
      </w:pPr>
      <w:r>
        <w:rPr>
          <w:rFonts w:ascii="Amiri" w:hAnsi="Amiri" w:eastAsia="Amiri" w:cs="Amiri"/>
          <w:color w:val="111111"/>
          <w:sz w:val="28"/>
          <w:sz w:val="28"/>
          <w:szCs w:val="28"/>
          <w:rtl w:val="true"/>
          <w:lang w:bidi="ar-SA"/>
        </w:rPr>
        <w:t xml:space="preserve">لا ينجّس الثوب ولا البدن ولا الشراب إذا وقع فيه سوى الوزغ والعقرب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 من استثناء الوزغ مبنيّ على ما سيأتي من حكمه بنجاسة الوزغ عينا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العقرب فلا نعلم لاستثنائه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 العلّامة لاستثنائه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حكايته لخلاف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حكم العقرب مع أنّه لم يقع في كلام الشيخ إلّا مقرونا بالوزغ وتكرّر ذلك فذكره في بابي المياه والنجاسات </w:t>
      </w:r>
      <w:r>
        <w:rPr>
          <w:rStyle w:val="FootnoteAnchor"/>
          <w:rtl w:val="true"/>
        </w:rPr>
        <w:footnoteReference w:id="1390"/>
      </w:r>
      <w:r>
        <w:rPr>
          <w:rFonts w:ascii="Amiri" w:hAnsi="Amiri" w:eastAsia="Amiri" w:cs="Amiri"/>
          <w:color w:val="111111"/>
          <w:sz w:val="28"/>
          <w:sz w:val="28"/>
          <w:szCs w:val="28"/>
          <w:rtl w:val="true"/>
          <w:lang w:bidi="ar-SA"/>
        </w:rPr>
        <w:t>، وإنّما أعرض العلّامة عن التعرّض للوزغ لما أشرنا إليه من بناء الحكم فيه على القول بأنّه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نسب إلى الشيخ الاحتجاج فيما حكاه عنه برواية أبي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الخنفساء يقع في الماء أيتوضّأ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أرقه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دالّ على التنجيس ؛ لجواز استناد الإراقة إلى وجود السمّ في الماء لا إلى نجاسة العقرب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عموم الحكم بالطهارة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ما رواه الشيخ عن عمّار الساباطي عن أبي عبد اللّه عليه‌السلام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الخنفساء والذباب والجراد والنملة وما أشبه ذلك </w:t>
      </w:r>
      <w:bookmarkStart w:id="865" w:name="pg8731_77454"/>
    </w:p>
    <w:p>
      <w:pPr>
        <w:pStyle w:val="BookText"/>
        <w:rPr/>
      </w:pPr>
      <w:bookmarkEnd w:id="865"/>
      <w:r>
        <w:rPr>
          <w:rFonts w:ascii="Amiri" w:hAnsi="Amiri" w:eastAsia="Amiri" w:cs="Amiri"/>
          <w:color w:val="111111"/>
          <w:sz w:val="28"/>
          <w:sz w:val="28"/>
          <w:szCs w:val="28"/>
          <w:rtl w:val="true"/>
          <w:lang w:bidi="ar-SA"/>
        </w:rPr>
        <w:t xml:space="preserve">يموت في البئر والزيت والسمن وشبهه؟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به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محمّد بن يحيى رفعه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الماء إلّا ما كانت له نفس سائلة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غياث عن جعفر بن محمّد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الماء إلّا ما كانت له نفس سائلة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3140489_653776707"/>
      <w:bookmarkStart w:id="867" w:name="_Toc319"/>
      <w:bookmarkEnd w:id="866"/>
      <w:r>
        <w:rPr>
          <w:rtl w:val="true"/>
        </w:rPr>
        <w:t xml:space="preserve">مسألة </w:t>
      </w:r>
      <w:r>
        <w:rPr>
          <w:rtl w:val="true"/>
        </w:rPr>
        <w:t>[</w:t>
      </w:r>
      <w:r>
        <w:rPr/>
        <w:t>8</w:t>
      </w:r>
      <w:r>
        <w:rPr>
          <w:rtl w:val="true"/>
        </w:rPr>
        <w:t>] :</w:t>
      </w:r>
      <w:bookmarkEnd w:id="867"/>
    </w:p>
    <w:p>
      <w:pPr>
        <w:pStyle w:val="Heading6"/>
        <w:numPr>
          <w:ilvl w:val="5"/>
          <w:numId w:val="1"/>
        </w:numPr>
        <w:rPr/>
      </w:pPr>
      <w:bookmarkStart w:id="868" w:name="__RefHeading___Toc3140491_653776707"/>
      <w:bookmarkStart w:id="869" w:name="_Toc320"/>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والخمر نجس عند أكثر علمائنا بل أكثر أهل العلم حتّى حكي عن المرتضى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نجاسة الخمر إلّا ما يحكى عن شذاذ لا اعتبار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نجسة بلا خلاف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في المقنع ومن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ثوب أصابه خمر لأنّ اللّه تعالى حرّم شربها ولم يحرّم الصلاة في ثوب أصابته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القول بالطهارة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ويحكى عن ابن أبي عقيل ما هو أصرح منه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عبارته المحكيّة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ثوبه أو جسده خمر أو مسكر لم يكن عليه غسلهما ؛ </w:t>
      </w:r>
    </w:p>
    <w:p>
      <w:pPr>
        <w:pStyle w:val="BookText"/>
        <w:rPr/>
      </w:pPr>
      <w:r>
        <w:rPr>
          <w:rFonts w:ascii="Amiri" w:hAnsi="Amiri" w:eastAsia="Amiri" w:cs="Amiri"/>
          <w:color w:val="111111"/>
          <w:sz w:val="28"/>
          <w:sz w:val="28"/>
          <w:szCs w:val="28"/>
          <w:rtl w:val="true"/>
          <w:lang w:bidi="ar-SA"/>
        </w:rPr>
        <w:t xml:space="preserve">لأنّ اللّه تعالى إنّما حرّمهما تعبّدا لا لأنّهما نجسان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وعزى في الذكرى إلى الجعفي وفاق الصدوق وابن أبي عقيل ، ولا يعرف هذا القول لسواهم من الأصحاب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احتجّوا للمشهور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احتجّ به جماعة منهم العلّامة في المختلف تعويلا على نقل السيّد والشيخ له ، وكون الإجماع المنقول بخبر الواحد حجّة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 المحقّق في الإحتجاج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والمحتجّ بها من الأصحاب كثير ، منهم المحقّق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دالّة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بالرجاسة وصف بالنجاسة لترادفهما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بالاجتناب وهو موجب للتباعد المستلزم للمنع من الاقتراب بجميع الأنواع ؛ لأنّ معنى اجتنابها كونه في جانب غير جانبها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هذا التوجيه وجّه العلّامة أيضا الدلالة في الآية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كرواية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w:t>
      </w:r>
    </w:p>
    <w:p>
      <w:pPr>
        <w:pStyle w:val="BookText"/>
        <w:rPr/>
      </w:pPr>
      <w:r>
        <w:rPr>
          <w:rFonts w:ascii="Amiri" w:hAnsi="Amiri" w:eastAsia="Amiri" w:cs="Amiri"/>
          <w:color w:val="111111"/>
          <w:sz w:val="28"/>
          <w:sz w:val="28"/>
          <w:szCs w:val="28"/>
          <w:rtl w:val="true"/>
          <w:lang w:bidi="ar-SA"/>
        </w:rPr>
        <w:t xml:space="preserve">في ثوب أصابه خمر أو مسكر حتّى يغسل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عن بعض من رواه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أو نبيذ مسكر فاغسله إن عرفت موضعه ، وإن لم تعرف موضعه فاغسله كلّه ، فإن صلّيت فيه فأعد صلاتك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حيران الخادم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الرجل أسأله عن الثوب يصيبه الخمر ولحم الخنزير أيصلّى فيه أم لا؟ فإنّ أصحابنا قد اختلفوا فيه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فإنّه رجس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زكريّا بن آدم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قطرة خمر أو نبيذ مسكر قطرت في قدر فيه لحم كثير ومرق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 اغسله وكله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الدن يكون فيه الخمر هل يصلح أن يكون فيه الخلّ وماء كامخ </w:t>
      </w:r>
      <w:r>
        <w:rPr>
          <w:rStyle w:val="FootnoteAnchor"/>
          <w:rtl w:val="true"/>
        </w:rPr>
        <w:footnoteReference w:id="1408"/>
      </w:r>
      <w:r>
        <w:rPr>
          <w:rFonts w:ascii="Amiri" w:hAnsi="Amiri" w:eastAsia="Amiri" w:cs="Amiri"/>
          <w:color w:val="111111"/>
          <w:sz w:val="28"/>
          <w:sz w:val="28"/>
          <w:szCs w:val="28"/>
          <w:rtl w:val="true"/>
          <w:lang w:bidi="ar-SA"/>
        </w:rPr>
        <w:t xml:space="preserve">أو زيتون؟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قدح أو إناء يشرب فيه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حتّى يدلكه بيده ويغسله ثلاث مرّات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الآخر ، الأصل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أبي شاده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ثوبي شي‌ء من الخمر اصلّي فيه قبل أن أغسله؟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الثوب لا يسكر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عبد اللّه بن بكير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وأنا عنده عن المسكر والنبيذ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أبي شاده أيضا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نخالط اليهود والنصارى والمجوس ، وندخل عليهم وهم يأكلون ويشربون ، فيمرّ ساقيهم فيصبّ على ثيابي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تشتهي أن تغسله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موسى الخيّاط </w:t>
      </w:r>
      <w:r>
        <w:rPr>
          <w:rStyle w:val="FootnoteAnchor"/>
          <w:rtl w:val="true"/>
        </w:rPr>
        <w:footnoteReference w:id="1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يشرب الخمر ثمّ يمجّه فيه فيصيب 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كلتا الحجّتين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 فلعدم ثبوت الإجماع على وجه يكون حجّة ، ولهذا لم يحتجّ به المحقّق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بالآية ضعيف بكلا وجهيه ، فإنّ ادّعاء كون الوصف بالرجاسة وصف بالنجاسة في حيّز المنع ؛ لما مرّ من عدم إفادة كلام أهل اللغة له ، وانتفاء الدليل عليه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وقع في الآية وصفا للخمر والميسر والأنصاب والأزلام بناء على أنّه خبر عن الجميع بتقدير مضاف محذوف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تعاطي الخمر والميسر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الوجهين فيه ، وحينئذ كيف تستقيم إرادة النجس </w:t>
      </w:r>
      <w:r>
        <w:rPr>
          <w:rStyle w:val="FootnoteAnchor"/>
          <w:rtl w:val="true"/>
        </w:rPr>
        <w:footnoteReference w:id="1416"/>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على أنّه لو جعل وصفا للخمر فقط بناء على الوجه الآخر وهو كونه خبرا عنه ، وأنّ خبر المعطوفات محذوف لم يسلم الحمل على إرادة النجس من الإشكال ؛ لاقتضاء كون المعنى في الخبرين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في مثله الاتّفاق وأنّ المسوّغ للحذف هو دلالة المذكور عليه لكونهما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فالوجه في الآية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النجس معه </w:t>
      </w:r>
      <w:r>
        <w:rPr>
          <w:rStyle w:val="FootnoteAnchor"/>
          <w:rtl w:val="true"/>
        </w:rPr>
        <w:footnoteReference w:id="1417"/>
      </w:r>
      <w:r>
        <w:rPr>
          <w:rFonts w:ascii="IRNazanin" w:hAnsi="IRNazanin" w:eastAsia="IRNazanin"/>
          <w:color w:val="111111"/>
          <w:sz w:val="28"/>
          <w:sz w:val="28"/>
          <w:szCs w:val="28"/>
          <w:rtl w:val="true"/>
          <w:lang w:bidi="fa-IR"/>
        </w:rPr>
        <w:t>منتف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يراد بالرجس المأثم ؛ لأنّ بعض أهل اللغة عدّه من معانيه ، أو العمل المستقذر ، أو القذر الذي تعاف عنه العقول ، كما يوجد في كلام جماعة من المفسّرين ، والكلّ مناسب للمقام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الاستناد إلى الأمر بالاجتناب فموقوف على تحقيق مرجع الضمير فيه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المفسّرون له وجوها مبنيّة على الوجهين المذكورين في الوصف بالرجس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راجعا إلى المضاف المحذوف في صدر الآية المقدّر بالتعاطي أو ما أشبهه وهو خيرة الكشّاف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عائدا إلى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الطبرسي رحمه‌اللّه واحتمل خلافه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الطبرسي بعد ذكر ما حكيناه عنه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عائدا إلى ما ذكر يعني المذكورات من الخمر وما عطف عليه ، لكن بعد تأويله بما ذكر ليطابق الضمير المذكّر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كلّها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تعميم الاجتناب المنهيّ عنه بحيث يمكن جعله دليلا في موضع النزاع إنّما يتمّ على بعض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البعض إن لم يكن مرجوحا بالإضافة إلى الباقي فلا أقلّ من مساواته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يتّجه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 وجوه هذه الحجّة التمسّك بالأخبار التي ذكروها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بأسرها ضعيفة الأسناد فلا تنهض وحدها بإثبات الحكم ، </w:t>
      </w:r>
    </w:p>
    <w:p>
      <w:pPr>
        <w:pStyle w:val="BookText"/>
        <w:rPr/>
      </w:pPr>
      <w:r>
        <w:rPr>
          <w:rFonts w:ascii="Amiri" w:hAnsi="Amiri" w:eastAsia="Amiri" w:cs="Amiri"/>
          <w:color w:val="111111"/>
          <w:sz w:val="28"/>
          <w:sz w:val="28"/>
          <w:szCs w:val="28"/>
          <w:rtl w:val="true"/>
          <w:lang w:bidi="ar-SA"/>
        </w:rPr>
        <w:t>لا سيّما مع معارضة الأخبار المذكورة في الحجّة الاخرى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الحجّة الثانية فالتعلّق فيها بالأصل قويّ لو لا ما سنقرّره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فليست بنقيّة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المحقّق بعد موافقته للقائلين بالنجاسة هنا واحتجاجه لذلك في المعتبر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وبجملة من الأخبار التي ذكرناها ، وحكاية الاحتجاج للطهارة بالروايات الدالّة على ذلك ، وجوابه عنها بأنّه مع التعارض يكون الترجيح لما طابق القرآن إمّا لأنّ شرط العمل بالحديث مطابقة القرآن ، وإمّا لأنّ اطراح ما طابقه يلزم منه مخالفة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الوجه ، أنّ الأخبار المشار إليها من الطرفين ضعيفة ، وبيّن وجه ضعفها ثمّ قال وما عدا هذه الأخبار مثلها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صحّ منها غير دالّ على موضع النزاع ، لأنّ الخبر الدالّ على المنع ممّا يقع فيه الخمر من طبيخ أو عجين يحتمل أن يكون المنع منه لا لنجاسته بل لتحريمه فإذا مازج المحلّل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في القدر دهن من حيوان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نمنع منه لتحريمه لا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بالآية عليه فيه إشكالان لكن مع اختلاف الأصحاب والأحاديث يؤخذ بالأحوط في الدين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وهو جيّد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بقي من الأخبار الدالّة على النجاسة حديث صحيح لم يتعرّض له هو ولا غيره من الأصحاب فيما نعلم سوى العلّامة في المنتهى لكنّه جعله من الحسن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كتابي الحديث فاستشهد به للجمع </w:t>
      </w:r>
    </w:p>
    <w:p>
      <w:pPr>
        <w:pStyle w:val="BookText"/>
        <w:rPr/>
      </w:pPr>
      <w:r>
        <w:rPr>
          <w:rFonts w:ascii="Amiri" w:hAnsi="Amiri" w:eastAsia="Amiri" w:cs="Amiri"/>
          <w:color w:val="111111"/>
          <w:sz w:val="28"/>
          <w:sz w:val="28"/>
          <w:szCs w:val="28"/>
          <w:rtl w:val="true"/>
          <w:lang w:bidi="ar-SA"/>
        </w:rPr>
        <w:t xml:space="preserve">بين الأخبار بحمل الروايات الواردة بالطهارة على التقيّة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منظور فيه لما عرفته من موافقة أكثر أهل الخلاف لنا على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أشرنا إليه هو صحيح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عبد 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روى زرارة عن أبي جعفر وأبي عبد اللّه عليهما‌السلام في الخمر يصيب ثوب الرجل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فيه ؛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 وإن لم تعرف موضعه فاغسله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ما آخذ به؟ فوقّع بخطّه عليه‌السلام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عليه‌السلام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الاستدلال من هذا الخبر على أنّ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جهة التقيّة ؛ أنّه عليه‌السلام أمر بالأخذ بقول أبي عبد اللّه عليه‌السلام على الانفراد والعدول عن قوله مع قول أبي جعفر عليه‌السلام ، فلو لا أنّ قوله مع قول أبي جعفر خرج مخرج التقيّة لكان الأخذ بقولهما معا أولى وأحرى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حسن لو لا ما أشرنا إليه من نقل الأصحاب عن أكثر أهل الخلاف الموافقة على القول بالنجاسة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ريب أنّ في ما تضمّنه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بالأخذ بقول أبي عبد اللّه عليه‌السلام بعد ما تقرّر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الحكم في ذلك هو </w:t>
      </w:r>
      <w:bookmarkStart w:id="870" w:name="pg8731_77470"/>
    </w:p>
    <w:p>
      <w:pPr>
        <w:pStyle w:val="BookText"/>
        <w:rPr/>
      </w:pPr>
      <w:bookmarkEnd w:id="870"/>
      <w:r>
        <w:rPr>
          <w:rFonts w:ascii="Amiri" w:hAnsi="Amiri" w:eastAsia="Amiri" w:cs="Amiri"/>
          <w:color w:val="111111"/>
          <w:sz w:val="28"/>
          <w:sz w:val="28"/>
          <w:szCs w:val="28"/>
          <w:rtl w:val="true"/>
          <w:lang w:bidi="ar-SA"/>
        </w:rPr>
        <w:t>النجاسة وأنّ الطهارة 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من الدلالة في الحديث الصحيح كاف في الاستدلال لاعتضاده بما تقدّم من الأخبار وباتّفاق أكثر علماء الإسلام مع ما في التنزّه عنه من الاحتياط للدين كما ذكره المحقّق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القول بالتنجيس هو المعتمد</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3140493_653776707"/>
      <w:bookmarkStart w:id="872" w:name="_Toc321"/>
      <w:bookmarkEnd w:id="871"/>
      <w:r>
        <w:rPr>
          <w:rtl w:val="true"/>
        </w:rPr>
        <w:t xml:space="preserve">فروع </w:t>
      </w:r>
      <w:r>
        <w:rPr>
          <w:rtl w:val="true"/>
        </w:rPr>
        <w:t>:</w:t>
      </w:r>
      <w:bookmarkEnd w:id="872"/>
    </w:p>
    <w:p>
      <w:pPr>
        <w:pStyle w:val="Heading6"/>
        <w:numPr>
          <w:ilvl w:val="5"/>
          <w:numId w:val="1"/>
        </w:numPr>
        <w:rPr/>
      </w:pPr>
      <w:bookmarkStart w:id="873" w:name="__RefHeading___Toc3140495_653776707"/>
      <w:bookmarkStart w:id="874" w:name="_Toc322"/>
      <w:bookmarkEnd w:id="873"/>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874"/>
    </w:p>
    <w:p>
      <w:pPr>
        <w:pStyle w:val="BookText"/>
        <w:rPr/>
      </w:pPr>
      <w:r>
        <w:rPr>
          <w:rFonts w:ascii="Amiri" w:hAnsi="Amiri" w:eastAsia="Amiri" w:cs="Amiri"/>
          <w:color w:val="111111"/>
          <w:sz w:val="28"/>
          <w:sz w:val="28"/>
          <w:szCs w:val="28"/>
          <w:rtl w:val="true"/>
          <w:lang w:bidi="ar-SA"/>
        </w:rPr>
        <w:t>جميع الأنبذة المسكرة حكمها في التنجيس حكم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له المحقّق في المعتبر بأنّ المسكر خمر فيتناوله حكم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خمر ؛ فلأنّ الخمر إنّما سمّي بذلك لكونه يخمّر العقل ويستره ، فما ساواه في المسمّى يساويه في الاسم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عليّ بن يقطين عن أبي الحسن الماضي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لم يحرّم الخمر لاسمها ، ولكن حرّمها لعاقبتها ، فما كان عاقبته عاقبة الخمر فهو خمر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عطا بن يسار عن أبي جعفر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كلّ مسكر حرام وكلّ مسكر خمر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هذا الاحتجاج نظر ؛ لأنّ الظاهر من كلام جماعة من أئمّة اللغة </w:t>
      </w:r>
    </w:p>
    <w:p>
      <w:pPr>
        <w:pStyle w:val="BookText"/>
        <w:rPr/>
      </w:pPr>
      <w:r>
        <w:rPr>
          <w:rFonts w:ascii="Amiri" w:hAnsi="Amiri" w:eastAsia="Amiri" w:cs="Amiri"/>
          <w:color w:val="111111"/>
          <w:sz w:val="28"/>
          <w:sz w:val="28"/>
          <w:szCs w:val="28"/>
          <w:rtl w:val="true"/>
          <w:lang w:bidi="ar-SA"/>
        </w:rPr>
        <w:t>أنّ الخمر حقيقة في المسكر من 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كون اللفظ حقيقة في معنى لم يدلّ استعماله بعد ذلك في غيره على كونه حقيقة في ذلك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الأصل في الاستعمال الحقيقة إنّما هو مع عدم استلزام الاشتراك أو النقل لكونهما على خلاف الأصل ، فتعارض أصالة عدمهما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وأحدهما لازم بعد ثبوت الحقيقة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فمجرّد إطلاق لفظ الخمر على مطلق المسكر لا يدلّ على كونه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الذي ذكره من جهة التسمية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1430"/>
      </w:r>
      <w:r>
        <w:rPr>
          <w:rFonts w:ascii="Amiri" w:hAnsi="Amiri" w:eastAsia="Amiri" w:cs="Amiri"/>
          <w:color w:val="111111"/>
          <w:sz w:val="28"/>
          <w:sz w:val="28"/>
          <w:szCs w:val="28"/>
          <w:rtl w:val="true"/>
          <w:lang w:bidi="ar-SA"/>
        </w:rPr>
        <w:t>لم يثبت كون اللفظ حقيقة في الجميع لم يتّجه الاستدلال على تعميم الحكم في الكلّ بما دلّ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والاشتراك في التحريم لا دلالة فيه وإنّما هو وجه علاقة صحّ من أجله استعمال لفظ الخمر في غير ما هو موضوع له على جهة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في التسوية المذكورة بقوله في صحيح عليّ 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أو نبيذ يعني المسكر إلى آخره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في رواية عمّار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ثوب أصابه خمر أو مسكر حتّى تغسل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 وقوله في 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أو نبيذ مسكر فاغسله </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875" w:name="pg8731_77474"/>
    </w:p>
    <w:p>
      <w:pPr>
        <w:pStyle w:val="BookText"/>
        <w:rPr/>
      </w:pPr>
      <w:bookmarkEnd w:id="875"/>
      <w:r>
        <w:rPr>
          <w:rFonts w:ascii="Amiri" w:hAnsi="Amiri" w:eastAsia="Amiri" w:cs="Amiri"/>
          <w:color w:val="111111"/>
          <w:sz w:val="28"/>
          <w:sz w:val="28"/>
          <w:szCs w:val="28"/>
          <w:rtl w:val="true"/>
          <w:lang w:bidi="ar-SA"/>
        </w:rPr>
        <w:t xml:space="preserve">فأمّا ما رواه الشيخ في الصحيح عن أحمد بن محمّد بن عيسى عن عليّ ابن الحكم عن سيف بن عميرة عن أبي بكر الحضرمي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نبيذ أاصلّي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من نبيذ قطر في حبّ أشرب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أصل النبيذ حلال وإنّ أصل الخمر حرام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 فقد حمله في التهذيب على إرادة النبيذ الذي ليس بمسكر وهو ما نبذ فيه تميرات لتكسر طعم الماء على ما مرّت الإشارة إليه في بحث المضاف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الحمل متّجه لا سيّما بقرينة الحكم بالحلّ مع أنّ السند ليس بصحيح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فاعلم أنّ الحكم بنجاسة المسكر مخصوص عند الأصحاب بما هو مائع بالأصالة كما نبّه عليه كثير منهم فالجامد بالأصالة طاهر وإن عرض له الميعان ، والمائع بالأصالة نجس وإن طرأ </w:t>
      </w:r>
      <w:r>
        <w:rPr>
          <w:rStyle w:val="FootnoteAnchor"/>
          <w:rtl w:val="true"/>
        </w:rPr>
        <w:footnoteReference w:id="1437"/>
      </w:r>
      <w:r>
        <w:rPr>
          <w:rFonts w:ascii="Amiri" w:hAnsi="Amiri" w:eastAsia="Amiri" w:cs="Amiri"/>
          <w:color w:val="111111"/>
          <w:sz w:val="28"/>
          <w:sz w:val="28"/>
          <w:szCs w:val="28"/>
          <w:rtl w:val="true"/>
          <w:lang w:bidi="ar-SA"/>
        </w:rPr>
        <w:t>عليه 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 لأنّ الدليل على إلحاق ما سوى الخمر من المسكرات به لا يصلح دليلا في غير المائع فيبقى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ثبتت نجاسته من المائع يتوقّف الحكم بطهارته مع الجمود على الدليل وهو مفقود</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3140497_653776707"/>
      <w:bookmarkStart w:id="877" w:name="_Toc323"/>
      <w:bookmarkEnd w:id="876"/>
      <w:r>
        <w:rPr>
          <w:rtl w:val="true"/>
        </w:rPr>
        <w:t xml:space="preserve">[ </w:t>
      </w:r>
      <w:r>
        <w:rPr>
          <w:rtl w:val="true"/>
        </w:rPr>
        <w:t xml:space="preserve">الفرع </w:t>
      </w:r>
      <w:r>
        <w:rPr>
          <w:rtl w:val="true"/>
        </w:rPr>
        <w:t xml:space="preserve">] </w:t>
      </w:r>
      <w:r>
        <w:rPr>
          <w:rtl w:val="true"/>
        </w:rPr>
        <w:t>الثاني</w:t>
      </w:r>
      <w:bookmarkEnd w:id="87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العلّامة في النهاية والمنتهى إجماع علمائنا على أنّ حكم الفقّاع </w:t>
      </w:r>
    </w:p>
    <w:p>
      <w:pPr>
        <w:pStyle w:val="BookText"/>
        <w:rPr/>
      </w:pPr>
      <w:r>
        <w:rPr>
          <w:rFonts w:ascii="Amiri" w:hAnsi="Amiri" w:eastAsia="Amiri" w:cs="Amiri"/>
          <w:color w:val="111111"/>
          <w:sz w:val="28"/>
          <w:sz w:val="28"/>
          <w:szCs w:val="28"/>
          <w:rtl w:val="true"/>
          <w:lang w:bidi="ar-SA"/>
        </w:rPr>
        <w:t xml:space="preserve">حكم الخمر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المحقّق عن الشيخ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أصحابنا الفقّاع بالخمر يعني في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انفراد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الفقّاع خمر فيلحقه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خمر فلما ذكره علم الهدى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بن محمّد الخطّابي عن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التي نهى النبيّ صلى‌اللّه‌عليه‌وآله عنها هي الفقّاع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هاشم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نبيذ الشعير فإذا نشّ فهو خمر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أسلم العنبير التي نهى النبيّ صلى‌اللّه‌عليه‌وآله عنها هي الاسكركه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موسى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الاسكركه خمر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ما رواه سليمان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شرب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مجهول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الوشّاء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الفقّاع؟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وهو خمر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خمرة استصغرها الناس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أشار إلى اعتراض يمكن وروده هنا وأجاب عنه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الستر وهو خمر العقل ولا ستر في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ثابتة شرعا والتجوّز على خلاف الأصل فيكون حقيقة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مائع حرم لنشيشه وغليانه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الفقّاع خمر وقد بيّنا حكم الخمر فاطلب حكم الفقّاع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احتجاجه بأخبارنا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لإدخاله في حقيقة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ذكرناه في احتجاجه السابق لإدخال 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حكاه عن المرتضى فغير كاف في إثبات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إذن على الإجماع المدّعى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عن محمّد بن يحيى عن بعض أصحابنا عن أبي جميل البصري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يونس ببغداد وأنا أمشي معه في السوق هيّج </w:t>
      </w:r>
      <w:r>
        <w:rPr>
          <w:rStyle w:val="FootnoteAnchor"/>
          <w:rtl w:val="true"/>
        </w:rPr>
        <w:footnoteReference w:id="1446"/>
      </w:r>
      <w:r>
        <w:rPr>
          <w:rFonts w:ascii="Amiri" w:hAnsi="Amiri" w:eastAsia="Amiri" w:cs="Amiri"/>
          <w:color w:val="111111"/>
          <w:sz w:val="28"/>
          <w:sz w:val="28"/>
          <w:szCs w:val="28"/>
          <w:rtl w:val="true"/>
          <w:lang w:bidi="ar-SA"/>
        </w:rPr>
        <w:t xml:space="preserve">صاحب الفقّاع فقّاعه فقفز فأصاب ثوب يونس فرأيته قد اغتمّ لذلك حتّى زالت الشمس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ألا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أريد أن اصلّي حتّى أرجع إلى البيت فأغسل هذا الخمر من ثوبي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أو شي‌ء ترويه؟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بن الحكم أنّه سأل أبا عبد اللّه عليه‌السلام عن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فإنّه خمر مجهول فإذا أصاب ثوبك فاغسله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878" w:name="pg8731_77480"/>
    </w:p>
    <w:p>
      <w:pPr>
        <w:pStyle w:val="Heading6"/>
        <w:numPr>
          <w:ilvl w:val="5"/>
          <w:numId w:val="1"/>
        </w:numPr>
        <w:rPr/>
      </w:pPr>
      <w:bookmarkStart w:id="879" w:name="__RefHeading___Toc3140499_653776707"/>
      <w:bookmarkStart w:id="880" w:name="_Toc324"/>
      <w:bookmarkEnd w:id="878"/>
      <w:bookmarkEnd w:id="879"/>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880"/>
    </w:p>
    <w:p>
      <w:pPr>
        <w:pStyle w:val="BookText"/>
        <w:rPr/>
      </w:pPr>
      <w:r>
        <w:rPr>
          <w:rFonts w:ascii="Amiri" w:hAnsi="Amiri" w:eastAsia="Amiri" w:cs="Amiri"/>
          <w:color w:val="111111"/>
          <w:sz w:val="28"/>
          <w:sz w:val="28"/>
          <w:szCs w:val="28"/>
          <w:rtl w:val="true"/>
          <w:lang w:bidi="ar-SA"/>
        </w:rPr>
        <w:t>ألحق جماعة من أصحابنا بالخمر في التنجيس العصير إذا غلا واشتدّ ولم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المعتبر عن بعض الأصحاب أنّه اكتفى في الحكم بالتنجيس بمجرّد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الحكم بالتحريم مع الغليان حتّى يذهب الثلثان ووقوف النجاسة على الاشتداد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غلا حرم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ينجس بالغليان أو يقف على الشدّة؟ إشكال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بعد هذا من تفسير بعض المتأخّرين للاشتداد الواقع في كلام الأصحاب هنا بالثخانة المسبّبة عن مجرّد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وهو مخالف للّغة والعرف ، ومناف لما وقع التصريح به في كلام الفاضلين حيث أثبتا الواسطة بينه وبين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يفسّر بما يقتضي نفيها؟</w:t>
      </w:r>
    </w:p>
    <w:p>
      <w:pPr>
        <w:pStyle w:val="BookText"/>
        <w:rPr/>
      </w:pPr>
      <w:r>
        <w:rPr>
          <w:rFonts w:ascii="Amiri" w:hAnsi="Amiri" w:eastAsia="Amiri" w:cs="Amiri"/>
          <w:color w:val="111111"/>
          <w:sz w:val="28"/>
          <w:sz w:val="28"/>
          <w:szCs w:val="28"/>
          <w:rtl w:val="true"/>
          <w:lang w:bidi="ar-SA"/>
        </w:rPr>
        <w:t>ولو تنزّلنا إلى تسليم التلازم بينهما في الواقع نظرا إلى ما يقال من أنّ الغليان الحاصل بالنار مقتض لتصاعد الأجزاء المائيّة بالبخار وهو موجب لتحقّق قوام ما له وإن قلّ ما يحصل بغير النار مستندا إلى سبب مجفّف للرطوبة فلا يخفى أنّ ذلك إنّما يقتضي المصير إلى الاكتفاء بالغليان ، لا حمل كلام الجماعة عليه مع انتفاء القرينة على إرادته بل مع التصريح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التقريب المذكور لإثبات التلازم من التعسّف ؛ فإنّ اقتضاء مطلق </w:t>
      </w:r>
    </w:p>
    <w:p>
      <w:pPr>
        <w:pStyle w:val="BookText"/>
        <w:rPr/>
      </w:pPr>
      <w:r>
        <w:rPr>
          <w:rFonts w:ascii="Amiri" w:hAnsi="Amiri" w:eastAsia="Amiri" w:cs="Amiri"/>
          <w:color w:val="111111"/>
          <w:sz w:val="28"/>
          <w:sz w:val="28"/>
          <w:szCs w:val="28"/>
          <w:rtl w:val="true"/>
          <w:lang w:bidi="ar-SA"/>
        </w:rPr>
        <w:t xml:space="preserve">التصاعد والتجفيف حصول القوام الذي يصدق عليه اسم الاشتداد في اللغة والعرف </w:t>
      </w:r>
      <w:r>
        <w:rPr>
          <w:rStyle w:val="FootnoteAnchor"/>
          <w:rtl w:val="true"/>
        </w:rPr>
        <w:footnoteReference w:id="1450"/>
      </w:r>
      <w:r>
        <w:rPr>
          <w:rFonts w:ascii="Amiri" w:hAnsi="Amiri" w:eastAsia="Amiri" w:cs="Amiri"/>
          <w:color w:val="111111"/>
          <w:sz w:val="28"/>
          <w:sz w:val="28"/>
          <w:szCs w:val="28"/>
          <w:rtl w:val="true"/>
          <w:lang w:bidi="ar-SA"/>
        </w:rPr>
        <w:t>المقدّم عليها ممّا يشهد البديهة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هذا التقريب لاقتضى حصول الاشتداد قبل الغليان في كثير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تصاعد البخار المقتضي لذهاب الأجزاء المائيّة يحصل بالنار قبل الغليان؟ فلو كان بمجرّده موجبا لحصول الاشتداد لتقدّم حينئذ على الغليان وما أظنّ القائل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لوحظ اعتبار التصاعد فيما بعد الغليان ؛ لاقتضائه حصول القوام ، بخلاف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مناط الحكم هو </w:t>
      </w:r>
      <w:r>
        <w:rPr>
          <w:rStyle w:val="FootnoteAnchor"/>
          <w:rtl w:val="true"/>
        </w:rPr>
        <w:footnoteReference w:id="1451"/>
      </w:r>
      <w:r>
        <w:rPr>
          <w:rFonts w:ascii="Amiri" w:hAnsi="Amiri" w:eastAsia="Amiri" w:cs="Amiri"/>
          <w:color w:val="111111"/>
          <w:sz w:val="28"/>
          <w:sz w:val="28"/>
          <w:szCs w:val="28"/>
          <w:rtl w:val="true"/>
          <w:lang w:bidi="ar-SA"/>
        </w:rPr>
        <w:t>نقصان المائيّة فهو حاصل في الموضعين فلا يعقل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المناط هو حصول القوام فادّعاء تحقّقه بمجرّد الغليان ممّا يكذّبه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الأصحاب لم ينقلوا على هذا الحكم من أصله دليلا وإنّما ذكره القائلون به على طريق الدعوى المجرّدة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توقّف فيه جمع من المتأخّرين حتّى الشهيد رحمه‌اللّه مع ما علم من حاله </w:t>
      </w:r>
      <w:r>
        <w:rPr>
          <w:rStyle w:val="FootnoteAnchor"/>
          <w:rtl w:val="true"/>
        </w:rPr>
        <w:footnoteReference w:id="1452"/>
      </w:r>
      <w:r>
        <w:rPr>
          <w:rFonts w:ascii="Amiri" w:hAnsi="Amiri" w:eastAsia="Amiri" w:cs="Amiri"/>
          <w:color w:val="111111"/>
          <w:sz w:val="28"/>
          <w:sz w:val="28"/>
          <w:szCs w:val="28"/>
          <w:rtl w:val="true"/>
          <w:lang w:bidi="ar-SA"/>
        </w:rPr>
        <w:t>في وفاق المشهور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الحكم بالتنجيس عن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نقف لغيرهم على قول بالنجاسة ولا نصّ على نجاسة غير المسكر وهو منتف هنا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881" w:name="pg8731_77485"/>
    </w:p>
    <w:p>
      <w:pPr>
        <w:pStyle w:val="BookText"/>
        <w:rPr/>
      </w:pPr>
      <w:bookmarkEnd w:id="881"/>
      <w:r>
        <w:rPr>
          <w:rFonts w:ascii="Amiri" w:hAnsi="Amiri" w:eastAsia="Amiri" w:cs="Amiri"/>
          <w:color w:val="111111"/>
          <w:sz w:val="28"/>
          <w:sz w:val="28"/>
          <w:szCs w:val="28"/>
          <w:rtl w:val="true"/>
          <w:lang w:bidi="ar-SA"/>
        </w:rPr>
        <w:t xml:space="preserve">وقال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نصّ يقتضي تنجيسه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دلّ على نجاسة المسكر لكنّه لا يسكر بمجرّد غليانه واشتداده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والدي رحمه‌اللّه في المسالك أنّ نجاسته من المشاهير بغير أصل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3140501_653776707"/>
      <w:bookmarkStart w:id="883" w:name="_Toc325"/>
      <w:bookmarkEnd w:id="882"/>
      <w:r>
        <w:rPr>
          <w:rtl w:val="true"/>
        </w:rPr>
        <w:t xml:space="preserve">مسألة </w:t>
      </w:r>
      <w:r>
        <w:rPr>
          <w:rtl w:val="true"/>
        </w:rPr>
        <w:t>[</w:t>
      </w:r>
      <w:r>
        <w:rPr/>
        <w:t>9</w:t>
      </w:r>
      <w:r>
        <w:rPr>
          <w:rtl w:val="true"/>
        </w:rPr>
        <w:t>] :</w:t>
      </w:r>
      <w:bookmarkEnd w:id="883"/>
    </w:p>
    <w:p>
      <w:pPr>
        <w:pStyle w:val="Heading6"/>
        <w:numPr>
          <w:ilvl w:val="5"/>
          <w:numId w:val="1"/>
        </w:numPr>
        <w:rPr/>
      </w:pPr>
      <w:bookmarkStart w:id="884" w:name="__RefHeading___Toc3140503_653776707"/>
      <w:bookmarkStart w:id="885" w:name="_Toc326"/>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والكلب والخنزير نجسان عينا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 نجس العين ، نجس اللعاب ، نجس السؤر ،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الخنزير نجس بلا خلاف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الكلب أو الخنزير ثوبا أو جسدا وهو رطب غسل موضع الملاقاة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علمائنا أجمع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الدالّة على نجاستهما في الجملة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عن محمّد بن مسلم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الكلب يصيب شيئا من جسد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المكان الذي أصابه </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يصيب ثوبه خنزير فلم يغسله ، فذكر وهو في صلاته كيف يصنع به؟ قال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دخل في صلاته فليمض ، وإن لم يكن دخل في صلاته فلينضح </w:t>
      </w:r>
    </w:p>
    <w:p>
      <w:pPr>
        <w:pStyle w:val="BookText"/>
        <w:rPr/>
      </w:pPr>
      <w:r>
        <w:rPr>
          <w:rFonts w:ascii="Amiri" w:hAnsi="Amiri" w:eastAsia="Amiri" w:cs="Amiri"/>
          <w:color w:val="111111"/>
          <w:sz w:val="28"/>
          <w:sz w:val="28"/>
          <w:szCs w:val="28"/>
          <w:rtl w:val="true"/>
          <w:lang w:bidi="ar-SA"/>
        </w:rPr>
        <w:t xml:space="preserve">ما أصاب من ثوبه إلّا أن يكون فيه أثر فيغسله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خنزير شرب من إناء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سبع مرّات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ما إذا كانت الإصابة بغير رطوبة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الصحيح عن حريز عمّن أخبره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ثوبك كلب فإن كان يابسا فانضحه وإن كان رطبا فاغسله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الفضل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من الكلب رطوبة فاغسله وإن مسّه جافّا فاصبب عليه الماء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سعيد عن القاسم عن علي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الكلب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انضحه ، وإن كان رطبا فاغسله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بن يحيى عن معاوية بن شريح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عذافر أبا عبد اللّه عليه‌السلام وأنا عنده عن سؤر السنّور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بسبع؟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نجس ، لا واللّه إنّه نجس </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هذا الحديث في بحث السنّور مع حديث الفضل أبي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فضل الهرّة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الصحيح عن الحسين بن سعيد عن حمّاد عن حريز عن محمّد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الكلب يشرب من الإناء؟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الإناء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بخلاف هذه الأخبار روايات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الصحيح عن الحسين بن سعيد عن ابن سنان عن ابن مسكان عن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الوضوء ممّا ولغ الكلب فيه والسنّور أو شرب منه جمل أو دابّة أو غير ذلك أيتوضّأ منه أو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يجد غيره فينزّه عنه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ما إذا كان الماء بالغا مقدار الكرّ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له برواية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بفضل السنّور بأس أن يتوضّأ منه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تشرب سؤر الكلب إلّا أن يكون حوضا كبيرا يستقى منه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الصحيح عن ابن أبي عمير عن أبي زياد النهدي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جلد الخنزير يجعل دلوا يسقى به </w:t>
      </w:r>
      <w:bookmarkStart w:id="886" w:name="pg8731_77491"/>
    </w:p>
    <w:p>
      <w:pPr>
        <w:pStyle w:val="BookText"/>
        <w:rPr/>
      </w:pPr>
      <w:bookmarkEnd w:id="886"/>
      <w:r>
        <w:rPr>
          <w:rFonts w:ascii="IRNazanin" w:hAnsi="IRNazanin" w:eastAsia="IRNazanin"/>
          <w:color w:val="111111"/>
          <w:sz w:val="28"/>
          <w:sz w:val="28"/>
          <w:szCs w:val="28"/>
          <w:rtl w:val="true"/>
          <w:lang w:bidi="fa-IR"/>
        </w:rPr>
        <w:t xml:space="preserve">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قصد استعمال الماء في سقي الدوابّ وشبهه لا في نحو الوضوء والشرب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ذكره الشيخ في الموضعين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طريق الرواية الاولى ابن سنان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محمّد وهو 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أبو زياد النهدي وحاله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فمثل هاتين الروايتين لا يصلح لمعارضة تلك الأخبار الكثيرة المعتضدة باتّفاق الأصحاب كما علم</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3140505_653776707"/>
      <w:bookmarkStart w:id="888" w:name="_Toc327"/>
      <w:bookmarkEnd w:id="887"/>
      <w:r>
        <w:rPr>
          <w:rtl w:val="true"/>
        </w:rPr>
        <w:t xml:space="preserve">فروع </w:t>
      </w:r>
      <w:r>
        <w:rPr>
          <w:rtl w:val="true"/>
        </w:rPr>
        <w:t>:</w:t>
      </w:r>
      <w:bookmarkEnd w:id="888"/>
    </w:p>
    <w:p>
      <w:pPr>
        <w:pStyle w:val="Heading6"/>
        <w:numPr>
          <w:ilvl w:val="5"/>
          <w:numId w:val="1"/>
        </w:numPr>
        <w:rPr/>
      </w:pPr>
      <w:bookmarkStart w:id="889" w:name="__RefHeading___Toc3140507_653776707"/>
      <w:bookmarkStart w:id="890" w:name="_Toc328"/>
      <w:bookmarkEnd w:id="889"/>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890"/>
    </w:p>
    <w:p>
      <w:pPr>
        <w:pStyle w:val="BookText"/>
        <w:rPr/>
      </w:pPr>
      <w:r>
        <w:rPr>
          <w:rFonts w:ascii="Amiri" w:hAnsi="Amiri" w:eastAsia="Amiri" w:cs="Amiri"/>
          <w:color w:val="111111"/>
          <w:sz w:val="28"/>
          <w:sz w:val="28"/>
          <w:szCs w:val="28"/>
          <w:rtl w:val="true"/>
          <w:lang w:bidi="ar-SA"/>
        </w:rPr>
        <w:t xml:space="preserve">لا نعلم خلافا بين علمائنا من سوى المرتضى في عموم الحكم بالتنجيس هنا لجميع أجزاء الحيوانين </w:t>
      </w:r>
      <w:r>
        <w:rPr>
          <w:rStyle w:val="FootnoteAnchor"/>
          <w:rtl w:val="true"/>
        </w:rPr>
        <w:footnoteReference w:id="1471"/>
      </w:r>
      <w:r>
        <w:rPr>
          <w:rFonts w:ascii="Amiri" w:hAnsi="Amiri" w:eastAsia="Amiri" w:cs="Amiri"/>
          <w:color w:val="111111"/>
          <w:sz w:val="28"/>
          <w:sz w:val="28"/>
          <w:szCs w:val="28"/>
          <w:rtl w:val="true"/>
          <w:lang w:bidi="ar-SA"/>
        </w:rPr>
        <w:t>سواء كانت ممّا تحلّه الحياة أم لا؟</w:t>
      </w:r>
    </w:p>
    <w:p>
      <w:pPr>
        <w:pStyle w:val="BookText"/>
        <w:rPr/>
      </w:pPr>
      <w:r>
        <w:rPr>
          <w:rFonts w:ascii="Amiri" w:hAnsi="Amiri" w:eastAsia="Amiri" w:cs="Amiri"/>
          <w:color w:val="111111"/>
          <w:sz w:val="28"/>
          <w:sz w:val="28"/>
          <w:szCs w:val="28"/>
          <w:rtl w:val="true"/>
          <w:lang w:bidi="ar-SA"/>
        </w:rPr>
        <w:t xml:space="preserve">وأمّا السيّد فيعزى إليه القول بطهارة ما لا تحلّه الحياة منهما بل من مطلق نجس العين كالعظم والشعر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للأوّل بأنّ الحكم معلّق بالمسمّى ، والأجزاء التي لا تحلّها الحياة داخلة فيه ، مع أنّ إطلاق الأمر بالغسل عند الإصابة برطوبة من غير استفصال عن الأجزاء التي حصلت الإصابة بها قرينة على عموم الحكم للجميع ، خصوصا مع كون الغالب في الإصابة أن تقع بالشعر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الاسم غير صادق على ما ليس محلّا للحياة فلا يتناوله دليل التنجيس كعظم الميتة من الطاهر وشعرها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هذه الحجّة ظاهر ؛ فإنّ المرجع في صدق الاسم إلى اللغة والعرف ، وهما متّفقان على عدم اعتبار التفرقة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بعظم الميتة وشعرها لا وجه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أنّ الشيخ روى عن زرارة بإسناد يعدّ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الحبل يكون من شعر الخنزير يسقى به الماء من البئر أيتوضّأ من ذلك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الحسين بن زرارة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فشعر الخنزير يعمل به حبلا يستقى به من البئر الذي يشرب منها ويتوضّأ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في هذين الخبرين إشعار بطهارة الشعر من الخنزير من حيث إطلاق نفي البأس عن استعماله في استقاء الماء مع بعد الانفكاك من الملاقاة بالرطوبة لليد أو للماء أو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الشيخ لتأويل الخبر الأوّل باعتبار دلالته على عدم تأثير ملاقاة الشعر للبئر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محمول على أنّه لم إذا لم يصل الشعر إلى الماء ؛ لأنّه لو وصل إليه لكان مفسدا له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ذكر الحديث الثاني في المنتهى وتكلّم عليه بأنّ في طريقه ابن </w:t>
      </w:r>
    </w:p>
    <w:p>
      <w:pPr>
        <w:pStyle w:val="BookText"/>
        <w:rPr/>
      </w:pPr>
      <w:r>
        <w:rPr>
          <w:rFonts w:ascii="Amiri" w:hAnsi="Amiri" w:eastAsia="Amiri" w:cs="Amiri"/>
          <w:color w:val="111111"/>
          <w:sz w:val="28"/>
          <w:sz w:val="28"/>
          <w:szCs w:val="28"/>
          <w:rtl w:val="true"/>
          <w:lang w:bidi="ar-SA"/>
        </w:rPr>
        <w:t>فضّال ، وفيه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لا يلزم من استعماله في ما ذكر ملامسته بالرطوبة وإن كان الأغلب ذلك فيحمل على النادر ؛ جمعا بين الأدلّة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عدم صحّة السند صحيح إلّا أنّ في تعليله نظرا ، من حيث اشتمال الطريق على جماعة ليست بصفة رجال الصحيح ، وابن فضّال أحدها فلا وجه لذكره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الطعن في هذا السند غير مجد بعد كون المتن مرويّا بالطريق الآخر الصحيح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عدم الملاقاة برطوبة فمحتمل لكن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وملاحظة الجمع بين الأدلّة إن كانت باعتبار الخبر السابق الدالّ على وجوب غسل الثوب </w:t>
      </w:r>
      <w:r>
        <w:rPr>
          <w:rStyle w:val="FootnoteAnchor"/>
          <w:rtl w:val="true"/>
        </w:rPr>
        <w:footnoteReference w:id="1477"/>
      </w:r>
      <w:r>
        <w:rPr>
          <w:rFonts w:ascii="Amiri" w:hAnsi="Amiri" w:eastAsia="Amiri" w:cs="Amiri"/>
          <w:color w:val="111111"/>
          <w:sz w:val="28"/>
          <w:sz w:val="28"/>
          <w:szCs w:val="28"/>
          <w:rtl w:val="true"/>
          <w:lang w:bidi="ar-SA"/>
        </w:rPr>
        <w:t xml:space="preserve">إذا أصابه خنزير وحصل فيه تأثيره </w:t>
      </w:r>
      <w:r>
        <w:rPr>
          <w:rStyle w:val="FootnoteAnchor"/>
          <w:rtl w:val="true"/>
        </w:rPr>
        <w:footnoteReference w:id="1478"/>
      </w:r>
      <w:r>
        <w:rPr>
          <w:rFonts w:ascii="Amiri" w:hAnsi="Amiri" w:eastAsia="Amiri" w:cs="Amiri"/>
          <w:color w:val="111111"/>
          <w:sz w:val="28"/>
          <w:sz w:val="28"/>
          <w:szCs w:val="28"/>
          <w:rtl w:val="true"/>
          <w:lang w:bidi="ar-SA"/>
        </w:rPr>
        <w:t xml:space="preserve">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ذلك الخبر على نجاسة الشعر ليست بأظهر من دلالة هاتين الروايتين على طهارته فيشكل جعل التأويل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باعتبار ما رواه الشيخ في الصحيح عن الحسين بن سعيد عن ابن أبي عمير عن هشام بن سالم عن سليمان الإسكيف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شعر الخنزير نحرز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ولكن يغسل يده إذا أراد أن يصلّي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الحسين بن سعيد عن أيّوب بن نوح عن عبد اللّه بن </w:t>
      </w:r>
      <w:bookmarkStart w:id="891" w:name="pg8731_77497"/>
    </w:p>
    <w:p>
      <w:pPr>
        <w:pStyle w:val="BookText"/>
        <w:rPr/>
      </w:pPr>
      <w:bookmarkEnd w:id="891"/>
      <w:r>
        <w:rPr>
          <w:rFonts w:ascii="Amiri" w:hAnsi="Amiri" w:eastAsia="Amiri" w:cs="Amiri"/>
          <w:color w:val="111111"/>
          <w:sz w:val="28"/>
          <w:sz w:val="28"/>
          <w:szCs w:val="28"/>
          <w:rtl w:val="true"/>
          <w:lang w:bidi="ar-SA"/>
        </w:rPr>
        <w:t xml:space="preserve">المغيرة عن برد الإسكاف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نعمل بشعر الخنزير فربّما نسي الرجل فصلّى وفي يده شي‌ء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يصلّي وفي يده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فاغسلوه فما له رسم فلا تعملوا به وما لم يكن له رسم فاعملوا به واغسلوا أيديكم منه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مواليك يعمل الحمائل بشعر الخنزير؟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فليغسل يده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برد الإسكاف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شعر الخنزير يعمل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فاغسله بالماء حتّى يذهب ثلث الماء ويبقى ثلثاه ، ثمّ اجعله في فخارة جديدة ليلة باردة فإن جمد فلا تعمل به وإن لم يجمد ليس عليه دسم فاعمل به واغسل يدك إذا مسسته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اغسل اليد كما تمسّ الكلب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طريق الروايات ضعفا ، ولعلّ انضمام عمل أكثر الأصحاب بمضمونها مضافا إلى الخبر السابق يقرّب حمل تينك الروايتين </w:t>
      </w:r>
      <w:r>
        <w:rPr>
          <w:rStyle w:val="FootnoteAnchor"/>
          <w:rtl w:val="true"/>
        </w:rPr>
        <w:footnoteReference w:id="1483"/>
      </w:r>
      <w:r>
        <w:rPr>
          <w:rFonts w:ascii="Amiri" w:hAnsi="Amiri" w:eastAsia="Amiri" w:cs="Amiri"/>
          <w:color w:val="111111"/>
          <w:sz w:val="28"/>
          <w:sz w:val="28"/>
          <w:szCs w:val="28"/>
          <w:rtl w:val="true"/>
          <w:lang w:bidi="ar-SA"/>
        </w:rPr>
        <w:t>على ما ذكره العلّامة</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3140509_653776707"/>
      <w:bookmarkStart w:id="893" w:name="_Toc329"/>
      <w:bookmarkEnd w:id="892"/>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89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الكلب والخنزير نجس في الأقوى لنجاسة </w:t>
      </w:r>
      <w:bookmarkStart w:id="894" w:name="pg8731_77499"/>
    </w:p>
    <w:p>
      <w:pPr>
        <w:pStyle w:val="BookText"/>
        <w:rPr/>
      </w:pPr>
      <w:bookmarkEnd w:id="894"/>
      <w:r>
        <w:rPr>
          <w:rFonts w:ascii="Amiri" w:hAnsi="Amiri" w:eastAsia="Amiri" w:cs="Amiri"/>
          <w:color w:val="111111"/>
          <w:sz w:val="28"/>
          <w:sz w:val="28"/>
          <w:szCs w:val="28"/>
          <w:rtl w:val="true"/>
          <w:lang w:bidi="ar-SA"/>
        </w:rPr>
        <w:t xml:space="preserve">أصليه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 والدي رحمه‌اللّه في غير موضع من كتبه حتّى أنّه صرّح بعدم الفرق بين موافقته لأحدهما في الاسم ومباينته لهما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العلّامة الحكم في صورة المباينة في النهاية والمنتهى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لأنّه بعضهما وإن لم يقع عليه اسم أحدهما ، على إشكال ؛ منشأه الأصالة السالمة عن معارضة النصّ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المتولّد منهما يحتمل نجاسته مطلقا واعتبار اسم أحدهما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قوّة وجه الإشكال ، فالتوقّف في محلّه ، غير أنّ الخطب في مثله سهل ؛ إذ البحث فيه لمجرّد الفرض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5" w:name="__RefHeading___Toc3140511_653776707"/>
      <w:bookmarkStart w:id="896" w:name="_Toc330"/>
      <w:bookmarkEnd w:id="895"/>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896"/>
    </w:p>
    <w:p>
      <w:pPr>
        <w:pStyle w:val="BookText"/>
        <w:rPr/>
      </w:pPr>
      <w:r>
        <w:rPr>
          <w:rFonts w:ascii="Amiri" w:hAnsi="Amiri" w:eastAsia="Amiri" w:cs="Amiri"/>
          <w:color w:val="111111"/>
          <w:sz w:val="28"/>
          <w:sz w:val="28"/>
          <w:szCs w:val="28"/>
          <w:rtl w:val="true"/>
          <w:lang w:bidi="ar-SA"/>
        </w:rPr>
        <w:t>ما يتولّد بين أحدهما وبين الحيوان الطاهر يتبع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كثير من الأصحاب ولم ينقلوا فيه خلافا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لاح من عبارتي النهاية والمنتهى عدم وجود الخلاف </w:t>
      </w:r>
      <w:r>
        <w:rPr>
          <w:rStyle w:val="FootnoteAnchor"/>
          <w:rtl w:val="true"/>
        </w:rPr>
        <w:footnoteReference w:id="1490"/>
      </w:r>
      <w:r>
        <w:rPr>
          <w:rFonts w:ascii="Amiri" w:hAnsi="Amiri" w:eastAsia="Amiri" w:cs="Amiri"/>
          <w:color w:val="111111"/>
          <w:sz w:val="28"/>
          <w:sz w:val="28"/>
          <w:szCs w:val="28"/>
          <w:rtl w:val="true"/>
          <w:lang w:bidi="ar-SA"/>
        </w:rPr>
        <w:t xml:space="preserve">حيث قال </w:t>
      </w:r>
      <w:bookmarkStart w:id="897" w:name="pg8731_77501"/>
    </w:p>
    <w:p>
      <w:pPr>
        <w:pStyle w:val="BookText"/>
        <w:rPr/>
      </w:pPr>
      <w:bookmarkEnd w:id="897"/>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فيه اعتبار الاسم ، وفي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اعتبار الاسم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بعض الأصحاب على عدم الفرق في الحكم بتبعيّته للاسم </w:t>
      </w:r>
      <w:r>
        <w:rPr>
          <w:rStyle w:val="FootnoteAnchor"/>
          <w:rtl w:val="true"/>
        </w:rPr>
        <w:footnoteReference w:id="1492"/>
      </w:r>
      <w:r>
        <w:rPr>
          <w:rFonts w:ascii="Amiri" w:hAnsi="Amiri" w:eastAsia="Amiri" w:cs="Amiri"/>
          <w:color w:val="111111"/>
          <w:sz w:val="28"/>
          <w:sz w:val="28"/>
          <w:szCs w:val="28"/>
          <w:rtl w:val="true"/>
          <w:lang w:bidi="ar-SA"/>
        </w:rPr>
        <w:t>بين كونه لأحد الطرفين ولغيرهما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يصدق عليه اسم حيوان معلوم الحكم فالأقوى فيه الطهارة وهو حسن</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3140513_653776707"/>
      <w:bookmarkStart w:id="899" w:name="_Toc331"/>
      <w:bookmarkEnd w:id="898"/>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899"/>
    </w:p>
    <w:p>
      <w:pPr>
        <w:pStyle w:val="BookText"/>
        <w:rPr/>
      </w:pPr>
      <w:r>
        <w:rPr>
          <w:rFonts w:ascii="Amiri" w:hAnsi="Amiri" w:eastAsia="Amiri" w:cs="Amiri"/>
          <w:color w:val="111111"/>
          <w:sz w:val="28"/>
          <w:sz w:val="28"/>
          <w:szCs w:val="28"/>
          <w:rtl w:val="true"/>
          <w:lang w:bidi="ar-SA"/>
        </w:rPr>
        <w:t>كلب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الأصحاب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في التذكرة إلى ابن إدريس المخالفة في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حمل اللفظ على الحقيقة والمجاز بغير قرينة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إشارة إلى ردّ حجّة ابن إدريس ؛ إذ الظاهر أنّ تمسّكه في ذلك بصدق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حقيقة في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الحقيقة والمجاز يتوقّف على وجود القرينة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في كلام العلّامة هاهنا اختلاف ، فقال في النهاية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الكلب حقيقة في المعهود ، مجاز في غيره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التذكرة موافق لهما كما رأيت</w:t>
      </w:r>
      <w:r>
        <w:rPr>
          <w:rFonts w:eastAsia="Amiri" w:cs="Amiri" w:ascii="Amiri" w:hAnsi="Amiri"/>
          <w:color w:val="111111"/>
          <w:sz w:val="28"/>
          <w:szCs w:val="28"/>
          <w:rtl w:val="true"/>
          <w:lang w:bidi="ar-SA"/>
        </w:rPr>
        <w:t xml:space="preserve">. </w:t>
      </w:r>
      <w:bookmarkStart w:id="900" w:name="pg8731_77502"/>
    </w:p>
    <w:p>
      <w:pPr>
        <w:pStyle w:val="BookText"/>
        <w:rPr/>
      </w:pPr>
      <w:bookmarkEnd w:id="900"/>
      <w:r>
        <w:rPr>
          <w:rFonts w:ascii="Amiri" w:hAnsi="Amiri" w:eastAsia="Amiri" w:cs="Amiri"/>
          <w:color w:val="111111"/>
          <w:sz w:val="28"/>
          <w:sz w:val="28"/>
          <w:szCs w:val="28"/>
          <w:rtl w:val="true"/>
          <w:lang w:bidi="ar-SA"/>
        </w:rPr>
        <w:t xml:space="preserve">وذكر في المنتهى أنّه مشترك بين النوعين بالاشتراك اللفظي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ردّ كلام ابن إدريس على التقدير الأوّل واضح ، وأمّا على الثاني فيحتاج إلى ضميمة دعوى وجود القرينة على إرادة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كذلك ؛ فإنّ قيام القرينة الحاليّة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جماعة من الأصحاب منهم الشهيد في الذكرى يوافق ما ذكره العلّامة في غير المنتهى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بعض المتأخّرين الوفاق لما ذكره في المنتهى</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3140515_653776707"/>
      <w:bookmarkStart w:id="902" w:name="_Toc332"/>
      <w:bookmarkEnd w:id="901"/>
      <w:r>
        <w:rPr>
          <w:rtl w:val="true"/>
        </w:rPr>
        <w:t xml:space="preserve">مسألة </w:t>
      </w:r>
      <w:r>
        <w:rPr>
          <w:rtl w:val="true"/>
        </w:rPr>
        <w:t>[</w:t>
      </w:r>
      <w:r>
        <w:rPr/>
        <w:t>10</w:t>
      </w:r>
      <w:r>
        <w:rPr>
          <w:rtl w:val="true"/>
        </w:rPr>
        <w:t>] :</w:t>
      </w:r>
      <w:bookmarkEnd w:id="902"/>
    </w:p>
    <w:p>
      <w:pPr>
        <w:pStyle w:val="Heading6"/>
        <w:numPr>
          <w:ilvl w:val="5"/>
          <w:numId w:val="1"/>
        </w:numPr>
        <w:rPr/>
      </w:pPr>
      <w:bookmarkStart w:id="903" w:name="__RefHeading___Toc3140517_653776707"/>
      <w:bookmarkStart w:id="904" w:name="_Toc333"/>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والكافر نجس في المشهور بين الأصحاب ، سواء كان أصليّا أم مرتدّا ، وسواء كان كتابيّا أو غير كتابيّ ، منتحلا للإسلام مع جحده لبعض ضروريّاته كالغلاة والخوارج وفي معناهم النواصب ، أو غير منتحل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جماعة من الأصحاب دعوى الإجماع على ذلك ، مع أنّ المحقّق وغيره أشاروا إلى نوع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قسمان ، يهود ونصارى ومن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الثاني فالأصحاب متّفقون على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فالشيخ قطع في كتبه بنجاستهم ، وكذا علم الهدى والأتباع وابنا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وللمفيد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النجاسة ، ذكره في أكثر كتبه ، والآخر الكراهيّة ، ذكره في الرسالة العزيّة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وعزى غير المحقّق إلى الشيخ في النهاية وابن الجنيد الخلاف في هذا المقام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فلأنّه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يدعو الإنسان أحدا من الكفّار إلى طعامه فيأكل معه ، فإن دعاه فليأمره بغسل يديه ثمّ يأكل معه إن شاء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الجنيد فإنّه قال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تجنّب من أكل ما صنعه أهل الكتاب من ذبائحهم وفي آنيتهم وكذلك ما صنع في أواني مستحلّي الميتة ومواكيلهم وما لم يتيقّن طهارة أوانيهم وأيديهم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نسبة الخلاف إلى الشيخ باعتبار العبارة المحكيّة نظر ؛ لأنّه قال قبلها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مواكلة الكفّار على اختلاف مللهم ، ولا استعمال أوانيهم إلّا بعد غسلها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طعام تولّاه بعض الكفّار بأيديهم وباشروه بنفوسهم لم يجز أكله ؛ لأنّهم أنجاس ينجس الطعام بمباشرتهم إيّاه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صريح في الحكم بنجاستهم فلا بدّ من حمل الكلام الآخر على خلاف ظاهره ؛ إذ من المستبعد جدّا الرجوع عن الحكم في هذه المسافة القصيرة وإبقائه مثبتا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المواكلة التي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النجاسة ، كأن يكون الطعام جامدا ، أو في أواني متعدّدة ، ويكون وجه الأمر بغسل يديه إرادة تنظيفهما من آثار القاذورات التي لا ينفكّ عنها الكافر في الغالب فمواكلته على هذه الحال بدون غسل يديه مظنّة حصول النفرة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المحقّق في نكت النهاية للكلام على هذه العبارة ، فذكر على </w:t>
      </w:r>
    </w:p>
    <w:p>
      <w:pPr>
        <w:pStyle w:val="BookText"/>
        <w:rPr/>
      </w:pPr>
      <w:r>
        <w:rPr>
          <w:rFonts w:ascii="Amiri" w:hAnsi="Amiri" w:eastAsia="Amiri" w:cs="Amiri"/>
          <w:color w:val="111111"/>
          <w:sz w:val="28"/>
          <w:sz w:val="28"/>
          <w:szCs w:val="28"/>
          <w:rtl w:val="true"/>
          <w:lang w:bidi="ar-SA"/>
        </w:rPr>
        <w:t>جهة السؤال أنّه ما الفائدة في الغسل ، واليد لا تطهر به؟</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لا يتورّعون عن كثير من النجاسات فإذا غسل يده فقد زالت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يحمل على حال الضرورة أو على مؤاكلة اليابس وغسل اليد ليزول الاستقذار النفساني الذي يعرض من ملاقاة النجاسات العينيّة وإن لم يفد طهارة اليد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مؤاكلة اليهودي والنصراني؟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مؤاكلة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فلا بأس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 بتوضّؤه هنا غسل اليد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صريح في أنّ كلام الشيخ محمول على خلاف ظاهره وأنّه ليس بمخالف لما حكم به أوّلا ، وأنّ الحامل له على ذكر هذه المسألة ورود مضمونها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ينبغي أن يذكر الشيخ في عداد من عدل عن المشهور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 ابن الجنيد فظاهرها القول بطهارة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بحث الأسآر 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 حكيناها هناك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تحرّر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من عدا أهل الكتاب ليست موضع خلاف بين الأصحاب معروف ، بل كلام المحقّق مصرّح بالوفاق كما رأيت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أهل الكتاب فابن الجنيد يرى طهارتهم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في أحد قوليه يوافقه على ذلك في اليهود والنصارى منهم على ما حكاه عنه المحقّق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وصل إلينا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لنجاسة من عدا أهل الكتاب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 وبقوله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واورد على الاحتجاج بالآية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مصدر ، فلا يصحّ وصف الجثّة به إلّا مع تقدير كلمة ذو ، ولا دلالة في الآية معه ؛ لجواز أن يكون الوجه في نسبتهم إلى النجس عدم انفكاكهم من النجاسات العرضيّة ؛ لأنّهم لا يتطهّرون ولا يغتسلون ، والمدّعى نجاسة ذواتهم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إفادة كلام أهل اللغة كون معنى النجس لغة هو المعهود شرعا ، وإنّما ذكر بعضهم أنّه المستقذر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المراد بالطهارة في إطلاقهم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التفسيرين لا دلالة له على النصّ المعهود في الشرع ، فيتوقّف إرادته منه على ثبوت الحقيقة الشرعيّة أو العرفيّة المعلوم وجودها في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الثبوت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التسليم ، فالآية مختصّة بمن صدق عليه عنوان المشرك ، والمدّعى أعمّ منه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في المنتهى عن الوجه الأوّل من الإيراد بأنّ المصادر يصحّ </w:t>
      </w:r>
    </w:p>
    <w:p>
      <w:pPr>
        <w:pStyle w:val="BookText"/>
        <w:rPr/>
      </w:pPr>
      <w:r>
        <w:rPr>
          <w:rFonts w:ascii="Amiri" w:hAnsi="Amiri" w:eastAsia="Amiri" w:cs="Amiri"/>
          <w:color w:val="111111"/>
          <w:sz w:val="28"/>
          <w:sz w:val="28"/>
          <w:szCs w:val="28"/>
          <w:rtl w:val="true"/>
          <w:lang w:bidi="ar-SA"/>
        </w:rPr>
        <w:t xml:space="preserve">الوصف بها إذا كثرت معانيها في الذات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بالمصدر لا ريب في صحّته لكنّه مبنيّ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قدّره بكلمة ذو وجعل الوصف بها مضافة إلى المصدر فحذف المضاف واقيم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 واردا على جهة المبالغة باعتبار تكثّر الفعل من الموصوف حتّى كأنّه تجسّم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أرجح من حيث كونه أبلغ ، وعليه تعويل المحقّقين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الثاني والثالث لا يظهر لهما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الاحتجاج بالآية الثانية فيرد عليه نحو ما تقدّم في بحث الدم والخمر من عدم ثبوت كون الرجس حقيقة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في المعتبر بما يقرب ممّا قلناه على التعلّق بهذه الآية فذكر أنّ الرجس </w:t>
      </w:r>
      <w:r>
        <w:rPr>
          <w:rStyle w:val="FootnoteAnchor"/>
          <w:rtl w:val="true"/>
        </w:rPr>
        <w:footnoteReference w:id="1508"/>
      </w:r>
      <w:r>
        <w:rPr>
          <w:rFonts w:ascii="Amiri" w:hAnsi="Amiri" w:eastAsia="Amiri" w:cs="Amiri"/>
          <w:color w:val="111111"/>
          <w:sz w:val="28"/>
          <w:sz w:val="28"/>
          <w:szCs w:val="28"/>
          <w:rtl w:val="true"/>
          <w:lang w:bidi="ar-SA"/>
        </w:rPr>
        <w:t>هو العذاب رجوعا إلى أهل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بأنّ حقيقة اللفظ تعطي معنى النجس فلا يستند إلى مفسّر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الرجس اسم لما يكره فهو يقع على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الجميع ؛ عملا بالإطلاق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هذا الجواب ظاهر ؛ فإنّ كون حقيقة اللفظ معطية لذلك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الرجس اسم لما يكره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ممنوع أيضا ؛ فإنّ كلام من وقفنا على كلامه من أهل اللغة خال منه والعرف لا يدلّ عليه فلا نعرف مأخذه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القذر ، والمأثم ، وكلّ ما استقذر من عمل ، </w:t>
      </w:r>
    </w:p>
    <w:p>
      <w:pPr>
        <w:pStyle w:val="BookText"/>
        <w:rPr/>
      </w:pPr>
      <w:r>
        <w:rPr>
          <w:rFonts w:ascii="Amiri" w:hAnsi="Amiri" w:eastAsia="Amiri" w:cs="Amiri"/>
          <w:color w:val="111111"/>
          <w:sz w:val="28"/>
          <w:sz w:val="28"/>
          <w:szCs w:val="28"/>
          <w:rtl w:val="true"/>
          <w:lang w:bidi="ar-SA"/>
        </w:rPr>
        <w:t xml:space="preserve">والعمل المؤدّي إلى العذاب والشكّ والعقاب والغضب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القذر ، وقد يعبّر به عن الحرام ، والفعل القبيح ، والعذاب ، واللعنة ، والكفر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الرِّجْسَ عَلَى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العقاب والغضب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يستفاد من هذه العبارات أنّه مشترك لفظيّ في المعاني المذكورة أو حقيقة في بعضها مجاز في البعض ، لا أنّه حقيقة في أمر مشترك بينها ليكون متواطيا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ولكنّهم لم يعدّوا النجس في جملة المعاني ، فاللفظ لا يفيده بأيّ وجه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لنجاسة أهل الكتاب أيضا بعموم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فظاهر بعد فرض دلالتها على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الاولى فلأنّ الشرك متحقّق في المجوس منهم ؛ لما قيل من أنّهم يقولون بإلهين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اليهود والنصارى بدليل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حكايته عن اليهود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المسيح ابن اللّه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وبخصوص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الشيخ عن عليّ بن جعفر </w:t>
      </w:r>
    </w:p>
    <w:p>
      <w:pPr>
        <w:pStyle w:val="BookText"/>
        <w:rPr/>
      </w:pPr>
      <w:r>
        <w:rPr>
          <w:rFonts w:ascii="Amiri" w:hAnsi="Amiri" w:eastAsia="Amiri" w:cs="Amiri"/>
          <w:color w:val="111111"/>
          <w:sz w:val="28"/>
          <w:sz w:val="28"/>
          <w:szCs w:val="28"/>
          <w:rtl w:val="true"/>
          <w:lang w:bidi="ar-SA"/>
        </w:rPr>
        <w:t xml:space="preserve">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فراش اليهودي والنصراني ينام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مسجده ولا يصافحه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اشترى ثوبا من السوق للبس لا يدري لمن كان؟ هل تصلح الصلاة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اشتراه من مسلم فليصلّ فيه وإن اشتراه من نصرانيّ فلا يصلّ فيه حتّى يغسله </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عليّ بن جعفر في الصحيح أيضا عن أبي الحسن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مواكلة المجوسيّ في قصعة واحدة ، وأرقد معه على فراش واحد واصافحه؟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عليّ بن جعفر أيضا عن أخيه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النصرانيّ يغتسل مع المسلم في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اليهوديّ والنصرانيّ يدخل يده في الماء أيتوضّأ منه للصلاة؟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يضطرّ إليه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في صدر هذه الرواية لا يخلو عن خفاء ، وكأنّ المراد به أنّ اجتماع </w:t>
      </w:r>
    </w:p>
    <w:p>
      <w:pPr>
        <w:pStyle w:val="BookText"/>
        <w:rPr/>
      </w:pPr>
      <w:r>
        <w:rPr>
          <w:rFonts w:ascii="Amiri" w:hAnsi="Amiri" w:eastAsia="Amiri" w:cs="Amiri"/>
          <w:color w:val="111111"/>
          <w:sz w:val="28"/>
          <w:sz w:val="28"/>
          <w:szCs w:val="28"/>
          <w:rtl w:val="true"/>
          <w:lang w:bidi="ar-SA"/>
        </w:rPr>
        <w:t xml:space="preserve">المسلم والنصراني في حال </w:t>
      </w:r>
      <w:r>
        <w:rPr>
          <w:rStyle w:val="FootnoteAnchor"/>
          <w:rtl w:val="true"/>
        </w:rPr>
        <w:footnoteReference w:id="1517"/>
      </w:r>
      <w:r>
        <w:rPr>
          <w:rFonts w:ascii="Amiri" w:hAnsi="Amiri" w:eastAsia="Amiri" w:cs="Amiri"/>
          <w:color w:val="111111"/>
          <w:sz w:val="28"/>
          <w:sz w:val="28"/>
          <w:szCs w:val="28"/>
          <w:rtl w:val="true"/>
          <w:lang w:bidi="ar-SA"/>
        </w:rPr>
        <w:t>الاغتسال موجب لإصابة ما يتقاطر عن بدن النصراني لبدن المسلم فينجّسه ، ولازم ذلك عدم صحّة الغسل بماء الحمام حينئذ ، وتعيّن الاغتسال بغيره ، وأمّا إذا اغتسلا منفردين فليس بذلك بأس ، ولكن مع تقدّم مباشرة النصراني للحوض بغسل المسلم الحوض من أثر تلك المباشرة ، ثمّ يغتسل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الحكم مفروض في حوض لا يبلغ حدّ الكثير ويكون المادّة فيه منقطعة حال مباشرة النصراني له وتكون للمسلم سبيل إلى إجرائها ليتصوّر إمكان غسل الحوض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مع كثرة الماء واتّصال المادّة به لا وجه للحكم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نجاسة ظاهر الحوض بما يتقاطر عن بدن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بدّ أن يراد من الاغتسال ما يكون بالأخذ من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كونه بالنزول إلى الماء لا سبيل إلى النجاسة مع الكثرة أو اتّصال المادّة ، ولا معنى لغسل الحوض مع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بذلك أيضا ، وإلّا لأتى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استثناؤه لحال الاضطرار في الحكم بالمنع من الوضوء ممّا يدخل اليهودي أو النصراني يده فيه كما وقع في عجز الرواية فربّما كان فيه دلالة على الطهارة وأنّ المنع محمول على الاستحباب ، فلا يتمّ الاحتجاج به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في المعتبر على طريق السؤال عن وجه الاحتجاج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بأنّه لعلّ المراد بالوضوء التحسين لا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المنع منه للتحسين المنع من رفع الحدث بل أولى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الجواب من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w:t>
      </w:r>
      <w:r>
        <w:rPr>
          <w:rStyle w:val="FootnoteAnchor"/>
          <w:rtl w:val="true"/>
        </w:rPr>
        <w:footnoteReference w:id="1519"/>
      </w:r>
      <w:r>
        <w:rPr>
          <w:rFonts w:ascii="Amiri" w:hAnsi="Amiri" w:eastAsia="Amiri" w:cs="Amiri"/>
          <w:color w:val="111111"/>
          <w:sz w:val="28"/>
          <w:sz w:val="28"/>
          <w:szCs w:val="28"/>
          <w:rtl w:val="true"/>
          <w:lang w:bidi="ar-SA"/>
        </w:rPr>
        <w:t>حال الضرورة إشارة إلى تسويغ استعماله في غير الطهارة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الصدوق في الموثّق عن سعيد الأعرج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عليه‌السلام عن سؤر اليهوديّ والنصرانيّ أيؤكل أو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والشيخ في الحسن عن سعيد عنه عليه‌السلام لكن بإسقاط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أيؤكل أو يشرب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صافح مجوسيّا؟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يده ولا يتوضّأ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أبي بصير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مصافحة المسلم لليهودي والنصراني؟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الثياب فإن صافحك بيده فاغسل يدك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القول بطهارة أهل الكتاب الأصل ، وظاهر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w:t>
      </w:r>
    </w:p>
    <w:p>
      <w:pPr>
        <w:pStyle w:val="BookText"/>
        <w:rPr/>
      </w:pPr>
      <w:r>
        <w:rPr>
          <w:rFonts w:ascii="Amiri" w:hAnsi="Amiri" w:eastAsia="Amiri" w:cs="Amiri"/>
          <w:color w:val="111111"/>
          <w:sz w:val="28"/>
          <w:sz w:val="28"/>
          <w:szCs w:val="28"/>
          <w:rtl w:val="true"/>
          <w:lang w:bidi="ar-SA"/>
        </w:rPr>
        <w:t xml:space="preserve">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فإنّ العرف قاض في مثله بالعموم ، والاعتبار يرشد إليه بنحو التقريب الذي ذكرناه في بحث المفرد المعرّف باللام من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عمومه فمن البيّن أنّ الغالب في الطعام المصنوع المباشرة بالأيدي مع قبوله الانفعال من حيث الرطوبة ، وإثبات التحليل حينئذ لا يجامع الحكم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الأخبار الكثيرة كصحيحة إبراهيم بن أبي محمود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أو القصّار يكون يهوديّا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أنّه يبول ولا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ولا تتوضّأ ولا تغتسل من جنابة؟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بغسل يديها </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جابر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بين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 عليه‌السلام ما تقول في طعام أهل الكتاب؟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ثمّ سكت هنيئة ثمّ 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تأكله ولا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ولكن تتركه تتنزّه عنه إنّ في آنيتهم </w:t>
      </w:r>
    </w:p>
    <w:p>
      <w:pPr>
        <w:pStyle w:val="BookText"/>
        <w:rPr/>
      </w:pPr>
      <w:r>
        <w:rPr>
          <w:rFonts w:ascii="Amiri" w:hAnsi="Amiri" w:eastAsia="Amiri" w:cs="Amiri"/>
          <w:color w:val="111111"/>
          <w:sz w:val="28"/>
          <w:sz w:val="28"/>
          <w:szCs w:val="28"/>
          <w:rtl w:val="true"/>
          <w:lang w:bidi="ar-SA"/>
        </w:rPr>
        <w:t xml:space="preserve">الخمر ولحم الخنزير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والدي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النهي في هذه الرواية بمباشرتهم للنجاسات يدلّ على عدم نجاسة ذواتهم ؛ إذ لو كانت نجسة لم يحسن التعليل بالنجاسة العرضيّة التي قد يتّفق وقد لا يتّفق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العيص بن القاسم وطريقها يعدّ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مؤاكلة اليهوديّ والنصرانيّ؟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مؤاكلة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فلا بأس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الرواية التي سبق نقلها في كلام المحقّق مستشهدا بها لما ذكره الشيخ في النهاية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الكاهلي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وأنا عنده عن قوم مسلمين حضرهم رجل مجوسيّ أيدعونه إلى طعامهم؟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أدعوه ولا اواكله فإنّي لأكره أن احرّم عليكم شيئا تصنعونه في بلادكم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زكريّا بن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الكتاب وإنّي أسلمت وبقي أهلي كلّهم على النصرانيّة </w:t>
      </w:r>
    </w:p>
    <w:p>
      <w:pPr>
        <w:pStyle w:val="BookText"/>
        <w:rPr/>
      </w:pPr>
      <w:r>
        <w:rPr>
          <w:rFonts w:ascii="Amiri" w:hAnsi="Amiri" w:eastAsia="Amiri" w:cs="Amiri"/>
          <w:color w:val="111111"/>
          <w:sz w:val="28"/>
          <w:sz w:val="28"/>
          <w:szCs w:val="28"/>
          <w:rtl w:val="true"/>
          <w:lang w:bidi="ar-SA"/>
        </w:rPr>
        <w:t xml:space="preserve">وأنا معهم في بيت واحد لم افارقهم فآكل من طعامهم؟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 الخنزير؟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معهم واشرب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عليه‌السلام وقد سأله عن اليهودي والنصراني يدخل يده في الماء أيتوضّأ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يضطرّ إليه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في حجّة القول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القول بالطهارة أقرب لما في التأويل المذكور هناك لموضع الدلالة فيها على الطهارة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هل يتوضّأ من كوز أو إناء غيره إذا شرب غيره على أنّه 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الماء الذي يشرب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هذا فاعلم أنّ للنظر مجالا في كلتا حجّتي نجاسة أهل الكتاب وطهارتهم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حجّة النجاسة فلأنّه يرد على الاحتجاج فيها بالآيتين ما قلناه في حجّة نجاسة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التمسّك بالروايات التي ذكرت أنّ أكثرها أو كلّها لا تصريح فيها بنجاسة ذاتهم كما هو المدّعى ، بل محتملة لإرادة النجاسة العرضيّة باعتبار انهماكهم فيها فربّما حصل العلم العادي بعدم انفكاكهم من آثارها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وبتقدير كونها ظاهرة في نجاسة الذات في الجملة فهي معارضة بروايات </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ممكن من الجانبين فيحتاج ترجيح جعله في خصوص أحدهما إلى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والدي رحمه‌اللّه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روايات الطهارة أوضح دلالة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إذ أكثر أخبار النجاسة يلوح منها إرادة الكراهة فإنّ النهي عن المصافحة والاجتماع على الفراش الواحد لا بدّ من حمله على الكراهة إذ لا خلاف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بغسل اليد من المصافحة مع كون الغالب انتفاء الرطوبة محتاج إلى الحمل على 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يوجب ضعف دلالتها فيقرب فيها ارتكاب التأويل وذلك بحمل نواهيها على الكراهة وأوامرها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الطهارة فيرد على التعلّق فيها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الطعام إن كان بحسب الظاهر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الأخبار ناطقة بتخصيصه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الصدوق عن هشام بن سالم في الصحيح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والحمّص وغير ذلك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الكليني في الموثّق عن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طعام أهل الذمّة ما يحلّ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الحبوب والبقول </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 يعدّ في الصحيح عن قتيبة الأعشى عن أبي عبد اللّه عليه‌السلام وقد ذكر له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وَطَعامُ الَّذِينَ أُوتُوا الْكِتابَ 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وأشباهها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هذا الحديث الشيخ في الاستبصار أيضا بطريق صحيح عن قتيبة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بطريق آخر عن قتيبة عنه عليه‌السلام وقد ذكرت له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وما أشبهها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المتأخّرين أنّ في تخصيص الآية بالحبوب وشبهها إشكالا حاصله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الحبوب ونحوها داخلة في عموم الطيّبات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وعطف الخاص على العام إنّما يجوز مع وجود نكتة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نكتة هنا بعد التخصيص يصحّ من أجلها الإخراج والعطف؟ </w:t>
      </w:r>
    </w:p>
    <w:p>
      <w:pPr>
        <w:pStyle w:val="BookText"/>
        <w:rPr/>
      </w:pPr>
      <w:r>
        <w:rPr>
          <w:rFonts w:ascii="Amiri" w:hAnsi="Amiri" w:eastAsia="Amiri" w:cs="Amiri"/>
          <w:color w:val="111111"/>
          <w:sz w:val="28"/>
          <w:sz w:val="28"/>
          <w:szCs w:val="28"/>
          <w:rtl w:val="true"/>
          <w:lang w:bidi="ar-SA"/>
        </w:rPr>
        <w:t>وأمّا إذا أبقي الطعام على عمومه فإنّ النكتة تكون حينئذ ظاهرة من حيث إنّ تعليق التحليل بالطيّبات يؤذن بأنّ طعام أهل الكتاب ليس محلّلا على الإطلاق ؛ إذ المانع منه لا ينفكّ من ملاقاة النجاسات غالبا أو من مخالطة بعض المحرّمات فيحسن لذلك إفراده بالذكر وبيان الرخصة في تحليله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مورد هذا الإشكال بالعجز عن جوابه وترجّى من اللّه سبحانه أن يفتح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الجواب عنه سهلا بعد ثبوت كون المراد من الآية هو الخصوص بدلالة النصوص ؛ فإنّ وجود النكتة على تقدير إبقاء الآية على عمومها من جهة احتمال عدم صدق وصف الطيّب على المائع للاعتبار الذي ذكره ينقدح بملاحظته وجود نحوه على تقدير التخصيص ؛ فإنّ الاحتمال قائم في الحبوب وشبهها ، وذلك لأنّ المباشرة بأيديهم والمزاولة في وقت التصفية وغيرها لا يؤمن معها ملاقاة ما يوجب التنجيس أو يقتضي الاستخباث ، فبيّن سبحانه أنّ قيام مثل هذا الاحتمال لا يخرج عن وصف الطيّب الذي علّق التحليل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الكلام وجها آخر وهو أن يكون الحكم بحلّ طعام أهل الكتاب للمسلمين وحلّ طعام المسلمين لأهل الكتاب كناية عن عدم إرادة قطع الوصلة بين الفريقين رأسا ، كما قد يشعر به المباينة الدينية ، وكون مساق جملة من الآيات السابقة على هذه الآية لبيان ما حرّم على المسلمين والكفّار يستحلّونه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في جملة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فغير مستبعد بعد هذا كلّه أن يقع في الوهم انقطاع الوصلة بين المسلمين والكفّار بكلّ وجه فذكر سبحانه ما يزيل الوهم وسوّغ للمسلمين إعطاء أهل الكتاب طعامهم بالبيع ونحوه وأباح لهم أخذ طعام أهل الكتاب كذلك وجعله دليلا على عدم التكليف بالتقاطع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لا بدّ من ارتكاب نحو هذا التقريب في ذكر حلّ طعام المسلمين لأهل الكتاب فيقرب اعتباره في الطرف الآخر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التمسّك بالروايات في أصل الحجّة أنّه وإن كان أكثرها واضح الدلالة والأصل معها عضد قويّ إلّا أنّ موافقتها لأهل الخلاف يتطرّق به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بعضها إشعار بذلك كقوله في رواية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أدعوه ولا اواكله وإنّي لأكره أن احرّم عليكم شيئا تصنعونه في بلادكم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مصير جمهور الأصحاب إلى القول بالتنجيس مقتض للاستيحاش في الذهاب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ذكرنا أنّ جماعة ادّعوا الإجماع على عموم الحكم بالتنجيس لجميع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العلّامة في المنتهى ظاهر فيه أيضا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وكأنّهم لم يعتبروا الخلاف المحكيّ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المفيد فلأنّه موافق في أحد قوليه </w:t>
      </w:r>
      <w:r>
        <w:rPr>
          <w:rStyle w:val="FootnoteAnchor"/>
          <w:rtl w:val="true"/>
        </w:rPr>
        <w:footnoteReference w:id="1547"/>
      </w:r>
      <w:r>
        <w:rPr>
          <w:rFonts w:ascii="Amiri" w:hAnsi="Amiri" w:eastAsia="Amiri" w:cs="Amiri"/>
          <w:color w:val="111111"/>
          <w:sz w:val="28"/>
          <w:sz w:val="28"/>
          <w:szCs w:val="28"/>
          <w:rtl w:val="true"/>
          <w:lang w:bidi="ar-SA"/>
        </w:rPr>
        <w:t>، ولعلّهم اطّلعوا على أنّه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الجنيد فلأنّ </w:t>
      </w:r>
      <w:bookmarkStart w:id="905" w:name="pg8731_77534"/>
    </w:p>
    <w:p>
      <w:pPr>
        <w:pStyle w:val="BookText"/>
        <w:rPr/>
      </w:pPr>
      <w:bookmarkEnd w:id="905"/>
      <w:r>
        <w:rPr>
          <w:rFonts w:ascii="Amiri" w:hAnsi="Amiri" w:eastAsia="Amiri" w:cs="Amiri"/>
          <w:color w:val="111111"/>
          <w:sz w:val="28"/>
          <w:sz w:val="28"/>
          <w:szCs w:val="28"/>
          <w:rtl w:val="true"/>
          <w:lang w:bidi="ar-SA"/>
        </w:rPr>
        <w:t>المشهور عنه العمل بالقياس فلا التفات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قويّة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طريق الرأيين فيها للرائين وسلوك سبيل الاحتياط هو الراجح في نظر الورعين</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140519_653776707"/>
      <w:bookmarkStart w:id="907" w:name="_Toc334"/>
      <w:bookmarkEnd w:id="906"/>
      <w:r>
        <w:rPr>
          <w:rtl w:val="true"/>
        </w:rPr>
        <w:t xml:space="preserve">فروع </w:t>
      </w:r>
      <w:r>
        <w:rPr>
          <w:rtl w:val="true"/>
        </w:rPr>
        <w:t>:</w:t>
      </w:r>
      <w:bookmarkEnd w:id="907"/>
    </w:p>
    <w:p>
      <w:pPr>
        <w:pStyle w:val="Heading6"/>
        <w:numPr>
          <w:ilvl w:val="5"/>
          <w:numId w:val="1"/>
        </w:numPr>
        <w:rPr/>
      </w:pPr>
      <w:bookmarkStart w:id="908" w:name="__RefHeading___Toc3140521_653776707"/>
      <w:bookmarkStart w:id="909" w:name="_Toc335"/>
      <w:bookmarkEnd w:id="908"/>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909"/>
    </w:p>
    <w:p>
      <w:pPr>
        <w:pStyle w:val="BookText"/>
        <w:rPr/>
      </w:pPr>
      <w:r>
        <w:rPr>
          <w:rFonts w:ascii="Amiri" w:hAnsi="Amiri" w:eastAsia="Amiri" w:cs="Amiri"/>
          <w:color w:val="111111"/>
          <w:sz w:val="28"/>
          <w:sz w:val="28"/>
          <w:szCs w:val="28"/>
          <w:rtl w:val="true"/>
          <w:lang w:bidi="ar-SA"/>
        </w:rPr>
        <w:t>ظاهر كلام جماعة من الأصحاب أنّ ولد الكافرين يتبعهما في النجاسة الذاتية ، بغير خلاف ؛ لأنّهم ذكروا الحكم جازمين به غير متعرّضين لبيان دليله كما هو الشأن في المسائل التي لا مجال للاحتمال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الحكم كذلك العلّامة في التذكرة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في النهاية أشار إلى نوع خلاف أو احتمال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في أولاد الكفّار التبعيّة لهم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أحطت خبرا بما قرّرناه في نجاسة الكافر وجدت للتوقّف في الحكم بالنجاسة هنا على الإطلاق مجالا إن لم يثبت 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له بأنّه حيوان متفرّع من حيوانين نجسين فيثبت له حكمهما ، كالكلب والخنزير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الظاهر كون المقتضي لثبوت الحكم في المتولّد من الحيوانين النجسين هو صدق اسم الحيوان النجس عليه لا مجرّد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صرّح العلّامة في أثناء كلام له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الكلب ليس نجسا باعتبار </w:t>
      </w:r>
    </w:p>
    <w:p>
      <w:pPr>
        <w:pStyle w:val="BookText"/>
        <w:rPr/>
      </w:pPr>
      <w:r>
        <w:rPr>
          <w:rFonts w:ascii="Amiri" w:hAnsi="Amiri" w:eastAsia="Amiri" w:cs="Amiri"/>
          <w:color w:val="111111"/>
          <w:sz w:val="28"/>
          <w:sz w:val="28"/>
          <w:szCs w:val="28"/>
          <w:rtl w:val="true"/>
          <w:lang w:bidi="ar-SA"/>
        </w:rPr>
        <w:t xml:space="preserve">تولّده عن النجس بل باعتبار صدق اسم الكلب عليه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استشكاله في جملة من كتبه للحكم بنجاسة المتولّد بين الكلب والخنزير إذا كان مباينا لهما وحينئذ يكون الحكم في ولد الكافر موقوفا على صدق عنوان الكفر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بعض الأصحاب استثنى من الحكم بنجاسة ولد الكافر هنا ما إذا سباه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ذلك في بحث الجهاد بعدم الدليل عليه واقتضاء الاستصحاب بقاءه على النجاسة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ظاهر الأصحاب عدم الخلاف بينهم في طهارته والحال هذه ، وإنّما اختلفوا في تبعيّته للمسلم في الإسلام بمعنى ثبوت أحكام المسلم له وهذا أمر آخر زائد على الحكم بالطهارة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الشهيد في الذكرى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بطهارته أو نجاسته على الخلاف في تبعيّته للمسلم وعدمها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الكافرين نجس ولو سباه مسلم وقلنا بالتبعيّة طهر وإلّا فلا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بقاء النجاسة بعد سبي المسلم له ضعيف ؛ لما قد ظهر من انحصار المقتضي للحكم بالتنجيس قبله في الإجماع إن ثبت ، ولا ريب في انتفائه بالنظر إلى ما بعده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والتمسّك باستصحاب النجاسة مردود بمنع العمل بالاستصحاب في مثله كما بيّناه في محلّه من مقدّمة الكتاب</w:t>
      </w:r>
      <w:r>
        <w:rPr>
          <w:rFonts w:eastAsia="Amiri" w:cs="Amiri" w:ascii="Amiri" w:hAnsi="Amiri"/>
          <w:color w:val="111111"/>
          <w:sz w:val="28"/>
          <w:szCs w:val="28"/>
          <w:rtl w:val="true"/>
          <w:lang w:bidi="ar-SA"/>
        </w:rPr>
        <w:t xml:space="preserve">. </w:t>
      </w:r>
      <w:bookmarkStart w:id="910" w:name="pg8731_77538"/>
    </w:p>
    <w:p>
      <w:pPr>
        <w:pStyle w:val="BookText"/>
        <w:rPr/>
      </w:pPr>
      <w:bookmarkEnd w:id="910"/>
      <w:r>
        <w:rPr>
          <w:rFonts w:ascii="Amiri" w:hAnsi="Amiri" w:eastAsia="Amiri" w:cs="Amiri"/>
          <w:color w:val="111111"/>
          <w:sz w:val="28"/>
          <w:sz w:val="28"/>
          <w:szCs w:val="28"/>
          <w:rtl w:val="true"/>
          <w:lang w:bidi="ar-SA"/>
        </w:rPr>
        <w:t>وبهذا يظهر جودة احتجاج العلّامة وجماعة للحكم بطهارته حينئذ بأصالة الطهارة السالمة عن معارضة يقين النجاسة ، وضعف مناقشة بعض الأصحاب فيه بأنّ الأمر بالعكس ؛ لأنّ النجاسة تحقّقت بمجرّد الولادة فيجب استصحابها وهو أصل سالم عن معارضة 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وجه الجودة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الأصل في الأشياء كلّها الطهارة إلى أن يقوم على خلافها دليل وحيث إنّ الدليل المخرج عن حكم الأصل في موضع النزاع مخصوص بالحالة السابقة على الشي‌ء ، فالقدر المحقّق من المخالفة لأصالة الطهارة هو ذاك وما عداه باق على حكم الأصل لعدم قبول الاستصحاب إذا كان دليل الحكم المستصحب مقيّدا بحال كما مرّ</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3140523_653776707"/>
      <w:bookmarkStart w:id="912" w:name="_Toc336"/>
      <w:bookmarkEnd w:id="911"/>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912"/>
    </w:p>
    <w:p>
      <w:pPr>
        <w:pStyle w:val="BookText"/>
        <w:rPr/>
      </w:pPr>
      <w:r>
        <w:rPr>
          <w:rFonts w:ascii="Amiri" w:hAnsi="Amiri" w:eastAsia="Amiri" w:cs="Amiri"/>
          <w:color w:val="111111"/>
          <w:sz w:val="28"/>
          <w:sz w:val="28"/>
          <w:szCs w:val="28"/>
          <w:rtl w:val="true"/>
          <w:lang w:bidi="ar-SA"/>
        </w:rPr>
        <w:t>نصّ جمع من الأصحاب على عدم الفرق في نجاسة الكافر بين ما تحلّه الحياة منه وما لا 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العلّامة في المختلف عدم العلم بمخالف في ذلك سوى المرتضى </w:t>
      </w:r>
      <w:r>
        <w:rPr>
          <w:rStyle w:val="FootnoteAnchor"/>
          <w:rtl w:val="true"/>
        </w:rPr>
        <w:footnoteReference w:id="1552"/>
      </w:r>
      <w:r>
        <w:rPr>
          <w:rFonts w:ascii="Amiri" w:hAnsi="Amiri" w:eastAsia="Amiri" w:cs="Amiri"/>
          <w:color w:val="111111"/>
          <w:sz w:val="28"/>
          <w:sz w:val="28"/>
          <w:szCs w:val="28"/>
          <w:rtl w:val="true"/>
          <w:lang w:bidi="ar-SA"/>
        </w:rPr>
        <w:t>فإنّه حكم بطهارة ما لا تحلّه الحياة من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حكاية خلافه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 الحجّة المحكيّة عنه في ذلك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الدليل المذكور هناك للحكم بالتسوية بين جميع الأجزاء لا يتأتّى هنا لخلوّ الأخبار عن تعليق الحكم بالتنجيس على الاسم كما وقع هناك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نبّهنا على ما في التمسّك بالآيتين من الإشكال فلا يتمّ التعليق بهما في هذا الحكم حيث وقع التعليق فيهما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حكم ما لا تحلّه الحياة من الكافر خاليا من الدليل فيتّجه التمسّك فيه بالأصل إلى أن يثبت </w:t>
      </w:r>
      <w:bookmarkStart w:id="913" w:name="pg8731_77540"/>
    </w:p>
    <w:p>
      <w:pPr>
        <w:pStyle w:val="BookText"/>
        <w:rPr/>
      </w:pPr>
      <w:bookmarkEnd w:id="913"/>
      <w:r>
        <w:rPr>
          <w:rFonts w:ascii="IRNazanin" w:hAnsi="IRNazanin" w:eastAsia="IRNazanin"/>
          <w:color w:val="111111"/>
          <w:sz w:val="28"/>
          <w:sz w:val="28"/>
          <w:szCs w:val="28"/>
          <w:rtl w:val="true"/>
          <w:lang w:bidi="fa-IR"/>
        </w:rPr>
        <w:t>المخرج عنه</w:t>
      </w:r>
      <w:r>
        <w:rPr>
          <w:rFonts w:eastAsia="IRNazanin" w:cs="IRNazanin"/>
          <w:color w:val="111111"/>
          <w:sz w:val="28"/>
          <w:szCs w:val="28"/>
          <w:rtl w:val="true"/>
          <w:lang w:bidi="fa-IR"/>
        </w:rPr>
        <w:t>.</w:t>
      </w:r>
    </w:p>
    <w:p>
      <w:pPr>
        <w:pStyle w:val="Heading6"/>
        <w:numPr>
          <w:ilvl w:val="5"/>
          <w:numId w:val="1"/>
        </w:numPr>
        <w:rPr/>
      </w:pPr>
      <w:bookmarkStart w:id="914" w:name="__RefHeading___Toc3140525_653776707"/>
      <w:bookmarkStart w:id="915" w:name="_Toc337"/>
      <w:bookmarkEnd w:id="914"/>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915"/>
    </w:p>
    <w:p>
      <w:pPr>
        <w:pStyle w:val="BookText"/>
        <w:rPr/>
      </w:pPr>
      <w:r>
        <w:rPr>
          <w:rFonts w:ascii="Amiri" w:hAnsi="Amiri" w:eastAsia="Amiri" w:cs="Amiri"/>
          <w:color w:val="111111"/>
          <w:sz w:val="28"/>
          <w:sz w:val="28"/>
          <w:szCs w:val="28"/>
          <w:rtl w:val="true"/>
          <w:lang w:bidi="ar-SA"/>
        </w:rPr>
        <w:t>حكى في المعتبر عن الشيخ أنّه حكم في المبسوط بنجاسة المجبّرة والمجسّمة من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 ذلك المحقّق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حكم مستفاد من الشرع فيقف على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وبظواهر بعض الأخبار وافق الشيخ في المجسّمة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ذلك كلام العلّامة ، فقال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حكم الناصب والغالي حكم الكافر لإنكارهما ما علم ثبوته من الدين 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المجسّمة والمشبّهة كذلك؟ الأقرب المساواة ، لاعتقادهم أنّه تعالى جسم وقد ثبت أنّ كلّ جسم محدث </w:t>
      </w:r>
      <w:r>
        <w:rPr>
          <w:rStyle w:val="FootnoteAnchor"/>
          <w:rtl w:val="true"/>
        </w:rPr>
        <w:footnoteReference w:id="1554"/>
      </w:r>
      <w:r>
        <w:rPr>
          <w:rFonts w:ascii="Amiri" w:hAnsi="Amiri" w:eastAsia="Amiri" w:cs="Amiri"/>
          <w:color w:val="111111"/>
          <w:sz w:val="28"/>
          <w:sz w:val="28"/>
          <w:szCs w:val="28"/>
          <w:rtl w:val="true"/>
          <w:lang w:bidi="ar-SA"/>
        </w:rPr>
        <w:t xml:space="preserve">واختار هذا القول في التحرير والقواعد أيضا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في التذكرة والنهاية القول بالطهارة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للشهيد مثله فإنّه استضعف في الذكرى كلام الشيخ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في البيان المجسّمة بالحقيقة والمشبّهة كذلك في أقسام الكافر المنتحل للإسلام وهو جاحد لبعض ضروريّاته ، بعد حكمه بنجاسة الكافر بجميع </w:t>
      </w:r>
    </w:p>
    <w:p>
      <w:pPr>
        <w:pStyle w:val="BookText"/>
        <w:rPr/>
      </w:pPr>
      <w:r>
        <w:rPr>
          <w:rFonts w:ascii="IRNazanin" w:hAnsi="IRNazanin" w:eastAsia="IRNazanin"/>
          <w:color w:val="111111"/>
          <w:sz w:val="28"/>
          <w:sz w:val="28"/>
          <w:szCs w:val="28"/>
          <w:rtl w:val="true"/>
          <w:lang w:bidi="fa-IR"/>
        </w:rPr>
        <w:t xml:space="preserve">أنواعه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في الدروس نجاسة المجسّم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وجزم بعض الأصحاب بنجاسة المجسّمة بالحقيقة وهم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جسم كالأجسام ، وتردّد في حكم المجسّمة بمجرّد التسمية وهم القائلون بأنّه تعالى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بعضهم بأنّ الدليل الدالّ على التنجيس في الأوّل دالّ على الثاني ؛ فإنّ مطلق الجسمية توجب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الدليل نظر ؛ لأنّ ظاهره كون المقتضي للنجاسة هو القول بالحدوث لا مجرّد التجسيم ، ومن البيّن أنّ المجسّم ينفي الحدوث قطعا فكأنّه يتخيّل برأيه الفاسد عدم المنافاة بين الجسميّة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الشيخ بنجاسة المجبّرة فقد تكرّر نقله عنه في كلام المتأخّرين من دون تعرّض لحجّته بل اقتصر أكثرهم على تضعيفه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المنتهى في بحث الأسآر أنّه يمكن أن يكون مأخذ الشيخ في حكمه بنجاسة سؤر المجبّرة والمجسّمة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والرجس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وتنجيس سؤر المجبّرة ضعيف وفي المجسّمة قوّة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الإحتجاج لقول الشيخ بمجرّد الآية من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نظر الشيخ إلى ما ذكره بعض المفسّرين من 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الآية ، على كفر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كفرهم تناولهم دليل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توجيه دلالة الآية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إخبار بما سوف يقوله المشركون ، ثمّ لمّا قالوه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يعنون بكفرهم وتمرّدهم أنّ شركهم وشرك آبائهم وتحريمهم ما أحلّ اللّه بمشيّة اللّه وإرادته ، ولو لا مشيّة اللّه لم يكن شي‌ء من ذلك كمذهب المجبّرة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كَذَّبَ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بالتكذيب المطلق لأنّ اللّه عزّ وعلا ركّب في العقول وأنزل في الكتب ما دلّ على غناه وبراءته من مشيّة القبائح وإرادتها والرسل خبّروا بذلك </w:t>
      </w:r>
      <w:r>
        <w:rPr>
          <w:rStyle w:val="FootnoteAnchor"/>
          <w:rtl w:val="true"/>
        </w:rPr>
        <w:footnoteReference w:id="1565"/>
      </w:r>
      <w:r>
        <w:rPr>
          <w:rFonts w:ascii="Amiri" w:hAnsi="Amiri" w:eastAsia="Amiri" w:cs="Amiri"/>
          <w:color w:val="111111"/>
          <w:sz w:val="28"/>
          <w:sz w:val="28"/>
          <w:szCs w:val="28"/>
          <w:rtl w:val="true"/>
          <w:lang w:bidi="ar-SA"/>
        </w:rPr>
        <w:t>، فمن علّق وجود القبائح من الكفر والمعاصي بمشيّته وإرادته فقد كذّب التكذيب كلّه وهو تكذيب اللّه وكتبه ورسله ونبذ أدلّة العقل والسمع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يحتمل وجها آخر ، وهو أن يكون المراد بالتكذيب تكذيب الرسل اللازم من قولهم هذا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فدلالة الآية على بطلان قولهم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التكذيب عليه نفسه حتّى يكون كفرا فمحتمل كاحتمال إطلاقه على لازمه الذي هو عدم اتّباع الرسل</w:t>
      </w:r>
      <w:r>
        <w:rPr>
          <w:rFonts w:eastAsia="Amiri" w:cs="Amiri" w:ascii="Amiri" w:hAnsi="Amiri"/>
          <w:color w:val="111111"/>
          <w:sz w:val="28"/>
          <w:szCs w:val="28"/>
          <w:rtl w:val="true"/>
          <w:lang w:bidi="ar-SA"/>
        </w:rPr>
        <w:t xml:space="preserve">. </w:t>
      </w:r>
      <w:bookmarkStart w:id="916" w:name="pg8731_77547"/>
    </w:p>
    <w:p>
      <w:pPr>
        <w:pStyle w:val="Heading6"/>
        <w:numPr>
          <w:ilvl w:val="5"/>
          <w:numId w:val="1"/>
        </w:numPr>
        <w:rPr/>
      </w:pPr>
      <w:bookmarkStart w:id="917" w:name="__RefHeading___Toc3140527_653776707"/>
      <w:bookmarkStart w:id="918" w:name="_Toc338"/>
      <w:bookmarkEnd w:id="916"/>
      <w:bookmarkEnd w:id="917"/>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918"/>
    </w:p>
    <w:p>
      <w:pPr>
        <w:pStyle w:val="BookText"/>
        <w:rPr/>
      </w:pPr>
      <w:r>
        <w:rPr>
          <w:rFonts w:ascii="Amiri" w:hAnsi="Amiri" w:eastAsia="Amiri" w:cs="Amiri"/>
          <w:color w:val="111111"/>
          <w:sz w:val="28"/>
          <w:sz w:val="28"/>
          <w:szCs w:val="28"/>
          <w:rtl w:val="true"/>
          <w:lang w:bidi="ar-SA"/>
        </w:rPr>
        <w:t xml:space="preserve">ذهب ابن إدريس إلى نجاسة من لم يعتقد الحقّ عدا المستضعف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عنه جماعة من الأصحاب مجرّدا عن التعرّض لحجّته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عنه العلّامة في المنتهى عند حكايته قول الشيخ بنجاسة المجبّرة والمجسّمة كما سبق نقله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مأخذه ما احتمل كونه مأخذ الشيخ أعني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فخر المحقّقين في شرحه عن المرتضى القول بنجاسة غير المؤمن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يَبْتَغِ غَيْرَ الْإِسْلامِ دِيناً فَلَنْ يُقْبَلَ مِنْهُ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والإيمان يستحيل مغايرته للإسلام فمن ليس بمؤمن ليس بمسلم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 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امرت أن أقاتل الناس حتّى يقولوا 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هنا الإسلام استعمالا للّفظ الخاص في العام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bookmarkStart w:id="919" w:name="pg8731_77549"/>
    </w:p>
    <w:p>
      <w:pPr>
        <w:pStyle w:val="BookText"/>
        <w:rPr/>
      </w:pPr>
      <w:bookmarkEnd w:id="919"/>
      <w:r>
        <w:rPr>
          <w:rFonts w:ascii="Amiri" w:hAnsi="Amiri" w:eastAsia="Amiri" w:cs="Amiri"/>
          <w:color w:val="111111"/>
          <w:sz w:val="28"/>
          <w:sz w:val="28"/>
          <w:szCs w:val="28"/>
          <w:rtl w:val="true"/>
          <w:lang w:bidi="ar-SA"/>
        </w:rPr>
        <w:t>وينبغي أن يعلم أنّ الحجّة التي عزاها إلى المرتضى ليست وجها واحدا بل هي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التي أوردها عليها مختصّة بالوجه الثاني منها ، وضعفه بيّن ولم يتعرّض للأوّل ، وهو ضعيف أيضا لابتنائه على إرادة المعنى العرفي للإيمان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بواضح ، وعلى كون المراد من الرجس النجس بالمعنى المعهود عند أهل الشرع وقد عرفت ما فيه</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140529_653776707"/>
      <w:bookmarkStart w:id="921" w:name="_Toc339"/>
      <w:bookmarkEnd w:id="920"/>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921"/>
    </w:p>
    <w:p>
      <w:pPr>
        <w:pStyle w:val="BookText"/>
        <w:rPr/>
      </w:pPr>
      <w:r>
        <w:rPr>
          <w:rFonts w:ascii="Amiri" w:hAnsi="Amiri" w:eastAsia="Amiri" w:cs="Amiri"/>
          <w:color w:val="111111"/>
          <w:sz w:val="28"/>
          <w:sz w:val="28"/>
          <w:szCs w:val="28"/>
          <w:rtl w:val="true"/>
          <w:lang w:bidi="ar-SA"/>
        </w:rPr>
        <w:t xml:space="preserve">حكى في التذكرة عن ابن إدريس أنّه حكم بنجاسة ولد الزنا وعلّله بأنّه كافر </w:t>
      </w:r>
      <w:r>
        <w:rPr>
          <w:rStyle w:val="FootnoteAnchor"/>
          <w:rtl w:val="true"/>
        </w:rPr>
        <w:footnoteReference w:id="1573"/>
      </w:r>
      <w:r>
        <w:rPr>
          <w:rFonts w:ascii="Amiri" w:hAnsi="Amiri" w:eastAsia="Amiri" w:cs="Amiri"/>
          <w:color w:val="111111"/>
          <w:sz w:val="28"/>
          <w:sz w:val="28"/>
          <w:szCs w:val="28"/>
          <w:rtl w:val="true"/>
          <w:lang w:bidi="ar-SA"/>
        </w:rPr>
        <w:t xml:space="preserve">، وذكر في المختلف أنّ القول بكفره منقول عن السيّد المرتضى وابن إدريس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بحث الأسآر أنّ كلام الصدوق يشعر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القول بكفره إلى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علمائنا حكموا بإسلامه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تعلّل المانع يعني من سؤر ولد الزنا بأنّه كافر ونحن نمنع ذلك ونطالبه بدليل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الإجماع كما ادّعاه بعض الأصحاب كانت المطالبة باقية فإنّا لا نعلم ما ادّعاه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فاعلم أنّ المعتمد عندي هو القول بطهارته لكونها مقتضى الأصل والمخرج عنه غير معلوم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العلّامة في المنتهى الاحتجاج للقول بكفره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عليه بما رواه محمّد بن يعقوب بإسناده عن الوشّاء عمّن ذكره عن أبي </w:t>
      </w:r>
      <w:bookmarkStart w:id="922" w:name="pg8731_77551"/>
    </w:p>
    <w:p>
      <w:pPr>
        <w:pStyle w:val="BookText"/>
        <w:rPr/>
      </w:pPr>
      <w:bookmarkEnd w:id="922"/>
      <w:r>
        <w:rPr>
          <w:rFonts w:ascii="Amiri" w:hAnsi="Amiri" w:eastAsia="Amiri" w:cs="Amiri"/>
          <w:color w:val="111111"/>
          <w:sz w:val="28"/>
          <w:sz w:val="28"/>
          <w:szCs w:val="28"/>
          <w:rtl w:val="true"/>
          <w:lang w:bidi="ar-SA"/>
        </w:rPr>
        <w:t>عبد اللّه عليه‌السلام أنّه كره سؤر ولد الزنا واليهودي والنصراني والمشرك وكلّما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ذلك عنده سؤر الناصب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أنّه لا يريد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الظاهر له وهو النهي عن الشي‌ء نهي تنزيه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الكراهة فيه تدلّ على التحريم فلم يبق المراد إلّا كراهة التحريم ، ولا يجوز أن يرادا معا وإلّا لزم استعمال المشترك في كلا معنييه أو استعمال اللفظ في معنيي الحقيقة والمجاز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أجاب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الحديث ؛ فإنّه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إشارة إلى النهي بل الكراهة التي في مقابلة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ما هو أعمّ من المحرّم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الكراهة قد تطلق على النهي المطلق فليحمل عليه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الاحتجاج 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كلام بعض المتأخّرين نسبته إلى القائل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بنحو 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على ما حكيناه</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3140531_653776707"/>
      <w:bookmarkStart w:id="924" w:name="_Toc340"/>
      <w:bookmarkEnd w:id="923"/>
      <w:r>
        <w:rPr>
          <w:rtl w:val="true"/>
        </w:rPr>
        <w:t xml:space="preserve">مسألة </w:t>
      </w:r>
      <w:r>
        <w:rPr>
          <w:rtl w:val="true"/>
        </w:rPr>
        <w:t>[</w:t>
      </w:r>
      <w:r>
        <w:rPr/>
        <w:t>11</w:t>
      </w:r>
      <w:r>
        <w:rPr>
          <w:rtl w:val="true"/>
        </w:rPr>
        <w:t>] :</w:t>
      </w:r>
      <w:bookmarkEnd w:id="924"/>
    </w:p>
    <w:p>
      <w:pPr>
        <w:pStyle w:val="BookText"/>
        <w:rPr/>
      </w:pPr>
      <w:r>
        <w:rPr>
          <w:rFonts w:ascii="Amiri" w:hAnsi="Amiri" w:eastAsia="Amiri" w:cs="Amiri"/>
          <w:color w:val="111111"/>
          <w:sz w:val="28"/>
          <w:sz w:val="28"/>
          <w:szCs w:val="28"/>
          <w:rtl w:val="true"/>
          <w:lang w:bidi="ar-SA"/>
        </w:rPr>
        <w:t xml:space="preserve">ذهب الشيخ رحمه‌اللّه في بعض كتبه إلى أنّ المسوخ نجسة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ذلك عنه جماعة وعزى في المختلف إلى سلّار وابن حمزة موافقته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ويحكى عن بعض الأصحاب أنّه حكم بنجاسة لعابها ، وقد ذكرنا في بحث الأسآر أنّ كلام سلّار في الرسالة صريح في نجاسة اللعاب ، ومحتمل لنجاسة العين </w:t>
      </w:r>
      <w:r>
        <w:rPr>
          <w:rStyle w:val="FootnoteAnchor"/>
          <w:rtl w:val="true"/>
        </w:rPr>
        <w:footnoteReference w:id="1580"/>
      </w:r>
      <w:r>
        <w:rPr>
          <w:rFonts w:ascii="Amiri" w:hAnsi="Amiri" w:eastAsia="Amiri" w:cs="Amiri"/>
          <w:color w:val="111111"/>
          <w:sz w:val="28"/>
          <w:sz w:val="28"/>
          <w:szCs w:val="28"/>
          <w:rtl w:val="true"/>
          <w:lang w:bidi="ar-SA"/>
        </w:rPr>
        <w:t>، وأنّ ظاهر كلام ابن الجنيد يعطي القول بنجاستها أو نجاسة لعابها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الأصحاب بطهارة غير الخنزير منها عينا ولعابا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الأصل ، وما رواه الشيخ عن الفضل أبي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فضل الهرّة والشاة والبقرة والإبل والحمار والخيل والبغال والوحش والسباع فلم أترك شيئا إلّا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بحث الأسآر ، وأشرنا إلى جودة سنده ، وإن لم يتّضح لنا بلوغه حدّ الصحّة فمثله كاف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الحديث كما يدلّ على طهارة العين لكون نجاستها منافية لطهارة السؤر ، كذلك يدلّ على طهارة اللعاب ؛ لعدم انفكاك السؤر عن 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القائلين بالتنجيس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العلّامة في المختلف وجماعة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بيعها محرّم ولا وجه لذلك إلّا النجاسة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أنّ الحجّة في تحريم بيعها رواية مسمع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 نهى عن القرد أن يشترى أو يباع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المنع من تحريم البيع أوّلا فإنّ الرواية التي ذكرت دليلا عليه </w:t>
      </w:r>
    </w:p>
    <w:p>
      <w:pPr>
        <w:pStyle w:val="BookText"/>
        <w:rPr/>
      </w:pPr>
      <w:r>
        <w:rPr>
          <w:rFonts w:ascii="Amiri" w:hAnsi="Amiri" w:eastAsia="Amiri" w:cs="Amiri"/>
          <w:color w:val="111111"/>
          <w:sz w:val="28"/>
          <w:sz w:val="28"/>
          <w:szCs w:val="28"/>
          <w:rtl w:val="true"/>
          <w:lang w:bidi="ar-SA"/>
        </w:rPr>
        <w:t>ضعيفة السند جدّا ، مع كونها مختصّة بالقرد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يمنع ثانيا كون المقتضي لحرمة البيع هو النجاسة ويطالب بالدليل على انحصار المقتضي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بيان أنواع المسوخ مرويّ في عدّة أخبار أقواها إسنادا ما رواه الشيخ عن الحلبي في الحسن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الضبّ والفأرة والقرد والخنازير مسوخ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أحمد بن محمّد عن محمّد بن الحسن الأشعري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مسخ كان ملكا زانيا </w:t>
      </w:r>
      <w:r>
        <w:rPr>
          <w:rStyle w:val="FootnoteAnchor"/>
          <w:rtl w:val="true"/>
        </w:rPr>
        <w:footnoteReference w:id="1585"/>
      </w:r>
      <w:r>
        <w:rPr>
          <w:rFonts w:ascii="Amiri" w:hAnsi="Amiri" w:eastAsia="Amiri" w:cs="Amiri"/>
          <w:color w:val="111111"/>
          <w:sz w:val="28"/>
          <w:sz w:val="28"/>
          <w:szCs w:val="28"/>
          <w:rtl w:val="true"/>
          <w:lang w:bidi="ar-SA"/>
        </w:rPr>
        <w:t xml:space="preserve">، والذيب كان أعرابيّا ديّوثا ، والأرنب مسخ كانت امرأة تخون زوجها ولا تغتسل من حيضها ، والوطواط مسخ كان يسرق من تمور الناس ، والقردة والخنازير قوم من بني إسرائيل اعتدوا في السبت ، والجرّيث والضبّ فرقة من بني إسرائيل </w:t>
      </w:r>
      <w:r>
        <w:rPr>
          <w:rStyle w:val="FootnoteAnchor"/>
          <w:rtl w:val="true"/>
        </w:rPr>
        <w:footnoteReference w:id="1586"/>
      </w:r>
      <w:r>
        <w:rPr>
          <w:rFonts w:ascii="Amiri" w:hAnsi="Amiri" w:eastAsia="Amiri" w:cs="Amiri"/>
          <w:color w:val="111111"/>
          <w:sz w:val="28"/>
          <w:sz w:val="28"/>
          <w:szCs w:val="28"/>
          <w:rtl w:val="true"/>
          <w:lang w:bidi="ar-SA"/>
        </w:rPr>
        <w:t xml:space="preserve">حيث نزلت المائدة على عيسى بن مريم لم يؤمنوا فتاهوا فوقعت فرقة في البحر ، وفرقة في البرّ ، والفأرة هي الفويسقة </w:t>
      </w:r>
      <w:r>
        <w:rPr>
          <w:rStyle w:val="FootnoteAnchor"/>
          <w:rtl w:val="true"/>
        </w:rPr>
        <w:footnoteReference w:id="1587"/>
      </w:r>
      <w:r>
        <w:rPr>
          <w:rFonts w:ascii="Amiri" w:hAnsi="Amiri" w:eastAsia="Amiri" w:cs="Amiri"/>
          <w:color w:val="111111"/>
          <w:sz w:val="28"/>
          <w:sz w:val="28"/>
          <w:szCs w:val="28"/>
          <w:rtl w:val="true"/>
          <w:lang w:bidi="ar-SA"/>
        </w:rPr>
        <w:t xml:space="preserve">، والعقرب كان نمّاما ، والدبّ والوزغ والزنبور كان لحّاما يسرق في الميزان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925" w:name="pg8731_77558"/>
    </w:p>
    <w:p>
      <w:pPr>
        <w:pStyle w:val="Heading5"/>
        <w:numPr>
          <w:ilvl w:val="4"/>
          <w:numId w:val="1"/>
        </w:numPr>
        <w:rPr/>
      </w:pPr>
      <w:bookmarkStart w:id="926" w:name="__RefHeading___Toc3140533_653776707"/>
      <w:bookmarkStart w:id="927" w:name="_Toc341"/>
      <w:bookmarkEnd w:id="925"/>
      <w:bookmarkEnd w:id="926"/>
      <w:r>
        <w:rPr>
          <w:rtl w:val="true"/>
        </w:rPr>
        <w:t xml:space="preserve">مسألة </w:t>
      </w:r>
      <w:r>
        <w:rPr>
          <w:rtl w:val="true"/>
        </w:rPr>
        <w:t>[</w:t>
      </w:r>
      <w:r>
        <w:rPr/>
        <w:t>12</w:t>
      </w:r>
      <w:r>
        <w:rPr>
          <w:rtl w:val="true"/>
        </w:rPr>
        <w:t>] :</w:t>
      </w:r>
      <w:bookmarkEnd w:id="927"/>
    </w:p>
    <w:p>
      <w:pPr>
        <w:pStyle w:val="BookText"/>
        <w:rPr/>
      </w:pPr>
      <w:r>
        <w:rPr>
          <w:rFonts w:ascii="Amiri" w:hAnsi="Amiri" w:eastAsia="Amiri" w:cs="Amiri"/>
          <w:color w:val="111111"/>
          <w:sz w:val="28"/>
          <w:sz w:val="28"/>
          <w:szCs w:val="28"/>
          <w:rtl w:val="true"/>
          <w:lang w:bidi="ar-SA"/>
        </w:rPr>
        <w:t xml:space="preserve">وأوجب الشيخ في النهاية غسل ما يصيبه الثعلب أو الأرنب أو الفأرة أو الوزغة من الثوب أو البدن مع الرطوبة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وقرنها في هذا الحكم مع الكلب والخنزير مع أنّه في باب المياه من هذا الكتاب نفى البأس عمّا وقعت فيه الفأرة من الماء الذي في الآنية إذا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ترك استعماله على كلّ حال ، وقد مرّ نقل ذلك عنه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المفيد في المقنعة على الفأرة والوزغة فجعلهما كالكلب والخنزير في غسل الثوب إذا مسّاه برطوبة وأثّرا فيه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المختلف عن أبي الصلاح أنّه أفتى بنجاسة الثعلب والأرنب وهو قول السيّد أبي المكارم بن زهرة أيضا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في آخر مباحث الماء المطلق حكاية كلام للصدوقين يؤذن بالقول بنجاسة الوزغ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الصدوق الأوّل ما يظهر منه القول بنجاسة الفأرة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ويعزى إلى ابن إدريس القول بطهارة الجميع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أنّه الظاهر من كلام المرتضى في بعض كتبه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الفاضلين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المختلف عن والده ، وعليه جمهور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أصالة الطهارة معتضدة في الجميع بعموم رواية أبي العبّاس وقد مرّت عن قرب وبعد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خصوص الثعلب والأرنب بظاهر صحيحة محمّد بن مسلم ، ورواية أبي الصباح عن أبي عبد اللّه عليه‌السلام في نفي البأس عن الوضوء بفضل السنّور حيث قال في الاولى بعد نفيه للبأس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من السباع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سبع </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ظاهر في تعدية الحكم لغيره من السباع إلّا ما أخرجه الدليل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الفأرة والوزغة بما رواه الشيخ 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العظاية </w:t>
      </w:r>
      <w:r>
        <w:rPr>
          <w:rStyle w:val="FootnoteAnchor"/>
          <w:rtl w:val="true"/>
        </w:rPr>
        <w:footnoteReference w:id="1600"/>
      </w:r>
      <w:r>
        <w:rPr>
          <w:rFonts w:ascii="Amiri" w:hAnsi="Amiri" w:eastAsia="Amiri" w:cs="Amiri"/>
          <w:color w:val="111111"/>
          <w:sz w:val="28"/>
          <w:sz w:val="28"/>
          <w:szCs w:val="28"/>
          <w:rtl w:val="true"/>
          <w:lang w:bidi="ar-SA"/>
        </w:rPr>
        <w:t xml:space="preserve">والحيّة والوزغ يقع في الماء فلا يموت أيتوضّأ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فأرة وقعت في حبّ </w:t>
      </w:r>
    </w:p>
    <w:p>
      <w:pPr>
        <w:pStyle w:val="BookText"/>
        <w:rPr/>
      </w:pPr>
      <w:r>
        <w:rPr>
          <w:rFonts w:ascii="Amiri" w:hAnsi="Amiri" w:eastAsia="Amiri" w:cs="Amiri"/>
          <w:color w:val="111111"/>
          <w:sz w:val="28"/>
          <w:sz w:val="28"/>
          <w:szCs w:val="28"/>
          <w:rtl w:val="true"/>
          <w:lang w:bidi="ar-SA"/>
        </w:rPr>
        <w:t xml:space="preserve">دهن فاخرجت منه قبل أن تموت أبتيعه من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وتدهن منه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سعيد الأعرج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تقع في السمن والزيت ثمّ تخرج منه حيّا؟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إسحاق بن عمّار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الفأرة إذا شربت من الإناء أن يشرب منه ويتوضّأ منه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المخالف على ما في المختلف ما رواه الشيخ 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الرطبة قد وقعت في الماء تمشي على الثياب أتصلي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رأيت من أثرها وما لم تره فانضحه بالماء </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الصحيح عن محمّد بن أحمد بن يحيى عن محمّد بن عيسى عن يونس بن عبد الرحمن عن بعض أصحابه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هل يجوز أن يمسّ الثعلب </w:t>
      </w:r>
      <w:r>
        <w:rPr>
          <w:rStyle w:val="FootnoteAnchor"/>
          <w:rtl w:val="true"/>
        </w:rPr>
        <w:footnoteReference w:id="1605"/>
      </w:r>
      <w:r>
        <w:rPr>
          <w:rFonts w:ascii="Amiri" w:hAnsi="Amiri" w:eastAsia="Amiri" w:cs="Amiri"/>
          <w:color w:val="111111"/>
          <w:sz w:val="28"/>
          <w:sz w:val="28"/>
          <w:szCs w:val="28"/>
          <w:rtl w:val="true"/>
          <w:lang w:bidi="ar-SA"/>
        </w:rPr>
        <w:t xml:space="preserve">والأرنب أو شيئا من السباع حيّا أو ميّتا؟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ولكن يغسل يده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عمّار الساباطي عن أبي عبد اللّه عليه‌السلام في حديث طويل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الكلب والفأرة إذا أكلا من الخبز وشبهه؟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منه ويؤكل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العظاية يقع في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السمّ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معاوية بن عمّار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الفأرة والوزغة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 دلاء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نجاسة الوزغة لما وجب لها النزح بالموت ؛ فإنّ الموت إنّما يقتضي التنجيس في ذي النفس السائلة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والكلب إذا أكلا من الخبز أو شمّاه أيؤكل؟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ما شمّاه ويؤكل ما بقي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من هذه الأخبار على نجاسة الفأرة والوزغة معارض بما دلّ على طهارتهما في 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حمل أخبار التنجيس على استحباب التنزّه عنهما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حديث سعيد الأعرج </w:t>
      </w:r>
      <w:r>
        <w:rPr>
          <w:rStyle w:val="FootnoteAnchor"/>
          <w:rtl w:val="true"/>
        </w:rPr>
        <w:footnoteReference w:id="1610"/>
      </w:r>
      <w:r>
        <w:rPr>
          <w:rFonts w:ascii="Amiri" w:hAnsi="Amiri" w:eastAsia="Amiri" w:cs="Amiri"/>
          <w:color w:val="111111"/>
          <w:sz w:val="28"/>
          <w:sz w:val="28"/>
          <w:szCs w:val="28"/>
          <w:rtl w:val="true"/>
          <w:lang w:bidi="ar-SA"/>
        </w:rPr>
        <w:t xml:space="preserve">معارض للرواية المتضمّنة للأمر بالغسل من أثر الفأرة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البيّن استحالة أن ينجس الجامد ولا ينجس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ارتكب هذا مرتكب لم يكن له في الفهم نصيب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جيّد</w:t>
      </w:r>
      <w:r>
        <w:rPr>
          <w:rFonts w:eastAsia="Amiri" w:cs="Amiri" w:ascii="Amiri" w:hAnsi="Amiri"/>
          <w:color w:val="111111"/>
          <w:sz w:val="28"/>
          <w:szCs w:val="28"/>
          <w:rtl w:val="true"/>
          <w:lang w:bidi="ar-SA"/>
        </w:rPr>
        <w:t xml:space="preserve">. </w:t>
      </w:r>
      <w:bookmarkStart w:id="928" w:name="pg8731_77566"/>
    </w:p>
    <w:p>
      <w:pPr>
        <w:pStyle w:val="BookText"/>
        <w:rPr/>
      </w:pPr>
      <w:bookmarkEnd w:id="928"/>
      <w:r>
        <w:rPr>
          <w:rFonts w:ascii="Amiri" w:hAnsi="Amiri" w:eastAsia="Amiri" w:cs="Amiri"/>
          <w:color w:val="111111"/>
          <w:sz w:val="28"/>
          <w:sz w:val="28"/>
          <w:szCs w:val="28"/>
          <w:rtl w:val="true"/>
          <w:lang w:bidi="ar-SA"/>
        </w:rPr>
        <w:t xml:space="preserve">ثمّ إنّ الحديث المتضمّن لحكم الثعلب والأرنب ضعيف السنة ؛ لإرسال يونس له ، وكون الراوي عنه فيه محمّد بن عيسى ، وقد حكى النجاشي عن أبي جعفر بن بابويه عن ابن الوليد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به محمّد بن عيسى من كتب يونس وحديثه لا يعتمد عليه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استثناه أبو جعفر بن بابويه من رجال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بروايته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ابن زهرة لنجاسة الثعلب والأرنب بالإجماع ، وذلك ديدنه في أكثر المسائل الفقهيّة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يعني به كونه مشهورا</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3140535_653776707"/>
      <w:bookmarkStart w:id="930" w:name="_Toc342"/>
      <w:bookmarkEnd w:id="929"/>
      <w:r>
        <w:rPr>
          <w:rtl w:val="true"/>
        </w:rPr>
        <w:t xml:space="preserve">مسألة </w:t>
      </w:r>
      <w:r>
        <w:rPr>
          <w:rtl w:val="true"/>
        </w:rPr>
        <w:t>[</w:t>
      </w:r>
      <w:r>
        <w:rPr/>
        <w:t>13</w:t>
      </w:r>
      <w:r>
        <w:rPr>
          <w:rtl w:val="true"/>
        </w:rPr>
        <w:t>] :</w:t>
      </w:r>
      <w:bookmarkEnd w:id="930"/>
    </w:p>
    <w:p>
      <w:pPr>
        <w:pStyle w:val="BookText"/>
        <w:rPr/>
      </w:pPr>
      <w:r>
        <w:rPr>
          <w:rFonts w:ascii="Amiri" w:hAnsi="Amiri" w:eastAsia="Amiri" w:cs="Amiri"/>
          <w:color w:val="111111"/>
          <w:sz w:val="28"/>
          <w:sz w:val="28"/>
          <w:szCs w:val="28"/>
          <w:rtl w:val="true"/>
          <w:lang w:bidi="ar-SA"/>
        </w:rPr>
        <w:t xml:space="preserve">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الثوب من عرق الإبل الجلّالة إذا أصابه كما يغسل من ساير النجاسات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في النهاية 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الثوب عرق الإبل الجلّالة وجب عليه إزالته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المختلف عن ابن البرّاج أنّه وافقهما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أصحابنا بالنجاسات عرق الإبل الجلّالة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جلّال الإبل يوجب أصحابنا إزالته وهو عندي ندب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العلّامة بطهارته ، وذكر أنّه المشهور ، وحكاه بالخصوص عن سلّار وابن إدريس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في الحسن عن حفص بن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 من ألبان الإبل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أصابك شي‌ء من عرقها فاغسله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الصحيح عن أحمد بن محمّد عن عليّ بن الحكم عن هشام ابن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تأكلوا اللحوم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أصابك من عرقها فاغسله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العلّامة في المختلف بأنّ الأصل الطهارة وأنّ الإبل الجلّالة ليست نجسة فلا ينجس عرقها كغيرها من الحيوانات الطاهرة وكالجلّال من غيرها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قول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استناده إلى الأصل وأنّه يجري مجرى عرق الحيوانات الطاهرة وإن لم يؤكل لحمها كعرق السنّور والنمر والفهد</w:t>
      </w:r>
      <w:r>
        <w:rPr>
          <w:rFonts w:eastAsia="Amiri" w:cs="Amiri" w:ascii="Amiri" w:hAnsi="Amiri"/>
          <w:color w:val="111111"/>
          <w:sz w:val="28"/>
          <w:szCs w:val="28"/>
          <w:rtl w:val="true"/>
          <w:lang w:bidi="ar-SA"/>
        </w:rPr>
        <w:t xml:space="preserve">. </w:t>
      </w:r>
      <w:bookmarkStart w:id="931" w:name="pg8731_77570"/>
    </w:p>
    <w:p>
      <w:pPr>
        <w:pStyle w:val="BookText"/>
        <w:rPr/>
      </w:pPr>
      <w:bookmarkEnd w:id="9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الرواية على الاستحباب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رواية هشام ؛ لأنّه أشار قبل ذلك إلى دلالتها على ما ذكره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هذا أجاب العلّامة في المختلف عن احتجاج الشيخ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الحديثين محمولان على الاستحباب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وللنظر في كلامهما مجال إن ثبتت صحّة الحديث الثاني ؛ فإنّ حمله على الاستحباب من دون معارض غير متّجه على رأيهما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بالأصل إنّما يجدي </w:t>
      </w:r>
      <w:r>
        <w:rPr>
          <w:rStyle w:val="FootnoteAnchor"/>
          <w:rtl w:val="true"/>
        </w:rPr>
        <w:footnoteReference w:id="1626"/>
      </w:r>
      <w:r>
        <w:rPr>
          <w:rFonts w:ascii="Amiri" w:hAnsi="Amiri" w:eastAsia="Amiri" w:cs="Amiri"/>
          <w:color w:val="111111"/>
          <w:sz w:val="28"/>
          <w:sz w:val="28"/>
          <w:szCs w:val="28"/>
          <w:rtl w:val="true"/>
          <w:lang w:bidi="ar-SA"/>
        </w:rPr>
        <w:t>حيث لا يوجد المخرج عنه وقد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وتشبيهه بغيره من عرق الحيوانات الطاهرة لا معنى له بعد ورود النصّ المقتضي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العلّامة في المنتهى بعد حكمه بالطهارة في أوّل المسألة واحتجاجه بالأصل وجوابه عن حجّة الشيخ بما يقرب من كلام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الحديثين قويّان ولأجل ذلك جزم الشيخ بوجوب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أعمل ولا ريب أنّه أحوط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3140537_653776707"/>
      <w:bookmarkStart w:id="933" w:name="_Toc343"/>
      <w:bookmarkEnd w:id="932"/>
      <w:r>
        <w:rPr>
          <w:rtl w:val="true"/>
        </w:rPr>
        <w:t xml:space="preserve">مسألة </w:t>
      </w:r>
      <w:r>
        <w:rPr>
          <w:rtl w:val="true"/>
        </w:rPr>
        <w:t>[</w:t>
      </w:r>
      <w:r>
        <w:rPr/>
        <w:t>14</w:t>
      </w:r>
      <w:r>
        <w:rPr>
          <w:rtl w:val="true"/>
        </w:rPr>
        <w:t>] :</w:t>
      </w:r>
      <w:bookmarkEnd w:id="933"/>
    </w:p>
    <w:p>
      <w:pPr>
        <w:pStyle w:val="Heading6"/>
        <w:numPr>
          <w:ilvl w:val="5"/>
          <w:numId w:val="1"/>
        </w:numPr>
        <w:rPr/>
      </w:pPr>
      <w:bookmarkStart w:id="934" w:name="__RefHeading___Toc3140539_653776707"/>
      <w:bookmarkStart w:id="935" w:name="_Toc344"/>
      <w:bookmarkEnd w:id="934"/>
      <w:r>
        <w:rPr>
          <w:rtl w:val="true"/>
        </w:rPr>
        <w:t>اشارة</w:t>
      </w:r>
      <w:bookmarkEnd w:id="93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عرقت في ثوبك وأنت جنب وكانت الجنابة من حلال فحلال الصلاة فيه ، إن كانت من حرام فحرام الصلاة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هذا ولده في كتاب من لا يحضره الفقيه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غسل الثوب من عرق الجنب إلّا أن تكون الجنابة من حرام فيغسل ما أصابه عرق صاحبها من جسد وثوب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الحائض لا ينجّس الثوب وكذلك عرق الجنب من حلال فإن كان أجنب من حرام غسل الثوب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إذا كانت الجنابة من حرام حرام الصلاة فيه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بعرق الحائض والجنب في الثوب واجتنابه أفضل إلّا أن تكون الجنابة من حرام فإنّه يجب غسل الثوب إذا عرق فيه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وعزى في المختلف إلى ابن البرّاج وفاق الجماعة كما في المسألة السابقة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زهرة هنا نحو ما ذكره هناك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ألحقوا بالنجاسات عرق الجنب إذا أجنب من الحرام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وسلّار أيضا سوّى بين المسألتين في الحكم فنسب إيجاب إزالة هذا العرق إلى أصحابنا واختار كونه على جهة الندب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ويحكى عن ابن إدريس القول بالطهارة وهو اختيار الفاضلين وجمهور المتأخّرين وإليه أذهب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أصل الطهارة معتضدا بعموم ما رواه الشيخ في الحسن عن أبي اسامة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الجنب يعرق في ثوبه أو يغتسل فيعانق امرأة ويضاجعها وهي حائض أو جنب فيصيب جسده من عرقها؟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ليس بشي‌ء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الاستفصال في مثله يشعر بالعموم ولو لم يكن في اللفظ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حمزة بن حمران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يجنب الثوب الرجل ولا يجنب الرجل الثوب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القميص يعرق فيه الرجل وهو جنب حتّى يبتلّ القميص؟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وإن أحبّ أن يرشّه بالماء فليفعل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في الخلاف بإجماع الفرقة ، وطريقة الاحتياط ،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لنقلها بل أحالها على كتابي الحديث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ما وقفنا عليه في الكتابين من الروايات التي تخيّل فيها الدلالة على هذا المعنى حديثان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محمّد الحلبي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أجنب في ثوبه 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وإذا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المراد بهذا الخبر إلّا من عرق في الثوب من جنابة إذا كانت من حرام ؛ لأنّا قد بيّنا أنّ نفس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أيضا أنّ عرق الجنب لا ينجّس الثوب ، فلم يبق معنى يحمل عليه الخبر إلّا عرق الجنب من حرام ، فحملناه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يحتمل أن يكون المعنى فيه أن يكون أصاب الثوب نجاسة فحينئذ يصلّي فيه ويعيد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الاحتمال في الاستبصار أشبه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عاصم بن حميد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الثوب يجنب فيه الرجل ويعرق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احبّ أن أنام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الشتاء فلا بأس ما لم يعرق فيه </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الخبر ضرب من الكراهيّة وهو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محمولا على أنّه إذا كانت الجنابة من حرام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ما في الاستناد إلى هذين الخبرين في إثبات الحكم من التعسّف ؛ فإنّ الأوّل ظاهر في كون المقتضي لغسل الثوب هو إصابة المنيّ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اعتراف الشيخ في الاستبصار بأنّه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الثاني </w:t>
      </w:r>
    </w:p>
    <w:p>
      <w:pPr>
        <w:pStyle w:val="BookText"/>
        <w:rPr/>
      </w:pPr>
      <w:r>
        <w:rPr>
          <w:rFonts w:ascii="Amiri" w:hAnsi="Amiri" w:eastAsia="Amiri" w:cs="Amiri"/>
          <w:color w:val="111111"/>
          <w:sz w:val="28"/>
          <w:sz w:val="28"/>
          <w:szCs w:val="28"/>
          <w:rtl w:val="true"/>
          <w:lang w:bidi="ar-SA"/>
        </w:rPr>
        <w:t>أنّ المقتضي لثبوت البأس مع العرق في الثوب هو احتمال سريان النجاسة الحاصلة بالمنيّ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رحمه‌اللّه كيف احتمل في هذا الحديث إرادة الجنابة من الحرام مع قول الإمام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فلا احبّ أن أنام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احتجاجه بالإجماع ، وقد أشار في المعتبر إلى القدح فيه فذكر أنّ الشيخ في المبسوط تردّد في الحكم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نسب الحكم بنجاسة عرق الجنب من الحرام في المبسوط إلى رواية الأصحاب وأنّه قوّى الكراهية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فالإجماع الذي يوجد في كلام الشيخ وكثير من الأصحاب محمول في الغالب على خلاف معناه المصطلح عليه ، كما مرّت الإشارة إليه في بحث الإجماع من مقدّمة الكتاب ، فلا يتمّ التمسّك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الاحتياط لا تصلح لتأسيس الأحكام بمجرّدها ، وإنّما لتفيد الأولويّة في الجملة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الشهيد في الذكرى بعد أن حكى عن المبسوط نسبة الحكم إلى رواية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رواه محمّد بن همّام بإسناده إلى إدريس بن يزداد الكفرثوثي أنّه كان يقول بالوقف فدخل سرّ من رأى في عهد أبي الحسن عليه‌السلام وأراد أن يسأله عن الثوب الذي يعرق فيه الجنب أيصلّي فيه؟ فبينما هو قائم في طاق باب لانتظاره عليه‌السلام حرّكه أبو الحسن عليه‌السلام بمقرعة وقال مبتديا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حلال فصلّ فيه وإن كان من حرام فلا تصلّ </w:t>
      </w:r>
      <w:bookmarkStart w:id="936" w:name="pg8731_77580"/>
    </w:p>
    <w:p>
      <w:pPr>
        <w:pStyle w:val="BookText"/>
        <w:rPr/>
      </w:pPr>
      <w:bookmarkEnd w:id="936"/>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بإسناده إلى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الحمّام يغتسل فيه الجنب من الحرام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وعن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من غسالته فإنّه يغتسل فيه من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الثلاث لم أر من تعرّض لها في هذا الحكم قبله وهي أقرب إليه من حيث الدلالة سيّما الاولى فإنّها ظاهرة في ذلك إلّا أنّ طريقي الروايتين الأخيرتين ضعيفان على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لم أقف عليها في كتب الحديث الموجودة الآن عندنا بعد التتبّع بقدر الوسع فحال إسنادها غير واضح ولا يبعد ضعفه وإلّا لذكره بكماله أو نبّه على صحّته</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3140541_653776707"/>
      <w:bookmarkStart w:id="938" w:name="_Toc345"/>
      <w:bookmarkEnd w:id="937"/>
      <w:r>
        <w:rPr>
          <w:rtl w:val="true"/>
        </w:rPr>
        <w:t xml:space="preserve">فروع </w:t>
      </w:r>
      <w:r>
        <w:rPr>
          <w:rtl w:val="true"/>
        </w:rPr>
        <w:t>:</w:t>
      </w:r>
      <w:bookmarkEnd w:id="938"/>
    </w:p>
    <w:p>
      <w:pPr>
        <w:pStyle w:val="Heading6"/>
        <w:numPr>
          <w:ilvl w:val="5"/>
          <w:numId w:val="1"/>
        </w:numPr>
        <w:rPr/>
      </w:pPr>
      <w:bookmarkStart w:id="939" w:name="__RefHeading___Toc3140543_653776707"/>
      <w:bookmarkStart w:id="940" w:name="_Toc346"/>
      <w:bookmarkEnd w:id="939"/>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940"/>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الحكم بنجاسة العرق المذكور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الجنب رجلا أو امرأة ، ولا بين أن يكون الجنابة من زنا أو لواط أو وطي بهيمة أو وطي ميتة وإن كانت زوجة ، وسواء كان مع الجماع إنزال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 باليد كالزنا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وطئ في الحيض أو الصوم فالأقرب طهارة العرق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المظاهرة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وطئ الصغير أجنبيّة وألحقنا به حكم الجنابة بالوطي ففي نجاسة عرقه إشكال ينشأ من عدم التحريم في حقّه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941" w:name="pg8731_77582"/>
    </w:p>
    <w:p>
      <w:pPr>
        <w:pStyle w:val="BookText"/>
        <w:rPr/>
      </w:pPr>
      <w:bookmarkEnd w:id="941"/>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الفروض موقوف على ملاحظة دليل أصل الحكم ، ولم يتّضح على ما ينبغي</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140545_653776707"/>
      <w:bookmarkStart w:id="943" w:name="_Toc347"/>
      <w:bookmarkEnd w:id="942"/>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943"/>
    </w:p>
    <w:p>
      <w:pPr>
        <w:pStyle w:val="BookText"/>
        <w:rPr/>
      </w:pPr>
      <w:r>
        <w:rPr>
          <w:rFonts w:ascii="Amiri" w:hAnsi="Amiri" w:eastAsia="Amiri" w:cs="Amiri"/>
          <w:color w:val="111111"/>
          <w:sz w:val="28"/>
          <w:sz w:val="28"/>
          <w:szCs w:val="28"/>
          <w:rtl w:val="true"/>
          <w:lang w:bidi="ar-SA"/>
        </w:rPr>
        <w:t xml:space="preserve">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بوجوب غسل الثوب من عرق الجنب من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عندي الاحتياط إن كان جنبا من حلم ثمّ عرق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لهذا الكلام وجها ولا رأينا له فيه رفيقا</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3140547_653776707"/>
      <w:bookmarkStart w:id="945" w:name="_Toc348"/>
      <w:bookmarkEnd w:id="944"/>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945"/>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والنفساء والمستحاضة والجنب من الحلال إذا خلا الثوب من عين النجاسة فلا بأس بعرقهم إجماعا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ما ذكره بالنظر إلى الجنب 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ذكرناها في صدر المسألة ، وفي الرواية الاولى دلالة على حكم الحائض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أخبار اخر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الحائض تعرق في ثيابها أتصلّي فيها قبل أن تغسلها؟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بعض الأخبار أمرها بغسل الثوب الذي عرقت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صلاحيّته من حيث السند لمقاومة ما دلّ على 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هو الغالب من عدم انفكاك الثوب من إصابة الدم أو آثاره أو على استحباب الغسل لقيام الاحتمال بالاعتبار الذي قلناه</w:t>
      </w:r>
      <w:r>
        <w:rPr>
          <w:rFonts w:eastAsia="Amiri" w:cs="Amiri" w:ascii="Amiri" w:hAnsi="Amiri"/>
          <w:color w:val="111111"/>
          <w:sz w:val="28"/>
          <w:szCs w:val="28"/>
          <w:rtl w:val="true"/>
          <w:lang w:bidi="ar-SA"/>
        </w:rPr>
        <w:t xml:space="preserve">. </w:t>
      </w:r>
      <w:bookmarkStart w:id="946" w:name="pg8731_77584"/>
    </w:p>
    <w:p>
      <w:pPr>
        <w:pStyle w:val="Heading5"/>
        <w:numPr>
          <w:ilvl w:val="4"/>
          <w:numId w:val="1"/>
        </w:numPr>
        <w:rPr/>
      </w:pPr>
      <w:bookmarkStart w:id="947" w:name="__RefHeading___Toc3140549_653776707"/>
      <w:bookmarkStart w:id="948" w:name="_Toc349"/>
      <w:bookmarkEnd w:id="946"/>
      <w:bookmarkEnd w:id="947"/>
      <w:r>
        <w:rPr>
          <w:rtl w:val="true"/>
        </w:rPr>
        <w:t xml:space="preserve">مسألة </w:t>
      </w:r>
      <w:r>
        <w:rPr>
          <w:rtl w:val="true"/>
        </w:rPr>
        <w:t>[</w:t>
      </w:r>
      <w:r>
        <w:rPr/>
        <w:t>15</w:t>
      </w:r>
      <w:r>
        <w:rPr>
          <w:rtl w:val="true"/>
        </w:rPr>
        <w:t>] :</w:t>
      </w:r>
      <w:bookmarkEnd w:id="948"/>
    </w:p>
    <w:p>
      <w:pPr>
        <w:pStyle w:val="BookText"/>
        <w:rPr/>
      </w:pPr>
      <w:r>
        <w:rPr>
          <w:rFonts w:ascii="Amiri" w:hAnsi="Amiri" w:eastAsia="Amiri" w:cs="Amiri"/>
          <w:color w:val="111111"/>
          <w:sz w:val="28"/>
          <w:sz w:val="28"/>
          <w:szCs w:val="28"/>
          <w:rtl w:val="true"/>
          <w:lang w:bidi="ar-SA"/>
        </w:rPr>
        <w:t xml:space="preserve">ذكر جماعة من الأصحاب منهم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عزى في المبسوط إلى بعض أصحابنا القول بنجاسة القى‌ء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علمائنا طهارته بحيث لا يعرف المخالف ، ولا نقل الخلاف غالبا إلّا بهذه الصورة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ذلك فيجب التمسّك به إلى أن يقوم على خلافه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عن عمّار الساباطي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القي‌ء يصيب الثوب فلا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يتقيّأ في ثوبه أيجوز أن يصلّي فيه ولا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بالتنجيس فلم يتعرّض لذكر حجّته من الأصحاب سوى العلّامة في المختلف فذكر له حجّة ركيكة واهية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الغائط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فيجامع كون كلّ منهما قذرا متغيّرا خرج من آدميّ ، وكون كلّ منهما ناقضا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فيجامع كونهما خارجين من الإنسان من غير السبيلين </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الاحتجاج لا يستحقّ</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عن عثمان بن عيسى عن أبي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أينقض الرعاف والقيّ ونتف الإبط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w:t>
      </w:r>
      <w:bookmarkStart w:id="949" w:name="pg8731_77586"/>
    </w:p>
    <w:p>
      <w:pPr>
        <w:pStyle w:val="BookText"/>
        <w:rPr/>
      </w:pPr>
      <w:bookmarkEnd w:id="949"/>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الرعاف والقي أن تغسله ، ولا تعيد الوضوء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يحتجّ للقول بالنجاسة هنا بالأمر بالغسل منه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المطالبة بصحّة السند أوّلا ، والحمل على الاستحباب ثانيا ؛ جمعا بينه وبين رواية عمّار</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140551_653776707"/>
      <w:bookmarkStart w:id="951" w:name="_Toc350"/>
      <w:bookmarkEnd w:id="950"/>
      <w:r>
        <w:rPr>
          <w:rtl w:val="true"/>
        </w:rPr>
        <w:t xml:space="preserve">مسألة </w:t>
      </w:r>
      <w:r>
        <w:rPr>
          <w:rtl w:val="true"/>
        </w:rPr>
        <w:t>[</w:t>
      </w:r>
      <w:r>
        <w:rPr/>
        <w:t>16</w:t>
      </w:r>
      <w:r>
        <w:rPr>
          <w:rtl w:val="true"/>
        </w:rPr>
        <w:t>] :</w:t>
      </w:r>
      <w:bookmarkEnd w:id="951"/>
    </w:p>
    <w:p>
      <w:pPr>
        <w:pStyle w:val="BookText"/>
        <w:rPr/>
      </w:pPr>
      <w:r>
        <w:rPr>
          <w:rFonts w:ascii="Amiri" w:hAnsi="Amiri" w:eastAsia="Amiri" w:cs="Amiri"/>
          <w:color w:val="111111"/>
          <w:sz w:val="28"/>
          <w:sz w:val="28"/>
          <w:szCs w:val="28"/>
          <w:rtl w:val="true"/>
          <w:lang w:bidi="ar-SA"/>
        </w:rPr>
        <w:t xml:space="preserve">الظاهر من كلام ابن الجنيد الحكم بنجاسة لبن الصبيّة ؛ لما رواه محمّد بن أحمد ابن يحيى عن إبراهيم بن هاشم عن النوفلي عن السكوني عن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الجارية وبولها يغسل منه الثوب قبل أن يطعم لأنّ لبنها يخرج من مثانة امّها </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هذه الرواية ضعيف ، فلا تصلح مخرجا عمّا يقتضيه الأصل ، ومن ثمّ قال جمهور الأصحاب بالطهارة إذ لم ينقلوا الخلاف في ذلك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ظهر من كلام الصدوق في من لا يحضره الفقيه القول بذلك أيضا حيث ذكر الرواية فيه </w:t>
      </w:r>
      <w:r>
        <w:rPr>
          <w:rStyle w:val="FootnoteAnchor"/>
          <w:rtl w:val="true"/>
        </w:rPr>
        <w:footnoteReference w:id="1657"/>
      </w:r>
      <w:r>
        <w:rPr>
          <w:rFonts w:ascii="Amiri" w:hAnsi="Amiri" w:eastAsia="Amiri" w:cs="Amiri"/>
          <w:color w:val="111111"/>
          <w:sz w:val="28"/>
          <w:sz w:val="28"/>
          <w:szCs w:val="28"/>
          <w:rtl w:val="true"/>
          <w:lang w:bidi="ar-SA"/>
        </w:rPr>
        <w:t xml:space="preserve">، وقد تكرّرت حكاية قوله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يورد فيه إلّا ما يفتي به ويحكم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ذكره لهذه الرواية غير بعيد عن إعطاء القاعدة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وذكرها والده أيضا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يظهر منه التزام ما التزمه ولده </w:t>
      </w:r>
      <w:bookmarkStart w:id="952" w:name="pg8731_77588"/>
    </w:p>
    <w:p>
      <w:pPr>
        <w:pStyle w:val="BookText"/>
        <w:rPr/>
      </w:pPr>
      <w:bookmarkEnd w:id="952"/>
      <w:r>
        <w:rPr>
          <w:rFonts w:ascii="Amiri" w:hAnsi="Amiri" w:eastAsia="Amiri" w:cs="Amiri"/>
          <w:color w:val="111111"/>
          <w:sz w:val="28"/>
          <w:sz w:val="28"/>
          <w:szCs w:val="28"/>
          <w:rtl w:val="true"/>
          <w:lang w:bidi="ar-SA"/>
        </w:rPr>
        <w:t>من التقيّد في ذكر الأخبار بما يفتي به مع التصريح بكونه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المشهور بين الأصحاب القول بالطهارة ؛ استضعافا للرواية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جماعة منهم حمل الرواية على الاستحباب ولا بأس به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140553_653776707"/>
      <w:bookmarkStart w:id="954" w:name="_Toc351"/>
      <w:bookmarkEnd w:id="953"/>
      <w:r>
        <w:rPr>
          <w:rtl w:val="true"/>
        </w:rPr>
        <w:t xml:space="preserve">مسألة </w:t>
      </w:r>
      <w:r>
        <w:rPr>
          <w:rtl w:val="true"/>
        </w:rPr>
        <w:t>[</w:t>
      </w:r>
      <w:r>
        <w:rPr/>
        <w:t>17</w:t>
      </w:r>
      <w:r>
        <w:rPr>
          <w:rtl w:val="true"/>
        </w:rPr>
        <w:t>] :</w:t>
      </w:r>
      <w:bookmarkEnd w:id="954"/>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يتولّد في النجاسات كدود الحش وصراصره ، في نجاسته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كائنة عن النجاسة فيبقى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طهارة ما مات فيه حيوان لا نفس له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التفصيل دليل إرادة الإطلاق ، ولأنّ تولّده في النجاسة معلوم ، أمّا منها فغير معلوم فلا يحكم بنجاسته وإن لاقى النجاسة إذا خلا من عينها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قوّة توجيه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جزم العلّامة في المنتهى وغيره محتجّا بما نبّه عليه المحقّق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المنتهى عن بعض العامّة القول بنجاسة ما هذا شأنه ؛ لأنّه كائن عن النجاسة فيكون نجسا كولد الكلب والخنزير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بمنع المقدّمتين ، فإنّ المعلوم إنّما هو تولّده في النجاسة 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 منع من نجاسة المتولّد من النجس ، وولد الكلب ليس نجسا باعتبار </w:t>
      </w:r>
    </w:p>
    <w:p>
      <w:pPr>
        <w:pStyle w:val="BookText"/>
        <w:rPr/>
      </w:pPr>
      <w:r>
        <w:rPr>
          <w:rFonts w:ascii="Amiri" w:hAnsi="Amiri" w:eastAsia="Amiri" w:cs="Amiri"/>
          <w:color w:val="111111"/>
          <w:sz w:val="28"/>
          <w:sz w:val="28"/>
          <w:szCs w:val="28"/>
          <w:rtl w:val="true"/>
          <w:lang w:bidi="ar-SA"/>
        </w:rPr>
        <w:t xml:space="preserve">تولّده عن النجس ، بل باعتبار صدق اسم الكلب عليه ، بخلاف موضع النزاع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جيّد وقد أشرنا إليه في بحث نجاسة ولد الكافر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عندي هنا على الطهارة</w:t>
      </w:r>
      <w:r>
        <w:rPr>
          <w:rFonts w:eastAsia="Amiri" w:cs="Amiri" w:ascii="Amiri" w:hAnsi="Amiri"/>
          <w:color w:val="111111"/>
          <w:sz w:val="28"/>
          <w:szCs w:val="28"/>
          <w:rtl w:val="true"/>
          <w:lang w:bidi="ar-SA"/>
        </w:rPr>
        <w:t xml:space="preserve">. </w:t>
      </w:r>
      <w:bookmarkStart w:id="955" w:name="pg8731_77592"/>
    </w:p>
    <w:p>
      <w:pPr>
        <w:pStyle w:val="Heading4"/>
        <w:numPr>
          <w:ilvl w:val="3"/>
          <w:numId w:val="1"/>
        </w:numPr>
        <w:rPr/>
      </w:pPr>
      <w:bookmarkStart w:id="956" w:name="__RefHeading___Toc3140555_653776707"/>
      <w:bookmarkStart w:id="957" w:name="_Toc352"/>
      <w:bookmarkEnd w:id="955"/>
      <w:bookmarkEnd w:id="956"/>
      <w:r>
        <w:rPr>
          <w:rtl w:val="true"/>
        </w:rPr>
        <w:t xml:space="preserve">الفصل الثاني </w:t>
      </w:r>
      <w:r>
        <w:rPr>
          <w:rtl w:val="true"/>
        </w:rPr>
        <w:t xml:space="preserve">: </w:t>
      </w:r>
      <w:r>
        <w:rPr>
          <w:rtl w:val="true"/>
        </w:rPr>
        <w:t>في أحكام النجاسات</w:t>
      </w:r>
      <w:bookmarkEnd w:id="957"/>
    </w:p>
    <w:p>
      <w:pPr>
        <w:pStyle w:val="Heading5"/>
        <w:numPr>
          <w:ilvl w:val="4"/>
          <w:numId w:val="1"/>
        </w:numPr>
        <w:rPr/>
      </w:pPr>
      <w:bookmarkStart w:id="958" w:name="__RefHeading___Toc3140557_653776707"/>
      <w:bookmarkStart w:id="959" w:name="_Toc353"/>
      <w:bookmarkEnd w:id="958"/>
      <w:r>
        <w:rPr>
          <w:rtl w:val="true"/>
        </w:rPr>
        <w:t>اشارة</w:t>
      </w:r>
      <w:bookmarkEnd w:id="95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أبحاث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8731_77596"/>
      <w:bookmarkStart w:id="961" w:name="pg8731_77596"/>
      <w:bookmarkEnd w:id="961"/>
    </w:p>
    <w:p>
      <w:pPr>
        <w:pStyle w:val="Heading5"/>
        <w:numPr>
          <w:ilvl w:val="4"/>
          <w:numId w:val="1"/>
        </w:numPr>
        <w:rPr/>
      </w:pPr>
      <w:bookmarkStart w:id="962" w:name="pg8731_77596"/>
      <w:bookmarkStart w:id="963" w:name="__RefHeading___Toc3140559_653776707"/>
      <w:bookmarkStart w:id="964" w:name="_Toc354"/>
      <w:bookmarkEnd w:id="962"/>
      <w:bookmarkEnd w:id="963"/>
      <w:r>
        <w:rPr>
          <w:rtl w:val="true"/>
        </w:rPr>
        <w:t xml:space="preserve">البحث الأوّل </w:t>
      </w:r>
      <w:r>
        <w:rPr>
          <w:rtl w:val="true"/>
        </w:rPr>
        <w:t xml:space="preserve">: </w:t>
      </w:r>
      <w:r>
        <w:rPr>
          <w:rtl w:val="true"/>
        </w:rPr>
        <w:t>في بيان ما يتحقّق معه التنجيس بها شرعا وما يجب إزالته منها عن الثياب والبدن للصلاة وما يعفى عنه</w:t>
      </w:r>
      <w:bookmarkEnd w:id="964"/>
    </w:p>
    <w:p>
      <w:pPr>
        <w:pStyle w:val="Heading6"/>
        <w:numPr>
          <w:ilvl w:val="5"/>
          <w:numId w:val="1"/>
        </w:numPr>
        <w:rPr/>
      </w:pPr>
      <w:bookmarkStart w:id="965" w:name="__RefHeading___Toc3140561_653776707"/>
      <w:bookmarkStart w:id="966" w:name="_Toc355"/>
      <w:bookmarkEnd w:id="965"/>
      <w:r>
        <w:rPr>
          <w:rtl w:val="true"/>
        </w:rPr>
        <w:t xml:space="preserve">مسألة </w:t>
      </w:r>
      <w:r>
        <w:rPr>
          <w:rtl w:val="true"/>
        </w:rPr>
        <w:t>[</w:t>
      </w:r>
      <w:r>
        <w:rPr/>
        <w:t>1</w:t>
      </w:r>
      <w:r>
        <w:rPr>
          <w:rtl w:val="true"/>
        </w:rPr>
        <w:t>] :</w:t>
      </w:r>
      <w:bookmarkEnd w:id="966"/>
    </w:p>
    <w:p>
      <w:pPr>
        <w:pStyle w:val="Heading6"/>
        <w:numPr>
          <w:ilvl w:val="5"/>
          <w:numId w:val="1"/>
        </w:numPr>
        <w:rPr/>
      </w:pPr>
      <w:bookmarkStart w:id="967" w:name="__RefHeading___Toc3140563_653776707"/>
      <w:bookmarkStart w:id="968" w:name="_Toc356"/>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كلّ نجاسة عينيّة فهي مؤثّرة مع الملاقاة بالرطوبة نجاسة ما يلاقيه في الجملة ، عدا الماء فإنّ فيه تفصيلا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انتفاء الرطوبة فلا نعلم خلافا في عدم التأثير إلّا في الميتة فإنّ للأصحاب فيها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مؤثّرة حينئذ مطلقا وهو صريح كلام العلّامة في النهاية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موضع آخر من كتبه وفي بعض عبارات المحقّق إشعار به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تأثيرها بدون الرطوبة مطلقا كغيرها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بعض المتأخّرين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بموافقة الأوّل في ميتة الآدمي ، والثاني في ميتة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جماعة من الأصحاب منهم العلّامة في التذكرة </w:t>
      </w:r>
      <w:r>
        <w:rPr>
          <w:rStyle w:val="FootnoteAnchor"/>
          <w:rtl w:val="true"/>
        </w:rPr>
        <w:footnoteReference w:id="1664"/>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ظهر من كلام العلّامة في المنتهى قول رابع وهو موافقة القول الأوّل في الآدميّ مطلقا ، والثاني في إيجاب غسل ما يلاقيه ميتة غير الآدميّ لا في نجاسته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بناه على عدم دلالة الأمر بالغسل على حصول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أنواع النجاسات استدلّ على نجاستها بإيجاب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بالنظر إلى الحكم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بالنظر إلى الثاني فهذه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يمسّ الميتة برطوبة أو لا في إيجاب غسل اليد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ينجس اليد لو كانت الميتة يابسة؟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ينشأ من كون النجاسات العينيّة يابسة غير مؤثّرة في الملاقي ، ومن عموم وجوب الغسل وإنّما تكون مع التنجيس ، وحينئذ يكون نجاستها عينيّة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الثاني ، فلو لامس رطبا قبل غسل يده لم يحكم بنجاسة على إشكال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ما ذكره أخيرا من الترديد بين كونها عينيّة أو حكميّة على تقدير اختيار النجاسة لأمكن حمل أوّل الكلام على التردّد في كونها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هنا في أصل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عينا أو حكما فسيأتي الكلام فيه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الأوّل بالنظر إلى ميتة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بغسل الثوب إذا أصاب جسد الميّت في حسنة الحلبي ورواية إبراهيم بن ميمون وقد تقدّمتا في نجاسة الميتة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وبالنظر إلى ميتة غير الآدمي مرسلة يونس بن عبد الرحمن عن بعض أصحابه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يمسّ الثعلب والأرنب أو شيئا من السباع حيّا أو ميّتا؟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ولكن يغسل يده </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في الأمرين واحد وهو ترك الاستفصال عن كون الماء والمسّ برطوبة أو غيرها وهو دليل على تعميم الحكم وانتفاء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هذه الروايات معارض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يابس زكيّ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رأى تخصيصها به مع أنّه من جهة السند لا يصلح لمقاومة الحديث الحسن فيشكل جعله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وافق به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حجّته فيه بعينها بحسب كون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وافق 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الحكم فيمكن الاستناد في نفي التنجيس حينئذ إلى الأصل أو إلى حجّة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في الذكرى وجه عدم صلاحيّة الرواية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التسوية فيما بين الحيّ والميّت من الأشياء المعدودة فيها يشعر بالاستحباب لطهارتها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اليبوسة ؛ للفرق مع الموت والرطوبة قطعا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القطع بالفرق مع الموت والرطوبة إنّما يتمّ في بعض ما عدّد في الرواية ، وهو ما وقع الاتّفاق على طهارته من السباع ، وإلّا فما اختلف فيه منه كالثعلب والأرنب لا يتّجه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الاحتجاج بها للقول بنجاستهما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التنبيه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عب‌ء </w:t>
      </w:r>
      <w:bookmarkStart w:id="969" w:name="pg8731_77602"/>
    </w:p>
    <w:p>
      <w:pPr>
        <w:pStyle w:val="BookText"/>
        <w:rPr/>
      </w:pPr>
      <w:bookmarkEnd w:id="969"/>
      <w:r>
        <w:rPr>
          <w:rFonts w:ascii="Amiri" w:hAnsi="Amiri" w:eastAsia="Amiri" w:cs="Amiri"/>
          <w:color w:val="111111"/>
          <w:sz w:val="28"/>
          <w:sz w:val="28"/>
          <w:szCs w:val="28"/>
          <w:rtl w:val="true"/>
          <w:lang w:bidi="ar-SA"/>
        </w:rPr>
        <w:t>هذه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عملنا بالحديث الحسن قرب التفصيل ؛ لأنّه ظاهر في التأثير مطلقا بالنسبة إلى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مساواة غيره له سوى المرسلة ، وهي لا تصلح حجّة ، فلا مقتضي للخروج في حكمه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اتّجه توقّف النجاسة في الجميع على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الآدميّ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القطع المبانة من الحيّ ، فقد سبق أن الأصحاب يلحقونها في التنجيس بالميتة فتكون على القول الأوّل مؤثّرة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حكمها على القول الثالث لعدم تناول الدليل لها ، وكون الظاهر من إطلاقهم الإلحاق مساواتها للميّت فثبت لها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الرجحان للتوجيه الأوّل ، فيقرب القول بتوقّف تأثيرها على الرطوبة</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3140565_653776707"/>
      <w:bookmarkStart w:id="971" w:name="_Toc357"/>
      <w:bookmarkEnd w:id="970"/>
      <w:r>
        <w:rPr>
          <w:rtl w:val="true"/>
        </w:rPr>
        <w:t xml:space="preserve">تذنيب </w:t>
      </w:r>
      <w:r>
        <w:rPr>
          <w:rtl w:val="true"/>
        </w:rPr>
        <w:t>:</w:t>
      </w:r>
      <w:bookmarkEnd w:id="971"/>
    </w:p>
    <w:p>
      <w:pPr>
        <w:pStyle w:val="BookText"/>
        <w:rPr/>
      </w:pPr>
      <w:r>
        <w:rPr>
          <w:rFonts w:ascii="Amiri" w:hAnsi="Amiri" w:eastAsia="Amiri" w:cs="Amiri"/>
          <w:color w:val="111111"/>
          <w:sz w:val="28"/>
          <w:sz w:val="28"/>
          <w:szCs w:val="28"/>
          <w:rtl w:val="true"/>
          <w:lang w:bidi="ar-SA"/>
        </w:rPr>
        <w:t xml:space="preserve">ذكر جماعة من الأصحاب أنّ المعتبر من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يتوقّف تأثير النجاسات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منها شي‌ء إلى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القليلة التي بلغت في القلّة حدّا لا يتصوّر معه تعدّي شي‌ء منها ففي حكم اليبوسة ، وهو حسن</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3140567_653776707"/>
      <w:bookmarkStart w:id="973" w:name="_Toc358"/>
      <w:bookmarkEnd w:id="972"/>
      <w:r>
        <w:rPr>
          <w:rtl w:val="true"/>
        </w:rPr>
        <w:t xml:space="preserve">مسألة </w:t>
      </w:r>
      <w:r>
        <w:rPr>
          <w:rtl w:val="true"/>
        </w:rPr>
        <w:t>[</w:t>
      </w:r>
      <w:r>
        <w:rPr/>
        <w:t>2</w:t>
      </w:r>
      <w:r>
        <w:rPr>
          <w:rtl w:val="true"/>
        </w:rPr>
        <w:t>] :</w:t>
      </w:r>
      <w:bookmarkEnd w:id="973"/>
    </w:p>
    <w:p>
      <w:pPr>
        <w:pStyle w:val="BookText"/>
        <w:rPr/>
      </w:pPr>
      <w:r>
        <w:rPr>
          <w:rFonts w:ascii="Amiri" w:hAnsi="Amiri" w:eastAsia="Amiri" w:cs="Amiri"/>
          <w:color w:val="111111"/>
          <w:sz w:val="28"/>
          <w:sz w:val="28"/>
          <w:szCs w:val="28"/>
          <w:rtl w:val="true"/>
          <w:lang w:bidi="ar-SA"/>
        </w:rPr>
        <w:t>وكلّ ما حكم بنجاسته شرعا فهو مؤثّر للتنجيس في غيره أيضا مع الرطوبة عند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فيه الخلاف ، إلّا من العلّامة وابن إدريس</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العلّامة فذهب في بعض كتبه إلى أنّ النجاسة الحاصلة عن مسّ الميّت بغير رطوبة حكميّة لا يتعدّى إلى غير الماسّ وإن كانت الملاقاة حينئذ </w:t>
      </w:r>
    </w:p>
    <w:p>
      <w:pPr>
        <w:pStyle w:val="BookText"/>
        <w:rPr/>
      </w:pPr>
      <w:r>
        <w:rPr>
          <w:rFonts w:ascii="Amiri" w:hAnsi="Amiri" w:eastAsia="Amiri" w:cs="Amiri"/>
          <w:color w:val="111111"/>
          <w:sz w:val="28"/>
          <w:sz w:val="28"/>
          <w:szCs w:val="28"/>
          <w:rtl w:val="true"/>
          <w:lang w:bidi="ar-SA"/>
        </w:rPr>
        <w:t xml:space="preserve">برطوبة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إدريس فيعزى إليه القول بأنّه إذا لاقى شي‌ء من جسد الميّت مائعا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لاقى ذلك المائع مائعا آخر لم ينجس الثاني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فالبحث هاهنا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العلّامة وقد ذكره في المنتهى والقواعد ، واحتمله في النهاية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ميّت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ينجس نجاسة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مسّه يابسا فالوجه أنّ النجاسة حكميّة ، فلو لاقى ببدنه بعد ملاقاته للميّت رطبا لم يؤثّر في تنجيسه ؛ لعدم دليل التنجيس ، وثبوت الأصل الدالّ على الطهارة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فيه بعض الأصحاب بأنّ النصوص دلّت على وجوب غسل الملاقي لبدن الميّت ، وما ذاك إلّا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النجس تنجيسه لغيره مع ملاقاته له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جزم العلّامة في هذا الكتاب بكون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الملاقاة لميّت الآدميّ باليبوسة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حكميّة واستشكاله لذلك في ميتة غيره ، كما حكيناه عنه آنفا ، مع أنّه في ميتة الآدميّ لم يتوقّف في عدم الفرق بين كون الملاقاة برطوبة ويبوسة في حصول التنجيس بها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توقّفه في </w:t>
      </w:r>
    </w:p>
    <w:p>
      <w:pPr>
        <w:pStyle w:val="BookText"/>
        <w:rPr/>
      </w:pPr>
      <w:r>
        <w:rPr>
          <w:rFonts w:ascii="Amiri" w:hAnsi="Amiri" w:eastAsia="Amiri" w:cs="Amiri"/>
          <w:color w:val="111111"/>
          <w:sz w:val="28"/>
          <w:sz w:val="28"/>
          <w:szCs w:val="28"/>
          <w:rtl w:val="true"/>
          <w:lang w:bidi="ar-SA"/>
        </w:rPr>
        <w:t>النجاسة مع اليبوسة في ميتة غير الآدمي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ابن إدريس وقد حكاه عنه جماعة منهم الفاضلان ، واستوفى الكلام فيه احتجاجا وردّا في المعتبر ، فقال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يد الميّت بعد برده وقبل تطهيره في مائع فإنّ ذلك المائع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ذلك المائع في آخر وجب الحكم بنجاسة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وخبط بعض المتأخّرين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جسد الميّت إناء وجب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لاقى ذلك الإناء مائعا لم ينجس المائع لأنّه لم يلاق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ذلك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الأشياء الطهارة إلى أن يقوم دليل ؛ لأنّ هذه نجاسات حكميّات وليست عينيّات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الامّة كافّة أنّ المساجد يجب أن تجنّب النجاسات العينيّة وقد أجمعنا بغير خلاف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غسّل ميّتا له أن يدخل المسجد ويجلس فيه ، فلو كان نجس العين لما جاز ذلك ، ولأنّ الماء المستعمل في الطهارة الكبرى طاهر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الأغسال غسل من مسّ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لاقى الميّت نجسا لما كان الماء الذي يغتسل به طاهرا </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أخذ في الجواب عن هذه الوجوه التي تمسّك بها ابن إدريس</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يصلح دليلا على دعواه ، بل يصلح جوابا لمن يستدلّ على نجاسة المائع الملاقي للإناء بالقياس على نجاسة الإناء الملاقي للميّت ، لكن لم يستدلّ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لما اجتمع الأصحاب على نجاسة الملاقي للميّت وأجمعوا على نجاسة المائع إذا وقعت فيه نجاسة لزم من مجموع القولين نجاسة ذلك المائع ، لا بالقياس على نجاسة الملاقي </w:t>
      </w:r>
    </w:p>
    <w:p>
      <w:pPr>
        <w:pStyle w:val="BookText"/>
        <w:rPr/>
      </w:pPr>
      <w:r>
        <w:rPr>
          <w:rFonts w:ascii="Amiri" w:hAnsi="Amiri" w:eastAsia="Amiri" w:cs="Amiri"/>
          <w:color w:val="111111"/>
          <w:sz w:val="28"/>
          <w:sz w:val="28"/>
          <w:szCs w:val="28"/>
          <w:rtl w:val="true"/>
          <w:lang w:bidi="ar-SA"/>
        </w:rPr>
        <w:t xml:space="preserve">للميّت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ذكره لا يصلح دليلا ولا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دعوى عريّة من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نطالبك بتحقيق الإجماع على هذه الدعوى ، ونطالبك أين وجدتها؟ فإنّا لا نوافقك على ذلك بل نمنع الاستيطان كما يمنع من على جسده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إثبات الدعوى بالمجازفات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كون الماء المستعمل في الكبرى طاهرا ولا نسلّم طهارة ماء المغتسل من ملامسة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وتحقيق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ملامس الميّت تنجس يده نجاسة عينيّة ويجب عليه الغسل وهو طهارة حكميّة فإن اغتسل قبل غسل يده نجس ذلك الماء بملاقاة يده التي لامس بها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غسل يده ثمّ اغتسل لم يحكم بنجاسة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في جميع الأغسال الحكميّة ؛ فإنّ ماء الغسل من الجنابة طاهر وإن كان الغسل يجب بخروج المنيّ وينجس موضع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قبل غسل موضع الجنابة كان ماء الغسل نجسا لملاقاة مخرج النجاسة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غسل الحيض يجب عند انقطاع الدم ، ويكون المخرج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اغتسلت ولم تغسله كان ماء الغسل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ضعف ما ذكره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ليس بنجس ، وإنّما يجب الغسل تعبّدا ، كما 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مخالف لما ذكره الشيخ أبو جعفر ؛ فإنّه ذكر أنّه نجس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هذا المتأخّر نجاسته ونجاسة ما يلاقي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اوجب غسل ما يلاقي بدنه ولا أحكم بنجاسة ذلك الملاقي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استصحابه في الصلاة والطهارة به لو كان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 أن يكون الماء الذي يغسل به الميّت طاهرا مطهّرا ، ويلزمك حينئذ أن يكون </w:t>
      </w:r>
      <w:bookmarkStart w:id="974" w:name="pg8731_77610"/>
    </w:p>
    <w:p>
      <w:pPr>
        <w:pStyle w:val="BookText"/>
        <w:rPr/>
      </w:pPr>
      <w:bookmarkEnd w:id="974"/>
      <w:r>
        <w:rPr>
          <w:rFonts w:ascii="Amiri" w:hAnsi="Amiri" w:eastAsia="Amiri" w:cs="Amiri"/>
          <w:color w:val="111111"/>
          <w:sz w:val="28"/>
          <w:sz w:val="28"/>
          <w:szCs w:val="28"/>
          <w:rtl w:val="true"/>
          <w:lang w:bidi="ar-SA"/>
        </w:rPr>
        <w:t xml:space="preserve">ملاقاته مؤثّرة في الثوب مسّا وغسلا وغير مؤثّرة في الماء القليل وهو باطل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المحقّق رحمه‌اللّه وكأنّه أراد من النجاسة التي ادّعي الإجماع على تنجيس المائع بوقوعها فيه ما يشمل المنجّس لينتظم الدليل مع الدعوى ، وإلّا فالإجماع على تأثير عين النجاسة لا يدلّ على تأثير المنجّس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انعقاد الإجماع على تأثير المنجّس مع الرطوبة كالنجاسة واندفع به قول ابن إدريس ، فكذا يندفع به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نازعا في تحقّق هذا الإجماع</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140569_653776707"/>
      <w:bookmarkStart w:id="976" w:name="_Toc359"/>
      <w:bookmarkEnd w:id="975"/>
      <w:r>
        <w:rPr>
          <w:rtl w:val="true"/>
        </w:rPr>
        <w:t xml:space="preserve">مسألة </w:t>
      </w:r>
      <w:r>
        <w:rPr>
          <w:rtl w:val="true"/>
        </w:rPr>
        <w:t>[</w:t>
      </w:r>
      <w:r>
        <w:rPr/>
        <w:t>3</w:t>
      </w:r>
      <w:r>
        <w:rPr>
          <w:rtl w:val="true"/>
        </w:rPr>
        <w:t>] :</w:t>
      </w:r>
      <w:bookmarkEnd w:id="976"/>
    </w:p>
    <w:p>
      <w:pPr>
        <w:pStyle w:val="Heading6"/>
        <w:numPr>
          <w:ilvl w:val="5"/>
          <w:numId w:val="1"/>
        </w:numPr>
        <w:rPr/>
      </w:pPr>
      <w:bookmarkStart w:id="977" w:name="__RefHeading___Toc3140571_653776707"/>
      <w:bookmarkStart w:id="978" w:name="_Toc360"/>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إذا علم أنّ النجاسة لاقت شيئا طاهرا على الوجه الذي بيّنا كونه مؤثّرا حكم بنجاسته وهو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الظنّ بالملاقاة ففي الحكم بالتنجيس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استند إلى شهادة العدلين أو إخبار ذي اليد وإن لم يكن عدلا حكم به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استند إلى سبب كقول العدل فهو كما لو علم ، وإن لم يستند إلى سبب كما في ثياب مدمني الخمر والقصّابين والصبيان وطين الشوارع والمقابر المنبوشة لم يحكم بالتنجيس</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والقولان الأوّلان لأبي الصلاح وابن البرّاج ، فإنّه يحكى عن أبي الصلاح القول بقيام الظنّ هنا مقام العلم مطلقا </w:t>
      </w:r>
      <w:r>
        <w:rPr>
          <w:rStyle w:val="FootnoteAnchor"/>
          <w:rtl w:val="true"/>
        </w:rPr>
        <w:footnoteReference w:id="1678"/>
      </w:r>
      <w:r>
        <w:rPr>
          <w:rFonts w:ascii="Amiri" w:hAnsi="Amiri" w:eastAsia="Amiri" w:cs="Amiri"/>
          <w:color w:val="111111"/>
          <w:sz w:val="28"/>
          <w:sz w:val="28"/>
          <w:szCs w:val="28"/>
          <w:rtl w:val="true"/>
          <w:lang w:bidi="ar-SA"/>
        </w:rPr>
        <w:t xml:space="preserve">ويعزى إلى ابن البرّاج نفي تأثير الظنّ </w:t>
      </w:r>
      <w:bookmarkStart w:id="979" w:name="pg8731_77612"/>
    </w:p>
    <w:p>
      <w:pPr>
        <w:pStyle w:val="BookText"/>
        <w:rPr/>
      </w:pPr>
      <w:bookmarkEnd w:id="979"/>
      <w:r>
        <w:rPr>
          <w:rFonts w:ascii="IRNazanin" w:hAnsi="IRNazanin" w:eastAsia="IRNazanin"/>
          <w:color w:val="111111"/>
          <w:sz w:val="28"/>
          <w:sz w:val="28"/>
          <w:szCs w:val="28"/>
          <w:rtl w:val="true"/>
          <w:lang w:bidi="fa-IR"/>
        </w:rPr>
        <w:t xml:space="preserve">مطلقا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جماعة من الأصحاب منهم العلّامة في المنتهى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في موضع من التذكرة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حكاية هذا الخلاف في بحث الماء المشتبه مع ذكر حجج الأقوال الأربعة وبيان الراجح منها</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3140573_653776707"/>
      <w:bookmarkStart w:id="981" w:name="_Toc361"/>
      <w:bookmarkEnd w:id="980"/>
      <w:r>
        <w:rPr>
          <w:rtl w:val="true"/>
        </w:rPr>
        <w:t xml:space="preserve">فرع </w:t>
      </w:r>
      <w:r>
        <w:rPr>
          <w:rtl w:val="true"/>
        </w:rPr>
        <w:t>:</w:t>
      </w:r>
      <w:bookmarkEnd w:id="981"/>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الكافر طاهر ما لم تعلم مباشرته له برطوبة ؛ لأنّ الأصل طهارة الثوب ولم يحصل علم المباشرة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اجتنابه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في ثوب عمله المشرك إذا لم تعلم مباشرته له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لذلك بالأصل وبعض الأخبار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منع في المبسوط من ذلك وهو حسن ؛ لغلبة الظنّ بالمباشرة بالرطوبة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الحكم في هذا الفرع مبنيّ على الخلاف في المسألة ، فإن أجرينا الظنّ مجرى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بالنجاسة هنا للظنّ القويّ غالبا ، وإلّا فالحكم هو الطهارة إلى أن يحصل القطع بخلافها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في الصحيح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عليه‌السلام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اعير الذمّي ثوبي وأنا أعلم أنّه يشرب الخمر </w:t>
      </w:r>
    </w:p>
    <w:p>
      <w:pPr>
        <w:pStyle w:val="BookText"/>
        <w:rPr/>
      </w:pPr>
      <w:r>
        <w:rPr>
          <w:rFonts w:ascii="Amiri" w:hAnsi="Amiri" w:eastAsia="Amiri" w:cs="Amiri"/>
          <w:color w:val="111111"/>
          <w:sz w:val="28"/>
          <w:sz w:val="28"/>
          <w:szCs w:val="28"/>
          <w:rtl w:val="true"/>
          <w:lang w:bidi="ar-SA"/>
        </w:rPr>
        <w:t xml:space="preserve">ويأكل لحم الخنزير فيردّه عليّ فأغسله قبل أن أصلّي فيه؟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ولا تغسله من أجل ذلك فإنّك إذا أعرته إيّاه وهو طاهر ولم تستيقن أنّه نجّسه ، فلا بأس أن يصلّى فيه حتّى يستيقن أنّه نجس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عليه‌السلام عن الثياب السابرية يعملها المجوس وهم أخباث وهم يشربون الخمر ونساؤهم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ألبسها ولا أغسلها واصلّي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له قميصا وخطته وفتلت له أزرارا ورداء من السابريّ ثمّ بعثت بها إليه في يوم جمعة حين ارتفع النهار فكأنّه عرف ما اريد فخرج فيها إلى الجمعة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عدّة أحاديث تخالف بظاهرها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الصحيح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عليه‌السلام عن الذي يعير ثوبه لمن يعلم أنّه يأكل الجرّي ويشرب الخمر فيردّه ، أيصلّي فيه قبل أن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فيه حتى يغسله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في الصحيح أيضا عن عبد اللّه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الصلاة في ثوب المجوسي؟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يرشّ بالماء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الشيخ في التهذيب الخبر الأوّل على الاستحباب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الاستبصار لغير حديثي ابن سنان</w:t>
      </w:r>
      <w:r>
        <w:rPr>
          <w:rFonts w:eastAsia="Amiri" w:cs="Amiri" w:ascii="Amiri" w:hAnsi="Amiri"/>
          <w:color w:val="111111"/>
          <w:sz w:val="28"/>
          <w:szCs w:val="28"/>
          <w:rtl w:val="true"/>
          <w:lang w:bidi="ar-SA"/>
        </w:rPr>
        <w:t xml:space="preserve">. </w:t>
      </w:r>
      <w:bookmarkStart w:id="982" w:name="pg8731_77617"/>
    </w:p>
    <w:p>
      <w:pPr>
        <w:pStyle w:val="BookText"/>
        <w:rPr/>
      </w:pPr>
      <w:bookmarkEnd w:id="982"/>
      <w:r>
        <w:rPr>
          <w:rFonts w:ascii="Amiri" w:hAnsi="Amiri" w:eastAsia="Amiri" w:cs="Amiri"/>
          <w:color w:val="111111"/>
          <w:sz w:val="28"/>
          <w:sz w:val="28"/>
          <w:szCs w:val="28"/>
          <w:rtl w:val="true"/>
          <w:lang w:bidi="ar-SA"/>
        </w:rPr>
        <w:t xml:space="preserve">وقال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راويهما عبد اللّه بن سنان ، والحكاية فيهما جميعا عن مسألة أبيه أبا عبد اللّه ولا يجوز أن يتناقض بأن يقول تارة صلّ فيه وتارة لا تصلّ فيه إلّا أن يكون قوله لا تصلّ فيه على وجه الكراهيّة دون الحظر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3" w:name="__RefHeading___Toc3140575_653776707"/>
      <w:bookmarkStart w:id="984" w:name="_Toc362"/>
      <w:bookmarkEnd w:id="983"/>
      <w:r>
        <w:rPr>
          <w:rtl w:val="true"/>
        </w:rPr>
        <w:t xml:space="preserve">[ </w:t>
      </w:r>
      <w:r>
        <w:rPr>
          <w:rtl w:val="true"/>
        </w:rPr>
        <w:t xml:space="preserve">فرع </w:t>
      </w:r>
      <w:r>
        <w:rPr>
          <w:rtl w:val="true"/>
        </w:rPr>
        <w:t xml:space="preserve">] </w:t>
      </w:r>
      <w:r>
        <w:rPr>
          <w:rtl w:val="true"/>
        </w:rPr>
        <w:t xml:space="preserve">آخر </w:t>
      </w:r>
      <w:r>
        <w:rPr>
          <w:rtl w:val="true"/>
        </w:rPr>
        <w:t>:</w:t>
      </w:r>
      <w:bookmarkEnd w:id="984"/>
    </w:p>
    <w:p>
      <w:pPr>
        <w:pStyle w:val="BookText"/>
        <w:rPr/>
      </w:pP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عدلان في ثوب الغير أو مائه نجاسة أمكن وجوب الإخبار ؛ لوجوب تجنّب النجاسة وهو متوقّف على الإخبار المذكور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والعدم ؛ لأنّ وجوب التجنّب مع العلم ، لا بدونه ؛ لاستحالة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ما لو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منهما ما 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الإخبار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توجيه احتمال الوجوب ظاهر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العدم هو مقتضى الأصل ، فيجب التمسّك به إلى أن يدلّ دليل واضح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الشيخان في الكافي والتهذيب بسند يعدّ من الصحيح عن محمّد ابن مسلم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يرى في ثوب أخيه دما وهو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يؤذنه حتّى ينصرف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ربّما أشعر بعدم الوجوب</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3140577_653776707"/>
      <w:bookmarkStart w:id="986" w:name="_Toc363"/>
      <w:bookmarkEnd w:id="985"/>
      <w:r>
        <w:rPr>
          <w:rtl w:val="true"/>
        </w:rPr>
        <w:t xml:space="preserve">مسألة </w:t>
      </w:r>
      <w:r>
        <w:rPr>
          <w:rtl w:val="true"/>
        </w:rPr>
        <w:t>[</w:t>
      </w:r>
      <w:r>
        <w:rPr/>
        <w:t>4</w:t>
      </w:r>
      <w:r>
        <w:rPr>
          <w:rtl w:val="true"/>
        </w:rPr>
        <w:t>] :</w:t>
      </w:r>
      <w:bookmarkEnd w:id="98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الملاقاة على الوجه المؤثّر واشتبه محلّها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موضع الاشتباه غير محصور لم يظهر للنجاسة أثر وبقي كلّ واحد من الأجزاء التي وقع فيها الاشتباه على أصل الطهارة لا نعرف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محصورا فظاهر جماعة من الأصحاب أنّه لا خلاف حينئذ في وجوب اجتناب ما حصل فيه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اشتباه الإناء من الماء الطاهر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على الحكم هنا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 مسألة الإنائين </w:t>
      </w:r>
      <w:r>
        <w:rPr>
          <w:rStyle w:val="FootnoteAnchor"/>
          <w:rtl w:val="true"/>
        </w:rPr>
        <w:footnoteReference w:id="1690"/>
      </w:r>
      <w:r>
        <w:rPr>
          <w:rFonts w:ascii="Amiri" w:hAnsi="Amiri" w:eastAsia="Amiri" w:cs="Amiri"/>
          <w:color w:val="111111"/>
          <w:sz w:val="28"/>
          <w:sz w:val="28"/>
          <w:szCs w:val="28"/>
          <w:rtl w:val="true"/>
          <w:lang w:bidi="ar-SA"/>
        </w:rPr>
        <w:t>أنّ العمدة في الحكم بوجوب اجتنابهما على الإجماع المدّعى هناك ، وأنّ ما عداه من الوجوه التي احتجّوا بها معه ضعيفة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اعتمادهم في الحكم هنا أيضا على الإجماع لا على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وجوب الاجتناب هل يكون بالنسبة إلى ما يشترط فيه الطهارة فقط؟ بمعنى أنّه إذا كان ماء مثلا لم يجز استعماله في الطهارة وإن كان ترابا لم يسغ استعماله في التيمّم ولا السجود عليه ، ولو كان ثوبا لم يجز لبسه في حال الصلاة ، وهكذا إلى آخر ما يعتبر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وجوب الاجتناب عبارة عن صيرورته بمنزلة النجس في جميع الأحكام حتّى لو لاقى بجزء منه جسما طاهرا برطوبة تعدّى حكمه إليه كمعلوم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 الاحتمالين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فالأخير يظهر من كلام العلّامة في المنتهى حيث قال في مسألة اشتباه الإناء الطاهر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 أحد الإنائين وصلّى به لم تصحّ صلاته ووجب عليه غسل ما أصابه المشتبه بماء متيقّن الطهارة كالنجس</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عن بعض العامّة أنّه نفى وجوب الغسل منه ؛ معلّلا بأنّ المحلّ طاهر بيقين فلا يزول بالشكّ في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فرق في المنع بين تيقّن </w:t>
      </w:r>
      <w:r>
        <w:rPr>
          <w:rStyle w:val="FootnoteAnchor"/>
          <w:rtl w:val="true"/>
        </w:rPr>
        <w:footnoteReference w:id="1691"/>
      </w:r>
      <w:r>
        <w:rPr>
          <w:rFonts w:ascii="Amiri" w:hAnsi="Amiri" w:eastAsia="Amiri" w:cs="Amiri"/>
          <w:color w:val="111111"/>
          <w:sz w:val="28"/>
          <w:sz w:val="28"/>
          <w:szCs w:val="28"/>
          <w:rtl w:val="true"/>
          <w:lang w:bidi="ar-SA"/>
        </w:rPr>
        <w:t xml:space="preserve">الطهارة وشكّها هنا ، وإن فرّق بينهما في غيره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هذا وإن كان مفروضا في حكم الإنائين إلّا أنّ ظاهرهم عدم التفرقة في أصل الحكم بين وقوع الاشتباه في الماء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وبالاحتمال الأوّل قطع الفاضل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إليه والدي رحمه‌اللّه وهو الأظهر ؛ فإنّ يقين الطهارة في الجسم الملاقي لا يدفع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ما يلزم من ملاقاة المشتبه إذا لم تكن مستوعبة لجميعه هو احتمال عروض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واندفاع الأصل بمثله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في نفس المشتبه على تقدير تسليمه لا يقتضي التعدية إلى المتنازع إلّا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في الاحتجاج لمختار العلّامة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كون الاشتباه موجبا للإلحاق بالنجس في الأحكام فملاقيه إمّا نجس أو مشتبه بالنجس وكلاهما موجب للاجتناب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ظاهر فإنّ إيجاب الاشتباه للإلحاق بالنجس إن كان في جميع الأحكام فهو عين المتنازع وإن كان في الجملة فهو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مطلق الاشتباه موجبا للاجتناب في حيّز المنع وإنّما الموجب لذلك على ما هو المفروض اشتباه خاص كما لا يخفى</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فاعلم أنّ جمعا من الأصحاب جعلوا المرجع في الحصر إلى ما يصدق عليه معناه في العرف إذا لم يثبت له حقيقة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له في الأرض بالبيت والبيتين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المحصور فيها بالصحراء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بعض المتأخّرين أنّه يمكن جعل المرجع في صدق الحصر وعدمه إلى حصول الحرج والضرر بالاجتناب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ناظر إلى ما يوجد في عبارات كثير من تعليل عدم وجوب الاجتناب في غير المحصور بلزوم المشقّة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فإنّ الغرض من هذا التعليل على ما يظهر تقريب الحكم ، لا الاستدلال له ، إذ لا يعقل الاعتماد في مثل هذه التفرقة والبناء في تأسيس هذا الحكم على نحو هذه القاعدة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بناء الحكم على ذلك لانهار من أصله ؛ إذ المشقّة قد تنتفي في كثير ممّا ليس بمحصور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وجدت في بعض أفراد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حينئذ لجعل الحصر مناطا للحكم؟ وقد كان الواجب على هذا أن يناط بعدم المشقّة ووجودها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فالإشكال في التفرقة هنا بين ما يجب فيه الاجتناب وما لا يجب قويّ جدّا ، إذ ليس لها شاهد من جهة النص يقول في حكمها عليه وإنّما هي من عبارات الفقهاء ، والرجوع إلى القاعدة المقرّرة في الألفاظ التي لم يثبت لها حقيقة من جهة الشرع يتوقّف على وجدان غيرها ، ولا يكاد يظهر من اللغة ولا من العرف معنى مشخّص لهذا اللفظ يطابق ما هو غرضهم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كلامهم اختلافا في التمثيل للمحصور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والفاضل مثّلا له بالبيت وقد حكينا عن جماعة التمثيل بالبيت والبيتين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بعض بالبيتين والثلاثة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فسّر غير المحصور بما يعسر حصره وعدّه لكثرة آحاده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 يلوح على الكلّ</w:t>
      </w:r>
      <w:r>
        <w:rPr>
          <w:rFonts w:eastAsia="Amiri" w:cs="Amiri" w:ascii="Amiri" w:hAnsi="Amiri"/>
          <w:color w:val="111111"/>
          <w:sz w:val="28"/>
          <w:szCs w:val="28"/>
          <w:rtl w:val="true"/>
          <w:lang w:bidi="ar-SA"/>
        </w:rPr>
        <w:t xml:space="preserve">. </w:t>
      </w:r>
      <w:bookmarkStart w:id="987" w:name="pg8731_77624"/>
    </w:p>
    <w:p>
      <w:pPr>
        <w:pStyle w:val="Heading6"/>
        <w:numPr>
          <w:ilvl w:val="5"/>
          <w:numId w:val="1"/>
        </w:numPr>
        <w:rPr/>
      </w:pPr>
      <w:bookmarkStart w:id="988" w:name="__RefHeading___Toc3140579_653776707"/>
      <w:bookmarkStart w:id="989" w:name="_Toc364"/>
      <w:bookmarkEnd w:id="987"/>
      <w:bookmarkEnd w:id="988"/>
      <w:r>
        <w:rPr>
          <w:rtl w:val="true"/>
        </w:rPr>
        <w:t xml:space="preserve">مسألة </w:t>
      </w:r>
      <w:r>
        <w:rPr>
          <w:rtl w:val="true"/>
        </w:rPr>
        <w:t>[</w:t>
      </w:r>
      <w:r>
        <w:rPr/>
        <w:t>5</w:t>
      </w:r>
      <w:r>
        <w:rPr>
          <w:rtl w:val="true"/>
        </w:rPr>
        <w:t>] :</w:t>
      </w:r>
      <w:bookmarkEnd w:id="989"/>
    </w:p>
    <w:p>
      <w:pPr>
        <w:pStyle w:val="BookText"/>
        <w:rPr/>
      </w:pPr>
      <w:r>
        <w:rPr>
          <w:rFonts w:ascii="Amiri" w:hAnsi="Amiri" w:eastAsia="Amiri" w:cs="Amiri"/>
          <w:color w:val="111111"/>
          <w:sz w:val="28"/>
          <w:sz w:val="28"/>
          <w:szCs w:val="28"/>
          <w:rtl w:val="true"/>
          <w:lang w:bidi="ar-SA"/>
        </w:rPr>
        <w:t>لا نعلم بين الأصحاب خلافا من سوى ابن الجنيد في وجوب إزالة النجاسات كلّها عن البدن للصلاة وإن لم يكن ما أصابه منها بالغا قدر الدرهم ، عدا الدم ؛ فإنّ فيه تفصيلا نذكره ، وكذلك الثوب الذي تتمّ فيه الصلاة إذا لم يمكن إبداله بطاهر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الحكم عموم الأخبار المتضمّنة للأمر بالغسل من النجاسات من غير تفصيل فيها سوى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منها جملة في بيان أصناف النجاسات وسيأتي طرف منها في بحث الخلل الواقع في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الجنيد هنا خلاف ضعيف لا يعرف له فيه من الأصحاب موافق ؛ وذلك أنّه قصر الحكم بوجوب إزالة النجاسات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دم الحيض والمنيّ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بلغ منها مقدار سعة الدرهم فصاعدا وسوّى في دم الحيض والمنيّ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وقعت على ثوب فكانت عينها فيه مجتمعة أو متفشّية دون سعة الدرهم الذي يكون سعته كعقد الإبهام الأعلى لم ينجس الثوب بذلك إلّا أن تكون النجاسة دم حيض أو منيّا فإنّ قليلهما وكثيرهما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هذه العبارة في بيان نجاسة الدم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طهارة الناقص عن الدرهم من النجاسات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بين الأصحاب أنّ خلافه إنّما هو في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في عبارته توسّعا</w:t>
      </w:r>
      <w:r>
        <w:rPr>
          <w:rFonts w:eastAsia="Amiri" w:cs="Amiri" w:ascii="Amiri" w:hAnsi="Amiri"/>
          <w:color w:val="111111"/>
          <w:sz w:val="28"/>
          <w:szCs w:val="28"/>
          <w:rtl w:val="true"/>
          <w:lang w:bidi="ar-SA"/>
        </w:rPr>
        <w:t xml:space="preserve">. </w:t>
      </w:r>
      <w:bookmarkStart w:id="990" w:name="pg8731_77626"/>
    </w:p>
    <w:p>
      <w:pPr>
        <w:pStyle w:val="BookText"/>
        <w:rPr/>
      </w:pPr>
      <w:bookmarkEnd w:id="990"/>
      <w:r>
        <w:rPr>
          <w:rFonts w:ascii="Amiri" w:hAnsi="Amiri" w:eastAsia="Amiri" w:cs="Amiri"/>
          <w:color w:val="111111"/>
          <w:sz w:val="28"/>
          <w:sz w:val="28"/>
          <w:szCs w:val="28"/>
          <w:rtl w:val="true"/>
          <w:lang w:bidi="ar-SA"/>
        </w:rPr>
        <w:t xml:space="preserve">وفي المعتبر عزى إليه القول بالعفو هنا وفاقا لما هو المعروف </w:t>
      </w:r>
      <w:r>
        <w:rPr>
          <w:rStyle w:val="FootnoteAnchor"/>
          <w:rtl w:val="true"/>
        </w:rPr>
        <w:footnoteReference w:id="1693"/>
      </w:r>
      <w:r>
        <w:rPr>
          <w:rFonts w:ascii="Amiri" w:hAnsi="Amiri" w:eastAsia="Amiri" w:cs="Amiri"/>
          <w:color w:val="111111"/>
          <w:sz w:val="28"/>
          <w:sz w:val="28"/>
          <w:szCs w:val="28"/>
          <w:rtl w:val="true"/>
          <w:lang w:bidi="ar-SA"/>
        </w:rPr>
        <w:t xml:space="preserve">، وفي حكم الدم نسب إليه القول بطهارة القليل منه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غرابة ؛ فإنّ عبارته التي حكيناها بمعنى واحد بالنظر إلى الجميع ، اللّهم إلّا أن يكون ذلك في كتاب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الجنيد لم يتعرّض للاحتجاج على ما صار إليه بل اقتصر على العبارة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له الفاضل في المختلف بالقياس على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نجاسة المذكورات أغلظ من نجاسة الدم فقياس حكمها على المنيّ أولى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1" w:name="__RefHeading___Toc3140581_653776707"/>
      <w:bookmarkStart w:id="992" w:name="_Toc365"/>
      <w:bookmarkEnd w:id="991"/>
      <w:r>
        <w:rPr>
          <w:rtl w:val="true"/>
        </w:rPr>
        <w:t xml:space="preserve">مسألة </w:t>
      </w:r>
      <w:r>
        <w:rPr>
          <w:rtl w:val="true"/>
        </w:rPr>
        <w:t>[</w:t>
      </w:r>
      <w:r>
        <w:rPr/>
        <w:t>6</w:t>
      </w:r>
      <w:r>
        <w:rPr>
          <w:rtl w:val="true"/>
        </w:rPr>
        <w:t>] :</w:t>
      </w:r>
      <w:bookmarkEnd w:id="992"/>
    </w:p>
    <w:p>
      <w:pPr>
        <w:pStyle w:val="Heading6"/>
        <w:numPr>
          <w:ilvl w:val="5"/>
          <w:numId w:val="1"/>
        </w:numPr>
        <w:rPr/>
      </w:pPr>
      <w:bookmarkStart w:id="993" w:name="__RefHeading___Toc3140583_653776707"/>
      <w:bookmarkStart w:id="994" w:name="_Toc366"/>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والدم النجس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إزالة قليله وكثيره كسائر النجاسات وهو دم الحيض على المعروف بين الأصحاب بحيث لا يعلم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عبارة المعتبر إشعار باتّفاق علمائنا عليه حيث أضاف القول به إلى الأصحاب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من دم لم تبصره </w:t>
      </w:r>
    </w:p>
    <w:p>
      <w:pPr>
        <w:pStyle w:val="BookText"/>
        <w:rPr/>
      </w:pPr>
      <w:r>
        <w:rPr>
          <w:rFonts w:ascii="Amiri" w:hAnsi="Amiri" w:eastAsia="Amiri" w:cs="Amiri"/>
          <w:color w:val="111111"/>
          <w:sz w:val="28"/>
          <w:sz w:val="28"/>
          <w:szCs w:val="28"/>
          <w:rtl w:val="true"/>
          <w:lang w:bidi="ar-SA"/>
        </w:rPr>
        <w:t xml:space="preserve">إلّا دم الحيض فإنّ قليله وكثيره في الثوب إن رآه وإن لم يره سواء </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الخبر أنّ الراوي له عن أبي بصير أبو سعيد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موقوفة على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الحجّة عمل الأصحاب بمضمونه وقبولهم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جعفر ابن بابويه قاله ، والمرتضى والشيخان وأتباعهما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 مقتضى الدليل وجوب إزالة قليل الدم وكثيره ؛ عملا بالأحاديث الدالّة على إزالة الدم ، كقوله عليه‌السلام 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حتيه ثمّ اقرصيه </w:t>
      </w:r>
      <w:r>
        <w:rPr>
          <w:rStyle w:val="FootnoteAnchor"/>
          <w:rtl w:val="true"/>
        </w:rPr>
        <w:footnoteReference w:id="1698"/>
      </w:r>
      <w:r>
        <w:rPr>
          <w:rFonts w:ascii="Amiri" w:hAnsi="Amiri" w:eastAsia="Amiri" w:cs="Amiri"/>
          <w:color w:val="111111"/>
          <w:sz w:val="28"/>
          <w:sz w:val="28"/>
          <w:szCs w:val="28"/>
          <w:rtl w:val="true"/>
          <w:lang w:bidi="ar-SA"/>
        </w:rPr>
        <w:t xml:space="preserve">ثمّ اغسليه بالماء </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سورة بن كليب عن أبي عبد اللّه عليه‌السلام عن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ما أصاب ثيابها من الدم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 العمل بها في بعض الدماء لوجود المعارض لا يقتضي تركه فيما لا معارض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ذكره أوّلا نظر لا يكاد يخفى وجهه على المتذكّر للقواعد التي أسلفناها في بحثي الإجماع والأخبار من مقدّمة الكتاب</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الدليل وجوب إزالة قليل الدم وكثيره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فموضع تأمّل ، إذ ليس فيما وصل إلينا ونقله الأصحاب في كتبهم من الأخبار المعتمدة </w:t>
      </w:r>
    </w:p>
    <w:p>
      <w:pPr>
        <w:pStyle w:val="BookText"/>
        <w:rPr/>
      </w:pPr>
      <w:r>
        <w:rPr>
          <w:rFonts w:ascii="Amiri" w:hAnsi="Amiri" w:eastAsia="Amiri" w:cs="Amiri"/>
          <w:color w:val="111111"/>
          <w:sz w:val="28"/>
          <w:sz w:val="28"/>
          <w:szCs w:val="28"/>
          <w:rtl w:val="true"/>
          <w:lang w:bidi="ar-SA"/>
        </w:rPr>
        <w:t>بحديث مطلق في إيجاب إزالة الدم بحيث يصلح لتناول القليل من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إمّا ظاهرة في الكثير أو مفروضة في غير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لها إسنادا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الثانية ضعف ؛ لعدم ثبوت عدالة راويها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التمسّك في هذا الحكم بالأخبار الدالّة على منافاة نجاسة ثوب المصلّي لصحّة صلاته ؛ فإنّ ذلك وارد في عدّة أحاديث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ملاقاة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هذا الاعتبار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بملاحظة وجوب التأسّي ، على ما هو محقّق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 العفو عن قليل الدم غير صالح لتناول دم الحيض كما سيأتي بيانه ، فلا مقتضي لخروجه عن عموم الحكم المستفاد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المحقّق عزى إلى الشيخ إلحاق دم الاستحاضة والنفاس بدم الحيض في إيجاب إزالة القليل منه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نظر إلى تغليظ نجاسته ؛ لأنّه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بهذه المزيّة يدلّ على قوّة نجاسته على باقي الدماء فغلظ حكمه في الإزالة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زاد بعضهم في توجيه إلحاق النفاس أنّه دم حيض محتبس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الحكم معلّق بعنوان دم الحيض وهو غير صادق على دم النفاس</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الاحتجاج هنا بنحو ما قلناه في دم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وألحق بعض فقهاء قم منّا دم الكلب والخنزير ولم يعطنا العلّة ولعلّه نظر إلى ملاقاته جسدهما ونجاسة جسدهما غير معفوّ عنها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العلّة التي لحظها المحقّق متوجّهة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العلّامة في المختلف عن القطب الراوندي وابن حمزة إلحاق دم الكلب والخنزير والكافر بالدماء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إدريس منعه ؛ مدّعيا أنّه خلاف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العلّامة الإلحاق ووجّهه بأنّ المعفوّ عنه إنّما هو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الخارج من الكلب والخنزير والكافر يلاقي أجسامها ، فتتضاعف نجاسته ، ويكتسب بملاقاته الأجسام النجسة نجاسة اخرى غير نجاسة الدم ، وتلك لم يعف عنها ، كما لو أصاب الدم المعفوّ عنه نجاسة غير الدم فإنّه يجب إزالته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لم يتفطّن لذلك فشنع على قطب الدين بغير الحق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غفلة ابن إدريس عن ملاحظة هذا الاعتبار الذي حرّره العلّامة ونبّه عليه المحقّق مع تنبّهه لمثله في ظاهر كلامه السابق في البحث عمّا نزح لموت الإنسان في البئر حيث فرّق في ذلك بين المسلم والكافر ، وأنكر عليه الجماعة فيه أشدّ الإنكار ونحن صوّبنا رأيه هناك وأوضحنا المقام بما لا مزيد عليه فكيف انعكست القضيّة هنا فصار هو إلى الإنكار ورجعوا هم إلى الاعتراف ، والمدرك في المقامين واحد؟</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مراد ابن إدريس هناك خلاف ما أفهمه ظاهر كلامه الذي حكوه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فالحقّ أنّ الحيثيّة مرعيّة في جميع هذه المواضع والحكم منوط بها فالعفو الثابت في مسألتنا هذه على ما سيأتي بيانه متعلّق بنجاسة الدم من حيث هي ، فإذا انضمّ إليها حيثيّة اخرى كملاقاة جسم نجس كان لتلك الحيثيّة المنضمّة إليها حكم نفسها لو انفردت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يعفى عن قليله وكثيره في الجملة وهو دم القروح والجروح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في أصل العفو عن هذا الدم خلاف لأحد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مسلم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يخرج به القروح فلا تزال تدمى كيف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وإن كانت الدماء تسيل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ليث المرادي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به الدماميل والقروح فجلده وثيابه مملوءة دما وقيحا ، وثيابه بمنزلة جلده؟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ثيابه ولا شي‌ء عليه ولا يغسلها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ليث المرادي أيضا عن أبي عبد اللّه عليه‌السلام ، وذكر نحو ما في الصحيح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الصحيح عن أحمد بن محمّد بن عيسى عن محمّد بن إسماعيل بن بزيع عن طريف بن ناصح عن أبان بن عثمان عن عبد الرحمن </w:t>
      </w:r>
    </w:p>
    <w:p>
      <w:pPr>
        <w:pStyle w:val="BookText"/>
        <w:rPr/>
      </w:pPr>
      <w:r>
        <w:rPr>
          <w:rFonts w:ascii="Amiri" w:hAnsi="Amiri" w:eastAsia="Amiri" w:cs="Amiri"/>
          <w:color w:val="111111"/>
          <w:sz w:val="28"/>
          <w:sz w:val="28"/>
          <w:szCs w:val="28"/>
          <w:rtl w:val="true"/>
          <w:lang w:bidi="ar-SA"/>
        </w:rPr>
        <w:t xml:space="preserve">ابن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يكون في مكان لا يقدر على ربطه فيسيل منه الدم والقيح فيصيب 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فلا يضرّك أن لا تغسله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عن موسى بن عمران عن محمّد بن أبي عمير عن بعض أصحابنا عن سماعة بن مهران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بالرجل جرح سائل فأصاب ثوبه من دمه فلا يغسله حتّى يبرأ و </w:t>
      </w:r>
      <w:r>
        <w:rPr>
          <w:rStyle w:val="FootnoteAnchor"/>
          <w:rtl w:val="true"/>
        </w:rPr>
        <w:footnoteReference w:id="1709"/>
      </w:r>
      <w:r>
        <w:rPr>
          <w:rFonts w:ascii="Amiri" w:hAnsi="Amiri" w:eastAsia="Amiri" w:cs="Amiri"/>
          <w:color w:val="111111"/>
          <w:sz w:val="28"/>
          <w:sz w:val="28"/>
          <w:szCs w:val="28"/>
          <w:rtl w:val="true"/>
          <w:lang w:bidi="ar-SA"/>
        </w:rPr>
        <w:t xml:space="preserve">ينقطع الدم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عليه‌السلام وهو يصلّي فقال لي قائدي ، إنّ في ثوبه دما ، فلمّا انصرف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قائدي أخبرني أنّ بثوبك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دما يسيل فلست أغسل ثوبي حتّى تبرأ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فاعلم أنّ كلام الأصحاب في حدّ العفو الذي حكموا به هنا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 الحدّ في ذلك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 الانقطاع</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بين مطلق له ومقيّد بكونه في زمان يتّسع لأداء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للعلّامة في بعض كتبه والشهيد فيما سوى الذكرى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للمحقّق في المعتبر والشهيد في الذكرى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وناط العلّامة العفو في القواعد بحصول المشقّة </w:t>
      </w:r>
    </w:p>
    <w:p>
      <w:pPr>
        <w:pStyle w:val="BookText"/>
        <w:rPr/>
      </w:pPr>
      <w:r>
        <w:rPr>
          <w:rFonts w:ascii="Amiri" w:hAnsi="Amiri" w:eastAsia="Amiri" w:cs="Amiri"/>
          <w:color w:val="111111"/>
          <w:sz w:val="28"/>
          <w:sz w:val="28"/>
          <w:szCs w:val="28"/>
          <w:rtl w:val="true"/>
          <w:lang w:bidi="ar-SA"/>
        </w:rPr>
        <w:t xml:space="preserve">بالإزالة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في المنتهى والتحرير بينه وبين عدم وقوف جريانها فجعلهما المناط في العفو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في النهاية اعتبار المشقّة وحدها كالقواعد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وجوب إزالة البعض إذا لم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فيها وفي المنتهى إبدال الثوب مع الإمكان ؛ معلّلا بانتفاء المشقّة فينتفي الترخّص لانتفاء المعلول عند انتفاء علّته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مع وجوب إزالة البعض حيث لا يشقّ ووجوب إبدال الثوب إذا أمكن لا يبقى لهذا الدم خصوصيّة ؛ فإنّ إيجاب إزالة البعض مع عدم المشقّة يقتضي وجوب التحفّظ من كثرة التعدّي أيضا مع الإمكان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واغتفار ما دون ذلك ثابت في مطلق الدم بل في مطلق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من الأصحاب أنّ الخصوصيّة هنا ثابتة عند الكلّ وإن اختلفوا في مقدارها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الفاضل الشيخ علي في بعض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نقل الإجماع على عدم وجوب عصب الجرح وتقليل الدم ، بل تصلّي كيف كان وإن سال وتفاحش إلى أن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المستحاضة والسلس والمبطون ؛ </w:t>
      </w:r>
    </w:p>
    <w:p>
      <w:pPr>
        <w:pStyle w:val="BookText"/>
        <w:rPr/>
      </w:pPr>
      <w:r>
        <w:rPr>
          <w:rFonts w:ascii="Amiri" w:hAnsi="Amiri" w:eastAsia="Amiri" w:cs="Amiri"/>
          <w:color w:val="111111"/>
          <w:sz w:val="28"/>
          <w:sz w:val="28"/>
          <w:szCs w:val="28"/>
          <w:rtl w:val="true"/>
          <w:lang w:bidi="ar-SA"/>
        </w:rPr>
        <w:t xml:space="preserve">إذ يجب عليهم الاحتياط في منع النجاسة أو تقليلها بحسب الإمكان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الشيخ في النهاية وغيرها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وجوب إزالة دم القروح الدامية والجراح اللازمة قلّ أو كثر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وفاق القول الأوّل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العفو بالبرء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عبارة العلّامة في الإرشاد على نهج كلام الشيخ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وعفي في الثوب والبدن عن دم القروح والجروح اللازمة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يعهد من العلّامة إطلاق العفو في ساير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اشترطه تارة بعدم انقطاع سيلان الدم واخرى بحصول المشقّة وثالثة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بعض الأصحاب الوصف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العبارة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استمرار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بعض آخر أنّه فسّرها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لم 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وأنكر عليه من حيث إنّ ذلك ليس مذهبا للعلّامة حتّى يفسّر كلامه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 الثاني ؛ فإنّ الظاهر من هذا الوصف إرادة كون الجرح باقيا غير مندمل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العلّامة لم يصرّح بهذا القول في غير ذلك الكتاب لا يسوّغ حمل اللفظ على خلاف ظاهره والمصير إلى المعنى المأوّل سيّما مع ما هو معلوم من حال العلّامة رحمه‌اللّه في عدم الالتزام بالقول الواحد في الكتاب الواحد فضلا عن الكتب المختلفة ، وبعد ظهور انتشار رأيه في خصوص هذه المسألة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تكون أقواله المعلومة فيها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الأقوال كلّها عندي </w:t>
      </w:r>
    </w:p>
    <w:p>
      <w:pPr>
        <w:pStyle w:val="BookText"/>
        <w:rPr/>
      </w:pPr>
      <w:r>
        <w:rPr>
          <w:rFonts w:ascii="Amiri" w:hAnsi="Amiri" w:eastAsia="Amiri" w:cs="Amiri"/>
          <w:color w:val="111111"/>
          <w:sz w:val="28"/>
          <w:sz w:val="28"/>
          <w:szCs w:val="28"/>
          <w:rtl w:val="true"/>
          <w:lang w:bidi="ar-SA"/>
        </w:rPr>
        <w:t>استمرار العفو إلى أن يحصل البرء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أعوّل في ذلك على رواية أبي بصير التي هي نصّ في هذا المعنى كما صنع بعض الأصحاب ليرد الاعتراض بأنّ ضعف سندها يمنع من العمل بها ، بل التعويل على ظواهر الأخبار الصحيحة والحسنة كقوله في صحيحة محمّد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وإن كانت الدماء تسيل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المفهوم من مثل هذا التركيب كون المفهوم أولى بالحكم من المنطوق فتكون حالة عدم السيلان أولى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من قوله في جملة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تزال تدمى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مفروض في ما هو مستمر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الكلام وقع في السؤال ومقتضى الجواب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معنى كونها لا تزال تدمى أنّ جريانها متّصل في كلّ حين ، بل معناه أنّ الدم يتكرّر خروجه منها ولو حينا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قاض بدلالة نحو هذه العبارة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يزال يتردّد إلى محلّ كذا ، أو لا يزال يتكلّم بكذا مريدا أنّه يصدر منه الفعل وقتا بعد وقت ، لا أنّه مستمرّ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لمن عرف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ليث المرادي وحسنته </w:t>
      </w:r>
      <w:r>
        <w:rPr>
          <w:rStyle w:val="FootnoteAnchor"/>
          <w:rtl w:val="true"/>
        </w:rPr>
        <w:footnoteReference w:id="1721"/>
      </w:r>
      <w:r>
        <w:rPr>
          <w:rFonts w:ascii="Amiri" w:hAnsi="Amiri" w:eastAsia="Amiri" w:cs="Amiri"/>
          <w:color w:val="111111"/>
          <w:sz w:val="28"/>
          <w:sz w:val="28"/>
          <w:szCs w:val="28"/>
          <w:rtl w:val="true"/>
          <w:lang w:bidi="ar-SA"/>
        </w:rPr>
        <w:t>ظاهرا الدلالة على ما قلناه أيضا حيث أطلق فيهما تسويغ الصلاة بهذا الدم ونفي وجوب شي‌ء عليه ونهيه عن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الغسل أو الإبدال على حال من الأحوال لوجب التفصيل ولم يجز الإجمال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معنى هذين الحديثين خبر عبد الرحمن بن أبي عبد اللّه ، وسنده جيّد </w:t>
      </w:r>
      <w:bookmarkStart w:id="995" w:name="pg8731_77644"/>
    </w:p>
    <w:p>
      <w:pPr>
        <w:pStyle w:val="BookText"/>
        <w:rPr/>
      </w:pPr>
      <w:bookmarkEnd w:id="995"/>
      <w:r>
        <w:rPr>
          <w:rFonts w:ascii="Amiri" w:hAnsi="Amiri" w:eastAsia="Amiri" w:cs="Amiri"/>
          <w:color w:val="111111"/>
          <w:sz w:val="28"/>
          <w:sz w:val="28"/>
          <w:szCs w:val="28"/>
          <w:rtl w:val="true"/>
          <w:lang w:bidi="ar-SA"/>
        </w:rPr>
        <w:t xml:space="preserve">إلّا أنّ فيه من لم يعلم توثيقه ، إلّا بشهادة الواحد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1723"/>
      </w:r>
      <w:r>
        <w:rPr>
          <w:rFonts w:ascii="Amiri" w:hAnsi="Amiri" w:eastAsia="Amiri" w:cs="Amiri"/>
          <w:color w:val="111111"/>
          <w:sz w:val="28"/>
          <w:sz w:val="28"/>
          <w:szCs w:val="28"/>
          <w:rtl w:val="true"/>
          <w:lang w:bidi="ar-SA"/>
        </w:rPr>
        <w:t xml:space="preserve">كرواية أبي بصير </w:t>
      </w:r>
      <w:r>
        <w:rPr>
          <w:rStyle w:val="FootnoteAnchor"/>
          <w:rtl w:val="true"/>
        </w:rPr>
        <w:footnoteReference w:id="1724"/>
      </w:r>
      <w:r>
        <w:rPr>
          <w:rFonts w:ascii="Amiri" w:hAnsi="Amiri" w:eastAsia="Amiri" w:cs="Amiri"/>
          <w:color w:val="111111"/>
          <w:sz w:val="28"/>
          <w:sz w:val="28"/>
          <w:szCs w:val="28"/>
          <w:rtl w:val="true"/>
          <w:lang w:bidi="ar-SA"/>
        </w:rPr>
        <w:t>في صراحة الدلالة على اعتبار البرء إلّا أنّ في سنديهما ضعفا</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3140585_653776707"/>
      <w:bookmarkStart w:id="997" w:name="_Toc367"/>
      <w:bookmarkEnd w:id="996"/>
      <w:r>
        <w:rPr>
          <w:rtl w:val="true"/>
        </w:rPr>
        <w:t xml:space="preserve">فروع </w:t>
      </w:r>
      <w:r>
        <w:rPr>
          <w:rtl w:val="true"/>
        </w:rPr>
        <w:t>:</w:t>
      </w:r>
      <w:bookmarkEnd w:id="997"/>
    </w:p>
    <w:p>
      <w:pPr>
        <w:pStyle w:val="Heading6"/>
        <w:numPr>
          <w:ilvl w:val="5"/>
          <w:numId w:val="1"/>
        </w:numPr>
        <w:rPr/>
      </w:pPr>
      <w:bookmarkStart w:id="998" w:name="__RefHeading___Toc3140587_653776707"/>
      <w:bookmarkStart w:id="999" w:name="_Toc368"/>
      <w:bookmarkEnd w:id="998"/>
      <w:r>
        <w:rPr>
          <w:rtl w:val="true"/>
        </w:rPr>
        <w:t xml:space="preserve">[ </w:t>
      </w:r>
      <w:r>
        <w:rPr>
          <w:rtl w:val="true"/>
        </w:rPr>
        <w:t xml:space="preserve">الفرع الأوّل </w:t>
      </w:r>
      <w:r>
        <w:rPr>
          <w:rtl w:val="true"/>
        </w:rPr>
        <w:t>] :</w:t>
      </w:r>
      <w:bookmarkEnd w:id="999"/>
    </w:p>
    <w:p>
      <w:pPr>
        <w:pStyle w:val="BookText"/>
        <w:rPr/>
      </w:pPr>
      <w:r>
        <w:rPr>
          <w:rFonts w:ascii="Amiri" w:hAnsi="Amiri" w:eastAsia="Amiri" w:cs="Amiri"/>
          <w:color w:val="111111"/>
          <w:sz w:val="28"/>
          <w:sz w:val="28"/>
          <w:szCs w:val="28"/>
          <w:rtl w:val="true"/>
          <w:lang w:bidi="ar-SA"/>
        </w:rPr>
        <w:t xml:space="preserve">ذكر جماعة من الأصحاب منهم العلّامة في النهاية والمنتهى والتحرير أنّه يستحبّ لصاحب القروح والجروح غسل ثوبه في كل يوم مرّة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في المنتهى والنهاية بأنّ فيه تطهيرا غير مشقّ فكان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به القرح أو الجرح ، فلا يستطيع أن يربطه ولا يغسل 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ولا يغسل ثوبه كلّ يوم إلّا مرّة ؛ فإنّه لا يستطيع أن يغسل ثوبه كلّ ساعة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الأوّل من الحجّة غير صالح لتأسيس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 طريقها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البناء في العمل بها على قاعدة التساهل في أدلّة السنن</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3140589_653776707"/>
      <w:bookmarkStart w:id="1001" w:name="_Toc369"/>
      <w:bookmarkEnd w:id="1000"/>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00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الدم عن محلّ الضرورة في الثوب أو البدن </w:t>
      </w:r>
      <w:bookmarkStart w:id="1002" w:name="pg8731_77647"/>
    </w:p>
    <w:p>
      <w:pPr>
        <w:pStyle w:val="BookText"/>
        <w:rPr/>
      </w:pPr>
      <w:bookmarkEnd w:id="1002"/>
      <w:r>
        <w:rPr>
          <w:rFonts w:ascii="Amiri" w:hAnsi="Amiri" w:eastAsia="Amiri" w:cs="Amiri"/>
          <w:color w:val="111111"/>
          <w:sz w:val="28"/>
          <w:sz w:val="28"/>
          <w:szCs w:val="28"/>
          <w:rtl w:val="true"/>
          <w:lang w:bidi="ar-SA"/>
        </w:rPr>
        <w:t xml:space="preserve">بأن لمس بالسليم من بدنه دم الجرح أو بالظاهر من ثوبه فالأقرب عدم الترخيص فيه </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استقربه حسن</w:t>
      </w:r>
      <w:r>
        <w:rPr>
          <w:rFonts w:eastAsia="IRNazanin" w:cs="IRNazanin"/>
          <w:color w:val="111111"/>
          <w:sz w:val="28"/>
          <w:szCs w:val="28"/>
          <w:rtl w:val="true"/>
          <w:lang w:bidi="fa-IR"/>
        </w:rPr>
        <w:t>.</w:t>
      </w:r>
    </w:p>
    <w:p>
      <w:pPr>
        <w:pStyle w:val="Heading6"/>
        <w:numPr>
          <w:ilvl w:val="5"/>
          <w:numId w:val="1"/>
        </w:numPr>
        <w:rPr/>
      </w:pPr>
      <w:bookmarkStart w:id="1003" w:name="__RefHeading___Toc3140591_653776707"/>
      <w:bookmarkStart w:id="1004" w:name="_Toc370"/>
      <w:bookmarkEnd w:id="100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004"/>
    </w:p>
    <w:p>
      <w:pPr>
        <w:pStyle w:val="Heading6"/>
        <w:numPr>
          <w:ilvl w:val="5"/>
          <w:numId w:val="1"/>
        </w:numPr>
        <w:rPr/>
      </w:pPr>
      <w:bookmarkStart w:id="1005" w:name="__RefHeading___Toc3140593_653776707"/>
      <w:bookmarkStart w:id="1006" w:name="_Toc371"/>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إذا لاقى هذا الدم جسم برطوبة ثمّ لاقى الجسم بدن صاحب الدم أو ثوبه فهل يثبت فيه العفو كأصله أو لا؟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استقرب ثانيهما العلّامة في النهاية والمنتهى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كلام في هذا الفرع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ذكروا نظيره في الملاقي للدم القليل المعفوّ عنه من غير دم القروح والجروح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ثبوت العفو في الملاقي أيضا ووجّهوه بأنّ المنجّس بالشي‌ء أضعف حكما من ذلك الشي‌ء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العفو عن عين النجس فما هو أضعف منه حكما أولى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آت هنا 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رجحان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الأنواع السابقة من ساير الدماء التي تثبت كونها نجسة على 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مجتمعة أو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المجتمعة فلا نعلم خلافا بين علمائنا في وجوب إزالة ما زاد عنها عن مقدار الدرهم وعدم وجوب إزالة الناقص عنه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فيما هو بمقدار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الأكثرون كالصدوقين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والشيخين </w:t>
      </w:r>
      <w:r>
        <w:rPr>
          <w:rStyle w:val="FootnoteAnchor"/>
          <w:rtl w:val="true"/>
        </w:rPr>
        <w:footnoteReference w:id="1730"/>
      </w:r>
      <w:r>
        <w:rPr>
          <w:rFonts w:ascii="Amiri" w:hAnsi="Amiri" w:eastAsia="Amiri" w:cs="Amiri"/>
          <w:color w:val="111111"/>
          <w:sz w:val="28"/>
          <w:sz w:val="28"/>
          <w:szCs w:val="28"/>
          <w:rtl w:val="true"/>
          <w:lang w:bidi="ar-SA"/>
        </w:rPr>
        <w:t xml:space="preserve">والفاضلين </w:t>
      </w:r>
      <w:r>
        <w:rPr>
          <w:rStyle w:val="FootnoteAnchor"/>
          <w:rtl w:val="true"/>
        </w:rPr>
        <w:footnoteReference w:id="1731"/>
      </w:r>
      <w:r>
        <w:rPr>
          <w:rFonts w:ascii="Amiri" w:hAnsi="Amiri" w:eastAsia="Amiri" w:cs="Amiri"/>
          <w:color w:val="111111"/>
          <w:sz w:val="28"/>
          <w:sz w:val="28"/>
          <w:szCs w:val="28"/>
          <w:rtl w:val="true"/>
          <w:lang w:bidi="ar-SA"/>
        </w:rPr>
        <w:t xml:space="preserve">والشهيدين </w:t>
      </w:r>
      <w:r>
        <w:rPr>
          <w:rStyle w:val="FootnoteAnchor"/>
          <w:rtl w:val="true"/>
        </w:rPr>
        <w:footnoteReference w:id="1732"/>
      </w:r>
      <w:r>
        <w:rPr>
          <w:rFonts w:ascii="Amiri" w:hAnsi="Amiri" w:eastAsia="Amiri" w:cs="Amiri"/>
          <w:color w:val="111111"/>
          <w:sz w:val="28"/>
          <w:sz w:val="28"/>
          <w:szCs w:val="28"/>
          <w:rtl w:val="true"/>
          <w:lang w:bidi="ar-SA"/>
        </w:rPr>
        <w:t>إلى إيجاب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في المختلف إلى ظاهر كلام السيد المرتضى القول بعدم الوجوب </w:t>
      </w:r>
      <w:r>
        <w:rPr>
          <w:rStyle w:val="FootnoteAnchor"/>
          <w:rtl w:val="true"/>
        </w:rPr>
        <w:footnoteReference w:id="1733"/>
      </w:r>
      <w:r>
        <w:rPr>
          <w:rFonts w:ascii="Amiri" w:hAnsi="Amiri" w:eastAsia="Amiri" w:cs="Amiri"/>
          <w:color w:val="111111"/>
          <w:sz w:val="28"/>
          <w:sz w:val="28"/>
          <w:szCs w:val="28"/>
          <w:rtl w:val="true"/>
          <w:lang w:bidi="ar-SA"/>
        </w:rPr>
        <w:t xml:space="preserve">وبه صرّح سلّار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فالبحث هنا يقع في مقامات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إزالة الزائد عن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الأدلّة على نجاسة الدم ، مضافا إلى الاعتبار الذي أشرنا إليه في الاحتجاج بوجوب إزالة قليل دم الحيض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الإجماع الذي حكاه العلّامة في غير موضع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الآتية في الاستدلال للعفو عن الناقص عن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الحكم ليس موضع شكّ ولا محلّ تردّد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إزالة الناقص</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الإجماع أيضا على ما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إزالة ما نقص منه عن سعة الدرهم اتّفاقا منّا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في المنتهى والنهاية والمختلف والتذكرة والتحرير أنّه معفوّ عنه إجماعا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 الأخبار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عبد اللّه بن أبي يعفور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جمع من الأصحاب منهم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الرجل يكون في ثوبه نقط الدم لا يعلم به ثمّ يعلم فينسى أن يغسله فيصلّي ثمّ يذكر بعد ما صلّى أيعيد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ولا يعيد صلاته ، إلّا أن يكون مقدار الدرهم مجتمعا فيغسله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في الذكرى على ظاهرها إشكالا من حيث الأمر فيها بغسل ما دون الدرهم وذلك بالجملة الخبريّة المراد بها الأمر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وحقيقة الأمر هي الوجوب وإرادته منه هنا تنافي العفو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بالغسل في ذلك ليس للوجوب بقرينة النهي عن إعادة الصلاة ؛ لما سيأتي من أنّ ناسي النجاسة يجب عليه الإعادة في الوقت ، ولهذا قال في صورة بلوغه مقدار الدرهم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ويعيد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إسماعيل الجعفي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الدم يكون في الثوب ، إن كان أقلّ من قدر الدرهم فلا يعيد الصلاة </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عليّ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وعليك ثوب غيره فاطرحه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يزد على مقدار الدرهم من ذلك فليس بشي‌ء ، رأيته أو لم تره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كما تدلّ على العفو عن الناقص </w:t>
      </w:r>
      <w:r>
        <w:rPr>
          <w:rStyle w:val="FootnoteAnchor"/>
          <w:rtl w:val="true"/>
        </w:rPr>
        <w:footnoteReference w:id="1741"/>
      </w:r>
      <w:r>
        <w:rPr>
          <w:rFonts w:ascii="Amiri" w:hAnsi="Amiri" w:eastAsia="Amiri" w:cs="Amiri"/>
          <w:color w:val="111111"/>
          <w:sz w:val="28"/>
          <w:sz w:val="28"/>
          <w:szCs w:val="28"/>
          <w:rtl w:val="true"/>
          <w:lang w:bidi="ar-SA"/>
        </w:rPr>
        <w:t xml:space="preserve">تدلّ على العفو عمّا بلغ مقدار الدرهم أيضا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الاحتجاج بها لا يتمّ إلّا عند القائل بمساواة الدرهم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قبولها للتأويل حيث يقال بمساواته للزائد أجاز جعلها دليلا على حكم الناقص من غير ملاحظة للبناء على القول الموافق لظاهرها وسيأتي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الروايات المذكورة مقصورة على حكم الثوب فينحصر الدليل بالنظر إلى البدن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ويلوح من العلّامة في المنتهى التمسّك في البدن بالروايات أيضا مقرّبا له بوجود المشقّة فيه كالثوب ، بل هي في البدن أبلغ ؛ إذ لا يتعدّى إلى الثوب غالبا إلّا منه ، ولا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هو بمقدار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الحجّة على كلّ من القولين الّذين حكيناهما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حجّة الأوّل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الدليل وجوب إزالة قليل النجاسة وكثيرها لقوله عليه‌السلام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 الثوب من البول والمنيّ والدم </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بإطلاقه يقتضي وجوب إزالة الدم كيف كان ، فيترك منه ما وقع الاتّفاق على العفو عنه وهو ما دون الدرهم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ذكره المحقّق في المعتبر واقتصر عليه في الاحتجاج لما صار إليه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 تركناه فيما نقص عن الدرهم للمشقّة وعدم الانفكاك منه فيبقى ما زاد على عموم الأمر بإزالته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أبي يعفور السابق عن الصادق عليه‌السلام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مقدار الدرهم مجتمعا فيغسله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حجّة الثاني فوجهان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المختلف عن المرتضى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إنّ اللّه تعالى أباح الصلاة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عند تطهير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تعلّقت الإباحة بغسل نجاسة لكان ذلك زيادة لا يدلّ عليها الظاهر لأنّه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على ذلك ما زاد على الدرهم ، وما عدا الدم من ساير النجاسات ؛ لأنّ الظاهر وإن لم يوجب ذلك فقد عرفناه بدليل أوجب الزيادة على الظاهر وليس ذلك في يسير الدم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في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عليّ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وعليك ثوب غيره فاطرحه </w:t>
      </w:r>
    </w:p>
    <w:p>
      <w:pPr>
        <w:pStyle w:val="BookText"/>
        <w:rPr/>
      </w:pPr>
      <w:r>
        <w:rPr>
          <w:rFonts w:ascii="Amiri" w:hAnsi="Amiri" w:eastAsia="Amiri" w:cs="Amiri"/>
          <w:color w:val="111111"/>
          <w:sz w:val="28"/>
          <w:sz w:val="28"/>
          <w:szCs w:val="28"/>
          <w:rtl w:val="true"/>
          <w:lang w:bidi="ar-SA"/>
        </w:rPr>
        <w:t>وصلّ وإن لم يكن عليك غيره فامض في صلاتك ولا إعادة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يزد على مقدار الدرهم من ذلك فليس بشي‌ء رأيته أو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قد رأيته وهو أكثر من مقدار الدرهم فضيعت غسله وصلّيت فيه صلوات كثيرة فأعد ما صلّيت فيه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إسماعيل الجعفي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الدم يكون في الثوب إن كان أقلّ من قدر الدرهم فلا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 من قدر الدرهم وكان رآه فلم يغسله حتّى صلّى فليعد صلاته وإن لم يكن رآه حتّى صلّى فلا يعيد الصلاة </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العلّامة عن الوجه الأوّل من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لا تدلّ على الإباحة عند تطهير الأعضاء الأربعة بل هي على اشتراط تطهيرها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بن مسلم لم يسنده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وعدالته وإن كانت تقتضي الإخبار عن الإمام إلّا أنّ ما ذكرناه لا لبس فيه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أجاب به عن الوجه الأوّل وجه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جوابه عن الثاني فمنظور فيه ؛ وذلك لأنّ الممارسة تنبّه على أنّ المقتضي لنحو هذا الإضمار في الأخبار ارتباط بعضها ببعض في كتب رواتها عن الأئمة عليهم‌السلام ، فكان يتّفق وقوع أخبار متعدّدة في أحكام مختلفة مرويّة </w:t>
      </w:r>
    </w:p>
    <w:p>
      <w:pPr>
        <w:pStyle w:val="BookText"/>
        <w:rPr/>
      </w:pPr>
      <w:r>
        <w:rPr>
          <w:rFonts w:ascii="Amiri" w:hAnsi="Amiri" w:eastAsia="Amiri" w:cs="Amiri"/>
          <w:color w:val="111111"/>
          <w:sz w:val="28"/>
          <w:sz w:val="28"/>
          <w:szCs w:val="28"/>
          <w:rtl w:val="true"/>
          <w:lang w:bidi="ar-SA"/>
        </w:rPr>
        <w:t>عن إمام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فصل بينها يوجب إعادة ذكر الإمام عليه‌السلام بالاسم الظاهر فيقتصرون على الإشارة إليه بالمضمر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عرض لتلك الأخبار الاقتطاع والتحويل إلى كتاب آخر تطرّق هذا اللبس ومنشأه غفلة المقتطع لها ، وإلّا فقد كان المناسب رعاية حال المتأخّرين لأنّهم لا عهد لهم بما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 ذلك الإجمال إنّما ساغ لقرب البيان وقد صار بعد الاقتطاع في أقصى غايات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 الممارسة والتأمّل يظهر أنّه لا يليق بمن له أدنى مسكة أن يحدّث بحديث في حكم شرعي ويسنده إلى شخص مجهول بضمير ظاهر في الإشارة إلى معلوم ، فكيف بأجلّاء أصحاب الأئمّة عليهم‌السلام كمحمّد بن مسلم وزرارة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تكثّر في كلام المتأخّرين ردّ الأخبار بمثل هذه الوجوه التي لا يقبلها ذو سليقة مستقيمة وطويّة بمقتضيات الأحوال عليمة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الأولى للعلّامة في الجواب عن الاحتجاج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بصحّة حديث ابن أبي يعفور ورجوع كلامه في جوابه إلى أنّ حديث ابن أبي يعفور أرجح في الاعتبار من 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وجه الرجحان كون ذلك من الصحيح وهذا من الحسن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من صحّة حديث ابن أبي يعفور في ريب ؛ لاشتمال طريقه على علي ابن الحكم وزياد بن أبي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توثيقهما شهادة الواحد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فالشيخ وثّق الأوّل </w:t>
      </w:r>
      <w:r>
        <w:rPr>
          <w:rStyle w:val="FootnoteAnchor"/>
          <w:rtl w:val="true"/>
        </w:rPr>
        <w:footnoteReference w:id="1753"/>
      </w:r>
      <w:r>
        <w:rPr>
          <w:rFonts w:ascii="Amiri" w:hAnsi="Amiri" w:eastAsia="Amiri" w:cs="Amiri"/>
          <w:color w:val="111111"/>
          <w:sz w:val="28"/>
          <w:sz w:val="28"/>
          <w:szCs w:val="28"/>
          <w:rtl w:val="true"/>
          <w:lang w:bidi="ar-SA"/>
        </w:rPr>
        <w:t xml:space="preserve">والنجاشي الثاني </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العلّامة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لنا من التوقّف في الاكتفاء بمثله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حكم المحقّق بصحّتها كما حكيناه دليلا على وجدان ما يدلّ على توثيقهما زيادة على شهادة الواحد ؛ إذ مختار المحقّق في كتابه الاصولي عدم الاكتفاء بتعديل الواحد </w:t>
      </w:r>
      <w:r>
        <w:rPr>
          <w:rStyle w:val="FootnoteAnchor"/>
          <w:rtl w:val="true"/>
        </w:rPr>
        <w:footnoteReference w:id="1756"/>
      </w:r>
      <w:r>
        <w:rPr>
          <w:rFonts w:ascii="Amiri" w:hAnsi="Amiri" w:eastAsia="Amiri" w:cs="Amiri"/>
          <w:color w:val="111111"/>
          <w:sz w:val="28"/>
          <w:sz w:val="28"/>
          <w:szCs w:val="28"/>
          <w:rtl w:val="true"/>
          <w:lang w:bidi="ar-SA"/>
        </w:rPr>
        <w:t>، فبناؤه على مجرّد قول الشيخ والنجاشي كما يقع للعلّامة مستبعد في الجملة ، وإن كنّا قد وجدنا له في المباحث الفقهيّة ما لا يوافق كلامه في الاصول وقد مرّ من ذلك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فحديث ابن أبي يعفور أقرب إلى القبول من خبر ابن مسلم فمع التعارض يكون الترجيح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المساواة ، فخبر ابن مسلم أقرب إلى التأويل إذ يمكن حمل ذكر الزيادة عن مقدار الدرهم فيه على كونها إشارة إلى أنّ اتّفاق كون الدم بمقدار الدرهم فحسب بعيد جدّا ، وأنّ الغالب فيه 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هذا قوله في رواية إسماعيل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أقلّ من قدر الدرهم فلا يعيد الصلاة وإن كان أكثر فليعد صلاته </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لحال مساواته للدرهم ، فالظاهر أنّه لا وجه لتركه إلّا بعد وقوعه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فيكون مفهوم الشرط الأوّل في هذه الرواية مخصّصا لعموم مفهوم </w:t>
      </w:r>
    </w:p>
    <w:p>
      <w:pPr>
        <w:pStyle w:val="BookText"/>
        <w:rPr/>
      </w:pPr>
      <w:r>
        <w:rPr>
          <w:rFonts w:ascii="Amiri" w:hAnsi="Amiri" w:eastAsia="Amiri" w:cs="Amiri"/>
          <w:color w:val="111111"/>
          <w:sz w:val="28"/>
          <w:sz w:val="28"/>
          <w:szCs w:val="28"/>
          <w:rtl w:val="true"/>
          <w:lang w:bidi="ar-SA"/>
        </w:rPr>
        <w:t>الشرط الثاني بمعونة ملاحظة الجمع بينه وبين حديث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للعلّامة الاحتجاج برواية إسماعيل في المختلف للقول بمساواة الدرهم للزائد عنه ، واقتصر منها على الشرط الأوّل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ذكرها في حجّة القائل بمساواته للناقص وليس بجيّد </w:t>
      </w:r>
      <w:r>
        <w:rPr>
          <w:rStyle w:val="FootnoteAnchor"/>
          <w:rtl w:val="true"/>
        </w:rPr>
        <w:footnoteReference w:id="1759"/>
      </w:r>
      <w:r>
        <w:rPr>
          <w:rFonts w:ascii="Amiri" w:hAnsi="Amiri" w:eastAsia="Amiri" w:cs="Amiri"/>
          <w:color w:val="111111"/>
          <w:sz w:val="28"/>
          <w:sz w:val="28"/>
          <w:szCs w:val="28"/>
          <w:rtl w:val="true"/>
          <w:lang w:bidi="ar-SA"/>
        </w:rPr>
        <w:t>؛ فإنّ ظاهرها مشكل ؛ لما بين مفهومي الشرطين فيها من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فالاحتجاج بها لواحد من القولين موقوف على تحقيق وجه الجمع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الصواب فيه ما قلناه ، فتصير مؤيّدة للأدلّة التي تمسّكوا بها في القول بمساواته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القول هو الأحوط والأولى ، وإن كان في الرواية التي احتجّوا له بها ما قد ظهر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الوجهين الآخرين المذكورين في حجّته نوع نظر لا يكاد يخفى عند إنعام النظر وملاحظة مقدّمات كرّرنا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مصير أجلّاء الأصحاب إليه ، بل عدم ظهور المخالفة فيه إلّا من المرتضى وسلّار يساعد على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انتهى الكلام على حكم المجتمع فليذكر حكم المتفرّق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الدم في البدن أو الثوب متفرّقا بحيث لا يبلغ كلّ موضع منه قدر الدرهم ففي إناطته حكم مجموعه بالدرهم كالمجتمع خلاف بين الأصحاب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سلّار من المتقدّمين وأكثر المتأخّرين إلى أنّ حكمه حكم المجتمع فيجب إزالته إن بلغ المجموع على تقدير الاجتماع مقدار الدرهم ، وإلّا فلا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إزالته مطلقا إلّا أن يتفاحش ، ويحكى عنه أنّه قال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نقص عن الدرهم لا يجب إزالته سواء كان في موضع واحد من الثوب أو في مواضع كثيرة بعد أن يكون كلّ موضع أقلّ من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إذا كان جميعه لو جمع لكان مقدار الدرهم وجب إزالته كان أحوط للعبادة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ويعزى إلى ابن إدريس إطلاق القول بعدم وجوب الإزالة </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المحقّق في النافع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المعتبر وفاق الشيخ على مختار النهاية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لوجوب الإزالة إذا كان على تقدير الاجتماع يبلغ قدر الدرهم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التقدير ، وتعليق الحكم به في جملة من الأخبار كقوله في حسنة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قد رأيته وهو أكثر من مقدار الدرهم فضيّعت غسله وصلّيت فيه صلاة كثيرة فأعد ما صلّيت فيه </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فإنّه لا تعرّض في هذا للاجتماع ولا للافتراق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تساوي الحالين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أبي يعفور السابقة فإنّها مفروضة في المتفرّق كما يدلّ عليه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في ثوبه نقط الدم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وجوب إزالة الدم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خرج عنه ما دلّ الدليل على العفو عنه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المحقّق في المعتبر لعدم وجوب الإزالة وإن بلغ الدرهم لو جمع بقوله عليه‌السلام في حديث عبد اللّه بن أبي يعفور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مقدار الدرهم مجتمعا فيغسله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وبأنّ الوجه المقتضي للعفو عن يسير الدم مقتض للعفو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في المختلف عن الاحتجاج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يحتمل أن يكون قوله فيه مجتمعا خبرا بعد خبر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 الاجتماع شرط في وجوب الإزالة ، يحتمل كونه حالا مقدّرة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مقدار الدرهم لو كان مجتمعا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 في ذلك بأنّ الحال المقدّرة هي التي زمانها غير زمان عاملها ، ولها مثال مشهور ، وهو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معه صقر صائدا به غدا أي مقدّرا فيه الصيد ، والزمان في ما نحن فيه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كونه حالا يكون من قبيل المحقّقة لا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الخبرية فيه أظهر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رواية جميل بن درّاج عن بعض أصحابنا عن أبي جعفر وأبي عبد اللّه عليهما‌السلام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الرجل في الثوب وفيه الدم متفرّقا شبه النضح وإن كان قد رآه صاحبه قبل ذلك فلا بأس به ما لم يكن </w:t>
      </w:r>
      <w:bookmarkStart w:id="1007" w:name="pg8731_77669"/>
    </w:p>
    <w:p>
      <w:pPr>
        <w:pStyle w:val="BookText"/>
        <w:rPr/>
      </w:pPr>
      <w:bookmarkEnd w:id="1007"/>
      <w:r>
        <w:rPr>
          <w:rFonts w:ascii="IRNazanin" w:hAnsi="IRNazanin" w:eastAsia="IRNazanin"/>
          <w:color w:val="111111"/>
          <w:sz w:val="28"/>
          <w:sz w:val="28"/>
          <w:szCs w:val="28"/>
          <w:rtl w:val="true"/>
          <w:lang w:bidi="fa-IR"/>
        </w:rPr>
        <w:t xml:space="preserve">مجتمعا قدر الدرهم </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متن هذه الرواية أوضح دلالة على اعتبار الاجتماع كما لا يخفى ، وإن كانت إرادة المعنى الآخر منها غير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أدلّة القول بوجوب الإزالة دليل خالص من شوب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ابن أبي يعفور إمّا متساوي الاحتمالين ، أو أقرب إلى الدلالة على العدم ، فإثبات التكليف بالإزالة مشكل ، غير أنّ الاحتياط يقتضي كون العمل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التفاحش الذي علّق الشيخ وجوب الإزالة به لم يبيّن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له تقدير شرعي ، وأنّ قول الفقهاء فيه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قدّره بالشبر ، وبعض بما تفحّش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أبو حنيفة بربع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إلى العادة لأنّها كالأمارة الدالّة على المراد باللفظ إذا لم يكن له تقدير شرعا ولا وضعا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8" w:name="__RefHeading___Toc3140595_653776707"/>
      <w:bookmarkStart w:id="1009" w:name="_Toc372"/>
      <w:bookmarkEnd w:id="1008"/>
      <w:r>
        <w:rPr>
          <w:rtl w:val="true"/>
        </w:rPr>
        <w:t xml:space="preserve">تذنيب </w:t>
      </w:r>
      <w:r>
        <w:rPr>
          <w:rtl w:val="true"/>
        </w:rPr>
        <w:t>:</w:t>
      </w:r>
      <w:bookmarkEnd w:id="100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الدرهم الذي جعل مقداره مناطا لحكم الدم لم يرد ببيان المراد منه شي‌ء من جهة النقل على ما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في مثله الرجوع إلى العرف </w:t>
      </w:r>
    </w:p>
    <w:p>
      <w:pPr>
        <w:pStyle w:val="BookText"/>
        <w:rPr/>
      </w:pPr>
      <w:r>
        <w:rPr>
          <w:rFonts w:ascii="Amiri" w:hAnsi="Amiri" w:eastAsia="Amiri" w:cs="Amiri"/>
          <w:color w:val="111111"/>
          <w:sz w:val="28"/>
          <w:sz w:val="28"/>
          <w:szCs w:val="28"/>
          <w:rtl w:val="true"/>
          <w:lang w:bidi="ar-SA"/>
        </w:rPr>
        <w:t>الموجود في زمن النبي صلى‌اللّه‌عليه‌وآله أو الأئمّة عليهم‌السلام بناء على انتفاء الحقيقة الشرعيّة وإلّا كانت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الأصحاب أنّ المراد به هنا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عرفوا أنّه هو المتعارف حينئذ ، أو وقفوا على دليل دلّ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 في تفسيره وتقديره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الشهيد في الذكرى عن ابن ادريس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رأس البغل ، ضربه للثاني في ولايته بسكّة كسرويّة ، وزنته ثمانية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والبغليّة كانت تسمّى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فحدث لها هذا الاسم في الإسلام ، والوزن بحاله ، وجرت في المعاملة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دوانيق فلمّا كان زمان عبد الملك جمع بينهما واتّخذ الدرهم منهما واستقرّ من الإسلام على ستّة دوانيق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هو الوافي الذي وزنه درهم وثلث ، ويسمّى البغلي نسبة إلى قرية بالجامعين </w:t>
      </w:r>
      <w:r>
        <w:rPr>
          <w:rStyle w:val="FootnoteAnchor"/>
          <w:rtl w:val="true"/>
        </w:rPr>
        <w:footnoteReference w:id="1773"/>
      </w:r>
      <w:r>
        <w:rPr>
          <w:rFonts w:ascii="Amiri" w:hAnsi="Amiri" w:eastAsia="Amiri" w:cs="Amiri"/>
          <w:color w:val="111111"/>
          <w:sz w:val="28"/>
          <w:sz w:val="28"/>
          <w:szCs w:val="28"/>
          <w:rtl w:val="true"/>
          <w:lang w:bidi="ar-SA"/>
        </w:rPr>
        <w:t xml:space="preserve">، وذكر العلّامة في التذكرة نحو هذا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جماعة من الأصحاب أنّه على هذا التفسير مفتوح الغين مشدّد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 الذكرى هذا التفسير بعد نقله لكلام ابن دريد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منسوب إلى بغل قرية بالجامعين كان يوجد بها دراهم تقرب سعتها </w:t>
      </w:r>
    </w:p>
    <w:p>
      <w:pPr>
        <w:pStyle w:val="BookText"/>
        <w:rPr/>
      </w:pPr>
      <w:r>
        <w:rPr>
          <w:rFonts w:ascii="Amiri" w:hAnsi="Amiri" w:eastAsia="Amiri" w:cs="Amiri"/>
          <w:color w:val="111111"/>
          <w:sz w:val="28"/>
          <w:sz w:val="28"/>
          <w:szCs w:val="28"/>
          <w:rtl w:val="true"/>
          <w:lang w:bidi="ar-SA"/>
        </w:rPr>
        <w:t xml:space="preserve">من أخمص الراحة لتقدّم الدراهم على الإسلام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ناقش في هذا التعليل بأنّه لا ريب في تقدّم الدراهم وإنّما التسمية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المنقول أولى ، يعني ما نقله عن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تقديره ففي كلام ابن الجنيد أنّ سعته كعقد الإبهام الأعلى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ويعزى إلى ابن ادريس أنّه بعد أنّ ذكر أنّ النسبة إلى قرية بالجامعين كان يوجد بها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شاهدها تقرب سعتها من أخمص الراحة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المعتبر بعد تفسيره له بالوافي الذي وزنه درهم وثلث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ما كان بسعة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المحقّق كلام ابن الجنيد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الأوّل أشهر </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كلام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تناقض بين هذه التقديرات لجواز اختلاف أفراد الدرهم من الضارب الواحد كما هو الواقع ، وإخبار كلّ واحد عن فرد رآه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إنّما يتمّ لو لم يكن في التفسير خلاف وإلّا فمن الجائز استناد الاختلاف في التقدير إلى الخلاف في التفسير ولم يعلم من حال الّذين حكي كلامهم في التقدير أنّهم متّفقون على أحد التفسيرين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الجنيد لم يتعرّض في كلامه الذي رأيناه لذكر البغلي فضلا عن تفسيره ، ولم ينقل عنه </w:t>
      </w:r>
    </w:p>
    <w:p>
      <w:pPr>
        <w:pStyle w:val="BookText"/>
        <w:rPr/>
      </w:pPr>
      <w:r>
        <w:rPr>
          <w:rFonts w:ascii="Amiri" w:hAnsi="Amiri" w:eastAsia="Amiri" w:cs="Amiri"/>
          <w:color w:val="111111"/>
          <w:sz w:val="28"/>
          <w:sz w:val="28"/>
          <w:szCs w:val="28"/>
          <w:rtl w:val="true"/>
          <w:lang w:bidi="ar-SA"/>
        </w:rPr>
        <w:t>أحد من الأصحاب في ذلك شيئا ، والكلام الذي حكاه المحقّق عن ابن أبي عقيل خال من التعرّض للفظ البغلي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إدريس فقد عزي إليه المصير إلى التفسير الثاني وبناء التقدير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جماعة من الأصحاب أنّهم بعد اعترافهم بوقوع الاختلاف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ابن إدريس في قدره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مريدين بذلك الاعتماد على التقدير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يستقيم ذلك؟</w:t>
      </w:r>
    </w:p>
    <w:p>
      <w:pPr>
        <w:pStyle w:val="BookText"/>
        <w:rPr/>
      </w:pPr>
      <w:r>
        <w:rPr>
          <w:rFonts w:ascii="Amiri" w:hAnsi="Amiri" w:eastAsia="Amiri" w:cs="Amiri"/>
          <w:color w:val="111111"/>
          <w:sz w:val="28"/>
          <w:sz w:val="28"/>
          <w:szCs w:val="28"/>
          <w:rtl w:val="true"/>
          <w:lang w:bidi="ar-SA"/>
        </w:rPr>
        <w:t>وفرض كون كلامه شهادة مقتض لتوقّف الحكم بمضمونها على التعدّد كما هو شأن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التنزّل فهو مبنيّ على تفسيره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ثبوت التفسير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 حال الجماعة الذين ذكروا هذا الكلام أنّهم معتمدون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فالمصير إلى شي‌ء من التفسيرين والبناء على واحد من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الحجّة وإنّما هي دعاوي مجرّدة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ربقة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مع القدر القليل </w:t>
      </w:r>
      <w:r>
        <w:rPr>
          <w:rStyle w:val="FootnoteAnchor"/>
          <w:rtl w:val="true"/>
        </w:rPr>
        <w:footnoteReference w:id="1779"/>
      </w:r>
      <w:r>
        <w:rPr>
          <w:rFonts w:ascii="Amiri" w:hAnsi="Amiri" w:eastAsia="Amiri" w:cs="Amiri"/>
          <w:color w:val="111111"/>
          <w:sz w:val="28"/>
          <w:sz w:val="28"/>
          <w:szCs w:val="28"/>
          <w:rtl w:val="true"/>
          <w:lang w:bidi="ar-SA"/>
        </w:rPr>
        <w:t>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القرائن الحاليّة تشهد بنفي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بأخمص الراحة في تقدير ابن إدريس ما انخفض منها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الأخمص ما دخل من باطن القدم فلم يصب الأرض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1010" w:name="pg8731_77677"/>
    </w:p>
    <w:p>
      <w:pPr>
        <w:pStyle w:val="Heading6"/>
        <w:numPr>
          <w:ilvl w:val="5"/>
          <w:numId w:val="1"/>
        </w:numPr>
        <w:rPr/>
      </w:pPr>
      <w:bookmarkStart w:id="1011" w:name="__RefHeading___Toc3140597_653776707"/>
      <w:bookmarkStart w:id="1012" w:name="_Toc373"/>
      <w:bookmarkEnd w:id="1010"/>
      <w:bookmarkEnd w:id="1011"/>
      <w:r>
        <w:rPr>
          <w:rtl w:val="true"/>
        </w:rPr>
        <w:t xml:space="preserve">فروع </w:t>
      </w:r>
      <w:r>
        <w:rPr>
          <w:rtl w:val="true"/>
        </w:rPr>
        <w:t>:</w:t>
      </w:r>
      <w:bookmarkEnd w:id="1012"/>
    </w:p>
    <w:p>
      <w:pPr>
        <w:pStyle w:val="Heading6"/>
        <w:numPr>
          <w:ilvl w:val="5"/>
          <w:numId w:val="1"/>
        </w:numPr>
        <w:rPr/>
      </w:pPr>
      <w:bookmarkStart w:id="1013" w:name="__RefHeading___Toc3140599_653776707"/>
      <w:bookmarkStart w:id="1014" w:name="_Toc374"/>
      <w:bookmarkEnd w:id="1013"/>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014"/>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الرطب الطاهر بالدم ثمّ أصاب الثوب لم يعتبر فيه الدرهم بل وجب إزالة قليله لأنّه نجس ليس بدم ، فوجب إزالته بالأصل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مستفادة من الدم فكان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يثبت في الفرع ما ثبت في الأصل ، وبأنّ الاعتبار بالمشقّة المستندة إلى كثرة الوقوع ، وذلك غير موجود في صورة النزاع لندورته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زالت عين الدم بما لا يطهّرها ففي جواز الصلاة نظر ، أقربه الجواز لأنّه مع العينيّة يجوز ، وبزوال العين تخفّ النجاسة فكان الدخول سائغا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 أصله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جمع من الأصحاب مساواة هذا المتنجّس لما تنجّس به ، فيعفى عنه إذا نقص عن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بأنّ المنجّس بشي‌ء أضعف حكما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العفو في القويّ فالضعيف أولى بأن يثبت فيه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ذهب الشهيد في الذكرى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البيان صار إلى الأوّل </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الثاني هو الأظهر</w:t>
      </w:r>
      <w:r>
        <w:rPr>
          <w:rFonts w:eastAsia="Amiri" w:cs="Amiri" w:ascii="Amiri" w:hAnsi="Amiri"/>
          <w:color w:val="111111"/>
          <w:sz w:val="28"/>
          <w:szCs w:val="28"/>
          <w:rtl w:val="true"/>
          <w:lang w:bidi="ar-SA"/>
        </w:rPr>
        <w:t xml:space="preserve">. </w:t>
      </w:r>
      <w:bookmarkStart w:id="1015" w:name="pg8731_77679"/>
    </w:p>
    <w:p>
      <w:pPr>
        <w:pStyle w:val="Heading6"/>
        <w:numPr>
          <w:ilvl w:val="5"/>
          <w:numId w:val="1"/>
        </w:numPr>
        <w:rPr/>
      </w:pPr>
      <w:bookmarkStart w:id="1016" w:name="__RefHeading___Toc3140601_653776707"/>
      <w:bookmarkStart w:id="1017" w:name="_Toc375"/>
      <w:bookmarkEnd w:id="1015"/>
      <w:bookmarkEnd w:id="1016"/>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017"/>
    </w:p>
    <w:p>
      <w:pPr>
        <w:pStyle w:val="BookText"/>
        <w:rPr/>
      </w:pPr>
      <w:r>
        <w:rPr>
          <w:rFonts w:ascii="Amiri" w:hAnsi="Amiri" w:eastAsia="Amiri" w:cs="Amiri"/>
          <w:color w:val="111111"/>
          <w:sz w:val="28"/>
          <w:sz w:val="28"/>
          <w:szCs w:val="28"/>
          <w:rtl w:val="true"/>
          <w:lang w:bidi="ar-SA"/>
        </w:rPr>
        <w:t>إذا أصاب الدم وجهي الثوب فإن تفشّى من جانب إلى آخر فهو دم واحد ، وإلّا فدمان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الشهيد رحمه‌اللّه فقال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تفشّى الدم في الرقيق فواحد وفي الصفيق اثنان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ذلك في الذكرى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العلّامة رحمه‌اللّه في المنتهى والتحرير على أنّ التفشّي موجب للاتّحاد في الصفيق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العرف في ذلك ؛ إذ ليس له ضابط شرعي ولا سبيل إلى استفادة حكم اللّغة في مثله ، فالمرجع حينئذ إلى ما يقتضيه العرف</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3140603_653776707"/>
      <w:bookmarkStart w:id="1019" w:name="_Toc376"/>
      <w:bookmarkEnd w:id="1018"/>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019"/>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الدم اليسير في ثوب غير ملبوس أو في متاع أو آنية أو آلة فأخذ ذلك بيده وصلّى وهو حامل له احتمل الجواز ؛ لعموم الترخّص ، والمنع لانتفاء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هذا الكلام في المنتهى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 توجيهيه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الترخيص ليس فيها عموم يتناول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اعتبار المشقّة لو اخذ دليلا على الحكم لا نتفت الرخصة في كثير من الصور لعدم المشقّة فيها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بالعفو في موضع النزاع غير محتاج إلى تكلّف يتناول دليل العفو في أصل المسألة له ، بل يكفي فيه كونه مقتضى الأصل ؛ فإنّ إيجاب </w:t>
      </w:r>
      <w:bookmarkStart w:id="1020" w:name="pg8731_77681"/>
    </w:p>
    <w:p>
      <w:pPr>
        <w:pStyle w:val="BookText"/>
        <w:rPr/>
      </w:pPr>
      <w:bookmarkEnd w:id="1020"/>
      <w:r>
        <w:rPr>
          <w:rFonts w:ascii="Amiri" w:hAnsi="Amiri" w:eastAsia="Amiri" w:cs="Amiri"/>
          <w:color w:val="111111"/>
          <w:sz w:val="28"/>
          <w:sz w:val="28"/>
          <w:szCs w:val="28"/>
          <w:rtl w:val="true"/>
          <w:lang w:bidi="ar-SA"/>
        </w:rPr>
        <w:t>الإزالة والاجتناب تكليف ، والأصل براءة الذمّة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احتاجوا في حكم الثوب الملبوس والبدن إلى التمسّك بغير هذا الوجه لقيام الدليل على منافاة النجاسة فيهما لصحّة الصلاة كما مرّت الإشارة إليه فيتوقّف استثناء بعض النجاسات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الأصل دليلا قويّا في الجميع</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3140605_653776707"/>
      <w:bookmarkStart w:id="1022" w:name="_Toc377"/>
      <w:bookmarkEnd w:id="1021"/>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1022"/>
    </w:p>
    <w:p>
      <w:pPr>
        <w:pStyle w:val="BookText"/>
        <w:rPr/>
      </w:pP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الدم المعفوّ عنه بغيره ، كدم الفصد بدم الحيض ، فالأقرب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اشتبه الدم الطاهر بغيره فالأصل الطهارة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لبيان الوجه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وجّهه بعض الأصحاب بأنّه مبنيّ على القاعدة المقرّرة في اشتباه الشي‌ء بين المحصور وغير المحصور وهي الإلحاق بغير المحصور من حيث إنّ الحصر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البحث لا حصر في الدم المعفوّ عمّا نقص عن الدرهم منه ولا في الدم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متّجه بالنظر إلى الحكم الأوّل حيث إنّ ما لا يعفى عن قليله من الدماء منحصر وما لا يعفى عنه غير منحصر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الحكم الثاني فواضح الفساد ؛ لأنّ كلّا من الدم الطاهر والنجس غير منحصر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وجّهه بعض من عاصرناه من مشايخنا بأنّ أصالة الطهارة لم ترد في نفس الدم بل في ما لاقاه على معنى أنّ طهارته إذا علمت قبل ملاقاة </w:t>
      </w:r>
      <w:bookmarkStart w:id="1023" w:name="pg8731_77683"/>
    </w:p>
    <w:p>
      <w:pPr>
        <w:pStyle w:val="BookText"/>
        <w:rPr/>
      </w:pPr>
      <w:bookmarkEnd w:id="1023"/>
      <w:r>
        <w:rPr>
          <w:rFonts w:ascii="Amiri" w:hAnsi="Amiri" w:eastAsia="Amiri" w:cs="Amiri"/>
          <w:color w:val="111111"/>
          <w:sz w:val="28"/>
          <w:sz w:val="28"/>
          <w:szCs w:val="28"/>
          <w:rtl w:val="true"/>
          <w:lang w:bidi="ar-SA"/>
        </w:rPr>
        <w:t>هذا الدم المشتبه فالأصل بقاؤها إلى أن يعلم المقتضي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لنا في المقام توجيها أحسن منه وهو أنّه لا معنى للنجس إلّا ما أمر الشارع بإزالته أو اجتنابه ، ولا للطاهر إلّا ما لا تكليف فيه بأحد الأمرين ، فإذا حصل الاشتباه كان مقتضى الأصل هو الطهارة بمعنى براءة الذمّة من التكليف بواحد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اعتبار هذا التوجيه في الحكم الأوّل أيضا أولى ممّا حكيناه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استفيد ممّا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لعدم العفو عن بعض أنواع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الأدلّة العامّة ما يقتضي وجوب إزالة الدم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ذلك ما دلّ الدليل على استثنائه والعفو عنه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فحيث يقع الاشتباه لا نعلم كونه من أفراد ما استثني فيتّجه إيجاب إزالته بمقتضى 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دليل الاستثناء تقيّد ، ليكون العفو موقوفا على العلم بخصوصيّة النوع الذي علّق به ، ولكنّه مع ذلك ليس بظاهر في تناول ما حكم الأصحاب بانتفاء العفو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 في حكمه للدليل الدالّ بعمومه على وجوب الإزالة فيعمل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المشتبه الذي لا نعلم من أيّ نوع هو فدليل العفو صالح لتناوله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المعفوّ عنه محصور معيّن ولا تعيين في العفو فمع الاشتباه يكون الحكم لغير المعيّن</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3140607_653776707"/>
      <w:bookmarkStart w:id="1025" w:name="_Toc378"/>
      <w:bookmarkEnd w:id="1024"/>
      <w:r>
        <w:rPr>
          <w:rtl w:val="true"/>
        </w:rPr>
        <w:t xml:space="preserve">مسألة </w:t>
      </w:r>
      <w:r>
        <w:rPr>
          <w:rtl w:val="true"/>
        </w:rPr>
        <w:t>[</w:t>
      </w:r>
      <w:r>
        <w:rPr/>
        <w:t>7</w:t>
      </w:r>
      <w:r>
        <w:rPr>
          <w:rtl w:val="true"/>
        </w:rPr>
        <w:t>] :</w:t>
      </w:r>
      <w:bookmarkEnd w:id="1025"/>
    </w:p>
    <w:p>
      <w:pPr>
        <w:pStyle w:val="Heading6"/>
        <w:numPr>
          <w:ilvl w:val="5"/>
          <w:numId w:val="1"/>
        </w:numPr>
        <w:rPr/>
      </w:pPr>
      <w:bookmarkStart w:id="1026" w:name="__RefHeading___Toc3140609_653776707"/>
      <w:bookmarkStart w:id="1027" w:name="_Toc379"/>
      <w:bookmarkEnd w:id="1026"/>
      <w:r>
        <w:rPr>
          <w:rtl w:val="true"/>
        </w:rPr>
        <w:t>اشارة</w:t>
      </w:r>
      <w:bookmarkEnd w:id="102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لا يتمّ الصلاة فيه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كالتكّة والقلنسوة والخفّ والنعل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w:t>
      </w:r>
    </w:p>
    <w:p>
      <w:pPr>
        <w:pStyle w:val="BookText"/>
        <w:rPr/>
      </w:pPr>
      <w:r>
        <w:rPr>
          <w:rFonts w:ascii="Amiri" w:hAnsi="Amiri" w:eastAsia="Amiri" w:cs="Amiri"/>
          <w:color w:val="111111"/>
          <w:sz w:val="28"/>
          <w:sz w:val="28"/>
          <w:szCs w:val="28"/>
          <w:rtl w:val="true"/>
          <w:lang w:bidi="ar-SA"/>
        </w:rPr>
        <w:t>عن نجاسته سواء كانت دما أو غيره ولو مغلّظة كدم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أصل هذا الحكم خلافا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فيه أصالة براءة الذمّة من التكليف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ويعضدها ما رواه في الصحيح الشيخ عن حمّاد بن عثمان عمّن رواه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يصلّي في الخفّ الذي قد أصابه قذر؟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لا يتمّ فيه الصلاة فلا بأس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الموثّق عن زرارة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لا يجوز فيه الصلاة وحده فلا بأس بأن يكون عليه الشي‌ء مثل القلنسوة والتكّة والجورب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أبي البلاد عمّن حدّثهم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الشي‌ء الذي لا يجوز الصلاة فيه وحده يصيبه القذر مثل القلنسوة والتكّة والجورب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عبد اللّه بن سنان عمّن أخبره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على الانسان أو معه ممّا لا يجوز الصلاة فيه وحده فلا بأس أن يصلّي فيه وإن كان فيه قذر مثل القلنسوة والتكّة والكمرة والنعل والخفّين وما أشبه ذلك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قلنسوتي وقعت في بول </w:t>
      </w:r>
    </w:p>
    <w:p>
      <w:pPr>
        <w:pStyle w:val="BookText"/>
        <w:rPr/>
      </w:pPr>
      <w:r>
        <w:rPr>
          <w:rFonts w:ascii="Amiri" w:hAnsi="Amiri" w:eastAsia="Amiri" w:cs="Amiri"/>
          <w:color w:val="111111"/>
          <w:sz w:val="28"/>
          <w:sz w:val="28"/>
          <w:szCs w:val="28"/>
          <w:rtl w:val="true"/>
          <w:lang w:bidi="ar-SA"/>
        </w:rPr>
        <w:t>فأخذتها فوضعتها على رأسي ثمّ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اشتركت كلّها في ضعف الإسناد إلّا أنّ انضمامها إلى الأصل يساعد على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الأصحاب وإن لم يظهر بينهم خلاف في أصل العفو هنا فقد اختلفوا فيه من جهة المتعلّق ، وذلك أنّ المحقّق </w:t>
      </w:r>
      <w:r>
        <w:rPr>
          <w:rStyle w:val="FootnoteAnchor"/>
          <w:rtl w:val="true"/>
        </w:rPr>
        <w:footnoteReference w:id="1793"/>
      </w:r>
      <w:r>
        <w:rPr>
          <w:rFonts w:ascii="Amiri" w:hAnsi="Amiri" w:eastAsia="Amiri" w:cs="Amiri"/>
          <w:color w:val="111111"/>
          <w:sz w:val="28"/>
          <w:sz w:val="28"/>
          <w:szCs w:val="28"/>
          <w:rtl w:val="true"/>
          <w:lang w:bidi="ar-SA"/>
        </w:rPr>
        <w:t xml:space="preserve">والشهيد في أكثر كتبه </w:t>
      </w:r>
      <w:r>
        <w:rPr>
          <w:rStyle w:val="FootnoteAnchor"/>
          <w:rtl w:val="true"/>
        </w:rPr>
        <w:footnoteReference w:id="1794"/>
      </w:r>
      <w:r>
        <w:rPr>
          <w:rFonts w:ascii="Amiri" w:hAnsi="Amiri" w:eastAsia="Amiri" w:cs="Amiri"/>
          <w:color w:val="111111"/>
          <w:sz w:val="28"/>
          <w:sz w:val="28"/>
          <w:szCs w:val="28"/>
          <w:rtl w:val="true"/>
          <w:lang w:bidi="ar-SA"/>
        </w:rPr>
        <w:t xml:space="preserve">ووالدي </w:t>
      </w:r>
      <w:r>
        <w:rPr>
          <w:rStyle w:val="FootnoteAnchor"/>
          <w:rtl w:val="true"/>
        </w:rPr>
        <w:footnoteReference w:id="1795"/>
      </w:r>
      <w:r>
        <w:rPr>
          <w:rFonts w:ascii="Amiri" w:hAnsi="Amiri" w:eastAsia="Amiri" w:cs="Amiri"/>
          <w:color w:val="111111"/>
          <w:sz w:val="28"/>
          <w:sz w:val="28"/>
          <w:szCs w:val="28"/>
          <w:rtl w:val="true"/>
          <w:lang w:bidi="ar-SA"/>
        </w:rPr>
        <w:t>وجماعة من المتأخّرين عمّموا الحكم في كلّ ما لا يتمّ الصلاة فيه من ملبوس ومحمول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 العلّامة بالملابس فقال في النهاية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دراهم نجسة أو غيرها لم تصحّ صلاته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الشهيد في البيان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أكثر كتبه قيدا آخر وهو كونها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التكّة على رأسه والخفّ في يده وكانا نجسين لم تصحّ صلاته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هذا القيد أيضا الشهيد في البيان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ويعزى إلى القطب الراوندي قصر الحكم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القلنسوة </w:t>
      </w:r>
    </w:p>
    <w:p>
      <w:pPr>
        <w:pStyle w:val="BookText"/>
        <w:rPr/>
      </w:pPr>
      <w:r>
        <w:rPr>
          <w:rFonts w:ascii="Amiri" w:hAnsi="Amiri" w:eastAsia="Amiri" w:cs="Amiri"/>
          <w:color w:val="111111"/>
          <w:sz w:val="28"/>
          <w:sz w:val="28"/>
          <w:szCs w:val="28"/>
          <w:rtl w:val="true"/>
          <w:lang w:bidi="ar-SA"/>
        </w:rPr>
        <w:t xml:space="preserve">والتكّة والجوراب والخفّ والنعل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الصدوقان في الرسالة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في جملة ما يعفى عنه لكون الصلاة لا تتمّ فيه وحده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المعتبر عن الراوندي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عمامة صغيرة كالعصابة لأنّها لا يمكن ستر العورة بها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هذه الأقوال عندي عموم العفوّ لكلّ ملبوس ومحمول لا يتمّ الصلاة فيه ؛ لأنّ الدليل عامّ وليس لهم على شي‌ء من دعاوي التخصيص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أنّه احتجّ للحكم في بعض كتبه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التخصيص بالملابس التي في محالّها من غير أن يذكر على ذلك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يقرن الدليل المقتضي للعموم بالدعوى المأخوذة على جهة الخصوص؟ هذا ، والأخبار بتقدير نهوضها دليلا ظاهرة في العموم أيضا ، فلا ندري من أين يدرك التخصيص؟</w:t>
      </w:r>
    </w:p>
    <w:p>
      <w:pPr>
        <w:pStyle w:val="BookText"/>
        <w:rPr/>
      </w:pPr>
      <w:r>
        <w:rPr>
          <w:rFonts w:ascii="Amiri" w:hAnsi="Amiri" w:eastAsia="Amiri" w:cs="Amiri"/>
          <w:color w:val="111111"/>
          <w:sz w:val="28"/>
          <w:sz w:val="28"/>
          <w:szCs w:val="28"/>
          <w:rtl w:val="true"/>
          <w:lang w:bidi="ar-SA"/>
        </w:rPr>
        <w:t xml:space="preserve">وقد عزى في المختلف إلى الراوندي الاحتجاج على ما صار إليه من الاقتصار على الأشياء الخمسة بوقوع الإجماع عليها ، وما عداها لم يثبت النصّ فيه فيبقى على المنع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بأنّا قد بيّنا الثبوت والمشاركة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بذلك ما احتجّ به للحكم من الأخبار ، مضافا إلى وجه من الاعتبار هيّن</w:t>
      </w:r>
      <w:r>
        <w:rPr>
          <w:rFonts w:eastAsia="Amiri" w:cs="Amiri" w:ascii="Amiri" w:hAnsi="Amiri"/>
          <w:color w:val="111111"/>
          <w:sz w:val="28"/>
          <w:szCs w:val="28"/>
          <w:rtl w:val="true"/>
          <w:lang w:bidi="ar-SA"/>
        </w:rPr>
        <w:t xml:space="preserve">. </w:t>
      </w:r>
      <w:bookmarkStart w:id="1028" w:name="pg8731_77691"/>
    </w:p>
    <w:p>
      <w:pPr>
        <w:pStyle w:val="BookText"/>
        <w:rPr/>
      </w:pPr>
      <w:bookmarkEnd w:id="1028"/>
      <w:r>
        <w:rPr>
          <w:rFonts w:ascii="Amiri" w:hAnsi="Amiri" w:eastAsia="Amiri" w:cs="Amiri"/>
          <w:color w:val="111111"/>
          <w:sz w:val="28"/>
          <w:sz w:val="28"/>
          <w:szCs w:val="28"/>
          <w:rtl w:val="true"/>
          <w:lang w:bidi="ar-SA"/>
        </w:rPr>
        <w:t>وإذ قد علمت أنّه لا شي‌ء من الأخبار ينفي الإسناد فالاعتماد إذن في الاستدلال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تمسّك المحقّق في المعتبر </w:t>
      </w:r>
      <w:r>
        <w:rPr>
          <w:rStyle w:val="FootnoteAnchor"/>
          <w:rtl w:val="true"/>
        </w:rPr>
        <w:footnoteReference w:id="1804"/>
      </w:r>
      <w:r>
        <w:rPr>
          <w:rFonts w:ascii="Amiri" w:hAnsi="Amiri" w:eastAsia="Amiri" w:cs="Amiri"/>
          <w:color w:val="111111"/>
          <w:sz w:val="28"/>
          <w:sz w:val="28"/>
          <w:szCs w:val="28"/>
          <w:rtl w:val="true"/>
          <w:lang w:bidi="ar-SA"/>
        </w:rPr>
        <w:t>، وجعل الروايات مؤيّدة ، ونعم ما فعل</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3140611_653776707"/>
      <w:bookmarkStart w:id="1030" w:name="_Toc380"/>
      <w:bookmarkEnd w:id="1029"/>
      <w:r>
        <w:rPr>
          <w:rtl w:val="true"/>
        </w:rPr>
        <w:t xml:space="preserve">فروع </w:t>
      </w:r>
      <w:r>
        <w:rPr>
          <w:rtl w:val="true"/>
        </w:rPr>
        <w:t>:</w:t>
      </w:r>
      <w:bookmarkEnd w:id="1030"/>
    </w:p>
    <w:p>
      <w:pPr>
        <w:pStyle w:val="Heading6"/>
        <w:numPr>
          <w:ilvl w:val="5"/>
          <w:numId w:val="1"/>
        </w:numPr>
        <w:rPr/>
      </w:pPr>
      <w:bookmarkStart w:id="1031" w:name="__RefHeading___Toc3140613_653776707"/>
      <w:bookmarkStart w:id="1032" w:name="_Toc381"/>
      <w:bookmarkEnd w:id="1031"/>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032"/>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حيوانا طاهرا غير مأكول أو صبيّا لم تبطل صلاته ؛ لأنّ النبي صلى‌اللّه‌عليه‌وآله حمل أمامة وهو يصلّي ، وركب الحسين عليه‌السلام على ظهره وهو ساجد </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في المنتهى نحو هذا الكلام وزاد في حكاية ركوب الحسين عليه‌السلام على ظهر النبيّ صلى‌اللّه‌عليه‌وآله أنّ الجمهور كافّة نقلوه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إلى هذا الدليل وجها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في المحمول في معدته كالحامل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بعض الأصحاب بالأصل السالم عن معارضة ما يقتضي المنافاة وهو الأوضح</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3140615_653776707"/>
      <w:bookmarkStart w:id="1034" w:name="_Toc382"/>
      <w:bookmarkEnd w:id="1033"/>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034"/>
    </w:p>
    <w:p>
      <w:p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قارورة مسدودة الرأس بالرصاص وفيها بول أو نجاسة ليس لأصحابنا فيه نصّ</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المذهب أنّه لا ينقض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أبي هريرة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قاسه على حيوان طاهر في جوفه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عزى إلى غيره من العامّة القول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ودليلنا أنّ قواطع الصلاة طريقها الشرع ولا دليل في الشرع على أنّ ذلك يبطل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أنّه يبطل الصلاة لدليل الاحتياط كان قويّا ، ولأنّ على المسألة إجماعا ؛ فإنّ خلاف ابن أبي هريرة لا يعتدّ به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حكى محصولها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الشيخ جزم في المبسوط بالبطلان ثمّ استوجه هو الجواز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له بأنّه محمول لا تتمّ الصلاة به منفردا فيجوز استصحابه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عوّلوا على أنّه حامل نجاسة فيبطل صلاته كما لو كانت على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على الثوب منجّسة له فتبطل لنجاسة الثوب لا لكونه حاملا نجاسة ونطالبهم بالدلالة على أنّ حمل النجاسة مبطل للصلاة إذا لم تتّصل بالثوب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الشيخ في الكلام الذي قاله في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الشيخ ضعيف ؛ لأنّه سلّم أنّه ليس على المسألة نصّ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التقدير يكون ما استدلّ به من الإجماع هو قول جماعة من فقهاء الجمهور وليس في ذلك حجّة عندنا ولا عندهم أيضا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المناقشة متوجّهة ، وما اختاره المحقّق هو الحقّ ، واحتجاجه له مع جوابه عمّا عوّل الجمهور عليه في غاية الجودة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الشهيد في الذكرى بعد حكايته لكلام المحقّق هنا أنّه لا حاجة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شدّ رأس القارورة إذا أمن تعدّي النجاسة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اشترطه من العامّة لم يقل بالعفو عما لا يتمّ الصلاة فيه وحده ، بل مأخذه القياس على حمل الحيوان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أنّ المحقّق لا ينكره وإنّما لم يصرّح به لأنّه مشى في كلامه على أثر كلام الشيخ ، وأنّ الشيخ اقتفى أثر العامّة في فرض المسألة كما يعلن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لأصحابنا فيه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العلّامة رجّح في أكثر كتبه مختار المبسوط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المختلف إلى ابن إدريس أيضا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حامل نجاسة فيبطل صلاته ، كما لو كانت النجاسة على بدنه أو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إيجاب تطهير الثوب والبدن لأجل الصلاة ووجوب تحرّز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مواطن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النجاسة يناسب 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الاحتياط يقتضي ذلك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فهمت كلام المحقّق استغنيت به عن طلب الجواب عن هذه الحجّة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استشهاده فيها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التحرّز من إدخال النجاسة إلى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رأيه في منع إدخال النجاسة إلى المساجد مع عدم تعدّيها إليها أو إلى شي‌ء من آلاتها وسيأتي البحث عن ذلك في أحكام المساجد إن شاء اللّه تعالى</w:t>
      </w:r>
      <w:r>
        <w:rPr>
          <w:rFonts w:eastAsia="Amiri" w:cs="Amiri" w:ascii="Amiri" w:hAnsi="Amiri"/>
          <w:color w:val="111111"/>
          <w:sz w:val="28"/>
          <w:szCs w:val="28"/>
          <w:rtl w:val="true"/>
          <w:lang w:bidi="ar-SA"/>
        </w:rPr>
        <w:t xml:space="preserve">. </w:t>
      </w:r>
      <w:bookmarkStart w:id="1035" w:name="pg8731_77697"/>
    </w:p>
    <w:p>
      <w:pPr>
        <w:pStyle w:val="Heading6"/>
        <w:numPr>
          <w:ilvl w:val="5"/>
          <w:numId w:val="1"/>
        </w:numPr>
        <w:rPr/>
      </w:pPr>
      <w:bookmarkStart w:id="1036" w:name="__RefHeading___Toc3140617_653776707"/>
      <w:bookmarkStart w:id="1037" w:name="_Toc383"/>
      <w:bookmarkEnd w:id="1035"/>
      <w:bookmarkEnd w:id="1036"/>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037"/>
    </w:p>
    <w:p>
      <w:pPr>
        <w:pStyle w:val="BookText"/>
        <w:rPr/>
      </w:pPr>
      <w:r>
        <w:rPr>
          <w:rFonts w:ascii="Amiri" w:hAnsi="Amiri" w:eastAsia="Amiri" w:cs="Amiri"/>
          <w:color w:val="111111"/>
          <w:sz w:val="28"/>
          <w:sz w:val="28"/>
          <w:szCs w:val="28"/>
          <w:rtl w:val="true"/>
          <w:lang w:bidi="ar-SA"/>
        </w:rPr>
        <w:t xml:space="preserve">ذكر الشيخ في النهاية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نفى البأس عن الصلاة فيما أصابه نجاسة ممّا لا يتمّ الصلاة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إزالة النجاسة عنه أفضل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أبو المكارم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عفي عن النجاسة التي يكون فيما لا يتمّ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والتنزّه عن ذلك أفضل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أر من تعرّض لهذا الحكم سواهم ولا وقفت على خبر يقتضيه بصريحه ولكن ورد في بعض الروايات اشتراط رجحان الصلاة في النعل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في النعل فلا يبعد أن يكون غيره من الملابس أولى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وقفت عليه من الأخبار الواردة بذلك المعنى حديثان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الرحمن بن أبي عبد اللّه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فصلّ في نعليك إذا كانت طاهرة فإنّه يقال ذلك من السنّة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الحسن عن عبد اللّه بن المغيرة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فصلّ في نعليك إذا كانت طاهرة فإنّ ذلك من السنّة </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رحمه‌اللّه الخبر الأوّل في الصحيح عن عبد الرحمن بن أبي عبد اللّه عن الصادق عليه‌السلام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المتن نوع مخالفة ؛ فإنّه أورده بصورة متن </w:t>
      </w:r>
      <w:bookmarkStart w:id="1038" w:name="pg8731_77699"/>
    </w:p>
    <w:p>
      <w:pPr>
        <w:pStyle w:val="BookText"/>
        <w:rPr/>
      </w:pPr>
      <w:bookmarkEnd w:id="1038"/>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3140619_653776707"/>
      <w:bookmarkStart w:id="1040" w:name="_Toc384"/>
      <w:bookmarkEnd w:id="1039"/>
      <w:r>
        <w:rPr>
          <w:rtl w:val="true"/>
        </w:rPr>
        <w:t xml:space="preserve">مسألة </w:t>
      </w:r>
      <w:r>
        <w:rPr>
          <w:rtl w:val="true"/>
        </w:rPr>
        <w:t>[</w:t>
      </w:r>
      <w:r>
        <w:rPr/>
        <w:t>8</w:t>
      </w:r>
      <w:r>
        <w:rPr>
          <w:rtl w:val="true"/>
        </w:rPr>
        <w:t>] :</w:t>
      </w:r>
      <w:bookmarkEnd w:id="1040"/>
    </w:p>
    <w:p>
      <w:pPr>
        <w:pStyle w:val="Heading6"/>
        <w:numPr>
          <w:ilvl w:val="5"/>
          <w:numId w:val="1"/>
        </w:numPr>
        <w:rPr/>
      </w:pPr>
      <w:bookmarkStart w:id="1041" w:name="__RefHeading___Toc3140621_653776707"/>
      <w:bookmarkStart w:id="1042" w:name="_Toc385"/>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والمشهور بين الأصحاب العفو عن نجاسة ثوب المربّية للصبيّ ذات الثوب الواحد إذا غسلته في اليوم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في ذلك على ما ذكره الفاضلان في المعتبر والمنتهى ما رواه الشيخ عن أبي حفص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امرأة ليس لها إلّا قميص ولها مولود فيبول عليها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القميص في اليوم مرّة </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تكرار بول الصبيّ يمنع التمكّن من إزالته فجرى مجرى دم القرح الذي لا يمنع من استصحاب الثوب في الصلاة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اتّباع الرواية هناك دفعا للحرج فكذا هنا لتحقّق الحرج في الإزالة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الحجّة بيّنة الوهن ؛ فإنّ الرواية ضعيفة السند ، فلا تصلح لتأسيس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الحرج يقتضي إناطة الحكم بما يندفع معه ، لا بالزمان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والإلحاق بدم القرح قياس</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اتّباع الرواية هناك ليس باعتبار الحرج ، وإنّما هو لصلاحيّتها لإثبات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الجرح مؤيّدة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الصلاحيّة هنا منتفية فلا </w:t>
      </w:r>
    </w:p>
    <w:p>
      <w:pPr>
        <w:pStyle w:val="BookText"/>
        <w:rPr/>
      </w:pPr>
      <w:r>
        <w:rPr>
          <w:rFonts w:ascii="Amiri" w:hAnsi="Amiri" w:eastAsia="Amiri" w:cs="Amiri"/>
          <w:color w:val="111111"/>
          <w:sz w:val="28"/>
          <w:sz w:val="28"/>
          <w:szCs w:val="28"/>
          <w:rtl w:val="true"/>
          <w:lang w:bidi="ar-SA"/>
        </w:rPr>
        <w:t>معنى لكون وجوب الاتّباع هناك موجبا لوجوبه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أنّه على تقدير العمل بالرواية يمكن أن يسوّى في الحكم بين المربّية للصبيّ والصبيّة ؛ نظرا إلى أنّ المذكور فيها المولود ، وهو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الشهيدان </w:t>
      </w:r>
      <w:r>
        <w:rPr>
          <w:rStyle w:val="FootnoteAnchor"/>
          <w:rtl w:val="true"/>
        </w:rPr>
        <w:footnoteReference w:id="1822"/>
      </w:r>
      <w:r>
        <w:rPr>
          <w:rFonts w:ascii="Amiri" w:hAnsi="Amiri" w:eastAsia="Amiri" w:cs="Amiri"/>
          <w:color w:val="111111"/>
          <w:sz w:val="28"/>
          <w:sz w:val="28"/>
          <w:szCs w:val="28"/>
          <w:rtl w:val="true"/>
          <w:lang w:bidi="ar-SA"/>
        </w:rPr>
        <w:t>وأكثر المتأخّرين اعتمادا على شمول لفظ المولود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المولود هو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العلّامة في النهاية مشعر بذلك أيضا حيث قال بعد أن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مخصوص بالذكر اقتصارا في الرخصة على المنصوص ، وللفرق ؛ فإنّ بول الصبيّ كالماء وبول الصبيّة أصفر ثخين ، وطبعها أحرّ فبولها ألصق بالمحلّ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قصر الرخصة على البول ؛ لأنّه مورد النصّ ، وبه جزم والدي </w:t>
      </w:r>
      <w:r>
        <w:rPr>
          <w:rStyle w:val="FootnoteAnchor"/>
          <w:rtl w:val="true"/>
        </w:rPr>
        <w:footnoteReference w:id="1824"/>
      </w:r>
      <w:r>
        <w:rPr>
          <w:rFonts w:ascii="Amiri" w:hAnsi="Amiri" w:eastAsia="Amiri" w:cs="Amiri"/>
          <w:color w:val="111111"/>
          <w:sz w:val="28"/>
          <w:sz w:val="28"/>
          <w:szCs w:val="28"/>
          <w:rtl w:val="true"/>
          <w:lang w:bidi="ar-SA"/>
        </w:rPr>
        <w:t>وبعض المتأخّرين فلا يعفى عن نجاسته بغائطه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ذلك العلّامة في النهاية والتذكرة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كلام الشهيد عدم الفرق</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وقرّبه بعض الأصحاب بأنّه ربّما كني عن الغائط بالبول كما هو قاعدة لسان العرب في ارتكاب الكناية فيما يستهجن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فإنّ العيان شاهد بعسر التحرّز عن إصابة البول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بعد في كون الحكم </w:t>
      </w:r>
      <w:bookmarkStart w:id="1043" w:name="pg8731_77703"/>
    </w:p>
    <w:p>
      <w:pPr>
        <w:pStyle w:val="BookText"/>
        <w:rPr/>
      </w:pPr>
      <w:bookmarkEnd w:id="1043"/>
      <w:r>
        <w:rPr>
          <w:rFonts w:ascii="Amiri" w:hAnsi="Amiri" w:eastAsia="Amiri" w:cs="Amiri"/>
          <w:color w:val="111111"/>
          <w:sz w:val="28"/>
          <w:sz w:val="28"/>
          <w:szCs w:val="28"/>
          <w:rtl w:val="true"/>
          <w:lang w:bidi="ar-SA"/>
        </w:rPr>
        <w:t>مقصورا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الاحتمال لا يصلح لإثبات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الأصحاب أنّ المراد باليوم هنا ما يشمل الليلة </w:t>
      </w:r>
      <w:r>
        <w:rPr>
          <w:rStyle w:val="FootnoteAnchor"/>
          <w:rtl w:val="true"/>
        </w:rPr>
        <w:footnoteReference w:id="1826"/>
      </w:r>
      <w:r>
        <w:rPr>
          <w:rFonts w:ascii="Amiri" w:hAnsi="Amiri" w:eastAsia="Amiri" w:cs="Amiri"/>
          <w:color w:val="111111"/>
          <w:sz w:val="28"/>
          <w:sz w:val="28"/>
          <w:szCs w:val="28"/>
          <w:rtl w:val="true"/>
          <w:lang w:bidi="ar-SA"/>
        </w:rPr>
        <w:t>، وليس بالبعيد لدلالة فحوى الكلام عليه وإن كان لفظ اليوم لا يتناوله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ذلك بعض من عاصرناه من مشايخنا ؛ نظرا إلى خلوّ اللفظ عنه</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140623_653776707"/>
      <w:bookmarkStart w:id="1045" w:name="_Toc386"/>
      <w:bookmarkEnd w:id="1044"/>
      <w:r>
        <w:rPr>
          <w:rtl w:val="true"/>
        </w:rPr>
        <w:t xml:space="preserve">فروع </w:t>
      </w:r>
      <w:r>
        <w:rPr>
          <w:rtl w:val="true"/>
        </w:rPr>
        <w:t>:</w:t>
      </w:r>
      <w:bookmarkEnd w:id="1045"/>
    </w:p>
    <w:p>
      <w:pPr>
        <w:pStyle w:val="Heading6"/>
        <w:numPr>
          <w:ilvl w:val="5"/>
          <w:numId w:val="1"/>
        </w:numPr>
        <w:rPr/>
      </w:pPr>
      <w:bookmarkStart w:id="1046" w:name="__RefHeading___Toc3140625_653776707"/>
      <w:bookmarkStart w:id="1047" w:name="_Toc387"/>
      <w:bookmarkEnd w:id="1046"/>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047"/>
    </w:p>
    <w:p>
      <w:pPr>
        <w:pStyle w:val="BookText"/>
        <w:rPr/>
      </w:pPr>
      <w:r>
        <w:rPr>
          <w:rFonts w:ascii="Amiri" w:hAnsi="Amiri" w:eastAsia="Amiri" w:cs="Amiri"/>
          <w:color w:val="111111"/>
          <w:sz w:val="28"/>
          <w:sz w:val="28"/>
          <w:szCs w:val="28"/>
          <w:rtl w:val="true"/>
          <w:lang w:bidi="ar-SA"/>
        </w:rPr>
        <w:t>ألحق العلّامة في التذكرة والنهاية المربّي بالمربّية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بوجود المشقّة فيهما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في كتبه الثلاثة </w:t>
      </w:r>
      <w:r>
        <w:rPr>
          <w:rStyle w:val="FootnoteAnchor"/>
          <w:rtl w:val="true"/>
        </w:rPr>
        <w:footnoteReference w:id="1828"/>
      </w:r>
      <w:r>
        <w:rPr>
          <w:rFonts w:ascii="Amiri" w:hAnsi="Amiri" w:eastAsia="Amiri" w:cs="Amiri"/>
          <w:color w:val="111111"/>
          <w:sz w:val="28"/>
          <w:sz w:val="28"/>
          <w:szCs w:val="28"/>
          <w:rtl w:val="true"/>
          <w:lang w:bidi="ar-SA"/>
        </w:rPr>
        <w:t>، وتبعهما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ذلك جماعة من حيث إنّ التعليل ليس منصوصا وإنّما هو مستنبط فيكون الإلحاق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3140627_653776707"/>
      <w:bookmarkStart w:id="1049" w:name="_Toc388"/>
      <w:bookmarkEnd w:id="1048"/>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049"/>
    </w:p>
    <w:p>
      <w:pPr>
        <w:pStyle w:val="BookText"/>
        <w:rPr/>
      </w:pPr>
      <w:r>
        <w:rPr>
          <w:rFonts w:ascii="Amiri" w:hAnsi="Amiri" w:eastAsia="Amiri" w:cs="Amiri"/>
          <w:color w:val="111111"/>
          <w:sz w:val="28"/>
          <w:sz w:val="28"/>
          <w:szCs w:val="28"/>
          <w:rtl w:val="true"/>
          <w:lang w:bidi="ar-SA"/>
        </w:rPr>
        <w:t xml:space="preserve">إذا كان الولد متعدّدا ففي ثبوت العفو وعدمه احتمالان ، منشأهما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المعنى المقتضي ، والزيادة مؤكّدة له ، فلا معنى لزواله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التعدّد مقتضيا لكثرة النجاسة وقوّتها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اختصاص العفو بالقليل الضعيف منها دون الكثير القويّ</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 جزم الشهيد ووالدي في بعض كتبه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 xml:space="preserve">. </w:t>
      </w:r>
      <w:bookmarkStart w:id="1050" w:name="pg8731_77705"/>
    </w:p>
    <w:p>
      <w:pPr>
        <w:pStyle w:val="Heading6"/>
        <w:numPr>
          <w:ilvl w:val="5"/>
          <w:numId w:val="1"/>
        </w:numPr>
        <w:rPr/>
      </w:pPr>
      <w:bookmarkStart w:id="1051" w:name="__RefHeading___Toc3140629_653776707"/>
      <w:bookmarkStart w:id="1052" w:name="_Toc389"/>
      <w:bookmarkEnd w:id="1050"/>
      <w:bookmarkEnd w:id="1051"/>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052"/>
    </w:p>
    <w:p>
      <w:pPr>
        <w:pStyle w:val="BookText"/>
        <w:rPr/>
      </w:pPr>
      <w:r>
        <w:rPr>
          <w:rFonts w:ascii="Amiri" w:hAnsi="Amiri" w:eastAsia="Amiri" w:cs="Amiri"/>
          <w:color w:val="111111"/>
          <w:sz w:val="28"/>
          <w:sz w:val="28"/>
          <w:szCs w:val="28"/>
          <w:rtl w:val="true"/>
          <w:lang w:bidi="ar-SA"/>
        </w:rPr>
        <w:t>قال بعض الأصحاب إذا كان لها أكثر من ثوب ولكنّها تحتاج إلى لبس الجميع دفعة لبرد أو غيره فهو في حكم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اتّحد الثوب ولكن أمكنها تحصيل غيره بالاستعارة أو الاستيجار ففي ثبوت العفو وعدمه حينئذ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الوحدة المنوط بها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انتفاء المشقّة بتكرير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جماعة من المتأخّرين الثاني ، وتوقّف والدي رحمه‌اللّه وكأنّ الأوّل أقرب</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3140631_653776707"/>
      <w:bookmarkStart w:id="1054" w:name="_Toc390"/>
      <w:bookmarkEnd w:id="1053"/>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1054"/>
    </w:p>
    <w:p>
      <w:pPr>
        <w:pStyle w:val="BookText"/>
        <w:rPr/>
      </w:pPr>
      <w:r>
        <w:rPr>
          <w:rFonts w:ascii="Amiri" w:hAnsi="Amiri" w:eastAsia="Amiri" w:cs="Amiri"/>
          <w:color w:val="111111"/>
          <w:sz w:val="28"/>
          <w:sz w:val="28"/>
          <w:szCs w:val="28"/>
          <w:rtl w:val="true"/>
          <w:lang w:bidi="ar-SA"/>
        </w:rPr>
        <w:t>لا عفو عن نجاسة البدن هنا ؛ لفقد النصّ ، وانتفاء المشقّة الحاصلة في الثوب من حيث توقّف لبسه على 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صار بعض من تأخّر إلى تعدية الرخصة إليه ؛ نظرا إلى عسر الاحتراز عن الثوب النجس ، ومشقّة غسل البدن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3140633_653776707"/>
      <w:bookmarkStart w:id="1056" w:name="_Toc391"/>
      <w:bookmarkEnd w:id="1055"/>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1056"/>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وجوب عين الغسل فلا يكفي الصبّ مرّة واحدة وإن كفى في بوله قبل أن يطعم الطعام عند كلّ نجاسة </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بالصبّ في بول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 تكرير الإزالة بحسب الحاجة إلى الدخول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الاقتصار على المرّة في اليوم فلا بدّ من الغسل ؛ عملا بالحديث ، ونظرا إلى </w:t>
      </w:r>
      <w:bookmarkStart w:id="1057" w:name="pg8731_77707"/>
    </w:p>
    <w:p>
      <w:pPr>
        <w:pStyle w:val="BookText"/>
        <w:rPr/>
      </w:pPr>
      <w:bookmarkEnd w:id="1057"/>
      <w:r>
        <w:rPr>
          <w:rFonts w:ascii="Amiri" w:hAnsi="Amiri" w:eastAsia="Amiri" w:cs="Amiri"/>
          <w:color w:val="111111"/>
          <w:sz w:val="28"/>
          <w:sz w:val="28"/>
          <w:szCs w:val="28"/>
          <w:rtl w:val="true"/>
          <w:lang w:bidi="ar-SA"/>
        </w:rPr>
        <w:t>مساعدة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تكرّر حصول النجاسة من دون توسّط الإزالة بينها ربّما اقتضى قوّتها بحيث يختلف حكمها مع تحقّق هذا المعنى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فبعد فرض صلاحيّة الخبر لإثبات الحكم ودلالته على وجوب الغسل لا مجال للشكّ</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3140635_653776707"/>
      <w:bookmarkStart w:id="1059" w:name="_Toc392"/>
      <w:bookmarkEnd w:id="1058"/>
      <w:r>
        <w:rPr>
          <w:rtl w:val="true"/>
        </w:rPr>
        <w:t xml:space="preserve">[ </w:t>
      </w:r>
      <w:r>
        <w:rPr>
          <w:rtl w:val="true"/>
        </w:rPr>
        <w:t xml:space="preserve">الفرع </w:t>
      </w:r>
      <w:r>
        <w:rPr>
          <w:rtl w:val="true"/>
        </w:rPr>
        <w:t xml:space="preserve">] </w:t>
      </w:r>
      <w:r>
        <w:rPr>
          <w:rtl w:val="true"/>
        </w:rPr>
        <w:t xml:space="preserve">السادس </w:t>
      </w:r>
      <w:r>
        <w:rPr>
          <w:rtl w:val="true"/>
        </w:rPr>
        <w:t>:</w:t>
      </w:r>
      <w:bookmarkEnd w:id="1059"/>
    </w:p>
    <w:p>
      <w:pPr>
        <w:pStyle w:val="BookText"/>
        <w:rPr/>
      </w:pPr>
      <w:r>
        <w:rPr>
          <w:rFonts w:ascii="Amiri" w:hAnsi="Amiri" w:eastAsia="Amiri" w:cs="Amiri"/>
          <w:color w:val="111111"/>
          <w:sz w:val="28"/>
          <w:sz w:val="28"/>
          <w:szCs w:val="28"/>
          <w:rtl w:val="true"/>
          <w:lang w:bidi="ar-SA"/>
        </w:rPr>
        <w:t>ذكر كثير من الأصحاب استحباب جعل غسل الثوب آخر النهار لتوقع الصلوات الأربع في حال الطهارة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أفضليّة التأخير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وجوبه إشكال ينشأ من الإطلاق ، ومن أولويّة طهارة أربع على طهارة واحدة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قوّة توجيهه لعدم الوجوب فالاستحباب أوجه</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3140637_653776707"/>
      <w:bookmarkStart w:id="1061" w:name="_Toc393"/>
      <w:bookmarkEnd w:id="1060"/>
      <w:r>
        <w:rPr>
          <w:rtl w:val="true"/>
        </w:rPr>
        <w:t xml:space="preserve">مسألة </w:t>
      </w:r>
      <w:r>
        <w:rPr>
          <w:rtl w:val="true"/>
        </w:rPr>
        <w:t>[</w:t>
      </w:r>
      <w:r>
        <w:rPr/>
        <w:t>9</w:t>
      </w:r>
      <w:r>
        <w:rPr>
          <w:rtl w:val="true"/>
        </w:rPr>
        <w:t>] :</w:t>
      </w:r>
      <w:bookmarkEnd w:id="1061"/>
    </w:p>
    <w:p>
      <w:pPr>
        <w:pStyle w:val="BookText"/>
        <w:rPr/>
      </w:pPr>
      <w:r>
        <w:rPr>
          <w:rFonts w:ascii="Amiri" w:hAnsi="Amiri" w:eastAsia="Amiri" w:cs="Amiri"/>
          <w:color w:val="111111"/>
          <w:sz w:val="28"/>
          <w:sz w:val="28"/>
          <w:szCs w:val="28"/>
          <w:rtl w:val="true"/>
          <w:lang w:bidi="ar-SA"/>
        </w:rPr>
        <w:t xml:space="preserve">ذهب جماعة من الأصحاب منهم الشهيد في الذكرى والدروس إلى العفو عن نجاسة ثوب الخصيّ الذي يتواتر بوله إذا غسله مرّة في النهار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لذلك بالحرج والمشقّة ، مع ما رواه الشيخ في الصحيح عن سعدان ابن مسلم عن عبد الرحيم القصير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الأوّل أسأله عن خصيّ يبول فيلقى من ذلك شدّة ويرى البلل بعد البلل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وينضح ثوبه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طريق هذه الرواية ضعف بجهالة سعدان وعبد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ذاكرو المسألة وجعلوه منجبرا باعتبار الحرج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ظهر من كلام المحقّق في المعتبر الميل إلى ذلك أيضا ؛ لأنّه ذكر الرواية عن عبد الرحيم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المذكور ضعيف فلا عمل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صير إليها دفعا للحرج ، فبناؤه للمفعول يحتمل كونه إشارة إلى وجود قابل بمضمون الرواية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الميل إلى ذلك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الاستناد في هذا الحكم إلى الحرج نحو ما أوردناه على التمسّك به في حكم المربّية من أنّه يقتضي جعل المناط في العفو ما يندفع معه المشقّة والحرج ككثير من الأحكام التي يستندون فيها إلى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الخصوصيّة المذكورة فموقوفة على نهوض الرواية بذلك ، مع أنّ ما ذكروه من الغسل يحتاج فهمه من الرواية إلى نوع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 العلّامة في المنتهى على توجيه العمل بمضمون الرواية من غير تعرّض للغسل فقال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كلام ، لكنّ العمل بمضمونها أولى لما فيه من الرخصة عند المشقّة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مثله كما رأيت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 في التذكرة بعد بيان ضعف الرواية وجوب تكرار الغسل ، فإن تعسّر عمل بمضمون الرواية دفعا للمشقّة </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bookmarkStart w:id="1062" w:name="pg8731_77711"/>
    </w:p>
    <w:p>
      <w:pPr>
        <w:pStyle w:val="Heading6"/>
        <w:numPr>
          <w:ilvl w:val="5"/>
          <w:numId w:val="1"/>
        </w:numPr>
        <w:rPr/>
      </w:pPr>
      <w:bookmarkStart w:id="1063" w:name="__RefHeading___Toc3140639_653776707"/>
      <w:bookmarkStart w:id="1064" w:name="_Toc394"/>
      <w:bookmarkEnd w:id="1062"/>
      <w:bookmarkEnd w:id="1063"/>
      <w:r>
        <w:rPr>
          <w:rtl w:val="true"/>
        </w:rPr>
        <w:t xml:space="preserve">مسألة </w:t>
      </w:r>
      <w:r>
        <w:rPr>
          <w:rtl w:val="true"/>
        </w:rPr>
        <w:t>[</w:t>
      </w:r>
      <w:r>
        <w:rPr/>
        <w:t>10</w:t>
      </w:r>
      <w:r>
        <w:rPr>
          <w:rtl w:val="true"/>
        </w:rPr>
        <w:t>] :</w:t>
      </w:r>
      <w:bookmarkEnd w:id="1064"/>
    </w:p>
    <w:p>
      <w:pPr>
        <w:pStyle w:val="Heading6"/>
        <w:numPr>
          <w:ilvl w:val="5"/>
          <w:numId w:val="1"/>
        </w:numPr>
        <w:rPr/>
      </w:pPr>
      <w:bookmarkStart w:id="1065" w:name="__RefHeading___Toc3140641_653776707"/>
      <w:bookmarkStart w:id="1066" w:name="_Toc395"/>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ويعفى عمّا يتعذّر إزالته من النجاسة ، أيّ أنواعها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بالنظر إلى ما يكون منها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يكون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فالأصحاب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البرّاج في الكامل وابن إدريس على ما حكاه عنهما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العفو حينئذ ووجوب نزع الثوب والصلاة عاريا إلّا أن يضطرّ إلى لبسه فيعفى عنه للضرورة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على ذلك العلّامة في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وانفرد الشيخ بإيجاب إعادة الصلاة الواقعة في الثوب حال الاضطرار إلى لبسه إذا تمكّن من غسله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له في ذلك 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الفاضلان في المعتبر والمنتهى ، والشهيدان 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ثابت سواء كان إلى لبسه ضرورة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المصلّي مخيّر بين الصلاة فيه وعاريا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الشهيدان والجماعة أنّ الصلاة فيه أفضل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ذهب ابن الجنيد من المتقدّمين فقال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الرجل ثوب فيه نجاسة لا يقدر على غسلها كانت صلاته فيه أحبّ إليّ من صلاته عريانا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مع ذلك إعادة الصلاة إذا وجد ثوبا طاهرا ، فقال في موضع آخر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ليس معه إلّا ثوب واحد نجس يصلّي فيه ويعيد في الوقت </w:t>
      </w:r>
    </w:p>
    <w:p>
      <w:pPr>
        <w:pStyle w:val="BookText"/>
        <w:rPr/>
      </w:pPr>
      <w:r>
        <w:rPr>
          <w:rFonts w:ascii="Amiri" w:hAnsi="Amiri" w:eastAsia="Amiri" w:cs="Amiri"/>
          <w:color w:val="111111"/>
          <w:sz w:val="28"/>
          <w:sz w:val="28"/>
          <w:szCs w:val="28"/>
          <w:rtl w:val="true"/>
          <w:lang w:bidi="ar-SA"/>
        </w:rPr>
        <w:t>إذا وجد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أعاد إذا خرج الوقت 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لنفي العفو مع عدم الضرورة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الخلاف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النجاسة ممنوع من الصلاة فيها فمن أجاز الصلاة فيها فعليه الدلالة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يكون في فلاة من الأرض ليس عليه إلّا ثوب واحد وأجنب فيه وليس عنده 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عريانا قاعدا ويومئ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علي الحلبي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أصابته جنابة وهو بالفلات وليس عنده إلّا ثوب واحد وأصاب ثوبه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ويطرح ثوبه ويجلس مجتمعا ويصلّي فيومئ إيماء </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لثبوته مع الضرورة ووجوب الإعادة حينئذ بما رواه عمّار الساباطي عن أبي عبد اللّه عليه‌السلام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ليس عليه إلّا ثوب واحد ولا تحلّ له الصلاة فيه وليس يجد ماء يغسله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فإذا أصاب ماء غسله وأعاد الصلاة </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الرواية على إيجاب الإعادة واضحة ، وأمّا دلالتها على اعتبار الضرورة فبملاحظة قصد الجمع بينها وبين الروايتين الاوليين ، وعدّة أحاديث دالّة على عموم العفو وسنذكرها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الإناطة بالضرورة وعدمها طريقا </w:t>
      </w:r>
    </w:p>
    <w:p>
      <w:pPr>
        <w:pStyle w:val="BookText"/>
        <w:rPr/>
      </w:pP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الخلاف والاستبصار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في التهذيب أنّ وجه الجمع ما يدلّ عليه رواية عمّار بصريحها أعني إيجاب الإعادة مع الصلاة في الثوب وانتفائها مع عدم الصلاة فيه من غير أن ينظر إلى كون ذلك واقعا عن ضرورة أو لا عنها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الوجه لو نهضت الروايات المذكورة حجّة ، لكنّها غير ناهضة كما سنوضحه ، لا سيّما الأخيرة التي هي الباعث على الجمع الذي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الدليل على ما فصّله الشيخ ما رواه الحلبي عن أبي عبد اللّه عليه‌السلام في الرجل يجنب في الثوب أو يصيبه بول وليس معه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إذا اضطرّ إليه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يكفي فيه عدم التمكّن من غيره </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عريان وحضرت الصلاة فأصاب ثوبا نصفه دم أو كلّه يصلّي فيه أو يصلّي عريانا؟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ماء غسله وإن لم يجد ماء صلّى فيه ولم يصلّ عريانا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محمّد بن علي الحلبي في الصحيح أنّه سأل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الثوب الواحد ، فيه بول لا يقدر على غسله؟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الحلبي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أجنب في ثوبه 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فإذا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الرحمن بن أبي عبد اللّه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يجنب في ثوب وليس معه غيره ولا يقدر على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ظاهرة في تعيّن الصلاة في الثوب ولكنّهم لاحظوا الجمع بينها وبين الروايات التي احتجّ بها الشيخ فصاروا إلى التخيير بين الأمرين وجعلوه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جماعة بنقل العلّامة في المنتهى الإجماع على جواز الصلاة عاريا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عاريا لم يعد الصلاة قولا واحدا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البعض على التمسّك بهذا الوجه في الخروج على ظاهر هذه الأخبار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لم يكن عن القول بتعيّن الصلاة في الثوب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كلا الوجهين تأمّل ؛ إذ الأخبار الدالّة على جواز الصلاة عاريا لم أتثبّت صحّة شي‌ء منها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لم أتحقّقه على وجه ينهض حجّة وإن كان الشيخ قد صرّح </w:t>
      </w:r>
    </w:p>
    <w:p>
      <w:pPr>
        <w:pStyle w:val="BookText"/>
        <w:rPr/>
      </w:pPr>
      <w:r>
        <w:rPr>
          <w:rFonts w:ascii="Amiri" w:hAnsi="Amiri" w:eastAsia="Amiri" w:cs="Amiri"/>
          <w:color w:val="111111"/>
          <w:sz w:val="28"/>
          <w:sz w:val="28"/>
          <w:szCs w:val="28"/>
          <w:rtl w:val="true"/>
          <w:lang w:bidi="ar-SA"/>
        </w:rPr>
        <w:t xml:space="preserve">بادّعائه في الخلاف </w:t>
      </w:r>
      <w:r>
        <w:rPr>
          <w:rStyle w:val="FootnoteAnchor"/>
          <w:rtl w:val="true"/>
        </w:rPr>
        <w:footnoteReference w:id="1855"/>
      </w:r>
      <w:r>
        <w:rPr>
          <w:rFonts w:ascii="Amiri" w:hAnsi="Amiri" w:eastAsia="Amiri" w:cs="Amiri"/>
          <w:color w:val="111111"/>
          <w:sz w:val="28"/>
          <w:sz w:val="28"/>
          <w:szCs w:val="28"/>
          <w:rtl w:val="true"/>
          <w:lang w:bidi="ar-SA"/>
        </w:rPr>
        <w:t xml:space="preserve">مع ما يظهر من كلام المنتهى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 الشيخ بالمنع من الصلاة في النجاسة ، وطلبه للدلالة ممّن يجيزها فيها واضح الجواب ، فإنّ الأخبار التي ذكرناها صالحة للدلالة على ذلك متنا وأسنادا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العمل بما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الجنيد من إيجاب الإعادة إذا صلّى في الثوب مع حكمه بأرجحيّته بالنظر إلى الصلاة عاريا كأنّه ناظر فيه إلى الوجه الذي أشرنا إلى ظهوره من كلام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بعد أن عزى إلى الشيخ القول بالإعادة إذا أمكن غسل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رواية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 ؛ لأنّ رجالها 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أنّه لا إعادة ؛ لأنّه صلّى صلاة مأمور بها والأمر يقتضي الإجزاء </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ما دلّ على ثبوت العفو في الثوب من الأخبار يصلح دليلا في البدن ؛ لما علم من أنّ الحكم في الثوب أقوى ، ولذلك اختلف في العفو عنه ولم يظهر في البدن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العفو مع القويّ يقتضي ثبوته مع الضعيف بطريق أولى</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ذلك إلى ما يظهر من الاتّفاق عليه ، وأنّ الأدلّة على شرطيّة الطهارة من الخبث في الصلاة غير متناولة لحال الضرورة فيبقى عموم الأوامر سالما </w:t>
      </w:r>
      <w:bookmarkStart w:id="1067" w:name="pg8731_77720"/>
    </w:p>
    <w:p>
      <w:pPr>
        <w:pStyle w:val="BookText"/>
        <w:rPr/>
      </w:pPr>
      <w:bookmarkEnd w:id="1067"/>
      <w:r>
        <w:rPr>
          <w:rFonts w:ascii="Amiri" w:hAnsi="Amiri" w:eastAsia="Amiri" w:cs="Amiri"/>
          <w:color w:val="111111"/>
          <w:sz w:val="28"/>
          <w:sz w:val="28"/>
          <w:szCs w:val="28"/>
          <w:rtl w:val="true"/>
          <w:lang w:bidi="ar-SA"/>
        </w:rPr>
        <w:t>عن معارضة ما يقتضي الاشتراط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كلّه ما رواه الصدوق والشيخ عن حريز في الصحيح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يقطر منه البول والدم إذا كان في الصلاة اتّخذ كيسا وجعل فيه قطنا ثمّ علّقه عليه وأدخل ذكره فيه ثمّ صلّى </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الحكم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لذكر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نر بأسا بالإشارة إليها</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3140643_653776707"/>
      <w:bookmarkStart w:id="1069" w:name="_Toc396"/>
      <w:bookmarkEnd w:id="1068"/>
      <w:r>
        <w:rPr>
          <w:rtl w:val="true"/>
        </w:rPr>
        <w:t xml:space="preserve">تذنيبان </w:t>
      </w:r>
      <w:r>
        <w:rPr>
          <w:rtl w:val="true"/>
        </w:rPr>
        <w:t>:</w:t>
      </w:r>
      <w:bookmarkEnd w:id="10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المتأخّرين أنّ لكلّ من البدن والثوب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تعذّر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تعدّدت النجاسة فيهما واختصّ التعذّر بأحدهما وجبت الإزالة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اختصّت بأحدهما وكانت متفرّقة وأمكن إزالة بعضها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اجتماعهما فإن كانت دما وأمكن تقليله بحيث ينقص عن مقدار الدرهم وجب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الوجوب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الفاضلان في المعتبر والمنتهى والشهيد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تعذّر غسل البول عن المخرج وجب مسحه بحجر ونحوه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الفاضلان بأنّ الواجب إزالة العين والأثر فإذا تعذّرت إزالة الأثر بقيت إزالة العين وسيأتي حكاية كلامهما في بحث الخلوة إن شاء اللّه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من هذا الحكم جماعة من المتأخّرين أنّهم يرون وجوب تخفيف مطلق النجاسة عند تعذّر إزالتها ، وأنّ ذلك بدل اضطراريّ للطهارة من </w:t>
      </w:r>
      <w:bookmarkStart w:id="1070" w:name="pg8731_77721"/>
    </w:p>
    <w:p>
      <w:pPr>
        <w:pStyle w:val="BookText"/>
        <w:rPr/>
      </w:pPr>
      <w:bookmarkEnd w:id="1070"/>
      <w:r>
        <w:rPr>
          <w:rFonts w:ascii="Amiri" w:hAnsi="Amiri" w:eastAsia="Amiri" w:cs="Amiri"/>
          <w:color w:val="111111"/>
          <w:sz w:val="28"/>
          <w:sz w:val="28"/>
          <w:szCs w:val="28"/>
          <w:rtl w:val="true"/>
          <w:lang w:bidi="ar-SA"/>
        </w:rPr>
        <w:t>النجاسات كبدليّة التيمّم للطهارة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بالموافقة على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الكلام من أصله نظر ، لأنّ وجوب إزالة العين والأثر حكم واحد مستفاد من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الأمر بالمركّب إنّما يقتضي الأمر بأجزائه على الاجتماع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في إثبات التكليف بجزء منها على الانفراد من دليل غير الأمر بالمركّب ، وهو مفقود في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الأخبار المسوّغة للصلاة مع النجاسة عند تعذّر الإزالة نفي التكليف بأمر آخر سوى الإزالة ؛ باعتبار إطلاق الإذن من غير تعرّض للتخفيف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ذكر المسح للبول عن المخرج عند تعذّر غسله لا يصلح شاهدا على العموم ؛ لأنّ الوجه فيه منع النجاسة من التعدّي إلى غير محلّها من الثوب أو البدن ، وهو أمر آخر غير التخفيف</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3140645_653776707"/>
      <w:bookmarkStart w:id="1072" w:name="_Toc397"/>
      <w:bookmarkEnd w:id="1071"/>
      <w:r>
        <w:rPr>
          <w:rtl w:val="true"/>
        </w:rPr>
        <w:t xml:space="preserve">فرع </w:t>
      </w:r>
      <w:r>
        <w:rPr>
          <w:rtl w:val="true"/>
        </w:rPr>
        <w:t>:</w:t>
      </w:r>
      <w:bookmarkEnd w:id="1072"/>
    </w:p>
    <w:p>
      <w:pPr>
        <w:pStyle w:val="Heading6"/>
        <w:numPr>
          <w:ilvl w:val="5"/>
          <w:numId w:val="1"/>
        </w:numPr>
        <w:rPr/>
      </w:pPr>
      <w:bookmarkStart w:id="1073" w:name="__RefHeading___Toc3140647_653776707"/>
      <w:bookmarkStart w:id="1074" w:name="_Toc398"/>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ثوبه أو على جسده منيّ أو دم حيض أو بول وهناك ماء لاقاه دم ، أقلّ من سعة الدرهم احتمل وجوب غسله به ؛ لأنّه أزال المانع من الدخول في الصلاة فكان واجبا كالطاهر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العدم ؛ لبقاء حكم النجاسة المغلّظة وإن زالت العين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الذي يقتضيه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احتمله أوّلا ظاهر الضعف بعيد عن الصواب</w:t>
      </w:r>
      <w:r>
        <w:rPr>
          <w:rFonts w:eastAsia="Amiri" w:cs="Amiri" w:ascii="Amiri" w:hAnsi="Amiri"/>
          <w:color w:val="111111"/>
          <w:sz w:val="28"/>
          <w:szCs w:val="28"/>
          <w:rtl w:val="true"/>
          <w:lang w:bidi="ar-SA"/>
        </w:rPr>
        <w:t xml:space="preserve">. </w:t>
      </w:r>
      <w:bookmarkStart w:id="1075" w:name="pg8731_77722"/>
    </w:p>
    <w:p>
      <w:pPr>
        <w:pStyle w:val="BookText"/>
        <w:rPr/>
      </w:pPr>
      <w:bookmarkEnd w:id="1075"/>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مسائل </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140649_653776707"/>
      <w:bookmarkStart w:id="1077" w:name="_Toc399"/>
      <w:bookmarkEnd w:id="1076"/>
      <w:r>
        <w:rPr>
          <w:rtl w:val="true"/>
        </w:rPr>
        <w:t xml:space="preserve">[ </w:t>
      </w:r>
      <w:r>
        <w:rPr>
          <w:rtl w:val="true"/>
        </w:rPr>
        <w:t xml:space="preserve">المسألة </w:t>
      </w:r>
      <w:r>
        <w:rPr>
          <w:rtl w:val="true"/>
        </w:rPr>
        <w:t xml:space="preserve">] </w:t>
      </w:r>
      <w:r>
        <w:rPr>
          <w:rtl w:val="true"/>
        </w:rPr>
        <w:t xml:space="preserve">الاولى </w:t>
      </w:r>
      <w:r>
        <w:rPr>
          <w:rtl w:val="true"/>
        </w:rPr>
        <w:t>:</w:t>
      </w:r>
      <w:bookmarkEnd w:id="1077"/>
    </w:p>
    <w:p>
      <w:pPr>
        <w:pStyle w:val="BookText"/>
        <w:rPr/>
      </w:pPr>
      <w:r>
        <w:rPr>
          <w:rFonts w:ascii="Amiri" w:hAnsi="Amiri" w:eastAsia="Amiri" w:cs="Amiri"/>
          <w:color w:val="111111"/>
          <w:sz w:val="28"/>
          <w:sz w:val="28"/>
          <w:szCs w:val="28"/>
          <w:rtl w:val="true"/>
          <w:lang w:bidi="ar-SA"/>
        </w:rPr>
        <w:t>ذكر جماعة من الأصحاب أنّ اعتبار الطهارة في ملبوس المصلّي ومحموله اللذين يتمّ فيهما الصلاة إنّما هو فيما يقلّه منهما ولو في بعض أحوال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تنجّس طرف الثوب الذي لا يقلّه على حال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 لانتفاء الحمل واللبس عن موضع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لأنّ أصالة البراءة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الدالّة على اشتراط الطهارة وإيجاب الإزالة لا تصلح لتناول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تعرّض لهذه المسألة الشيخ في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على رأسه طرف عمامة وهو طاهر وطرفها الآخر على الأرض وعليه نجاسة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القول بالبطلان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حكم ببطلان هذه الصلاة فعليه الدلالة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8" w:name="__RefHeading___Toc3140651_653776707"/>
      <w:bookmarkStart w:id="1079" w:name="_Toc400"/>
      <w:bookmarkEnd w:id="1078"/>
      <w:r>
        <w:rPr>
          <w:rtl w:val="true"/>
        </w:rPr>
        <w:t xml:space="preserve">[ </w:t>
      </w:r>
      <w:r>
        <w:rPr>
          <w:rtl w:val="true"/>
        </w:rPr>
        <w:t xml:space="preserve">المسألة </w:t>
      </w:r>
      <w:r>
        <w:rPr>
          <w:rtl w:val="true"/>
        </w:rPr>
        <w:t xml:space="preserve">] </w:t>
      </w:r>
      <w:r>
        <w:rPr>
          <w:rtl w:val="true"/>
        </w:rPr>
        <w:t xml:space="preserve">الثانية </w:t>
      </w:r>
      <w:r>
        <w:rPr>
          <w:rtl w:val="true"/>
        </w:rPr>
        <w:t>:</w:t>
      </w:r>
      <w:bookmarkEnd w:id="1079"/>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وسطه مشدودا بطرف حبل وطرفه الآخر مشدودا في نجاسة وصلّى لم تبطل صلاته لأنّه ليس بحامل للنجاسة وسواء كان الحبل مشدودا في كلب أو سفينة فيها نجاسة ، صغيرين أو كبيرين ، وسواء كان الطرف الطاهر من الحبل مشدودا في المصلّي أو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علمائنا فيه</w:t>
      </w:r>
      <w:r>
        <w:rPr>
          <w:rFonts w:eastAsia="Amiri" w:cs="Amiri" w:ascii="Amiri" w:hAnsi="Amiri"/>
          <w:color w:val="111111"/>
          <w:sz w:val="28"/>
          <w:szCs w:val="28"/>
          <w:rtl w:val="true"/>
          <w:lang w:bidi="ar-SA"/>
        </w:rPr>
        <w:t xml:space="preserve">. </w:t>
      </w:r>
      <w:bookmarkStart w:id="1080" w:name="pg8731_77723"/>
    </w:p>
    <w:p>
      <w:pPr>
        <w:pStyle w:val="BookText"/>
        <w:rPr/>
      </w:pPr>
      <w:bookmarkEnd w:id="1080"/>
      <w:r>
        <w:rPr>
          <w:rFonts w:ascii="Amiri" w:hAnsi="Amiri" w:eastAsia="Amiri" w:cs="Amiri"/>
          <w:color w:val="111111"/>
          <w:sz w:val="28"/>
          <w:sz w:val="28"/>
          <w:szCs w:val="28"/>
          <w:rtl w:val="true"/>
          <w:lang w:bidi="ar-SA"/>
        </w:rPr>
        <w:t>ثمّ حكى عن جماعة من العامّة المصير إلى خلاف ذلك وأنّ منهم من أبطل الصلاة بحمل الحبل دون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بالبطلان إذا كان الكلب صغيرا يتحرّك بحركة المصلّي لا إذا كان كبيرا لا يتحرّك ، وأنّهم حكموا بصحّة الصلاة إذا كان الحبل مشدودا في موضع طاهر من السفينة ، وبفسادها إن كان الشدّ في موضع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باطل إذ بطلان الصلاة يتوقّف على الشرع ، ولا شرع ؛ إذ المبطلات مضبوطة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وانتفاء التأثير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التأثير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اقتفى العلّامة فيما ذكره هنا أثر الشيخ ؛ فإنّه ذكر المسألة في الخلاف ، واحتجّ لصحّة الصلاة حينئذ بأنّ نواقض الصلاة امور شرعيّة فإثباتها يحتاج إلى أدلّة شرعيّة وليس في الشرع ما يدلّ على أنّ ذلك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روي عن النبيّ صلى‌اللّه‌عليه‌وآله والأئمّة عليهم‌السلام من قواطع الصلاة معروف ولم يذكروا في جملتها شيئا من ذلك ، فينبغي أن لا يكون قاطعا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1" w:name="__RefHeading___Toc3140653_653776707"/>
      <w:bookmarkStart w:id="1082" w:name="_Toc401"/>
      <w:bookmarkEnd w:id="1081"/>
      <w:r>
        <w:rPr>
          <w:rtl w:val="true"/>
        </w:rPr>
        <w:t xml:space="preserve">[ </w:t>
      </w:r>
      <w:r>
        <w:rPr>
          <w:rtl w:val="true"/>
        </w:rPr>
        <w:t xml:space="preserve">المسألة </w:t>
      </w:r>
      <w:r>
        <w:rPr>
          <w:rtl w:val="true"/>
        </w:rPr>
        <w:t xml:space="preserve">] </w:t>
      </w:r>
      <w:r>
        <w:rPr>
          <w:rtl w:val="true"/>
        </w:rPr>
        <w:t xml:space="preserve">الثالثة </w:t>
      </w:r>
      <w:r>
        <w:rPr>
          <w:rtl w:val="true"/>
        </w:rPr>
        <w:t>:</w:t>
      </w:r>
      <w:bookmarkEnd w:id="1082"/>
    </w:p>
    <w:p>
      <w:pPr>
        <w:pStyle w:val="Heading6"/>
        <w:numPr>
          <w:ilvl w:val="5"/>
          <w:numId w:val="1"/>
        </w:numPr>
        <w:rPr/>
      </w:pPr>
      <w:bookmarkStart w:id="1083" w:name="__RefHeading___Toc3140655_653776707"/>
      <w:bookmarkStart w:id="1084" w:name="_Toc402"/>
      <w:bookmarkEnd w:id="1083"/>
      <w:r>
        <w:rPr>
          <w:rtl w:val="true"/>
        </w:rPr>
        <w:t>اشارة</w:t>
      </w:r>
      <w:bookmarkEnd w:id="108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خمرا أو نجسا أو أكل ميتة غير مضطرّ ، أو أدخل دما نجسا ، أو شبهه تحت جلده أمكن وجوب إخراج ذلك لتحريم الاغتداء به ، وأنّه نجاسة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التحاقه بالباطن ، وعليه يتفرّع صحّة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بين بطلان الصلاة هنا وصحّتها مع حمل الحيوان غير المأكول بعد الاجتياز حمله نجاسة باطنة فيهما وإمكان الإزالة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ويلوح منه أنّه فهم من حكم الفاضل بوجوب الإخراج القول ببطلان الصلاة مع عدمه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استفادة ذلك من كلام الفاضل نظر ؛ لأنّه احتجّ في المنتهى لوجوب القيّ في صورة شرب الخمر وأكل الميتة بأنّ الشرب محرّم فاستدامته كذلك ؛ لأنّ التغذية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المنع من الشرب والأكل إنّما هو لذلك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 النهاية وجوب القيّ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الحكم الذي تثبته هذه الحجّة لا تعلّق له بالذات بأمر الصلاة وإنّما هو حكم مستقلّ ، ربّما تعلّق بها بالعرض بناء على كون الأمر بالشي‌ء مقتضيا للنهي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محلّ البحث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وعذر الشهيد رحمه‌اللّه في فهم ذلك من كلامه ذكره للمسألة في جملة من كتبه بغير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أنّه لا يذكر في هذا المقام إلّا ما له تعلّق بالعبارة ولكن بعد الاطّلاع على حجّته يشكل الاعتماد في نسبة الحكم إليه على مجرّد ذلك الظاهر</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بالبطلان في صورة إدخال الدم النجس فمصرّح به في كلام الفاضل</w:t>
      </w:r>
      <w:r>
        <w:rPr>
          <w:rFonts w:eastAsia="Amiri" w:cs="Amiri" w:ascii="Amiri" w:hAnsi="Amiri"/>
          <w:color w:val="111111"/>
          <w:sz w:val="28"/>
          <w:szCs w:val="28"/>
          <w:rtl w:val="true"/>
          <w:lang w:bidi="ar-SA"/>
        </w:rPr>
        <w:t xml:space="preserve">. </w:t>
      </w:r>
      <w:bookmarkStart w:id="1085" w:name="pg8731_77725"/>
    </w:p>
    <w:p>
      <w:pPr>
        <w:pStyle w:val="BookText"/>
        <w:rPr/>
      </w:pPr>
      <w:bookmarkEnd w:id="1085"/>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 دما نجسا تحت جلده وجب عليه إخراج ذلك الدم مع عدم الضرر وإعادة كلّ صلاة صلّاها مع ذلك الدم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واستبعاد الشهيد رحمه‌اللّه جمع العلّامة بين الإبطال هنا والصحّة مع حمل الحيوان واقع في محلّه وإن كان لإبداء الفرق في الجملة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العمدة في الحكم بالصحّة هناك على أصالة البراءة من التكليف بالاجتناب في حال الصلاة وعدم الدليل عليه وذلك آت هنا</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3140657_653776707"/>
      <w:bookmarkStart w:id="1087" w:name="_Toc403"/>
      <w:bookmarkEnd w:id="1086"/>
      <w:r>
        <w:rPr>
          <w:rtl w:val="true"/>
        </w:rPr>
        <w:t xml:space="preserve">تذنيب </w:t>
      </w:r>
      <w:r>
        <w:rPr>
          <w:rtl w:val="true"/>
        </w:rPr>
        <w:t>:</w:t>
      </w:r>
      <w:bookmarkEnd w:id="1087"/>
    </w:p>
    <w:p>
      <w:pPr>
        <w:pStyle w:val="BookText"/>
        <w:rPr/>
      </w:pPr>
      <w:r>
        <w:rPr>
          <w:rFonts w:ascii="Amiri" w:hAnsi="Amiri" w:eastAsia="Amiri" w:cs="Amiri"/>
          <w:color w:val="111111"/>
          <w:sz w:val="28"/>
          <w:sz w:val="28"/>
          <w:szCs w:val="28"/>
          <w:rtl w:val="true"/>
          <w:lang w:bidi="ar-SA"/>
        </w:rPr>
        <w:t>موضع البحث في إخراج الدم المحتقن تحت الجلد إنّما هو فيما يدخله الإنسان من خارج تحت جلده وإن كان في الأصل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يتّفق من احتقان الدم تحت الجلد العارض من دون أن يخرج إلى ظاهر البدن ليس من هذا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العبارات المتضمّنة لهذا الحكم ظاهرة في ما قلناه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الشهيد في الذكرى المحكيّة في أوّل المسألة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له في البيان والدروس التعبير بما يتناول بظاهره الصورة التي ذكرناها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قصور في التأدية ؛ إذ الحكم بذلك فيها مستبعد لا سيّما مع مخالفته لكلامه في غيرهما وكلام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فالحكم ما قلناه</w:t>
      </w:r>
      <w:r>
        <w:rPr>
          <w:rFonts w:eastAsia="Amiri" w:cs="Amiri" w:ascii="Amiri" w:hAnsi="Amiri"/>
          <w:color w:val="111111"/>
          <w:sz w:val="28"/>
          <w:szCs w:val="28"/>
          <w:rtl w:val="true"/>
          <w:lang w:bidi="ar-SA"/>
        </w:rPr>
        <w:t xml:space="preserve">. </w:t>
      </w:r>
      <w:bookmarkStart w:id="1088" w:name="pg8731_77726"/>
    </w:p>
    <w:p>
      <w:pPr>
        <w:pStyle w:val="Heading6"/>
        <w:numPr>
          <w:ilvl w:val="5"/>
          <w:numId w:val="1"/>
        </w:numPr>
        <w:rPr/>
      </w:pPr>
      <w:bookmarkStart w:id="1089" w:name="__RefHeading___Toc3140659_653776707"/>
      <w:bookmarkStart w:id="1090" w:name="_Toc404"/>
      <w:bookmarkEnd w:id="1088"/>
      <w:bookmarkEnd w:id="1089"/>
      <w:r>
        <w:rPr>
          <w:rtl w:val="true"/>
        </w:rPr>
        <w:t xml:space="preserve">[ </w:t>
      </w:r>
      <w:r>
        <w:rPr>
          <w:rtl w:val="true"/>
        </w:rPr>
        <w:t xml:space="preserve">المسألة </w:t>
      </w:r>
      <w:r>
        <w:rPr>
          <w:rtl w:val="true"/>
        </w:rPr>
        <w:t xml:space="preserve">] </w:t>
      </w:r>
      <w:r>
        <w:rPr>
          <w:rtl w:val="true"/>
        </w:rPr>
        <w:t xml:space="preserve">الرابعة </w:t>
      </w:r>
      <w:r>
        <w:rPr>
          <w:rtl w:val="true"/>
        </w:rPr>
        <w:t>:</w:t>
      </w:r>
      <w:bookmarkEnd w:id="1090"/>
    </w:p>
    <w:p>
      <w:pPr>
        <w:pStyle w:val="BookText"/>
        <w:rPr/>
      </w:pPr>
      <w:r>
        <w:rPr>
          <w:rFonts w:ascii="Amiri" w:hAnsi="Amiri" w:eastAsia="Amiri" w:cs="Amiri"/>
          <w:color w:val="111111"/>
          <w:sz w:val="28"/>
          <w:sz w:val="28"/>
          <w:szCs w:val="28"/>
          <w:rtl w:val="true"/>
          <w:lang w:bidi="ar-SA"/>
        </w:rPr>
        <w:t>قال المحقّق في المعتبر إذا جبر عظمه بعظم نجس كعظم الكلب والخنزير والكافر أزاله إن لم يخف الضرر وأبقاه إن خاف وأجزأته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إيجاب قلعه ما لم يخف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بعد ذلك لما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إيجاب القلع مع خوف الضرر حرج ،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وبأنّها نجاسة متّصلة كاتّصال دمه فيكون معفوّا عنها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الوجه الثاني من الحجّة إن تمّ اقتضى عدم إيجاب القلع وإن لم يحصل بذلك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الشهيد في الذكرى عدم الوجوب مع الاكتساء باللحم ، وعلّله بالالتحاق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ما قاله المحقّق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واستضعفه بعض الأصحاب من حيث إنّه بعيد عن البواطن المعهودة المختصة بها ويتّجه على هذا المطالبة بالدليل على اعتبار المعهوديّة في عدم تأثير النجاسات المستورة في البواطن</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إنّما تدلّ على اشتراط طهارة ظاهر البدن ، وأمّا بواطنه فليس في الأدلّة ما يقتضي اعتبار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منه إلى أن يقوم على التكليف به دليل واضح</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1" w:name="pg8731_77728"/>
      <w:bookmarkStart w:id="1092" w:name="pg8731_77728"/>
      <w:bookmarkEnd w:id="1092"/>
    </w:p>
    <w:p>
      <w:pPr>
        <w:pStyle w:val="Heading5"/>
        <w:numPr>
          <w:ilvl w:val="4"/>
          <w:numId w:val="1"/>
        </w:numPr>
        <w:rPr/>
      </w:pPr>
      <w:bookmarkStart w:id="1093" w:name="pg8731_77728"/>
      <w:bookmarkStart w:id="1094" w:name="__RefHeading___Toc3140661_653776707"/>
      <w:bookmarkStart w:id="1095" w:name="_Toc405"/>
      <w:bookmarkEnd w:id="1093"/>
      <w:bookmarkEnd w:id="1094"/>
      <w:r>
        <w:rPr>
          <w:rtl w:val="true"/>
        </w:rPr>
        <w:t xml:space="preserve">البحث الثاني </w:t>
      </w:r>
      <w:r>
        <w:rPr>
          <w:rtl w:val="true"/>
        </w:rPr>
        <w:t xml:space="preserve">: </w:t>
      </w:r>
      <w:r>
        <w:rPr>
          <w:rtl w:val="true"/>
        </w:rPr>
        <w:t>في ما تزول به النجاسات وبيان كيفية الإزالة وشرائطها</w:t>
      </w:r>
      <w:bookmarkEnd w:id="1095"/>
    </w:p>
    <w:p>
      <w:pPr>
        <w:pStyle w:val="Heading6"/>
        <w:numPr>
          <w:ilvl w:val="5"/>
          <w:numId w:val="1"/>
        </w:numPr>
        <w:rPr/>
      </w:pPr>
      <w:bookmarkStart w:id="1096" w:name="__RefHeading___Toc3140663_653776707"/>
      <w:bookmarkStart w:id="1097" w:name="_Toc406"/>
      <w:bookmarkEnd w:id="1096"/>
      <w:r>
        <w:rPr>
          <w:rtl w:val="true"/>
        </w:rPr>
        <w:t xml:space="preserve">مسألة </w:t>
      </w:r>
      <w:r>
        <w:rPr>
          <w:rtl w:val="true"/>
        </w:rPr>
        <w:t>[</w:t>
      </w:r>
      <w:r>
        <w:rPr/>
        <w:t>1</w:t>
      </w:r>
      <w:r>
        <w:rPr>
          <w:rtl w:val="true"/>
        </w:rPr>
        <w:t>] :</w:t>
      </w:r>
      <w:bookmarkEnd w:id="1097"/>
    </w:p>
    <w:p>
      <w:pPr>
        <w:pStyle w:val="BookText"/>
        <w:rPr/>
      </w:pPr>
      <w:r>
        <w:rPr>
          <w:rFonts w:ascii="Amiri" w:hAnsi="Amiri" w:eastAsia="Amiri" w:cs="Amiri"/>
          <w:color w:val="111111"/>
          <w:sz w:val="28"/>
          <w:sz w:val="28"/>
          <w:szCs w:val="28"/>
          <w:rtl w:val="true"/>
          <w:lang w:bidi="ar-SA"/>
        </w:rPr>
        <w:t>زوال حكم النجاسة حيث كانت يتوقّف على ذهاب عينها إن كان لها عين ، أو استحالتها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مواضع مخصوصة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ببقاء الرائحة واللون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المحقّق في المعتبر إجماع العلماء على ذلك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في الحسن عن ابن المغيرة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ينقّي مأثمه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ينقّي مأثمه ويبقى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 ينظر إليها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عليّ بن أبي حمزة عن العبد الصالح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أمّ ولد لأبيه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أسألك عن شي‌ء وأنا أستحيي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سليني ولا تستحيي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الحيض فغسلته فلم يذهب </w:t>
      </w:r>
      <w:bookmarkStart w:id="1098" w:name="pg8731_77729"/>
    </w:p>
    <w:p>
      <w:pPr>
        <w:pStyle w:val="BookText"/>
        <w:rPr/>
      </w:pPr>
      <w:bookmarkEnd w:id="1098"/>
      <w:r>
        <w:rPr>
          <w:rFonts w:ascii="Amiri" w:hAnsi="Amiri" w:eastAsia="Amiri" w:cs="Amiri"/>
          <w:color w:val="111111"/>
          <w:sz w:val="28"/>
          <w:sz w:val="28"/>
          <w:szCs w:val="28"/>
          <w:rtl w:val="true"/>
          <w:lang w:bidi="ar-SA"/>
        </w:rPr>
        <w:t xml:space="preserve">أثره؟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اصبغيه بمشق حتّى يختلط ويذهب أثره </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بن أبي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أصاب ثوبها من دم الحيض فغسلته ، فبقي أثر الدم في ثوبها؟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تصبغه بمشق حتّى يختلط ويذهب أثره </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المغرة ، ذكره صاحب الصحاح والقاموس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زوال اللون شرطا في زوال النجاسة لم يكن للأمر بالصبغ وجه إذ فائدته إخفاء لون النجاسة عن الحسّ</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3140665_653776707"/>
      <w:bookmarkStart w:id="1100" w:name="_Toc407"/>
      <w:bookmarkEnd w:id="1099"/>
      <w:r>
        <w:rPr>
          <w:rtl w:val="true"/>
        </w:rPr>
        <w:t xml:space="preserve">مسألة </w:t>
      </w:r>
      <w:r>
        <w:rPr>
          <w:rtl w:val="true"/>
        </w:rPr>
        <w:t>[</w:t>
      </w:r>
      <w:r>
        <w:rPr/>
        <w:t>2</w:t>
      </w:r>
      <w:r>
        <w:rPr>
          <w:rtl w:val="true"/>
        </w:rPr>
        <w:t>] :</w:t>
      </w:r>
      <w:bookmarkEnd w:id="1100"/>
    </w:p>
    <w:p>
      <w:pPr>
        <w:pStyle w:val="BookText"/>
        <w:rPr/>
      </w:pPr>
      <w:r>
        <w:rPr>
          <w:rFonts w:ascii="Amiri" w:hAnsi="Amiri" w:eastAsia="Amiri" w:cs="Amiri"/>
          <w:color w:val="111111"/>
          <w:sz w:val="28"/>
          <w:sz w:val="28"/>
          <w:szCs w:val="28"/>
          <w:rtl w:val="true"/>
          <w:lang w:bidi="ar-SA"/>
        </w:rPr>
        <w:t>ويعتبر في زوال نجاسة البول من غير الرضيع عن الثوب بالماء القليل 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المحقّق في المعتبر نفي الخلاف فيه عندنا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علمائنا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وعزى الشهيد في الذكرى إلى الشيخ في المبسوط نفي مراعاة العدد في غير الولوغ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المخالفة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واكتفى العلّامة فيه بالمرّة صريحا إذا كان جافّا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فحوى كلامه في جملة من كتبه الاكتفاء بها مطلقا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الغسل المزيل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زوال العين معتبر على كلّ حال وأنّ مسمّى الغسل يصدق بالمرّة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 المنتهى عبارة تصرّح بالاكتفاء بها مطلقا ، لكنّها اتّفقت بعد حكمه بوجوب المرّتين ، واحتجاجه له بالأدلّة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لما حكم به أخيرا حجّة </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مستغرب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لاح لي في الكلام احتمال يزول به الاستغراب ويبقى معه الحكم الذي جزم به أوّلا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فالقول بإجزاء المرّة مطلقا متحقّق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به الشهيد في البيان </w:t>
      </w: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 إلى الشيخ في المبسوط </w:t>
      </w:r>
      <w:r>
        <w:rPr>
          <w:rStyle w:val="FootnoteAnchor"/>
          <w:rtl w:val="true"/>
        </w:rPr>
        <w:footnoteReference w:id="1883"/>
      </w:r>
      <w:r>
        <w:rPr>
          <w:rFonts w:ascii="Amiri" w:hAnsi="Amiri" w:eastAsia="Amiri" w:cs="Amiri"/>
          <w:color w:val="111111"/>
          <w:sz w:val="28"/>
          <w:sz w:val="28"/>
          <w:szCs w:val="28"/>
          <w:rtl w:val="true"/>
          <w:lang w:bidi="ar-SA"/>
        </w:rPr>
        <w:t>،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اعتبار المرّتين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مسلم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 آخر يعدّ في الصحيح عن محمّد بن مسلم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ابن أبي يعفور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البول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أحمد بن محمّد عن عليّ بن الحكم عن الحسين بن أبي العلاء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البول يصيب الجسد؟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يصيبه البول؟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فاعلم أنّ كلام الأصحاب الذين وصل إلينا كلامهم خال من ذكر الحجّة على الاكتفاء بالمرّة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العلّامة في المنتهى للاكتفاء بها مع الجفاف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من الغسل إنّما هو إزالة العين والأثر ، والجاف لا عين له فيكفي فيه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غير مطهّر عقلا ؛ لأنّه إذا استعمل في المحلّ جاورته النجاسة فينجس وهكذا دائما ، وإنّما عرفت طهارته بالشرع بتسميته طهورا بالنصّ ، فإذا وجد استعمال الطهور مرّة عمل عمله من الطهارة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الأخير يمكن التشبّث به في الاكتفاء بالمرّة مطلقا على رأي </w:t>
      </w:r>
    </w:p>
    <w:p>
      <w:pPr>
        <w:pStyle w:val="BookText"/>
        <w:rPr/>
      </w:pPr>
      <w:r>
        <w:rPr>
          <w:rFonts w:ascii="Amiri" w:hAnsi="Amiri" w:eastAsia="Amiri" w:cs="Amiri"/>
          <w:color w:val="111111"/>
          <w:sz w:val="28"/>
          <w:sz w:val="28"/>
          <w:szCs w:val="28"/>
          <w:rtl w:val="true"/>
          <w:lang w:bidi="ar-SA"/>
        </w:rPr>
        <w:t>من لا يعمل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بذلك ليسوا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الجواب عن الوجهين بالنظر إلى التمسّك بهما في حكم الجافّ ظاهر ؛ فإنّ كون المطلوب من الغسل ما ذكره فقط موقوف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الشهيد في الذكرى وبعض المتأخّرين التابعين له ولأمثاله زيادة في حديث الحسين ابن أبي العلاء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صورتها الاولى للإزالة والثانية للإنقاء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أر لهذه الزيادة أثرا في كتب الحديث الموجودة الآن بعد التصفّح بقدر الوسع ، ولكنّها موجودة في المعتبر </w:t>
      </w:r>
      <w:r>
        <w:rPr>
          <w:rStyle w:val="FootnoteAnchor"/>
          <w:rtl w:val="true"/>
        </w:rPr>
        <w:footnoteReference w:id="1890"/>
      </w:r>
      <w:r>
        <w:rPr>
          <w:rFonts w:ascii="Amiri" w:hAnsi="Amiri" w:eastAsia="Amiri" w:cs="Amiri"/>
          <w:color w:val="111111"/>
          <w:sz w:val="28"/>
          <w:sz w:val="28"/>
          <w:szCs w:val="28"/>
          <w:rtl w:val="true"/>
          <w:lang w:bidi="ar-SA"/>
        </w:rPr>
        <w:t>وأحسبها من كلامه ، وأنّ منشأ الوهم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الزيادة لو ثبتت لصلحت للدلالة على الوجه المذكور فيخصّ بها ما دلّ على المرّتين بما له عين يحتاج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الشأن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عدمه أنّ العلّامة مع حاجته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الحديث في المنتهى مجرّدا عنها </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القضيّة نظير سبق في بحث البئر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 الوجه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ذكرناها عامّة في الجافّ وغيره ، بشهادة ترك الاستفصال ، فيخصّ بها دليل كون الماء طهورا لأنّها أخصّ منه</w:t>
      </w:r>
      <w:r>
        <w:rPr>
          <w:rFonts w:eastAsia="Amiri" w:cs="Amiri" w:ascii="Amiri" w:hAnsi="Amiri"/>
          <w:color w:val="111111"/>
          <w:sz w:val="28"/>
          <w:szCs w:val="28"/>
          <w:rtl w:val="true"/>
          <w:lang w:bidi="ar-SA"/>
        </w:rPr>
        <w:t xml:space="preserve">. </w:t>
      </w:r>
      <w:bookmarkStart w:id="1101" w:name="pg8731_77733"/>
    </w:p>
    <w:p>
      <w:pPr>
        <w:pStyle w:val="Heading6"/>
        <w:numPr>
          <w:ilvl w:val="5"/>
          <w:numId w:val="1"/>
        </w:numPr>
        <w:rPr/>
      </w:pPr>
      <w:bookmarkStart w:id="1102" w:name="__RefHeading___Toc3140667_653776707"/>
      <w:bookmarkStart w:id="1103" w:name="_Toc408"/>
      <w:bookmarkEnd w:id="1101"/>
      <w:bookmarkEnd w:id="1102"/>
      <w:r>
        <w:rPr>
          <w:rtl w:val="true"/>
        </w:rPr>
        <w:t xml:space="preserve">مسألة </w:t>
      </w:r>
      <w:r>
        <w:rPr>
          <w:rtl w:val="true"/>
        </w:rPr>
        <w:t>[</w:t>
      </w:r>
      <w:r>
        <w:rPr/>
        <w:t>3</w:t>
      </w:r>
      <w:r>
        <w:rPr>
          <w:rtl w:val="true"/>
        </w:rPr>
        <w:t>] :</w:t>
      </w:r>
      <w:bookmarkEnd w:id="1103"/>
    </w:p>
    <w:p>
      <w:pPr>
        <w:pStyle w:val="BookText"/>
        <w:rPr/>
      </w:pPr>
      <w:r>
        <w:rPr>
          <w:rFonts w:ascii="Amiri" w:hAnsi="Amiri" w:eastAsia="Amiri" w:cs="Amiri"/>
          <w:color w:val="111111"/>
          <w:sz w:val="28"/>
          <w:sz w:val="28"/>
          <w:szCs w:val="28"/>
          <w:rtl w:val="true"/>
          <w:lang w:bidi="ar-SA"/>
        </w:rPr>
        <w:t>وأكثر الأصحاب على اعتبار التعدّد في إزالة نجاسة البول من غير الرضيع بالماء القليل عن البدن أيضا ، ومنه مخرجه في حال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المحقّق في المعتبر جمع بين الثوب والبدن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التعدّد مذهب علمائنا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جعل المرّتين في الثوب غسلا ، وفي البدن صبّا ؛ مشيا مع الأخبار الواردة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وجه الفرق بين الغسل والصبّ أنّ الغسل يتضمّن العصر ، والصبّ ما لا عصر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 الثوب والبدن فلأنّ البول يلاقي ظاهر البدن ، ولا يرسب فيه ، فيكفي صبّ الماء ؛ لأنّه يزيل ما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الثوب ؛ لأنّ النجاسة ترسخ فيه فلا تزول إلّا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ما احتجّوا به من الأخبار لاعتبار المرّتين في البدن مطلقا ثلاث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ابن أبي العلاء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 فإنّما هو ماء </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في حكم الثوب</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إسحاق النحوي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w:t>
      </w:r>
    </w:p>
    <w:p>
      <w:pPr>
        <w:pStyle w:val="BookText"/>
        <w:rPr/>
      </w:pPr>
      <w:r>
        <w:rPr>
          <w:rFonts w:ascii="Amiri" w:hAnsi="Amiri" w:eastAsia="Amiri" w:cs="Amiri"/>
          <w:color w:val="111111"/>
          <w:sz w:val="28"/>
          <w:sz w:val="28"/>
          <w:szCs w:val="28"/>
          <w:rtl w:val="true"/>
          <w:lang w:bidi="ar-SA"/>
        </w:rPr>
        <w:t xml:space="preserve">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نشيط بن صالح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كم يجزي من الماء في الاستنجاء من البول؟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بمثلي ما على الحشفة من البلل </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الثلاث مشتركة في عدم 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الأخيرة بعدم الصراحة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قالوه من أنّ المثلين فيها كناية عن المرّتين غير واضح ، مع أنّها معارضة برواية نشيط أيضا عن بعض أصحابنا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أن يغسله بمثله </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اقتصر العلّامة في المنتهى على الثوب ، في العبارة التي حكم فيها بوجوب المرّتين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صنع في التحرير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بحث الاستنجاء من المنتهى والنهاية بالاكتفاء فيه بالمرّة إذا زالت العين </w:t>
      </w:r>
      <w:r>
        <w:rPr>
          <w:rStyle w:val="FootnoteAnchor"/>
          <w:rtl w:val="true"/>
        </w:rPr>
        <w:footnoteReference w:id="1899"/>
      </w:r>
      <w:r>
        <w:rPr>
          <w:rFonts w:ascii="Amiri" w:hAnsi="Amiri" w:eastAsia="Amiri" w:cs="Amiri"/>
          <w:color w:val="111111"/>
          <w:sz w:val="28"/>
          <w:sz w:val="28"/>
          <w:szCs w:val="28"/>
          <w:rtl w:val="true"/>
          <w:lang w:bidi="ar-SA"/>
        </w:rPr>
        <w:t xml:space="preserve">، وكذا في المختلف </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القول به عن أبي الصلاح وابن إدريس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من كلام </w:t>
      </w:r>
    </w:p>
    <w:p>
      <w:pPr>
        <w:pStyle w:val="BookText"/>
        <w:rPr/>
      </w:pPr>
      <w:r>
        <w:rPr>
          <w:rFonts w:ascii="Amiri" w:hAnsi="Amiri" w:eastAsia="Amiri" w:cs="Amiri"/>
          <w:color w:val="111111"/>
          <w:sz w:val="28"/>
          <w:sz w:val="28"/>
          <w:szCs w:val="28"/>
          <w:rtl w:val="true"/>
          <w:lang w:bidi="ar-SA"/>
        </w:rPr>
        <w:t xml:space="preserve">ابن البرّاج وهو قول سلّار أيضا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عدم نهوض الأخبار بإثبات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بغسل البول في الأخبار الواردة في باب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رواية عبد الرحمن بن الحجّاج الصحيحة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رجل يبول بالليل فيحسب أنّ البول أصابه فلا يستيقن فهل يجزيه أن يصبّ على ذكره إذا بال ولا تنشّف؟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استبان أنّه أصابه وينضح ما يشكّ فيه من جسده أو ثيابه </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صدق مسمّى الغسل بالمرّة فيحتاج إثبات الزائد عنها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متّجه لو لا ما يشعر به كلام المحقّق من دعوى الإجماع على التعدّد </w:t>
      </w:r>
      <w:r>
        <w:rPr>
          <w:rStyle w:val="FootnoteAnchor"/>
          <w:rtl w:val="true"/>
        </w:rPr>
        <w:footnoteReference w:id="1903"/>
      </w:r>
      <w:r>
        <w:rPr>
          <w:rFonts w:ascii="Amiri" w:hAnsi="Amiri" w:eastAsia="Amiri" w:cs="Amiri"/>
          <w:color w:val="111111"/>
          <w:sz w:val="28"/>
          <w:sz w:val="28"/>
          <w:szCs w:val="28"/>
          <w:rtl w:val="true"/>
          <w:lang w:bidi="ar-SA"/>
        </w:rPr>
        <w:t>؛ فإنّه يجبر وهن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رواه الشيخ في الصحيح عن حريز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يستنجي من البول ثلاث مرّات </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المقتضي للقطع الواقع في طريقه ما مرّت الإشارة إليه عن قرب ؛ إذ من المستبعد كونه حكاية عن فعل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مجرّد الفعل وإن لم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بقرينة الزيادة على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إشعارا بحسن ، من أجله جعله مؤيّدا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استفيد من كلام المحقّق اختصاص دعوى الإجماع بإزالة البول </w:t>
      </w:r>
    </w:p>
    <w:p>
      <w:pPr>
        <w:pStyle w:val="BookText"/>
        <w:rPr/>
      </w:pPr>
      <w:r>
        <w:rPr>
          <w:rFonts w:ascii="Amiri" w:hAnsi="Amiri" w:eastAsia="Amiri" w:cs="Amiri"/>
          <w:color w:val="111111"/>
          <w:sz w:val="28"/>
          <w:sz w:val="28"/>
          <w:szCs w:val="28"/>
          <w:rtl w:val="true"/>
          <w:lang w:bidi="ar-SA"/>
        </w:rPr>
        <w:t xml:space="preserve">عن غير محلّ الاستنجاء حيث حكى في بحث الاستنجاء عن أبي الصلاح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ما أزال عين البول عن رأس فرجه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احتجّ المحقّق لاعتبار مثلي ما على الحشفة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نشيط السابقة مؤيّدة بما روي من أنّ البول إذا أصاب الجسد تصبّ عليه الماء مرّتين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النجاسة بمثلها لا يحصل معه اليقين بغلبة المطهّر على النجاسة ، ولا كذا لو غسلت بمثليها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بعد هذا إلى رواية نشيط المتضمّنة للاكتفاء بالمثل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مقطوعة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بالاولى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لو كان متحقّقا عنده هنا لكان أجدر بالذكر في الاحتجاج من الوجهين اللذين استدلّ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يقوى الاكتفاء بالمرّة المزيلة في غسله عن مخرجه وإن كان اعتبار المرّتين مطلقا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جماعة من الأصحاب أنّه يكفي في المرّتين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اتّصل الصبّ على وجه لو انفصل لصدق التعدّد حسّا أجزأ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ووجّهه البعض بدلالة فحوى الاكتفاء بالحسّي عليه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إطلاقه مشكل ؛ لأنّ دلالة الفحوى موقوفة على العلم بعلّة الحكم في المنطوق وكونها في المفهوم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العلّة هنا بواضحة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كان التعويل في فهمها على الزيادة التي أشرنا إلى إلحاق بعض الأصحاب لها برواية الحسين بن أبي العلاء </w:t>
      </w:r>
      <w:r>
        <w:rPr>
          <w:rStyle w:val="FootnoteAnchor"/>
          <w:rtl w:val="true"/>
        </w:rPr>
        <w:footnoteReference w:id="1907"/>
      </w:r>
      <w:r>
        <w:rPr>
          <w:rFonts w:ascii="Amiri" w:hAnsi="Amiri" w:eastAsia="Amiri" w:cs="Amiri"/>
          <w:color w:val="111111"/>
          <w:sz w:val="28"/>
          <w:sz w:val="28"/>
          <w:szCs w:val="28"/>
          <w:rtl w:val="true"/>
          <w:lang w:bidi="ar-SA"/>
        </w:rPr>
        <w:t>، وهي تعليل المرّتين بأنّ الاولى للإزالة والثانية للإنقاء وقد علم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والدي رحمه‌اللّه الفصل بينهما ووجّهه بتوقّف صدق العدد عليه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الشهيد رحمه‌اللّه في الذكرى بالاكتفاء في المرّتين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لإزالة نجاسة البول 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البدن فيصبّ عليه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المرّتين تقديرهما كالماء المتّصل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قال في بحث الاستنجاء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البول فلا بدّ من غسله ويجزئ مثلاه مع الفصل ؛ للخبر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الفاضل الشيخ علي في شرح القواعد عن الذكرى الكلام الأخير ، وذكر أنّ ظاهره إرادة تحقّق الغسلتين ، وهو حقّ ؛ لأنّ التعدّد لا يتحقّق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التعدّد المطلوب بالمثلين لا يوجد بدون ذلك ؛ لأنّ ورود المثلين دفعة واحدة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بأكثر من المثلين بحيث يتراخى أجزاء الغسل بعضها عن بعض في الزمان لم يشترط الفصل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 الشهيد من الكلام الأوّل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التنافي بين كلاميه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اعتبار صدق المرّتين عرفا مع التراخي ؛ لأنّ </w:t>
      </w:r>
      <w:bookmarkStart w:id="1104" w:name="pg8731_77738"/>
    </w:p>
    <w:p>
      <w:pPr>
        <w:pStyle w:val="BookText"/>
        <w:rPr/>
      </w:pPr>
      <w:bookmarkEnd w:id="1104"/>
      <w:r>
        <w:rPr>
          <w:rFonts w:ascii="Amiri" w:hAnsi="Amiri" w:eastAsia="Amiri" w:cs="Amiri"/>
          <w:color w:val="111111"/>
          <w:sz w:val="28"/>
          <w:sz w:val="28"/>
          <w:szCs w:val="28"/>
          <w:rtl w:val="true"/>
          <w:lang w:bidi="ar-SA"/>
        </w:rPr>
        <w:t>المقتضي للفرق بين التراخي وعدمه ملاحظة تحقّق المرّتين المأمور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والتراخي بمجرّده غير كاف في صدقهما</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3140669_653776707"/>
      <w:bookmarkStart w:id="1106" w:name="_Toc409"/>
      <w:bookmarkEnd w:id="1105"/>
      <w:r>
        <w:rPr>
          <w:rtl w:val="true"/>
        </w:rPr>
        <w:t xml:space="preserve">مسألة </w:t>
      </w:r>
      <w:r>
        <w:rPr>
          <w:rtl w:val="true"/>
        </w:rPr>
        <w:t>[</w:t>
      </w:r>
      <w:r>
        <w:rPr/>
        <w:t>4</w:t>
      </w:r>
      <w:r>
        <w:rPr>
          <w:rtl w:val="true"/>
        </w:rPr>
        <w:t>] :</w:t>
      </w:r>
      <w:bookmarkEnd w:id="1106"/>
    </w:p>
    <w:p>
      <w:pPr>
        <w:pStyle w:val="Heading6"/>
        <w:numPr>
          <w:ilvl w:val="5"/>
          <w:numId w:val="1"/>
        </w:numPr>
        <w:rPr/>
      </w:pPr>
      <w:bookmarkStart w:id="1107" w:name="__RefHeading___Toc3140671_653776707"/>
      <w:bookmarkStart w:id="1108" w:name="_Toc410"/>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والمعروف بين الأصحاب اعتبار العصر أيضا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في مدرك الحكم مختلف ؛ إذ النصوص خالية من التعرّض له في المواضع التي اعتبروه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كلام المحقّق أنّ الوجه في ذلك عدم تحقّق مفهوم الغسل بدونه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حكينا هذا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في التذكرة والنهاية أنّ الوجه فيه كون الغسالة نجسة فلا تحصل الطهارة مع بقائها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في المنتهى بين الاعتبار الذي ذكره المحقّق وبين ما ذكره في الكتابين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 الشهيد في الذكرى بوجوب إخراج النجاسة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من المتأخّرين ، لكنّهم أضافوا إليه الوجه الذي ذكره العلّامة في التذكرة والنهاية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بين الأحكام الثابتة بهذه الوجوه من الاختلاف ؛ فإنّ الذي يقتضيه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العصر سواء كانت الغسالة طاهرة أو نجسة ، وكون القدر المعتبر منه ما يصدق معه مسمّى الغسل في العرف حتّى لو بقيت </w:t>
      </w:r>
      <w:bookmarkStart w:id="1109" w:name="pg8731_77739"/>
    </w:p>
    <w:p>
      <w:pPr>
        <w:pStyle w:val="BookText"/>
        <w:rPr/>
      </w:pPr>
      <w:bookmarkEnd w:id="1109"/>
      <w:r>
        <w:rPr>
          <w:rFonts w:ascii="Amiri" w:hAnsi="Amiri" w:eastAsia="Amiri" w:cs="Amiri"/>
          <w:color w:val="111111"/>
          <w:sz w:val="28"/>
          <w:sz w:val="28"/>
          <w:szCs w:val="28"/>
          <w:rtl w:val="true"/>
          <w:lang w:bidi="ar-SA"/>
        </w:rPr>
        <w:t>فيه أجزاء يمكن إخراجها بغير مشقّة لم تضرّ إذا كان مفهوم الغسل قد تحقّق بدون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الحكم على الخلاف في نجاسة الغسالة وطهارتها ، فعلى الأوّل يجب العصر وعلى الثاني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العصر حيث يعلم انتفاء دخول شي‌ء من أجزاء النجاسة في باطن الثوب ، والاكتفاء بالمرّة الواحدة فيما يجب له التعدّد إذا علم بقرينة الحال خروج الأجزاء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الشهيد في بعض كتبه التزام الأمر الثاني حيث اقتصر على إيجاب العصر مرّة واحدة بين الغسلتين </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في كلام الصدوقين نحوه لكنّهما جعلا العصر بعد الغسلتين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الحكم بما يتحقّق معه مسمّى الغسل في العرف ويعلم معه زوال أجزاء النجاسة بأسرها وبناء الزائد عن ذلك على نجاسة الغسالة وطهارتها</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3140673_653776707"/>
      <w:bookmarkStart w:id="1111" w:name="_Toc411"/>
      <w:bookmarkEnd w:id="1110"/>
      <w:r>
        <w:rPr>
          <w:rtl w:val="true"/>
        </w:rPr>
        <w:t xml:space="preserve">فرع </w:t>
      </w:r>
      <w:r>
        <w:rPr>
          <w:rtl w:val="true"/>
        </w:rPr>
        <w:t>:</w:t>
      </w:r>
      <w:bookmarkEnd w:id="1111"/>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الثوب من غير عصر ففي الطهارة إشكال ، ينشأ من زوال النجاسة بالجفاف والعدم ؛ لأنّا نظنّ انفصال أجزاء النجاسة في صحبة الماء بالعصر لا بالجفاف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بالعصر في موضعه فالأقرب عدم الطهارة ؛ </w:t>
      </w:r>
      <w:bookmarkStart w:id="1112" w:name="pg8731_77740"/>
    </w:p>
    <w:p>
      <w:pPr>
        <w:pStyle w:val="BookText"/>
        <w:rPr/>
      </w:pPr>
      <w:bookmarkEnd w:id="1112"/>
      <w:r>
        <w:rPr>
          <w:rFonts w:ascii="Amiri" w:hAnsi="Amiri" w:eastAsia="Amiri" w:cs="Amiri"/>
          <w:color w:val="111111"/>
          <w:sz w:val="28"/>
          <w:sz w:val="28"/>
          <w:szCs w:val="28"/>
          <w:rtl w:val="true"/>
          <w:lang w:bidi="ar-SA"/>
        </w:rPr>
        <w:t xml:space="preserve">لأنّا نتخيّل خروج أجزاء النجاسة به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الشرطيّة يعني في العصر لظنّ انفصال النجاسة مع الماء بخلاف الجفاف المجرّد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أحطت خبرا بما قلناه في المسألة يتّضح لك الحال في الفرع ؛ لأنّ العصر إن اخذ قيدا في ماهيّة الغسل أو توقّف عليه خروج النجاسة لم يغن عنه الجفاف ، وإن اعتبر لإخراج الغسالة فلا ريب في كون الجفاف مخرجا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ذكراه من الظنّ والتخيّل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الظن في أكثر الصور لا يأتي والتخيّل في الأحكام الشرعيّة لا يجدي</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140675_653776707"/>
      <w:bookmarkStart w:id="1114" w:name="_Toc412"/>
      <w:bookmarkEnd w:id="1113"/>
      <w:r>
        <w:rPr>
          <w:rtl w:val="true"/>
        </w:rPr>
        <w:t xml:space="preserve">مسألة </w:t>
      </w:r>
      <w:r>
        <w:rPr>
          <w:rtl w:val="true"/>
        </w:rPr>
        <w:t>[</w:t>
      </w:r>
      <w:r>
        <w:rPr/>
        <w:t>5</w:t>
      </w:r>
      <w:r>
        <w:rPr>
          <w:rtl w:val="true"/>
        </w:rPr>
        <w:t>] :</w:t>
      </w:r>
      <w:bookmarkEnd w:id="1114"/>
    </w:p>
    <w:p>
      <w:pPr>
        <w:pStyle w:val="BookText"/>
        <w:rPr/>
      </w:pPr>
      <w:r>
        <w:rPr>
          <w:rFonts w:ascii="Amiri" w:hAnsi="Amiri" w:eastAsia="Amiri" w:cs="Amiri"/>
          <w:color w:val="111111"/>
          <w:sz w:val="28"/>
          <w:sz w:val="28"/>
          <w:szCs w:val="28"/>
          <w:rtl w:val="true"/>
          <w:lang w:bidi="ar-SA"/>
        </w:rPr>
        <w:t xml:space="preserve">واعتبر الفاضل في النهاية والتحرير الدلك أيضا في البدن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في المنتهى برواية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قدح أو إناء يشرب فيه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أيجزيه أن تصبّ فيه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حتّى يدلكه بيده ويغسله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وجه الاستدلال به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بدلك الإناء لأجل ملاقاة النجاسة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موجود في البدن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أجاب في صدر الحديث بالغسل فلو لم يتضمّن الدلك ثمّ أوجبه بعد ذلك لكان تأخيرا للبيان عن وقت الحاجة وذلك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نفسه أنّ رواية الحسين بن أبي العلاء </w:t>
      </w:r>
      <w:r>
        <w:rPr>
          <w:rStyle w:val="FootnoteAnchor"/>
          <w:rtl w:val="true"/>
        </w:rPr>
        <w:footnoteReference w:id="1923"/>
      </w:r>
      <w:r>
        <w:rPr>
          <w:rFonts w:ascii="Amiri" w:hAnsi="Amiri" w:eastAsia="Amiri" w:cs="Amiri"/>
          <w:color w:val="111111"/>
          <w:sz w:val="28"/>
          <w:sz w:val="28"/>
          <w:szCs w:val="28"/>
          <w:rtl w:val="true"/>
          <w:lang w:bidi="ar-SA"/>
        </w:rPr>
        <w:t>الدالّة على حكم البول إذا أصاب البدن إنّما تضمّنت الأمر بالصبّ مرّتين وليس فيها تعرّض لاعتبار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بأنّه لا منافاة فيها لما ذكره ؛ إذ وجوب الصبّ لا ينافي وجوب الدلك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هذا الاحتجاج واضح ؛ فإنّه على تقدير صحّة سند هذا الحديث يحتمل كون الأمر بالدلك لخصوصيّة النجاسة أو لخصوصيّة المحلّ أو لهما ؛ إذ القدح بمظنّة علوق بعض أجزاء النجاسة به ، فيحتاج إزالتها إلى الزيادة عن مجرّد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أشدّ لصوقا بمحلّه من البول كما هو ظاهر ، فمن الجائز كون الأمر بالدلك فيه لعدم العلم بزوال عينه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فقيام هذه الاحتمالات يرفع المناسبة الملحوظة في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حصول شي‌ء منها في البول الملاقي للبدن يلزم باعتبار الدلك حينئذ ، ليتحقّق به زوال العين لا لخصوص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هذا احتمال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بمجرّد وقوع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والعيان في مثله شاهد ظاهر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يتّجه إبداء الفرق بين الثوب والبدن حيث أمر في الثوب بالغسل وفي البدن بالصبّ ؛ وذلك أنّ زوال البول عن الثوب بعد دخوله في باطنه </w:t>
      </w:r>
      <w:bookmarkStart w:id="1115" w:name="pg8731_77742"/>
    </w:p>
    <w:p>
      <w:pPr>
        <w:pStyle w:val="BookText"/>
        <w:rPr/>
      </w:pPr>
      <w:bookmarkEnd w:id="1115"/>
      <w:r>
        <w:rPr>
          <w:rFonts w:ascii="Amiri" w:hAnsi="Amiri" w:eastAsia="Amiri" w:cs="Amiri"/>
          <w:color w:val="111111"/>
          <w:sz w:val="28"/>
          <w:sz w:val="28"/>
          <w:szCs w:val="28"/>
          <w:rtl w:val="true"/>
          <w:lang w:bidi="ar-SA"/>
        </w:rPr>
        <w:t>موقوف على نوع عمل واجتهاد ليبلغ الماء مواضع البول ، وليس البدن بمحتاج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المحقّق وجه الفرق تضمّن الغسل العصر مطلقا فممّا لا تساعد عليه اللغة ولا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تضمّنه في بعض الموارد كما إذا كان الثوب غليظا وليس للماء قوّة إخراج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ذلك غير كاف في الحكم بتضمّنه إيّاه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الفاضل كأنّه استشعر في المنتهى بما يرد على الحجّة التي حكيناها فقال بعد تقريره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الدلك في الجسد مستحبّ مع تيقّن زوال النجاسة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استقربه هو مختار المحقّق في المعتبر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جماعة من الأصحاب نفي اعتباره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اتّضح ضعف وجه الوجوب فأمر الاستحباب سهل</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140677_653776707"/>
      <w:bookmarkStart w:id="1117" w:name="_Toc413"/>
      <w:bookmarkEnd w:id="1116"/>
      <w:r>
        <w:rPr>
          <w:rtl w:val="true"/>
        </w:rPr>
        <w:t xml:space="preserve">مسألة </w:t>
      </w:r>
      <w:r>
        <w:rPr>
          <w:rtl w:val="true"/>
        </w:rPr>
        <w:t>[</w:t>
      </w:r>
      <w:r>
        <w:rPr/>
        <w:t>6</w:t>
      </w:r>
      <w:r>
        <w:rPr>
          <w:rtl w:val="true"/>
        </w:rPr>
        <w:t>] :</w:t>
      </w:r>
      <w:bookmarkEnd w:id="1117"/>
    </w:p>
    <w:p>
      <w:pPr>
        <w:pStyle w:val="BookText"/>
        <w:rPr/>
      </w:pPr>
      <w:r>
        <w:rPr>
          <w:rFonts w:ascii="Amiri" w:hAnsi="Amiri" w:eastAsia="Amiri" w:cs="Amiri"/>
          <w:color w:val="111111"/>
          <w:sz w:val="28"/>
          <w:sz w:val="28"/>
          <w:szCs w:val="28"/>
          <w:rtl w:val="true"/>
          <w:lang w:bidi="ar-SA"/>
        </w:rPr>
        <w:t>وظاهر كلام جماعة من الأصحاب طرد الحكم بالمرّتين من نجاسة البول في غير الثوب والبدن ممّا يشابههما ، فيعتبر الغسلتان في مشبه الثوب من الأجسام التي يمكن إخراج الغسالة منها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الصبّ مرّتين فيما يشبه البدن من نحو الخشب والحجر اللذين لا مسام لهما ، يثبت فيها الماء</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واستثنى البعض من ذلك الإناء ، فاكتفى فيه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Fonts w:eastAsia="Amiri" w:cs="Amiri" w:ascii="Amiri" w:hAnsi="Amiri"/>
          <w:color w:val="111111"/>
          <w:sz w:val="28"/>
          <w:szCs w:val="28"/>
          <w:rtl w:val="true"/>
          <w:lang w:bidi="ar-SA"/>
        </w:rPr>
        <w:t xml:space="preserve">. </w:t>
      </w:r>
      <w:bookmarkStart w:id="1118" w:name="pg8731_77743"/>
    </w:p>
    <w:p>
      <w:pPr>
        <w:pStyle w:val="BookText"/>
        <w:rPr/>
      </w:pPr>
      <w:bookmarkEnd w:id="1118"/>
      <w:r>
        <w:rPr>
          <w:rFonts w:ascii="Amiri" w:hAnsi="Amiri" w:eastAsia="Amiri" w:cs="Amiri"/>
          <w:color w:val="111111"/>
          <w:sz w:val="28"/>
          <w:sz w:val="28"/>
          <w:szCs w:val="28"/>
          <w:rtl w:val="true"/>
          <w:lang w:bidi="ar-SA"/>
        </w:rPr>
        <w:t>وكأنّ النظر في هذه التعدية إلى المناسبة الحاصلة باعتبار المشابهة ، أو تخيّل الأولويّة في غير الثوب والبدن ، لئلّا يكون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الوجه الثاني مشكل بل هو معلوم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فله في الجملة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بخارج في التحقيق عن سنن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صرّح بعض الأصحاب بقصر الحكم بالمرّتين على مورد النصّ أعني الثوب والبدن وهو الظاهر من مذهب المحقّق رحمه‌اللّه حيث لم يتعرّض في اعتبار المرّتين لغيرهما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بحث الأواني من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عندي الاقتصار في اعتبار العدد على الولوغ ، وفي ما عداه على دلك النجاسة وغسل الإناء بعد ذلك مرّة واحدة ؛ لحصول الغرض من الإزالة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وإن كان مختصّا بالأواني إلّا أنّ ظاهر التعليل المصير إلى مقتضاه في غير محلّ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خلوّ الحكم فيما عدا الثوب والبدن عنه ، بل ورد في بعض الأخبار الصحيحة إطلاق الأمر بالغسل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إذا أصابه البول من غير تعرّض للتعدّد وسيأتي عن قريب</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3140679_653776707"/>
      <w:bookmarkStart w:id="1120" w:name="_Toc414"/>
      <w:bookmarkEnd w:id="1119"/>
      <w:r>
        <w:rPr>
          <w:rtl w:val="true"/>
        </w:rPr>
        <w:t xml:space="preserve">مسألة </w:t>
      </w:r>
      <w:r>
        <w:rPr>
          <w:rtl w:val="true"/>
        </w:rPr>
        <w:t>[</w:t>
      </w:r>
      <w:r>
        <w:rPr/>
        <w:t>7</w:t>
      </w:r>
      <w:r>
        <w:rPr>
          <w:rtl w:val="true"/>
        </w:rPr>
        <w:t>] :</w:t>
      </w:r>
      <w:bookmarkEnd w:id="112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واعتبار العصر منوط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 عن محلّ المغسول بنفسها وإمكان إخراجها بالعصر من غير عسر فهو معتبر عندهم في طهارة ما يشبه الثوب ، سواء أوجب فيه التعدّد أو كفت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الوجوه التي بني عليها اعتبار العصر وما يقتضيه التحقيق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وقع في كلام الأصحاب نوع اختلاف لم أر من تفطّن له ، وفي كلامنا السابق تنبيه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العبارات أطلقوا فيها القول باعتباره ، ولم يتعرّضوا لبيان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تعدّد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التعدّد أيضا أو المرّة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استفيد المقصود من بعضها بقرينة ، كحكم المحقّق بتضمّن الغسل للعصر </w:t>
      </w:r>
      <w:r>
        <w:rPr>
          <w:rStyle w:val="FootnoteAnchor"/>
          <w:rtl w:val="true"/>
        </w:rPr>
        <w:footnoteReference w:id="1928"/>
      </w:r>
      <w:r>
        <w:rPr>
          <w:rFonts w:ascii="Amiri" w:hAnsi="Amiri" w:eastAsia="Amiri" w:cs="Amiri"/>
          <w:color w:val="111111"/>
          <w:sz w:val="28"/>
          <w:sz w:val="28"/>
          <w:szCs w:val="28"/>
          <w:rtl w:val="true"/>
          <w:lang w:bidi="ar-SA"/>
        </w:rPr>
        <w:t xml:space="preserve">؛ فإنّه يدلّ على اعتبار التعدّد فيه كالغسل ، وكتعليل العلّامة في بعض كتبه وجوبه بنجاسة الغسالة فيتوقّف الطهارة على إخراجها </w:t>
      </w:r>
      <w:r>
        <w:rPr>
          <w:rStyle w:val="FootnoteAnchor"/>
          <w:rtl w:val="true"/>
        </w:rPr>
        <w:footnoteReference w:id="1929"/>
      </w:r>
      <w:r>
        <w:rPr>
          <w:rFonts w:ascii="Amiri" w:hAnsi="Amiri" w:eastAsia="Amiri" w:cs="Amiri"/>
          <w:color w:val="111111"/>
          <w:sz w:val="28"/>
          <w:sz w:val="28"/>
          <w:szCs w:val="28"/>
          <w:rtl w:val="true"/>
          <w:lang w:bidi="ar-SA"/>
        </w:rPr>
        <w:t>؛ فإنّه يقتضي التعدّد أيضا بناء على عدم الفرق بين الغسلتين في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والعاري عن القرينة أكثر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في كتاب على فهم الغرض في كتاب آخر من مصنّف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كلام بعضهم التصريح باعتبار التعدّد حيث يتعدّد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الصدوق في من لا يحضره الفقيه ووالده في الرسالة تصريح بإجزاء المرّة حيث قالا في حكم البول إذا أصاب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غسل في ماء راكد فمرّتين ثمّ يعصر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الشهيد في اللمعة نحوه ، إلّا أنّه جعل العصر بين الغسلتين </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والدي في الشرح </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الأمرين محتمل ، وأنّ ترجيح واحد منهما موقوف على تحقيق مأخذ وجوب العصر ، وقد بيّنا ما عندنا في ذلك</w:t>
      </w:r>
      <w:r>
        <w:rPr>
          <w:rFonts w:eastAsia="Amiri" w:cs="Amiri" w:ascii="Amiri" w:hAnsi="Amiri"/>
          <w:color w:val="111111"/>
          <w:sz w:val="28"/>
          <w:szCs w:val="28"/>
          <w:rtl w:val="true"/>
          <w:lang w:bidi="ar-SA"/>
        </w:rPr>
        <w:t xml:space="preserve">. </w:t>
      </w:r>
      <w:bookmarkStart w:id="1121" w:name="pg8731_77745"/>
    </w:p>
    <w:p>
      <w:pPr>
        <w:pStyle w:val="Heading6"/>
        <w:numPr>
          <w:ilvl w:val="5"/>
          <w:numId w:val="1"/>
        </w:numPr>
        <w:rPr/>
      </w:pPr>
      <w:bookmarkStart w:id="1122" w:name="__RefHeading___Toc3140681_653776707"/>
      <w:bookmarkStart w:id="1123" w:name="_Toc415"/>
      <w:bookmarkEnd w:id="1121"/>
      <w:bookmarkEnd w:id="1122"/>
      <w:r>
        <w:rPr>
          <w:rtl w:val="true"/>
        </w:rPr>
        <w:t xml:space="preserve">مسألة </w:t>
      </w:r>
      <w:r>
        <w:rPr>
          <w:rtl w:val="true"/>
        </w:rPr>
        <w:t>[</w:t>
      </w:r>
      <w:r>
        <w:rPr/>
        <w:t>8</w:t>
      </w:r>
      <w:r>
        <w:rPr>
          <w:rtl w:val="true"/>
        </w:rPr>
        <w:t>] :</w:t>
      </w:r>
      <w:bookmarkEnd w:id="1123"/>
    </w:p>
    <w:p>
      <w:pPr>
        <w:pStyle w:val="BookText"/>
        <w:rPr/>
      </w:pPr>
      <w:r>
        <w:rPr>
          <w:rFonts w:ascii="Amiri" w:hAnsi="Amiri" w:eastAsia="Amiri" w:cs="Amiri"/>
          <w:color w:val="111111"/>
          <w:sz w:val="28"/>
          <w:sz w:val="28"/>
          <w:szCs w:val="28"/>
          <w:rtl w:val="true"/>
          <w:lang w:bidi="ar-SA"/>
        </w:rPr>
        <w:t>وأكثر الذاكرين لاعتبار العصر نصّوا على الاكتفاء في ما يعتبر ذلك فيه بالدقّ والتغميز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عبارات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التقليب والدقّ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الحكم في المنتهى والنهاية بالضرورة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كلام جماعة من المتأخّرين تبعا للشهيد في الذكرى تعليل الحكم بالرواية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ما وصل إلينا من الأخبار في هذا الباب حديثان ذكرهما العلّامة في المنتهى بعد تعليله للحكم بما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الكافي ومن لا يحضره الفقيه والتهذيب عن إبراهيم بن أبي محمود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الطنفسة والفراش يصيبهما البول كيف يصنع بهما وهو ثخين كثير الحشو؟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ظهر منه في وجهه </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يحيى عن أحمد بن محمّد عن موسى بن القاسم عن إبراهيم بن عبد الحميد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الثوب يصيبه البول فينفذ إلى الجانب الآخر ، وعن الفرو وما فيه من الحشو؟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أصاب منه ومسّ الجانب الآخر ، فإن أصبت </w:t>
      </w:r>
      <w:r>
        <w:rPr>
          <w:rStyle w:val="FootnoteAnchor"/>
          <w:rtl w:val="true"/>
        </w:rPr>
        <w:footnoteReference w:id="1936"/>
      </w:r>
      <w:r>
        <w:rPr>
          <w:rFonts w:ascii="Amiri" w:hAnsi="Amiri" w:eastAsia="Amiri" w:cs="Amiri"/>
          <w:color w:val="111111"/>
          <w:sz w:val="28"/>
          <w:sz w:val="28"/>
          <w:szCs w:val="28"/>
          <w:rtl w:val="true"/>
          <w:lang w:bidi="ar-SA"/>
        </w:rPr>
        <w:t xml:space="preserve">مسّ شي‌ء منه </w:t>
      </w:r>
    </w:p>
    <w:p>
      <w:pPr>
        <w:pStyle w:val="BookText"/>
        <w:rPr/>
      </w:pPr>
      <w:r>
        <w:rPr>
          <w:rFonts w:ascii="IRNazanin" w:hAnsi="IRNazanin" w:eastAsia="IRNazanin"/>
          <w:color w:val="111111"/>
          <w:sz w:val="28"/>
          <w:sz w:val="28"/>
          <w:szCs w:val="28"/>
          <w:rtl w:val="true"/>
          <w:lang w:bidi="fa-IR"/>
        </w:rPr>
        <w:t xml:space="preserve">فاغسله وإلّا فانضحه بالماء </w:t>
      </w:r>
      <w:r>
        <w:rPr>
          <w:rFonts w:eastAsia="IRNazanin" w:cs="IRNazanin"/>
          <w:color w:val="111111"/>
          <w:sz w:val="28"/>
          <w:szCs w:val="28"/>
          <w:rtl w:val="true"/>
          <w:lang w:bidi="fa-IR"/>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المنتهى خبر ابن أبي محمود أوّلا وقال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ما إذا لم تسر النجاسة في أجزائه ، وأمّا مع سريانها فيغسل جميعه ويكتفى بالتقليب والدقّ عن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الخبر الثاني شاهدا على هذا التفصيل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الشهيد من هذا الكلام أخذ الاحتجاج بالرواية ؛ إذ لو كان في البين سواها لكان المنتهى أجدر بتضمّنه من الذكرى لما أشرنا إليه في ما مضى من أنّ العلّامة رحمه‌اللّه كثير التتبّع للأحاديث الدالّة على الأحكام في هذا الكتاب وأنّه ممتاز عن غيره من كتب الأصحاب بالاستقراء لها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أكثرت التأمّل في الحديث المذكور فلم أجد فيه ما يصلح شاهدا على اعتبار الدقّ أو التغميز ، وفي الحقيقة متنه لا يخلو عن </w:t>
      </w:r>
      <w:r>
        <w:rPr>
          <w:rStyle w:val="FootnoteAnchor"/>
          <w:rtl w:val="true"/>
        </w:rPr>
        <w:footnoteReference w:id="1939"/>
      </w:r>
      <w:r>
        <w:rPr>
          <w:rFonts w:ascii="Amiri" w:hAnsi="Amiri" w:eastAsia="Amiri" w:cs="Amiri"/>
          <w:color w:val="111111"/>
          <w:sz w:val="28"/>
          <w:sz w:val="28"/>
          <w:szCs w:val="28"/>
          <w:rtl w:val="true"/>
          <w:lang w:bidi="ar-SA"/>
        </w:rPr>
        <w:t xml:space="preserve">حزازة ، ولكنّه ليس بذلك البعيد عن الفهم ؛ فإنّ الظاهر من قوله مسّ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باختيار الطرف الذي لم تقع الإصابة من جهته هل تبيّن فيه شي‌ء من النجاسة بنفوذها إليه أو لا؟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أصبت مسّ شي‌ء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إن حصل لك إمساس شي‌ء من أجزاء النجاسة فاغسله وإلّا فانضحه على ما هو الشأن عند الشكّ في إصابة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وارد في مواضع متعدّدة وسيأتي الكلام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التعجّب من الاستناد إلى الخبر المذكور في حكم الدقّ وأخيه </w:t>
      </w:r>
      <w:bookmarkStart w:id="1124" w:name="pg8731_77747"/>
    </w:p>
    <w:p>
      <w:pPr>
        <w:pStyle w:val="BookText"/>
        <w:rPr/>
      </w:pPr>
      <w:bookmarkEnd w:id="1124"/>
      <w:r>
        <w:rPr>
          <w:rFonts w:ascii="Amiri" w:hAnsi="Amiri" w:eastAsia="Amiri" w:cs="Amiri"/>
          <w:color w:val="111111"/>
          <w:sz w:val="28"/>
          <w:sz w:val="28"/>
          <w:szCs w:val="28"/>
          <w:rtl w:val="true"/>
          <w:lang w:bidi="ar-SA"/>
        </w:rPr>
        <w:t>إنّما يتوجّه على غير العلّامة ، وإن كان كلامه لا يخلو عن إبهام حيث جعله شاهدا على التفصيل ،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أراد من التفصيل ما سوى حكم التقليب والدقّ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أنّه علّل الاكتفاء بهما بالضرورة كما حكيناه في صدر المسألة ، والتفصيل المذكور وقع في أوّل كلامه قبل ذكر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ذكر الخبر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ما فصّله وأشار بذلك إلى ما قرّره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 نحن بين الخبرين لأنّه محلّ الحاجة إليه فأقمنا صورة التفصيل مقام تلك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في ترك التعرّض لغير الغسل في هذين الخبرين لا سيّما الأوّل الذي هو من الصحيح قرينة واضحة على نفي اعتبار العصر وبدليه زيادة على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دخول أحدهما في حقيقته لم يكن فيهما ما ينافيه</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3140683_653776707"/>
      <w:bookmarkStart w:id="1126" w:name="_Toc416"/>
      <w:bookmarkEnd w:id="1125"/>
      <w:r>
        <w:rPr>
          <w:rtl w:val="true"/>
        </w:rPr>
        <w:t xml:space="preserve">مسألة </w:t>
      </w:r>
      <w:r>
        <w:rPr>
          <w:rtl w:val="true"/>
        </w:rPr>
        <w:t>[</w:t>
      </w:r>
      <w:r>
        <w:rPr/>
        <w:t>9</w:t>
      </w:r>
      <w:r>
        <w:rPr>
          <w:rtl w:val="true"/>
        </w:rPr>
        <w:t>] :</w:t>
      </w:r>
      <w:bookmarkEnd w:id="1126"/>
    </w:p>
    <w:p>
      <w:pPr>
        <w:pStyle w:val="BookText"/>
        <w:rPr/>
      </w:pPr>
      <w:r>
        <w:rPr>
          <w:rFonts w:ascii="Amiri" w:hAnsi="Amiri" w:eastAsia="Amiri" w:cs="Amiri"/>
          <w:color w:val="111111"/>
          <w:sz w:val="28"/>
          <w:sz w:val="28"/>
          <w:szCs w:val="28"/>
          <w:rtl w:val="true"/>
          <w:lang w:bidi="ar-SA"/>
        </w:rPr>
        <w:t xml:space="preserve">والمشهور في كلام المتأخّرين أنّ ما لم يمكن إخراج الغسالة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طهارته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الغسالة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في إخراجها بالتخفيف اعتمادا على الظنّ والتخيّل اللّذين مرّ القول فيهما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مساغ للبناء في ذلك على اعتبار العصر في حقيقة الغسل كما بني عليه عدم طهارة ما يمكن إخراج الغسالة منه بدون إخراجها ؛ لأنّ النظر إلى ذلك هاهنا يؤدّي إلى عدم حصول الطهارة له بالكثير أيضا ؛ إذ العلّة في الجميع </w:t>
      </w:r>
    </w:p>
    <w:p>
      <w:pPr>
        <w:pStyle w:val="BookText"/>
        <w:rPr/>
      </w:pPr>
      <w:r>
        <w:rPr>
          <w:rFonts w:ascii="Amiri" w:hAnsi="Amiri" w:eastAsia="Amiri" w:cs="Amiri"/>
          <w:color w:val="111111"/>
          <w:sz w:val="28"/>
          <w:sz w:val="28"/>
          <w:szCs w:val="28"/>
          <w:rtl w:val="true"/>
          <w:lang w:bidi="ar-SA"/>
        </w:rPr>
        <w:t>واحدة وهي عدم تحقّق مسمّى الغسل فيه بدون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في </w:t>
      </w:r>
      <w:r>
        <w:rPr>
          <w:rStyle w:val="FootnoteAnchor"/>
          <w:rtl w:val="true"/>
        </w:rPr>
        <w:footnoteReference w:id="1940"/>
      </w:r>
      <w:r>
        <w:rPr>
          <w:rFonts w:ascii="Amiri" w:hAnsi="Amiri" w:eastAsia="Amiri" w:cs="Amiri"/>
          <w:color w:val="111111"/>
          <w:sz w:val="28"/>
          <w:sz w:val="28"/>
          <w:szCs w:val="28"/>
          <w:rtl w:val="true"/>
          <w:lang w:bidi="ar-SA"/>
        </w:rPr>
        <w:t>إثبات طهارته بالكثير إلى تكلّف خروجه بالإجماع ونحوه مع ارتكاب شطط في التزام حصول الطهارة له حينئذ من دون صدق اسم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ثبت بناء الحكم على تينك المقدّمتين فالمتّجه عند من يقول بطهارة الغسالة إمكان تطهير هذا النوع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اكتفينا في خروج الغسالة بالجفاف كما هو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فاعلم أنّ الشيخ رحمه‌اللّه مع ذهابه في الخلاف إلى نجاسة الغسالة في الجملة </w:t>
      </w:r>
      <w:r>
        <w:rPr>
          <w:rStyle w:val="FootnoteAnchor"/>
          <w:rtl w:val="true"/>
        </w:rPr>
        <w:footnoteReference w:id="1941"/>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على موضع من الأرض فتطهيرها أن تصبّ الماء عليه حتّى تكاثره وتغمره وتقهره فتزيل لونه وطعمه وريحه ، فإذا زال حكمنا بطهارة المحلّ وطهارة الماء الوارد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نقل التراب ولا قطع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الأرض رخوة فصبّ عليها الماء فنزل الماء عن وجهها إلى باطنها طهرت الجلدة العليا دون السفلى التي وصل الماء والبول إليها ، وإن كانت الأرض صلبة فصبّ الماء على المكان فجرى عليه الماء إلى مكان آخر طهر مكان البول ، ولكن نجس المكان الذي انتهى الماء إليه فلا يطهر حتّى يحفر التراب ويلقى عن المكان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احتجّ لما صار إليه بأنّ في التكليف بما زاد على ذلك حرجا منفيّا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وبالرواية العامّيّة المشهورة المتضمنة أمر النبيّ صلى‌اللّه‌عليه‌وآله بإهراق الذنوب من الماء على بول الأعرابي لمّا بال </w:t>
      </w:r>
    </w:p>
    <w:p>
      <w:pPr>
        <w:pStyle w:val="BookText"/>
        <w:rPr/>
      </w:pPr>
      <w:r>
        <w:rPr>
          <w:rFonts w:ascii="Amiri" w:hAnsi="Amiri" w:eastAsia="Amiri" w:cs="Amiri"/>
          <w:color w:val="111111"/>
          <w:sz w:val="28"/>
          <w:sz w:val="28"/>
          <w:szCs w:val="28"/>
          <w:rtl w:val="true"/>
          <w:lang w:bidi="ar-SA"/>
        </w:rPr>
        <w:t xml:space="preserve">في المسجد ، وقوله لهم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ويسّروا ولا تعسّروا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الأوّل من هذه الحجّة لا ينهض بإثبات الحكم في نحو هذا الموضع ، والرواية لا طريق لنا إلى تحقيق حالها بحيث يمكن الاعتماد عليها ، بل أثر الضعف يبدو منها ؛ إذ راويها أبو هريرة ، والشيخ أعلم بحالها وبوجه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تصويب كلام الشيخ في الدعوى ؛ نظرا إلى انتفاء الدليل على التكليف بما زاد عليه ، وصدق مسمّى الإزالة والغسل المعتبرين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فليس على ظاهره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المحقّق في المعتبر محصول كلام الشيخ هنا ، ثمّ استشكله بأنّ الرواية عندنا ضعيفة الطريق ومنافية الأصل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بيّنا أنّ الماء المنفصل عن محلّ النجاسة نجس تغيّر أو لم يتغيّر لأنّه ماء قليل لاقى نجاسة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واقتفى العلّامة في المنتهى أثر المحقّق في مناقشة الشيخ بالوجهين المذكورين </w:t>
      </w:r>
      <w:r>
        <w:rPr>
          <w:rStyle w:val="FootnoteAnchor"/>
          <w:rtl w:val="true"/>
        </w:rPr>
        <w:footnoteReference w:id="1944"/>
      </w:r>
      <w:r>
        <w:rPr>
          <w:rFonts w:ascii="Amiri" w:hAnsi="Amiri" w:eastAsia="Amiri" w:cs="Amiri"/>
          <w:color w:val="111111"/>
          <w:sz w:val="28"/>
          <w:sz w:val="28"/>
          <w:szCs w:val="28"/>
          <w:rtl w:val="true"/>
          <w:lang w:bidi="ar-SA"/>
        </w:rPr>
        <w:t>، ونحن معهما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أسلفنا القول فيه بما لا مزيد عليه في موضعه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وعزى في المنتهى والمختلف إلى ابن إدريس وفاق الشيخ على ما ذهب إليه هنا </w:t>
      </w:r>
      <w:r>
        <w:rPr>
          <w:rStyle w:val="FootnoteAnchor"/>
          <w:rtl w:val="true"/>
        </w:rPr>
        <w:footnoteReference w:id="1945"/>
      </w:r>
      <w:r>
        <w:rPr>
          <w:rFonts w:ascii="Amiri" w:hAnsi="Amiri" w:eastAsia="Amiri" w:cs="Amiri"/>
          <w:color w:val="111111"/>
          <w:sz w:val="28"/>
          <w:sz w:val="28"/>
          <w:szCs w:val="28"/>
          <w:rtl w:val="true"/>
          <w:lang w:bidi="ar-SA"/>
        </w:rPr>
        <w:t xml:space="preserve">، وقد روى عبد اللّه بن سنان في الصحيح عن أبي عبد اللّه عليه‌السلام </w:t>
      </w:r>
      <w:bookmarkStart w:id="1127" w:name="pg8731_77750"/>
    </w:p>
    <w:p>
      <w:pPr>
        <w:pStyle w:val="BookText"/>
        <w:rPr/>
      </w:pPr>
      <w:bookmarkEnd w:id="11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الصلاة في البيع والكنائس وبيوت المجوس؟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وصلّ </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الصلاة في بيوت المجوس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وصلّ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هذين الخبرين نوع إشعار بالاكتفاء في زوال النجاسة عن الأرض بصبّ الماء عليها وإلّا لم يكن للرشّ في المواضع المذكورة فائدة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صحيح هشام بن سالم عن أبي عبد اللّه عليه‌السلام في السطح يبال عليه فيصيبه السماء فكيف فيصيب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أصابه من الماء أكثر منه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هذا الحديث في حكم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الإشعار فيه تعليل نفي البأس بكون الماء الذي أصاب المحلّ أكثر من البول ، وأنّه ليس بالبعيد كون أداة التعريف في الماء للعهد الذهني لا الخارجي فتأمّل</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3140685_653776707"/>
      <w:bookmarkStart w:id="1129" w:name="_Toc417"/>
      <w:bookmarkEnd w:id="1128"/>
      <w:r>
        <w:rPr>
          <w:rtl w:val="true"/>
        </w:rPr>
        <w:t xml:space="preserve">مسألة </w:t>
      </w:r>
      <w:r>
        <w:rPr>
          <w:rtl w:val="true"/>
        </w:rPr>
        <w:t>[</w:t>
      </w:r>
      <w:r>
        <w:rPr/>
        <w:t>10</w:t>
      </w:r>
      <w:r>
        <w:rPr>
          <w:rtl w:val="true"/>
        </w:rPr>
        <w:t>] :</w:t>
      </w:r>
      <w:bookmarkEnd w:id="1129"/>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الأصحاب في حكم غير البول من سائر النجاسات إذا أصاب </w:t>
      </w:r>
      <w:r>
        <w:rPr>
          <w:rStyle w:val="FootnoteAnchor"/>
          <w:rtl w:val="true"/>
        </w:rPr>
        <w:footnoteReference w:id="1949"/>
      </w:r>
      <w:r>
        <w:rPr>
          <w:rFonts w:ascii="Amiri" w:hAnsi="Amiri" w:eastAsia="Amiri" w:cs="Amiri"/>
          <w:color w:val="111111"/>
          <w:sz w:val="28"/>
          <w:sz w:val="28"/>
          <w:szCs w:val="28"/>
          <w:rtl w:val="true"/>
          <w:lang w:bidi="ar-SA"/>
        </w:rPr>
        <w:t xml:space="preserve">غير الأواني ، فذهب جمع منهم إلى الاكتفاء فيها بالمرّة الواحدة ، وهو اختيار </w:t>
      </w:r>
    </w:p>
    <w:p>
      <w:pPr>
        <w:pStyle w:val="BookText"/>
        <w:rPr/>
      </w:pPr>
      <w:r>
        <w:rPr>
          <w:rFonts w:ascii="Amiri" w:hAnsi="Amiri" w:eastAsia="Amiri" w:cs="Amiri"/>
          <w:color w:val="111111"/>
          <w:sz w:val="28"/>
          <w:sz w:val="28"/>
          <w:szCs w:val="28"/>
          <w:rtl w:val="true"/>
          <w:lang w:bidi="ar-SA"/>
        </w:rPr>
        <w:t xml:space="preserve">والدي رحمه‌اللّه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 قوم إلى اعتبار المرّتين كما في البول ، وهم بين مطلق للقول على وجه يظهر منه العموم ، ومصرّح بالاقتصار على الثوب والبدن على نحو ما مرّ في البول ، بل وعلى الثوب فقط ؛ إذ قد حكينا عن العلّامة في التحرير وفي موضع من المنتهى أنّه قصر اعتبار التعدّد في البول على الثوب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فيهما غير البول به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اعتبر في الإلحاق قيدا لم يعتبره غيره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الثوب من البول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والثخينة أولى بتعداد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يشاهد من النجاسات فإنّها تطهر بالمرّة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التي لها قوام وثخن كالمنيّ وشبهه أولى بالتعدّد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الأوامر بالغسل منها إذ ليس في الأخبار ذكر للتعدّد إلّا في البول وفي غسل الأواني على بعض الوجوه التي 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بالماهيّة إنّما يدلّ على طلب اتّحادها وهو يصدق بالمرّة ، والأصل يقتضي براءة الذمّة من الزائد</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المرّتين في البول يدلّ على إيجابه في غيره بطريق أولى إذ النجاسة في غير البول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واستشهد في المنتهى لثبوت الأولويّة بالنظر إلى ما له قوام وثخن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اشترطه في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عبد اللّه عليه‌السلام في رواية حسين بن أبي العلاء وقد سأله 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فإنّما هو ماء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بمفهومه على أنّ غير الماء أكثر عددا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بعض المتأخّرين إلى اعتبار الأولويّة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بالخبر المتضمّن لتعليل إيجاب المرّتين بأنّ واحدة تزيل واخرى تطهّر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الوجه في الاقتصار على الثوب ، أو عليه وعلى البدن وفي التعدية إلى غيرهما قد علم ممّا مرّ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الأوّلين عن هذه الحجّة منع الأولويّة ، بل البول أغلظ من بعض النجاسات كالدم ، حيث يعفى من قليله ولا عفو عن قليل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إثبات القوّة والضعف في النجاسات موقوف على الدلالة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في تعليل الاكتفاء بالمرّتين للبول في الحديث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أضعف حكما بالنظر إلى الإزالة ممّا له 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كما ذكره العلّامة ، وإن كان بالنسبة إلى العفو إذ لا منافاة مع اختلاف الحيثيّة ، ولكنّ الشأن في صحّة الحديث لينهض بإثبات الحكم</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في الصحيح عن محمّد بن مسلم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المنيّ فشدّده وجعله أشدّ من البول </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دليل جيّد على ثبوت الأولويّة في المنيّ فيتّجه المصير إلى التعدّد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على الاستناد في التعدية مطلقا إلى التعليل بكون المرّة الواحدة للإزالة والاخرى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من حال هذا التعليل آنفا ما فيه كفاية ، ومع ذلك فاللفظ الموجود في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للإزالة والثانية للإنقاء </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بالطهارة في كلام هذا المتأخّر شاهد حسن على كثرة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حكم ما يلحق بالبول في إيجاب التعدّد حكمه ، فيراعى في الثوب صدق اسم الغسل ، ويكتفى في البدن بالصبّ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اعتبار العصر والدلك على التحقيق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ما يشبه الثوب والبدن عند من عمّم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يقال فيه بالإلحاق ينظر إلى دليل التنجيس به فإن كان نصّا فهو لا محالة يكون متضمّنا للأمر بالغسل منه فيراعى فيه صدق اسم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إجماعا فيحتمل اعتبار المرّتين استصحابا لحكم النجاسة إلى أن يعلم المزيل ولا دليل على الاكتفاء بما دونهما من جهة النصّ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عموم كون الماء مطهّرا ليس بسليم من قذى الإشكال وقد أشرنا إلى وجهه في مباحث الماء</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الاكتفاء بالمرّة ؛ اقتصارا في الحكم بالتنجيس على موضع الوفاق </w:t>
      </w:r>
      <w:bookmarkStart w:id="1130" w:name="pg8731_77755"/>
    </w:p>
    <w:p>
      <w:pPr>
        <w:pStyle w:val="BookText"/>
        <w:rPr/>
      </w:pPr>
      <w:bookmarkEnd w:id="1130"/>
      <w:r>
        <w:rPr>
          <w:rFonts w:ascii="Amiri" w:hAnsi="Amiri" w:eastAsia="Amiri" w:cs="Amiri"/>
          <w:color w:val="111111"/>
          <w:sz w:val="28"/>
          <w:sz w:val="28"/>
          <w:szCs w:val="28"/>
          <w:rtl w:val="true"/>
          <w:lang w:bidi="ar-SA"/>
        </w:rPr>
        <w:t>وهو ما قبل المرّة وتمسّكا فيما بعدها بأصالة البراءة من التكليف بالزيادة أو الاجتناب ونحوه من لوازم النجاسة ، واستضعافا للتعلّق في مثله بالأصل السابق ؛ لأنّه من قبيل الاستصحاب المردود ، كما حقّق في محلّه من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وستبنى عليه فوائد جليلة في بقايا أحكام النجاسات فاجعله منك على ذكر فإنّه مدرك قويّ ولم يتفطّن له أحد من الأصحاب فيما أعلم واللّه وليّ التوفيق</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3140687_653776707"/>
      <w:bookmarkStart w:id="1132" w:name="_Toc418"/>
      <w:bookmarkEnd w:id="1131"/>
      <w:r>
        <w:rPr>
          <w:rtl w:val="true"/>
        </w:rPr>
        <w:t xml:space="preserve">مسألة </w:t>
      </w:r>
      <w:r>
        <w:rPr>
          <w:rtl w:val="true"/>
        </w:rPr>
        <w:t>[</w:t>
      </w:r>
      <w:r>
        <w:rPr/>
        <w:t>11</w:t>
      </w:r>
      <w:r>
        <w:rPr>
          <w:rtl w:val="true"/>
        </w:rPr>
        <w:t>] :</w:t>
      </w:r>
      <w:bookmarkEnd w:id="1132"/>
    </w:p>
    <w:p>
      <w:pPr>
        <w:pStyle w:val="Heading6"/>
        <w:numPr>
          <w:ilvl w:val="5"/>
          <w:numId w:val="1"/>
        </w:numPr>
        <w:rPr/>
      </w:pPr>
      <w:bookmarkStart w:id="1133" w:name="__RefHeading___Toc3140689_653776707"/>
      <w:bookmarkStart w:id="1134" w:name="_Toc419"/>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لا نعرف خلافا بين علمائنا في اعتبار التعدّد في غسل الإناء بالماء القليل إذا ولغ فيه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اختلفوا في العدد المعتبر ، فالأكثرون على الاكتفاء بالمرّتين مع التعفير بالتراب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والأواني إذا نجست من ولوغ الكلب أو ما جرى مجراه غسل سبع مرّات اولاهنّ بالتراب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المشهور وجوه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الخلاف </w:t>
      </w:r>
      <w:r>
        <w:rPr>
          <w:rStyle w:val="FootnoteAnchor"/>
          <w:rtl w:val="true"/>
        </w:rPr>
        <w:footnoteReference w:id="1960"/>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العلّامة في المنتهى إشارة إليه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علمائنا أجمع إلّا ابن الجنيد إيجاب الغسل هنا ثلاث مرّات إحداهنّ بالتراب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الفاضلان في المعتبر والمنتهى والنهاية والتذكرة وتبعهما عليه جماعة من المتأخّرين منهم الشهيدان </w:t>
      </w:r>
      <w:r>
        <w:rPr>
          <w:rStyle w:val="FootnoteAnchor"/>
          <w:rtl w:val="true"/>
        </w:rPr>
        <w:footnoteReference w:id="1963"/>
      </w:r>
      <w:r>
        <w:rPr>
          <w:rFonts w:ascii="Amiri" w:hAnsi="Amiri" w:eastAsia="Amiri" w:cs="Amiri"/>
          <w:color w:val="111111"/>
          <w:sz w:val="28"/>
          <w:sz w:val="28"/>
          <w:szCs w:val="28"/>
          <w:rtl w:val="true"/>
          <w:lang w:bidi="ar-SA"/>
        </w:rPr>
        <w:t xml:space="preserve">، وهو ما رواه الشيخ في الصحيح عن أبي العبّاس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المنتهى ، وما رواه أبو العبّاس الفضل على 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يتوضّأ بفضله واجتنب ذلك الماء واغسله بالتراب أوّل مرّة ثمّ بالماء مرّتين </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إزالة عين النجاسة بالماء الطاهر ، وهذا المعنى يحصل بالثلاث يعني الغسلتين مع التعفير والأصل براءة الذمّة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اقتصر العلّامة في المختلف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حجّة ابن الجنيد فلم يتعرّض لها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ويلوح في المعتبر أنّها رواية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من الخمر سبعا وكذا الكلب </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ذلك العلّامة في المنتهى ، لكنّه صرّح بنسبة الاحتجاج بها إليه </w:t>
      </w:r>
      <w:r>
        <w:rPr>
          <w:rStyle w:val="FootnoteAnchor"/>
          <w:rtl w:val="true"/>
        </w:rPr>
        <w:footnoteReference w:id="1967"/>
      </w:r>
      <w:r>
        <w:rPr>
          <w:rFonts w:ascii="Amiri" w:hAnsi="Amiri" w:eastAsia="Amiri" w:cs="Amiri"/>
          <w:color w:val="111111"/>
          <w:sz w:val="28"/>
          <w:sz w:val="28"/>
          <w:szCs w:val="28"/>
          <w:rtl w:val="true"/>
          <w:lang w:bidi="ar-SA"/>
        </w:rPr>
        <w:t xml:space="preserve">، ولم يحتجّ له بها في المختلف ، بل جعل حجّته أنّه أنجس من الفأرة والإناء </w:t>
      </w:r>
    </w:p>
    <w:p>
      <w:pPr>
        <w:pStyle w:val="BookText"/>
        <w:rPr/>
      </w:pPr>
      <w:r>
        <w:rPr>
          <w:rFonts w:ascii="Amiri" w:hAnsi="Amiri" w:eastAsia="Amiri" w:cs="Amiri"/>
          <w:color w:val="111111"/>
          <w:sz w:val="28"/>
          <w:sz w:val="28"/>
          <w:szCs w:val="28"/>
          <w:rtl w:val="true"/>
          <w:lang w:bidi="ar-SA"/>
        </w:rPr>
        <w:t xml:space="preserve">يغسل منها سبع مرّات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واقع في كلتا هاتين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العمدة فيها على الحديث ، بناء على عدم الاعتماد على نحو هذا الإجماع ، سيّما بقرينة عدم تعرّض المحقّق له ، واقتصاره على الاحتجاج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هذا الحديث لا يخلو عن ريب ؛ فإنّ لفظ مرّتين فيه غير موجود في التهذيب ولا في الاستبصار </w:t>
      </w:r>
      <w:r>
        <w:rPr>
          <w:rStyle w:val="FootnoteAnchor"/>
          <w:rtl w:val="true"/>
        </w:rPr>
        <w:footnoteReference w:id="1969"/>
      </w:r>
      <w:r>
        <w:rPr>
          <w:rFonts w:ascii="Amiri" w:hAnsi="Amiri" w:eastAsia="Amiri" w:cs="Amiri"/>
          <w:color w:val="111111"/>
          <w:sz w:val="28"/>
          <w:sz w:val="28"/>
          <w:szCs w:val="28"/>
          <w:rtl w:val="true"/>
          <w:lang w:bidi="ar-SA"/>
        </w:rPr>
        <w:t>على ما في النسخ التي رأيناها ، ولم نر للحديث ذكرا في غيرهما من بقيّة كتب الحديث المعروفة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الخلاف ذكره بعد الاحتجاج للحكم بإجماع الفرقة على غير نمط الحجّة ، وكأنّه قصد جعله مؤيّدا حيث إنّ احتجاجه في مقابلة العامّة ، ومنهم من أوجب الزيادة على الثلاث ومنهم من جعل الغسل للتعبّد لا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صالح لنفي كلا هذين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فهو في هذا الكتاب أيضا خال من ذكر المرّتين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والعلّامة في المختلف حكاه أيضا في هذا الباب ، لكن لا يقصد الاحتجاج به للتعدّد كما صنع في المنتهى بل لغرض آخر وليس فيه تعرّض للمرّتين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المحقّق رحمه‌اللّه عثر عليه في غير كتب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ذكره مرسلا فالاعتماد عليه بالنظر إلينا صار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طريقه إلى أبي العبّاس في كتب الشيخ غير مجدية مع الخلوّ عن موضع الدلالة</w:t>
      </w:r>
      <w:r>
        <w:rPr>
          <w:rFonts w:eastAsia="Amiri" w:cs="Amiri" w:ascii="Amiri" w:hAnsi="Amiri"/>
          <w:color w:val="111111"/>
          <w:sz w:val="28"/>
          <w:szCs w:val="28"/>
          <w:rtl w:val="true"/>
          <w:lang w:bidi="ar-SA"/>
        </w:rPr>
        <w:t xml:space="preserve">. </w:t>
      </w:r>
      <w:bookmarkStart w:id="1135" w:name="pg8731_77762"/>
    </w:p>
    <w:p>
      <w:pPr>
        <w:pStyle w:val="BookText"/>
        <w:rPr/>
      </w:pPr>
      <w:bookmarkEnd w:id="1135"/>
      <w:r>
        <w:rPr>
          <w:rFonts w:ascii="Amiri" w:hAnsi="Amiri" w:eastAsia="Amiri" w:cs="Amiri"/>
          <w:color w:val="111111"/>
          <w:sz w:val="28"/>
          <w:sz w:val="28"/>
          <w:szCs w:val="28"/>
          <w:rtl w:val="true"/>
          <w:lang w:bidi="ar-SA"/>
        </w:rPr>
        <w:t xml:space="preserve">وأمّا الحجّة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فحديثها ليس بصحيح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الذي ذكر في المختلف ممنوع بكلتا مقدّمتيه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الاولى واضح وفي الثانية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العمل على المشهور هنا حسن ، لما يظهر من عدم الخلاف في نفي الاكتفاء بما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وللتحقيق حكم آخر</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3140691_653776707"/>
      <w:bookmarkStart w:id="1137" w:name="_Toc420"/>
      <w:bookmarkEnd w:id="1136"/>
      <w:r>
        <w:rPr>
          <w:rtl w:val="true"/>
        </w:rPr>
        <w:t xml:space="preserve">فروع </w:t>
      </w:r>
      <w:r>
        <w:rPr>
          <w:rtl w:val="true"/>
        </w:rPr>
        <w:t>:</w:t>
      </w:r>
      <w:bookmarkEnd w:id="1137"/>
    </w:p>
    <w:p>
      <w:pPr>
        <w:pStyle w:val="Heading6"/>
        <w:numPr>
          <w:ilvl w:val="5"/>
          <w:numId w:val="1"/>
        </w:numPr>
        <w:rPr/>
      </w:pPr>
      <w:bookmarkStart w:id="1138" w:name="__RefHeading___Toc3140693_653776707"/>
      <w:bookmarkStart w:id="1139" w:name="_Toc421"/>
      <w:bookmarkEnd w:id="1138"/>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139"/>
    </w:p>
    <w:p>
      <w:pPr>
        <w:pStyle w:val="BookText"/>
        <w:rPr/>
      </w:pPr>
      <w:r>
        <w:rPr>
          <w:rFonts w:ascii="Amiri" w:hAnsi="Amiri" w:eastAsia="Amiri" w:cs="Amiri"/>
          <w:color w:val="111111"/>
          <w:sz w:val="28"/>
          <w:sz w:val="28"/>
          <w:szCs w:val="28"/>
          <w:rtl w:val="true"/>
          <w:lang w:bidi="ar-SA"/>
        </w:rPr>
        <w:t xml:space="preserve">حقيقة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الكلب ممّا في الإناء بطرف لسانه أو إدخال لسانه فيه وتحريكه له على ما ذكره بعضهم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نصّ جماعة من متأخّري الأصحاب على أنّ لطع الكلب للإناء بلسانه في معنى ولوغه وإن لم يصدق عليه اسمه حقيقة ؛ نظرا إلى أنّه أولى بالحكم من الولوغ فيتناوله الدليل بمفهوم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3140695_653776707"/>
      <w:bookmarkStart w:id="1141" w:name="_Toc422"/>
      <w:bookmarkEnd w:id="1140"/>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141"/>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اللعاب بغير الولوغ فالأقوى إلحاقه به ؛ إذ المقصود قلع اللعاب من غير اعتبار السبب</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يجري عرقه وساير رطوباته وأجزائه وفضلاته مجرى لعابه؟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ذلك ؛ لأنّ فمه أنظف من غيره ، ولهذا كانت نكهته أطيب من غيره من الحيوانات لكثرة لهثه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الصدوق في المقنع ، ومن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ولغ كلب </w:t>
      </w:r>
      <w:r>
        <w:rPr>
          <w:rStyle w:val="FootnoteAnchor"/>
          <w:rtl w:val="true"/>
        </w:rPr>
        <w:footnoteReference w:id="1973"/>
      </w:r>
      <w:r>
        <w:rPr>
          <w:rFonts w:ascii="Amiri" w:hAnsi="Amiri" w:eastAsia="Amiri" w:cs="Amiri"/>
          <w:color w:val="111111"/>
          <w:sz w:val="28"/>
          <w:sz w:val="28"/>
          <w:szCs w:val="28"/>
          <w:rtl w:val="true"/>
          <w:lang w:bidi="ar-SA"/>
        </w:rPr>
        <w:t xml:space="preserve">في إناء فيه ماء أو شرب منه اهريق الماء وغسل الإناء ثلاث مرّات بالتراب ومرّتين بالماء </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والده في الرسالة نحو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قصر الحكم على الولوغ وما في معناه وهو اللطع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 إذ النصّ إنّما ورد في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الأولويّة في غيره مطلقا في حيّز المنع وبدونها يكون الإلحاق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العلّامة في غير النهاية على ما هو المشهور ، واحتجّ له في المنتهى بأنّ التكليف في ذلك غير معقول المعنى فيقف على النصّ وهو إنّما دلّ على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احتجاج المخالف بأنّ كلّ جزء من الحيوان يساوي بقيّة الأجزاء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التساوي ممنوع ، والفرق واقع ؛ إذ في الولوغ يحصل ملاقاة الرطوبة اللّزجة للإناء المفتقرة إلى زيادة في التطهير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 اقتفى في الحجّة والجواب أثر المحقّق في المعتبر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جواب ما ذكره في النهاية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قال فيها بعد تلك العبارة التي حكيناها بسطر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 يده أو رجله أو غيرهما من أجزائه كان كغيره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بمساواته </w:t>
      </w:r>
      <w:bookmarkStart w:id="1142" w:name="pg8731_77766"/>
    </w:p>
    <w:p>
      <w:pPr>
        <w:pStyle w:val="BookText"/>
        <w:rPr/>
      </w:pPr>
      <w:bookmarkEnd w:id="1142"/>
      <w:r>
        <w:rPr>
          <w:rFonts w:ascii="IRNazanin" w:hAnsi="IRNazanin" w:eastAsia="IRNazanin"/>
          <w:color w:val="111111"/>
          <w:sz w:val="28"/>
          <w:sz w:val="28"/>
          <w:szCs w:val="28"/>
          <w:rtl w:val="true"/>
          <w:lang w:bidi="fa-IR"/>
        </w:rPr>
        <w:t xml:space="preserve">للولوغ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3140697_653776707"/>
      <w:bookmarkStart w:id="1144" w:name="_Toc423"/>
      <w:bookmarkEnd w:id="114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144"/>
    </w:p>
    <w:p>
      <w:pPr>
        <w:pStyle w:val="BookText"/>
        <w:rPr/>
      </w:pPr>
      <w:r>
        <w:rPr>
          <w:rFonts w:ascii="Amiri" w:hAnsi="Amiri" w:eastAsia="Amiri" w:cs="Amiri"/>
          <w:color w:val="111111"/>
          <w:sz w:val="28"/>
          <w:sz w:val="28"/>
          <w:szCs w:val="28"/>
          <w:rtl w:val="true"/>
          <w:lang w:bidi="ar-SA"/>
        </w:rPr>
        <w:t xml:space="preserve">أطلق جمع من متقدّمي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الصدوقان في العبارتين المحكيّتين عنهما آنفا </w:t>
      </w:r>
      <w:r>
        <w:rPr>
          <w:rStyle w:val="FootnoteAnchor"/>
          <w:rtl w:val="true"/>
        </w:rPr>
        <w:footnoteReference w:id="1978"/>
      </w:r>
      <w:r>
        <w:rPr>
          <w:rFonts w:ascii="Amiri" w:hAnsi="Amiri" w:eastAsia="Amiri" w:cs="Amiri"/>
          <w:color w:val="111111"/>
          <w:sz w:val="28"/>
          <w:sz w:val="28"/>
          <w:szCs w:val="28"/>
          <w:rtl w:val="true"/>
          <w:lang w:bidi="ar-SA"/>
        </w:rPr>
        <w:t xml:space="preserve">، والشيخ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الغسل ثلاثا من الولوغ إحداها بالتراب والاخريان بالماء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يتعرّضوا لبيان محلّ الغسل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تأخيره عن الغسلتين بالماء منفيّ بغير شكّ ، فيبقى الكلام في تقديمه عليهما أو توسّطه بينهما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فبالثاني صرّح المفيد في المقنعة </w:t>
      </w:r>
      <w:r>
        <w:rPr>
          <w:rStyle w:val="FootnoteAnchor"/>
          <w:rtl w:val="true"/>
        </w:rPr>
        <w:footnoteReference w:id="1981"/>
      </w:r>
      <w:r>
        <w:rPr>
          <w:rFonts w:ascii="Amiri" w:hAnsi="Amiri" w:eastAsia="Amiri" w:cs="Amiri"/>
          <w:color w:val="111111"/>
          <w:sz w:val="28"/>
          <w:sz w:val="28"/>
          <w:szCs w:val="28"/>
          <w:rtl w:val="true"/>
          <w:lang w:bidi="ar-SA"/>
        </w:rPr>
        <w:t xml:space="preserve">، وبالأوّل صرّح الشيخ في النهاية </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التصريح به في كلام ابن الجنيد أيضا </w:t>
      </w:r>
      <w:r>
        <w:rPr>
          <w:rStyle w:val="FootnoteAnchor"/>
          <w:rtl w:val="true"/>
        </w:rPr>
        <w:footnoteReference w:id="1983"/>
      </w:r>
      <w:r>
        <w:rPr>
          <w:rFonts w:ascii="Amiri" w:hAnsi="Amiri" w:eastAsia="Amiri" w:cs="Amiri"/>
          <w:color w:val="111111"/>
          <w:sz w:val="28"/>
          <w:sz w:val="28"/>
          <w:szCs w:val="28"/>
          <w:rtl w:val="true"/>
          <w:lang w:bidi="ar-SA"/>
        </w:rPr>
        <w:t xml:space="preserve">، وعليه جمهور الأصحاب ؛ تمسّكا بحديث أبي العبّاس السابق فإنّه نصّ فيه كما لا يخفى </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المفيد لا نعرف له وجها</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3140699_653776707"/>
      <w:bookmarkStart w:id="1146" w:name="_Toc424"/>
      <w:bookmarkEnd w:id="1145"/>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1146"/>
    </w:p>
    <w:p>
      <w:pPr>
        <w:pStyle w:val="Heading6"/>
        <w:numPr>
          <w:ilvl w:val="5"/>
          <w:numId w:val="1"/>
        </w:numPr>
        <w:rPr/>
      </w:pPr>
      <w:bookmarkStart w:id="1147" w:name="__RefHeading___Toc3140701_653776707"/>
      <w:bookmarkStart w:id="1148" w:name="_Toc425"/>
      <w:bookmarkEnd w:id="1147"/>
      <w:r>
        <w:rPr>
          <w:rtl w:val="true"/>
        </w:rPr>
        <w:t>اشارة</w:t>
      </w:r>
      <w:bookmarkEnd w:id="1148"/>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علمائنا على الاكتفاء في التعفير بالتراب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مع ذلك بين ساكت عن الحكم حال مزجه بالماء ، ومصرّح بإجزائه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صرّح بالإجزاء الشهيد في البيان والدروس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والدي رحمه‌اللّه في الإجزاء مع المزج عدم خروج التراب بذلك عن اسمه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ويعزى إلى الراوندي وابن إدريس اشتراط المزج </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إليه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بالعدم في غيره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خال من ذكر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إزالة الأجزاء اللعابيّة الحاصلة من فمه ودلكه بالتراب بحيث تزول تلك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وحكوا عن ابن إدريس الاحتجاج لما صار إليه بأنّ حقيقة الغسل جريان المائع على الجسم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والتراب وحده لا يجزي ، فيعتبر مزجه بالماء تحصيلا لحقيقة الغسل</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الشهيد في الذكرى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اقتفاء لأثر العلّامة في المختلف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انتفاء الحقيقة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مطلق فلا 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صدق مفهوم الغسل مع المزج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بالنظر إلى الحقيقة فالمزج ليس بمحصّل لحقيقة الغسل قطعا ، وإن كانت باعتبار المجاز فهو صادق بالتراب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ترجيح أحد المجازين دليل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الواقع في الخبر يدلّ بظاهره على الاكتفاء بأقلّ ما يتحقّق معه الاسم فيحتاج إثبات الزائد عنه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ينقّح به هذا الجواب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لنا فيه بحث ؛ لأنّ 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الذي هو مستندهم يحتمل أن يكون للاستعانة ، مثلها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حينئذ لغو إذ متعلّقه خاصّ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للمصاحبة ، نحوها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عليه بثياب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والظرف على هذا التقدير حال من الغسل المدلول عليه بالأمر أو من الماء لدلالة الغسل عليه وهو حينئذ مستقرّ لكون </w:t>
      </w:r>
      <w:r>
        <w:rPr>
          <w:rStyle w:val="FootnoteAnchor"/>
          <w:rtl w:val="true"/>
        </w:rPr>
        <w:footnoteReference w:id="1992"/>
      </w:r>
      <w:r>
        <w:rPr>
          <w:rFonts w:ascii="Amiri" w:hAnsi="Amiri" w:eastAsia="Amiri" w:cs="Amiri"/>
          <w:color w:val="111111"/>
          <w:sz w:val="28"/>
          <w:sz w:val="28"/>
          <w:szCs w:val="28"/>
          <w:rtl w:val="true"/>
          <w:lang w:bidi="ar-SA"/>
        </w:rPr>
        <w:t>متعلّقه أمرا عامّا واجب الحذف وهو الكون أو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التجوّز في لفظ الغسل بإرادة الدلك منه لنوع من العلاقة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التجوّز في الغسل بل يبقى على حقيقته ويحتاج الكلام إلى تقدير المتعلّق للجارّ وهو وإن كان خلاف الأصل إلّا أنّه ليس بالبعيد رجحانه هنا على ذلك التجوّز ؛ إذ مدار وجوه الترجيح في مثله على كثرة الاستعمال وسبق المعنى إلى الفهم ، ولا ريب في قلّة استعمال الغسل </w:t>
      </w:r>
      <w:bookmarkStart w:id="1149" w:name="pg8731_77772"/>
    </w:p>
    <w:p>
      <w:pPr>
        <w:pStyle w:val="BookText"/>
        <w:rPr/>
      </w:pPr>
      <w:bookmarkEnd w:id="1149"/>
      <w:r>
        <w:rPr>
          <w:rFonts w:ascii="Amiri" w:hAnsi="Amiri" w:eastAsia="Amiri" w:cs="Amiri"/>
          <w:color w:val="111111"/>
          <w:sz w:val="28"/>
          <w:sz w:val="28"/>
          <w:szCs w:val="28"/>
          <w:rtl w:val="true"/>
          <w:lang w:bidi="ar-SA"/>
        </w:rPr>
        <w:t>في الدلك بالتراب ، وبعده عن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الإضمار لمتعلّق الجار بهذه المثابة ، ولا قريبا منها قطعا ، بل هو من المتعارف والشيوع بأيّ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رجحانه فمقتضاه الاكتفاء بمسمّى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يستبعد ذلك من حيث إنّه لا يتحقّق معه الغاية التي ذكروها أعني زوال الأجزاء اللعابيّة الحاصلة من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 فإنّ النظر إلى نحو هذا التعليل في الأحكام الشرعيّة مع انتفاء النصّ عليه وتخلّفه في أكثر الصور بأهل القياس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فمجال المقال هاهنا متّسع ، وفي هذا القدر من التنبيه على جهة التحقيق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الأخذ في طريق الاحتياط أمر مطلوب فينبغي أن يكون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الجمع بينه وبين ما ذكرناه ليس بخال عن إشكال باعتبار اشتراط عدم الخروج بالمزج عن مسمّى التراب كما حكيناه عن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الغالب لا يخرج ، وربّما كانت كثرة الماء أبعد عن الخروج من بعض صور قلّته بحسب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140703_653776707"/>
      <w:bookmarkStart w:id="1151" w:name="_Toc426"/>
      <w:bookmarkEnd w:id="1150"/>
      <w:r>
        <w:rPr>
          <w:rtl w:val="true"/>
        </w:rPr>
        <w:t xml:space="preserve">تذنيب </w:t>
      </w:r>
      <w:r>
        <w:rPr>
          <w:rtl w:val="true"/>
        </w:rPr>
        <w:t>:</w:t>
      </w:r>
      <w:bookmarkEnd w:id="1151"/>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بمزج الماء بالتراب هل يجزي لو صار مضافا؟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تقديره هل يجزي عوض الماء ماء الورد وشبهه؟ إشكال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وبنى الحكم في النهاية على أنّ التعفير هل يثبت تعبّدا أو استظهارا في القلع بغير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فيه مع ظاهر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عوض الماء غيره من المائعات كالخلّ وماء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خروج الماء عن الإطلاق بالمزج بطريق أولى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القدر المتحقّق هو التعبّد ؛ إذ لا دليل على قصد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من عدم مدخليّة غير المطلق في التطهير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المضاف مطلقا ؛ فإنّ إثبات الخصوصيّة هنا يحتاج إلى الدليل ، والمنكرون لإجزاء المضاف مطلقا يدّعون تبادر المطلق من لفظ الغسل عند الإطلاق على 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اعتبار المزج إنّما اخذ من الأمر بالغسل فلا خصوصيّة لهذا النوع من التطهير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عدم خروج المطلق عن اسمه بالمزج فموضع نظر ؛ لأنّ الظاهر من إطلاق الأمر بجعل التراب في صحبة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وجّهنا به اعتبار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إلى بقاء الاسم في واحد منهما بعد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خروج الماء عن اسمه مقتضيا لعدم صدق الغسل حقيقة فيستوي الحال في المزج وعدمه ، كما ذكر في الجواب عن حجّة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ادّعاء الصدق على بعض الوجوه بطريق الحقيقة وإن زال اسم الماء عن المجموع بشهادة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صدق اسم الغسل المعتبر حينئذ يقتضي التزام مثله في المزج بالمضاف ؛ لأنّ انتفاء اسم المطلق حاصل في الموضعين</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تبادر إرادة استعمال المطلق </w:t>
      </w:r>
      <w:bookmarkStart w:id="1152" w:name="pg8731_77776"/>
    </w:p>
    <w:p>
      <w:pPr>
        <w:pStyle w:val="BookText"/>
        <w:rPr/>
      </w:pPr>
      <w:bookmarkEnd w:id="1152"/>
      <w:r>
        <w:rPr>
          <w:rFonts w:ascii="Amiri" w:hAnsi="Amiri" w:eastAsia="Amiri" w:cs="Amiri"/>
          <w:color w:val="111111"/>
          <w:sz w:val="28"/>
          <w:sz w:val="28"/>
          <w:szCs w:val="28"/>
          <w:rtl w:val="true"/>
          <w:lang w:bidi="ar-SA"/>
        </w:rPr>
        <w:t>من الأمر بالغسل وإن كانت حقيقة الغسل قد تصدق بغيره ، فإذا اقترن إلى الأمر ما يدلّ على إرادة عدم استقلال المطلق بالغسل وجب العمل بمقتضاه واحتيج إلى ملاحظة الجمع بينه وبين حصول حقيقة الغسل ؛ لكون إرادة المجاز على خلاف الأصل</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3140705_653776707"/>
      <w:bookmarkStart w:id="1154" w:name="_Toc427"/>
      <w:bookmarkEnd w:id="1153"/>
      <w:r>
        <w:rPr>
          <w:rtl w:val="true"/>
        </w:rPr>
        <w:t xml:space="preserve">[ </w:t>
      </w:r>
      <w:r>
        <w:rPr>
          <w:rtl w:val="true"/>
        </w:rPr>
        <w:t xml:space="preserve">الفرع </w:t>
      </w:r>
      <w:r>
        <w:rPr>
          <w:rtl w:val="true"/>
        </w:rPr>
        <w:t xml:space="preserve">] </w:t>
      </w:r>
      <w:r>
        <w:rPr>
          <w:rtl w:val="true"/>
        </w:rPr>
        <w:t xml:space="preserve">الخامس </w:t>
      </w:r>
      <w:r>
        <w:rPr>
          <w:rtl w:val="true"/>
        </w:rPr>
        <w:t>:</w:t>
      </w:r>
      <w:bookmarkEnd w:id="1154"/>
    </w:p>
    <w:p>
      <w:pPr>
        <w:pStyle w:val="BookText"/>
        <w:rPr/>
      </w:pPr>
      <w:r>
        <w:rPr>
          <w:rFonts w:ascii="Amiri" w:hAnsi="Amiri" w:eastAsia="Amiri" w:cs="Amiri"/>
          <w:color w:val="111111"/>
          <w:sz w:val="28"/>
          <w:sz w:val="28"/>
          <w:szCs w:val="28"/>
          <w:rtl w:val="true"/>
          <w:lang w:bidi="ar-SA"/>
        </w:rPr>
        <w:t xml:space="preserve">نصّ جمع من الأصحاب على اشتراط الطهارة في التراب ، ومنهم العلّامة في المنتهى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اشتراط طهارة التراب سواء أضفناه أو لا ؛ لأنّ المطلوب منه التطهير وهو غير مناسب بالنجس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في النهاية الإجزاء ، ووجّهه بأنّ المقصود من التراب الاستعانة على القلع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حينئذ بالدفع بالنجس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بيّنا ما في الاستناد إلى التعليل في هذا المقام من الإشكال ؛ إذ هو استنباط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اعتبار الطهارة أنسب وإن كان باب الاحتمال غير منسدّ ، لا لما ذكره العلّامة ، بل من حيث توقّف الاشتراط على الحجّة ؛ إذ الدليل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إرادة الظاهر يتبادر إلى الفهم عند الإطلاق</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140707_653776707"/>
      <w:bookmarkStart w:id="1156" w:name="_Toc428"/>
      <w:bookmarkEnd w:id="1155"/>
      <w:r>
        <w:rPr>
          <w:rtl w:val="true"/>
        </w:rPr>
        <w:t xml:space="preserve">[ </w:t>
      </w:r>
      <w:r>
        <w:rPr>
          <w:rtl w:val="true"/>
        </w:rPr>
        <w:t xml:space="preserve">الفرع </w:t>
      </w:r>
      <w:r>
        <w:rPr>
          <w:rtl w:val="true"/>
        </w:rPr>
        <w:t xml:space="preserve">] </w:t>
      </w:r>
      <w:r>
        <w:rPr>
          <w:rtl w:val="true"/>
        </w:rPr>
        <w:t xml:space="preserve">السادس </w:t>
      </w:r>
      <w:r>
        <w:rPr>
          <w:rtl w:val="true"/>
        </w:rPr>
        <w:t>:</w:t>
      </w:r>
      <w:bookmarkEnd w:id="1156"/>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المرّة الاولى في الغسل من الولوغ تكون بالتراب </w:t>
      </w:r>
      <w:bookmarkStart w:id="1157" w:name="pg8731_77778"/>
    </w:p>
    <w:p>
      <w:pPr>
        <w:pStyle w:val="BookText"/>
        <w:rPr/>
      </w:pPr>
      <w:bookmarkEnd w:id="1157"/>
      <w:r>
        <w:rPr>
          <w:rFonts w:ascii="IRNazanin" w:hAnsi="IRNazanin" w:eastAsia="IRNazanin"/>
          <w:color w:val="111111"/>
          <w:sz w:val="28"/>
          <w:sz w:val="28"/>
          <w:szCs w:val="28"/>
          <w:rtl w:val="true"/>
          <w:lang w:bidi="fa-IR"/>
        </w:rPr>
        <w:t xml:space="preserve">أو ما قام مقامه </w:t>
      </w:r>
      <w:r>
        <w:rPr>
          <w:rStyle w:val="FootnoteAnchor"/>
          <w:rtl w:val="true"/>
        </w:rPr>
        <w:footnoteReference w:id="1997"/>
      </w:r>
      <w:r>
        <w:rPr>
          <w:rFonts w:ascii="Amiri" w:hAnsi="Amiri" w:eastAsia="Amiri" w:cs="Amiri"/>
          <w:color w:val="111111"/>
          <w:sz w:val="28"/>
          <w:sz w:val="28"/>
          <w:szCs w:val="28"/>
          <w:rtl w:val="true"/>
          <w:lang w:bidi="ar-SA"/>
        </w:rPr>
        <w:t>، وهو يدلّ على عدم تحتّم التراب وكأنّه يريد بما قام مقامه ما يفيد فائدته في إزالة النجاسة عن المحلّ فهو يرى التخيير بين التراب وغيره ممّا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وجمهور الأصحاب على خلافه ؛ إذ لا نعرف القول بذلك لسواه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وحجّتهم أنّ النصّ ورد بالتراب فمن ادّعى قيام غيره مقامه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ابن الجنيد لبيان الحجّة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عنه من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بناؤه في ذلك عليه</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3140709_653776707"/>
      <w:bookmarkStart w:id="1159" w:name="_Toc429"/>
      <w:bookmarkEnd w:id="1158"/>
      <w:r>
        <w:rPr>
          <w:rtl w:val="true"/>
        </w:rPr>
        <w:t xml:space="preserve">[ </w:t>
      </w:r>
      <w:r>
        <w:rPr>
          <w:rtl w:val="true"/>
        </w:rPr>
        <w:t xml:space="preserve">الفرع </w:t>
      </w:r>
      <w:r>
        <w:rPr>
          <w:rtl w:val="true"/>
        </w:rPr>
        <w:t xml:space="preserve">] </w:t>
      </w:r>
      <w:r>
        <w:rPr>
          <w:rtl w:val="true"/>
        </w:rPr>
        <w:t xml:space="preserve">السابع </w:t>
      </w:r>
      <w:r>
        <w:rPr>
          <w:rtl w:val="true"/>
        </w:rPr>
        <w:t>:</w:t>
      </w:r>
      <w:bookmarkEnd w:id="1159"/>
    </w:p>
    <w:p>
      <w:pPr>
        <w:pStyle w:val="BookText"/>
        <w:rPr/>
      </w:pPr>
      <w:r>
        <w:rPr>
          <w:rFonts w:ascii="Amiri" w:hAnsi="Amiri" w:eastAsia="Amiri" w:cs="Amiri"/>
          <w:color w:val="111111"/>
          <w:sz w:val="28"/>
          <w:sz w:val="28"/>
          <w:szCs w:val="28"/>
          <w:rtl w:val="true"/>
          <w:lang w:bidi="ar-SA"/>
        </w:rPr>
        <w:t xml:space="preserve">حكى المحقّق في المعتبر عن الشيخ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التراب ووجد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كالإشنان </w:t>
      </w:r>
      <w:r>
        <w:rPr>
          <w:rStyle w:val="FootnoteAnchor"/>
          <w:rtl w:val="true"/>
        </w:rPr>
        <w:footnoteReference w:id="1998"/>
      </w:r>
      <w:r>
        <w:rPr>
          <w:rFonts w:ascii="Amiri" w:hAnsi="Amiri" w:eastAsia="Amiri" w:cs="Amiri"/>
          <w:color w:val="111111"/>
          <w:sz w:val="28"/>
          <w:sz w:val="28"/>
          <w:szCs w:val="28"/>
          <w:rtl w:val="true"/>
          <w:lang w:bidi="ar-SA"/>
        </w:rPr>
        <w:t xml:space="preserve">وما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 المحقّق بأنّ الإشنان أبلغ في الإنقاء فإذا طهر بالتراب فالأشنان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 منشأه اختصاص التعبّد بالتراب وعدم العلم بحصول المصلحة المرادة منه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صحّ ذلك لجاز مع وجود التراب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المحقّق جيّد ، وبه يظهر أنّ قول ابن الجنيد أقرب إلى الصواب من قول الشيخ ؛ إذ لا وجه له سوى ما قاله المحقّق</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إلى ذلك يقتضي عدم اعتبار فقد التراب كما ذهب إليه ابن الجنيد</w:t>
      </w:r>
      <w:r>
        <w:rPr>
          <w:rFonts w:eastAsia="Amiri" w:cs="Amiri" w:ascii="Amiri" w:hAnsi="Amiri"/>
          <w:color w:val="111111"/>
          <w:sz w:val="28"/>
          <w:szCs w:val="28"/>
          <w:rtl w:val="true"/>
          <w:lang w:bidi="ar-SA"/>
        </w:rPr>
        <w:t xml:space="preserve">. </w:t>
      </w:r>
      <w:bookmarkStart w:id="1160" w:name="pg8731_77780"/>
    </w:p>
    <w:p>
      <w:pPr>
        <w:pStyle w:val="BookText"/>
        <w:rPr/>
      </w:pPr>
      <w:bookmarkEnd w:id="1160"/>
      <w:r>
        <w:rPr>
          <w:rFonts w:ascii="Amiri" w:hAnsi="Amiri" w:eastAsia="Amiri" w:cs="Amiri"/>
          <w:color w:val="111111"/>
          <w:sz w:val="28"/>
          <w:sz w:val="28"/>
          <w:szCs w:val="28"/>
          <w:rtl w:val="true"/>
          <w:lang w:bidi="ar-SA"/>
        </w:rPr>
        <w:t>وقد وافق الشيخ على قوله هذا جماعة منهم العلّامة في كثير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النهاية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إجزاء غير التراب هو الأقوى ؛ لأنّ المصلحة الثابتة من التعبّد باستعمال التراب لو حصلت بالأشنان وشبهه لصحّ استعماله مع وجود التراب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وانتصر الفاضل الشيخ علي لهذا القول فقرّب دليله واستوجهه ، ثمّ استدرك بأنّ جمعا من الأصحاب ذكروا الاجتزاء بالمشابه مع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 مقالتهم أشدّ إشكالا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عجيب بعد ظهور الخلاف وانتفاء ما يتخيّل منه الإجماع</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3140711_653776707"/>
      <w:bookmarkStart w:id="1162" w:name="_Toc430"/>
      <w:bookmarkEnd w:id="1161"/>
      <w:r>
        <w:rPr>
          <w:rtl w:val="true"/>
        </w:rPr>
        <w:t xml:space="preserve">[ </w:t>
      </w:r>
      <w:r>
        <w:rPr>
          <w:rtl w:val="true"/>
        </w:rPr>
        <w:t xml:space="preserve">الفرع </w:t>
      </w:r>
      <w:r>
        <w:rPr>
          <w:rtl w:val="true"/>
        </w:rPr>
        <w:t xml:space="preserve">] </w:t>
      </w:r>
      <w:r>
        <w:rPr>
          <w:rtl w:val="true"/>
        </w:rPr>
        <w:t xml:space="preserve">الثامن </w:t>
      </w:r>
      <w:r>
        <w:rPr>
          <w:rtl w:val="true"/>
        </w:rPr>
        <w:t>:</w:t>
      </w:r>
      <w:bookmarkEnd w:id="1162"/>
    </w:p>
    <w:p>
      <w:pPr>
        <w:pStyle w:val="BookText"/>
        <w:rPr/>
      </w:pPr>
      <w:r>
        <w:rPr>
          <w:rFonts w:ascii="Amiri" w:hAnsi="Amiri" w:eastAsia="Amiri" w:cs="Amiri"/>
          <w:color w:val="111111"/>
          <w:sz w:val="28"/>
          <w:sz w:val="28"/>
          <w:szCs w:val="28"/>
          <w:rtl w:val="true"/>
          <w:lang w:bidi="ar-SA"/>
        </w:rPr>
        <w:t xml:space="preserve">يعزى إلى الشيخ أيضا القول بإجزاء الماء وحده عند عدم التراب وشبهه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الفاضلان في المعتبر والمنتهى والمختلف عبارته في ذلك ، وليس فيها تعرّض لاشتراط فقد شبه التراب ؛ فإنّ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التراب اقتصر على الماء وإن وجد غيره كالإشنان وما يجري مجراه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وظاهرها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الاقتصار على الماء واستعمال ما يشبه التراب</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نعرف للشيخ موافقا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العلّامة في التذكرة </w:t>
      </w:r>
    </w:p>
    <w:p>
      <w:pPr>
        <w:pStyle w:val="BookText"/>
        <w:rPr/>
      </w:pPr>
      <w:r>
        <w:rPr>
          <w:rFonts w:ascii="Amiri" w:hAnsi="Amiri" w:eastAsia="Amiri" w:cs="Amiri"/>
          <w:color w:val="111111"/>
          <w:sz w:val="28"/>
          <w:sz w:val="28"/>
          <w:szCs w:val="28"/>
          <w:rtl w:val="true"/>
          <w:lang w:bidi="ar-SA"/>
        </w:rPr>
        <w:t xml:space="preserve">والنهاية احتمالا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عزي إليه من القول بإجزاء الماء عند فقد التراب وشبهه فقد ذهب إليه العلّامة في جملة من كتبه والشهيد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المنتهى بعد حكاية كلام الشيخ أنّه يعطي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استعمال الماء ثلاث مرّات أو استعماله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الاحتمال الأوّل أنّه قد أمر بالغسل وقد فات ما يغسل به فينتقل إلى ما هو أبلغ وهو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أنّه أمر بالغسل بالتراب ولم يوجد فالتعدية خروج عن المأمور به ، وتنجيس الإناء دائما تكليف بالمشقّة ، فوجب القول بطهارته بالغسل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وهو قويّ </w:t>
      </w: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عندي ضعيف ؛ فإنّ مقتضى اشتراط حصول الطهارة للإناء بالغسل المعيّن بالتراب والماء عند عروض هذا النوع من النجاسة انتفاء المشروط عند فقدان الشرط كما هو الشأن في مثله ، ومن البيّن أنّ الشرط إذا كان مركّبا من أمرين أو امور كفى في انتفائه انتفاء جزئه</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وادّعاء قيام البدل عن الجزء المفقود أو سقوط اشتراطه عند تعذّره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الجزء الآخر للشرط هنا وهو الماء لا يتفاوت الحال في انتفاء المشروط عند انتفائه بين إمكان وجوده وتعذّره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لفقد </w:t>
      </w:r>
    </w:p>
    <w:p>
      <w:pPr>
        <w:pStyle w:val="BookText"/>
        <w:rPr/>
      </w:pPr>
      <w:r>
        <w:rPr>
          <w:rFonts w:ascii="Amiri" w:hAnsi="Amiri" w:eastAsia="Amiri" w:cs="Amiri"/>
          <w:color w:val="111111"/>
          <w:sz w:val="28"/>
          <w:sz w:val="28"/>
          <w:szCs w:val="28"/>
          <w:rtl w:val="true"/>
          <w:lang w:bidi="ar-SA"/>
        </w:rPr>
        <w:t xml:space="preserve">الدليل على سقوط اعتباره في حال التعذّر </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أو قيام البدل مقامه وذلك آت في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الوجهين اللذين ذكرهما العلّامة بقصد الاحتجاج للحكم ليسا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فلمنع كون الماء في هذا الغرض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ولكن من الجائز كون التكليف بالتراب للتعبّد فقط ؛ إذ مع ملاحظة الإزالة به وكون الماء أبلغ إنّما يجدي لو ثبت انحصار الغرض منه في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عدم رعاية فقدان التراب كما ذكره المحقّق في بدليّة الإشنان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المشقّة الحاصلة بفقد </w:t>
      </w:r>
      <w:r>
        <w:rPr>
          <w:rStyle w:val="FootnoteAnchor"/>
          <w:rtl w:val="true"/>
        </w:rPr>
        <w:footnoteReference w:id="2008"/>
      </w:r>
      <w:r>
        <w:rPr>
          <w:rFonts w:ascii="Amiri" w:hAnsi="Amiri" w:eastAsia="Amiri" w:cs="Amiri"/>
          <w:color w:val="111111"/>
          <w:sz w:val="28"/>
          <w:sz w:val="28"/>
          <w:szCs w:val="28"/>
          <w:rtl w:val="true"/>
          <w:lang w:bidi="ar-SA"/>
        </w:rPr>
        <w:t>التراب يحصل ما هو أقوى منها عند فقد الماء ، فإن كان مثلها كافيا في رفع التكليف فينبغي القول به حيث لا يوجد الماء ويكتفى بالتراب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قوّة المشقّة مع فقد الماء بالنظر إليها في فقد التراب واضح ، ومع التنزّل فلا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فارتكاب هذه التكلّفات في الاستدلال والاعتماد عليها في إثبات الأحكام في نهاية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للعلّامة طريق يمكنه المصير منه إلى ما قوّاه هنا من إجزاء المرّتين حينئذ بالماء أقرب إلى الصواب ممّا تكلّفه وهو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اشتراط التراب في حصول الطهارة هاهنا ليس في النصّ ما يدلّ عليه بل ظاهره كونه واجبا فيها للأمر به وهو أعمّ من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استفيد </w:t>
      </w:r>
      <w:bookmarkStart w:id="1163" w:name="pg8731_77786"/>
    </w:p>
    <w:p>
      <w:pPr>
        <w:pStyle w:val="BookText"/>
        <w:rPr/>
      </w:pPr>
      <w:bookmarkEnd w:id="1163"/>
      <w:r>
        <w:rPr>
          <w:rFonts w:ascii="Amiri" w:hAnsi="Amiri" w:eastAsia="Amiri" w:cs="Amiri"/>
          <w:color w:val="111111"/>
          <w:sz w:val="28"/>
          <w:sz w:val="28"/>
          <w:szCs w:val="28"/>
          <w:rtl w:val="true"/>
          <w:lang w:bidi="ar-SA"/>
        </w:rPr>
        <w:t>الاشتراط من الإجماع وهو ليس بحاصل في صورة التعذّر فيتمسّك فيها بعموم ما دلّ على كون الماء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وإن كان للنظر في بعض مقدّماته مجال إلّا أنّ المعلوم من طريقة العلّامة الاعتماد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استقرب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بالمرّتين </w:t>
      </w:r>
      <w:r>
        <w:rPr>
          <w:rStyle w:val="FootnoteAnchor"/>
          <w:rtl w:val="true"/>
        </w:rPr>
        <w:footnoteReference w:id="2009"/>
      </w: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فقد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التراب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بالماء ثلاثا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 جمع من المتأخّرين إلى بقاء الإناء حينئذ على نجاسته إلى أن يوجد ما عيّنه الشارع لتطهيره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ونظرهم في ذلك إلى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حكاية المحقّق لكلام الشيخ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جملة حكايته لكلامه في الفرع المتقدّم ، واقتصر على البحث معه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لهذا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فهم منه ما ذكرناه من التخيير وراعى في جعل متعلق بحثه للإشنان كونه أحد الامور التي صار الشيخ إلى قيامها مقام التراب فيعلم من التوجيه والردّ فيه ما يقال في غيره</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3140713_653776707"/>
      <w:bookmarkStart w:id="1165" w:name="_Toc431"/>
      <w:bookmarkEnd w:id="1164"/>
      <w:r>
        <w:rPr>
          <w:rtl w:val="true"/>
        </w:rPr>
        <w:t xml:space="preserve">[ </w:t>
      </w:r>
      <w:r>
        <w:rPr>
          <w:rtl w:val="true"/>
        </w:rPr>
        <w:t xml:space="preserve">الفرع </w:t>
      </w:r>
      <w:r>
        <w:rPr>
          <w:rtl w:val="true"/>
        </w:rPr>
        <w:t xml:space="preserve">] </w:t>
      </w:r>
      <w:r>
        <w:rPr>
          <w:rtl w:val="true"/>
        </w:rPr>
        <w:t xml:space="preserve">التاسع </w:t>
      </w:r>
      <w:r>
        <w:rPr>
          <w:rtl w:val="true"/>
        </w:rPr>
        <w:t>:</w:t>
      </w:r>
      <w:bookmarkEnd w:id="1165"/>
    </w:p>
    <w:p>
      <w:pPr>
        <w:pStyle w:val="BookText"/>
        <w:rPr/>
      </w:pPr>
      <w:r>
        <w:rPr>
          <w:rFonts w:ascii="Amiri" w:hAnsi="Amiri" w:eastAsia="Amiri" w:cs="Amiri"/>
          <w:color w:val="111111"/>
          <w:sz w:val="28"/>
          <w:sz w:val="28"/>
          <w:szCs w:val="28"/>
          <w:rtl w:val="true"/>
          <w:lang w:bidi="ar-SA"/>
        </w:rPr>
        <w:t xml:space="preserve">ذكر الصدوق في المقنع ومن لا يحضره الفقيه ووالده في رسالته والشيخ المفيد في المقنعة بعد الحكم بغسل الإناء من الولوغ هنا أنّه يجفّف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يعرف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حكاه الفاضلان عن المفيد وحده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1166" w:name="pg8731_77788"/>
    </w:p>
    <w:p>
      <w:pPr>
        <w:pStyle w:val="BookText"/>
        <w:rPr/>
      </w:pPr>
      <w:bookmarkEnd w:id="1166"/>
      <w:r>
        <w:rPr>
          <w:rFonts w:ascii="Amiri" w:hAnsi="Amiri" w:eastAsia="Amiri" w:cs="Amiri"/>
          <w:color w:val="111111"/>
          <w:sz w:val="28"/>
          <w:sz w:val="28"/>
          <w:szCs w:val="28"/>
          <w:rtl w:val="true"/>
          <w:lang w:bidi="ar-SA"/>
        </w:rPr>
        <w:t xml:space="preserve">وذكر المحقّق أنّه منفيّ بالأصل وبالنصّ فإنّ ظاهره الاكتفاء بمضمونه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ليس التجفيف شرطا عندي في الاستعمال ؛ إذ الماء المتخلّف في المغسول طاهر وإلّا لم يطهّره التجفيف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تعلم أنّ استفادة شرطيّة التجفيف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عبارة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يجفّف ويستعمل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عبارات الصدوقين فليس فيها إلّا 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كلام المحقّق في المناقشة أربط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العلّامة</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3140715_653776707"/>
      <w:bookmarkStart w:id="1168" w:name="_Toc432"/>
      <w:bookmarkEnd w:id="1167"/>
      <w:r>
        <w:rPr>
          <w:rtl w:val="true"/>
        </w:rPr>
        <w:t xml:space="preserve">[ </w:t>
      </w:r>
      <w:r>
        <w:rPr>
          <w:rtl w:val="true"/>
        </w:rPr>
        <w:t xml:space="preserve">الفرع </w:t>
      </w:r>
      <w:r>
        <w:rPr>
          <w:rtl w:val="true"/>
        </w:rPr>
        <w:t xml:space="preserve">] </w:t>
      </w:r>
      <w:r>
        <w:rPr>
          <w:rtl w:val="true"/>
        </w:rPr>
        <w:t xml:space="preserve">العاشر </w:t>
      </w:r>
      <w:r>
        <w:rPr>
          <w:rtl w:val="true"/>
        </w:rPr>
        <w:t>:</w:t>
      </w:r>
      <w:bookmarkEnd w:id="1168"/>
    </w:p>
    <w:p>
      <w:pPr>
        <w:pStyle w:val="BookText"/>
        <w:rPr/>
      </w:pPr>
      <w:r>
        <w:rPr>
          <w:rFonts w:ascii="Amiri" w:hAnsi="Amiri" w:eastAsia="Amiri" w:cs="Amiri"/>
          <w:color w:val="111111"/>
          <w:sz w:val="28"/>
          <w:sz w:val="28"/>
          <w:szCs w:val="28"/>
          <w:rtl w:val="true"/>
          <w:lang w:bidi="ar-SA"/>
        </w:rPr>
        <w:t xml:space="preserve">قال الفاضل في المنتهى والتذكرة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خيف فساد المحلّ باستعمال التراب فهو كما لو فقد التراب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في التذكرة صريح في الاجتزاء بالماء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يتعرّض لبيان العدد المعتبر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التحرير نسب القول بإجزاء الماء مع فقد التراب إلى الشيخ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الاجتزاء بالمرّتين ، كما ذكرناه </w:t>
      </w:r>
      <w:r>
        <w:rPr>
          <w:rStyle w:val="FootnoteAnchor"/>
          <w:rtl w:val="true"/>
        </w:rPr>
        <w:footnoteReference w:id="2019"/>
      </w:r>
      <w:r>
        <w:rPr>
          <w:rFonts w:ascii="Amiri" w:hAnsi="Amiri" w:eastAsia="Amiri" w:cs="Amiri"/>
          <w:color w:val="111111"/>
          <w:sz w:val="28"/>
          <w:sz w:val="28"/>
          <w:szCs w:val="28"/>
          <w:rtl w:val="true"/>
          <w:lang w:bidi="ar-SA"/>
        </w:rPr>
        <w:t xml:space="preserve">آنفا وذكرنا كلامه </w:t>
      </w:r>
    </w:p>
    <w:p>
      <w:pPr>
        <w:pStyle w:val="BookText"/>
        <w:rPr/>
      </w:pPr>
      <w:r>
        <w:rPr>
          <w:rFonts w:ascii="Amiri" w:hAnsi="Amiri" w:eastAsia="Amiri" w:cs="Amiri"/>
          <w:color w:val="111111"/>
          <w:sz w:val="28"/>
          <w:sz w:val="28"/>
          <w:szCs w:val="28"/>
          <w:rtl w:val="true"/>
          <w:lang w:bidi="ar-SA"/>
        </w:rPr>
        <w:t>في المنتهى أيضا ، وهو محتمل لأن يكون تفريعا على قول الشيخ أو حكما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الفرع مبنيّ 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فمقتضى ما ذكره في التذكرة إجزاء الغسل بالماء في الصورة المبحوث عنها ، وغاية العدد المعتبر حينئذ أن يكون ثلاث مرّات كما اختاره في القواعد وقد مرّ نقله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جماعة من المتأخّرين الميل إلى البقاء على النجاسة حينئذ ، بل جزم به والدي في الروضة </w:t>
      </w:r>
      <w:r>
        <w:rPr>
          <w:rStyle w:val="FootnoteAnchor"/>
          <w:rtl w:val="true"/>
        </w:rPr>
        <w:footnoteReference w:id="2021"/>
      </w:r>
      <w:r>
        <w:rPr>
          <w:rFonts w:ascii="Amiri" w:hAnsi="Amiri" w:eastAsia="Amiri" w:cs="Amiri"/>
          <w:color w:val="111111"/>
          <w:sz w:val="28"/>
          <w:sz w:val="28"/>
          <w:szCs w:val="28"/>
          <w:rtl w:val="true"/>
          <w:lang w:bidi="ar-SA"/>
        </w:rPr>
        <w:t>، وبعض مشايخنا الذين عاصرناهم ؛ نظرا إلى أنّ الدليل اقتضى توقّف حصول الطهارة على التراب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استثناء حال التعذّر دليل فيبقى على أصالة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الأصحاب هنا تفصيل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خوف الفساد باستعمال التراب إن كان باعتبار توقّف إيصاله إلى الآنية على كسر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الأواني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مزج التراب بالماء وإنزاله إليها وخضخضتها به على وجه يستوعبها وجب وأجزأ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باعتبار نفاسة الإناء بحيث يترتّب الفساد على أصل الاستعمال اكتفي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امتنع في الصورة الاولى إنزاله ممتزجا على الوجه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هذا وبين ما إذا فقد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مال إلى بقائه على النجاسة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بذلك هنا يفضي إلى التعطيل الدائم وهو غير مناسب لحكمة الشارع وتخفيفه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هناك فحصول التراب مرجوّ فلا تعطيل</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أنّه على تقدير تناول دليل الحكم لنحو هذه الأواني يراعى </w:t>
      </w:r>
      <w:bookmarkStart w:id="1169" w:name="pg8731_77791"/>
    </w:p>
    <w:p>
      <w:pPr>
        <w:pStyle w:val="BookText"/>
        <w:rPr/>
      </w:pPr>
      <w:bookmarkEnd w:id="1169"/>
      <w:r>
        <w:rPr>
          <w:rFonts w:ascii="Amiri" w:hAnsi="Amiri" w:eastAsia="Amiri" w:cs="Amiri"/>
          <w:color w:val="111111"/>
          <w:sz w:val="28"/>
          <w:sz w:val="28"/>
          <w:szCs w:val="28"/>
          <w:rtl w:val="true"/>
          <w:lang w:bidi="ar-SA"/>
        </w:rPr>
        <w:t>في تحصيل مسمّى الغسل لها بالتراب أقلّ مراتبه التي من جملتها مزجه بالماء وإدخاله إلى الإناء على الوجه الذي ذكر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الطهارة معه حينئذ ليس باعتبار تعذّر الحقيقة كما يظهر من كلام المفصّل بل لكونه بعض أفراد المأمور به على ما حقّقناه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حصول الفساد به على كلّ حال يبقى على النجاسة وإن أفضى إلى التعطيل ؛ فإنّ التفات حكمة الشارع إلى التخفيف عن ذي آنية هذه صفتها ممّا لا سبيل إلى العلم به</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3140717_653776707"/>
      <w:bookmarkStart w:id="1171" w:name="_Toc433"/>
      <w:bookmarkEnd w:id="1170"/>
      <w:r>
        <w:rPr>
          <w:rtl w:val="true"/>
        </w:rPr>
        <w:t xml:space="preserve">[ </w:t>
      </w:r>
      <w:r>
        <w:rPr>
          <w:rtl w:val="true"/>
        </w:rPr>
        <w:t xml:space="preserve">الفرع </w:t>
      </w:r>
      <w:r>
        <w:rPr>
          <w:rtl w:val="true"/>
        </w:rPr>
        <w:t xml:space="preserve">] </w:t>
      </w:r>
      <w:r>
        <w:rPr>
          <w:rtl w:val="true"/>
        </w:rPr>
        <w:t xml:space="preserve">الحادي عشر </w:t>
      </w:r>
      <w:r>
        <w:rPr>
          <w:rtl w:val="true"/>
        </w:rPr>
        <w:t>:</w:t>
      </w:r>
      <w:bookmarkEnd w:id="1171"/>
    </w:p>
    <w:p>
      <w:p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كلبان أو كلاب في إناء واحد لم يجب أكثر من غسل الإناء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جميع الفقهاء لم يفرّقوا بين الواحد والمتعدّد إلّا من شذّ من العامّة فأوجب لكلّ واحد العدد بكماله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لما قاله بأنّ النصّ خال من التعرّض للفرق بين الواحد والأكثر والكلب جنس يقع على القليل والكثير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جيّد ؛ لأنّ سوق الحديث الذي هو العمدة في الحكم صريح في كون السؤال عن الجنس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فضل الهرّة والشاة والبقرة والإبل والحمار والخيل والبغال والوحش والسباع فلم أترك شيئا إلّا 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حتّى انتهيت إلى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يتوضّأ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الحكم أكثر الأصحاب جازمين به ، وزادوا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تكرّر </w:t>
      </w:r>
      <w:bookmarkStart w:id="1172" w:name="pg8731_77793"/>
    </w:p>
    <w:p>
      <w:pPr>
        <w:pStyle w:val="BookText"/>
        <w:rPr/>
      </w:pPr>
      <w:bookmarkEnd w:id="1172"/>
      <w:r>
        <w:rPr>
          <w:rFonts w:ascii="Amiri" w:hAnsi="Amiri" w:eastAsia="Amiri" w:cs="Amiri"/>
          <w:color w:val="111111"/>
          <w:sz w:val="28"/>
          <w:sz w:val="28"/>
          <w:szCs w:val="28"/>
          <w:rtl w:val="true"/>
          <w:lang w:bidi="ar-SA"/>
        </w:rPr>
        <w:t>الولوغ من الواحد ، وهو أولى بالحكم بعد ثبوته في المتعدّد ، ولم يحتجّوا له بما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علّله الفاضلان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النجاسة واحدة فقليلها ككثيرها ، لأنّها لا تتضمّن زيادة عن حكم الاولى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الشيخ أوضح وأقوى</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3140719_653776707"/>
      <w:bookmarkStart w:id="1174" w:name="_Toc434"/>
      <w:bookmarkEnd w:id="1173"/>
      <w:r>
        <w:rPr>
          <w:rtl w:val="true"/>
        </w:rPr>
        <w:t xml:space="preserve">[ </w:t>
      </w:r>
      <w:r>
        <w:rPr>
          <w:rtl w:val="true"/>
        </w:rPr>
        <w:t xml:space="preserve">الفرع </w:t>
      </w:r>
      <w:r>
        <w:rPr>
          <w:rtl w:val="true"/>
        </w:rPr>
        <w:t xml:space="preserve">] </w:t>
      </w:r>
      <w:r>
        <w:rPr>
          <w:rtl w:val="true"/>
        </w:rPr>
        <w:t xml:space="preserve">الثاني عشر </w:t>
      </w:r>
      <w:r>
        <w:rPr>
          <w:rtl w:val="true"/>
        </w:rPr>
        <w:t>:</w:t>
      </w:r>
      <w:bookmarkEnd w:id="1174"/>
    </w:p>
    <w:p>
      <w:pPr>
        <w:pStyle w:val="BookText"/>
        <w:rPr/>
      </w:pPr>
      <w:r>
        <w:rPr>
          <w:rFonts w:ascii="Amiri" w:hAnsi="Amiri" w:eastAsia="Amiri" w:cs="Amiri"/>
          <w:color w:val="111111"/>
          <w:sz w:val="28"/>
          <w:sz w:val="28"/>
          <w:szCs w:val="28"/>
          <w:rtl w:val="true"/>
          <w:lang w:bidi="ar-SA"/>
        </w:rPr>
        <w:t xml:space="preserve">حكم جمع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والشهيدان بالتداخل إذا انضمّ إلى الولوغ نجاسة اخرى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فيه حصول الغرض من الأمر بالغسل وهو إزالة عين النجاسة به ، وصدق الامتثال بالفعل الواحد ، وأصالة براءة الذمّة من التكليف بالتكرير ، وأنّ تكرّر الغسل بتعدّد نوع النجاسة غير معهود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يفرّقوا بين أن يكون عروض النجاسة الاخرى قبل الشروع في الغسل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صورة المتأخّر يراعى حصول العدد المعتبر في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بقي من غسلات الولوغ مساويا له كفى عنهما وإن كان أقلّ منه وجب الإتيان بالزائد</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العدد المعتبر في النجاسة الاخرى زائدا على ما يعتبر هنا سواء كان عروضها قبل الشروع في الغسل أم بعده ؛ فإنّ التداخل يقع في القدر </w:t>
      </w:r>
    </w:p>
    <w:p>
      <w:pPr>
        <w:pStyle w:val="BookText"/>
        <w:rPr/>
      </w:pPr>
      <w:r>
        <w:rPr>
          <w:rFonts w:ascii="Amiri" w:hAnsi="Amiri" w:eastAsia="Amiri" w:cs="Amiri"/>
          <w:color w:val="111111"/>
          <w:sz w:val="28"/>
          <w:sz w:val="28"/>
          <w:szCs w:val="28"/>
          <w:rtl w:val="true"/>
          <w:lang w:bidi="ar-SA"/>
        </w:rPr>
        <w:t>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الإتيان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جماعة منهم الفاضل في المنتهى ووالدي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بعد الإشارة إلى جملة من الاحتمالات الممكنة هنا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تعدّدت النجاسة فإن تساوت في الحكم تداخلت وإن اختلفت فالحكم لأغلظها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هذا فاعلم أنّه يتّجه على من ذهب إلى عدم التداخل في تطهير البئر بالنزح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كالشهيدين </w:t>
      </w:r>
      <w:r>
        <w:rPr>
          <w:rStyle w:val="FootnoteAnchor"/>
          <w:rtl w:val="true"/>
        </w:rPr>
        <w:footnoteReference w:id="2027"/>
      </w:r>
      <w:r>
        <w:rPr>
          <w:rFonts w:ascii="Amiri" w:hAnsi="Amiri" w:eastAsia="Amiri" w:cs="Amiri"/>
          <w:color w:val="111111"/>
          <w:sz w:val="28"/>
          <w:sz w:val="28"/>
          <w:szCs w:val="28"/>
          <w:rtl w:val="true"/>
          <w:lang w:bidi="ar-SA"/>
        </w:rPr>
        <w:t xml:space="preserve">؛ نظرا إلى أنّ الأصل في الأسباب أن تعمل عملها ولا تتداخل مسبباتها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بالتداخل هنا ، سؤال الفرق بين المقامين؟</w:t>
      </w:r>
    </w:p>
    <w:p>
      <w:pPr>
        <w:pStyle w:val="BookText"/>
        <w:rPr/>
      </w:pPr>
      <w:r>
        <w:rPr>
          <w:rFonts w:ascii="Amiri" w:hAnsi="Amiri" w:eastAsia="Amiri" w:cs="Amiri"/>
          <w:color w:val="111111"/>
          <w:sz w:val="28"/>
          <w:sz w:val="28"/>
          <w:szCs w:val="28"/>
          <w:rtl w:val="true"/>
          <w:lang w:bidi="ar-SA"/>
        </w:rPr>
        <w:t xml:space="preserve">وله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الدالّة على المقادير المقرّرة </w:t>
      </w:r>
      <w:r>
        <w:rPr>
          <w:rStyle w:val="FootnoteAnchor"/>
          <w:rtl w:val="true"/>
        </w:rPr>
        <w:footnoteReference w:id="2028"/>
      </w:r>
      <w:r>
        <w:rPr>
          <w:rFonts w:ascii="Amiri" w:hAnsi="Amiri" w:eastAsia="Amiri" w:cs="Amiri"/>
          <w:color w:val="111111"/>
          <w:sz w:val="28"/>
          <w:sz w:val="28"/>
          <w:szCs w:val="28"/>
          <w:rtl w:val="true"/>
          <w:lang w:bidi="ar-SA"/>
        </w:rPr>
        <w:t>في النزح من النصوص وردت معلّقة لها بالأنواع المخصوصة من النجاسات رابطة لتلك المقادير بالأنواع ربط المسبّبات بالأسباب فلذلك عمل فيها بأصالة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فالنصوص المعتبرة خالية عن اعتبار التعدّد من غير الولوغ فيما عدا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بالتعدّد مطلقا لكان مبنيّا على ما لا ينهض باعتباره في موضع النزاع على جهة الاستقلال</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دليل التعدّد حينئذ صالحا لاعتباره مستقلا فإطلاق الأوامر بالغسل أو انعقاد الإجماع عليه لا يصلح دليلا على إيجابه بطريق الاستقلال أيضا ، وإنّما يقتضي إرادة تحصيل ماهيّة الغسل لغرض الإزالة وهو يحصل </w:t>
      </w:r>
      <w:bookmarkStart w:id="1175" w:name="pg8731_77797"/>
    </w:p>
    <w:p>
      <w:pPr>
        <w:pStyle w:val="BookText"/>
        <w:rPr/>
      </w:pPr>
      <w:bookmarkEnd w:id="1175"/>
      <w:r>
        <w:rPr>
          <w:rFonts w:ascii="IRNazanin" w:hAnsi="IRNazanin" w:eastAsia="IRNazanin"/>
          <w:color w:val="111111"/>
          <w:sz w:val="28"/>
          <w:sz w:val="28"/>
          <w:szCs w:val="28"/>
          <w:rtl w:val="true"/>
          <w:lang w:bidi="fa-IR"/>
        </w:rPr>
        <w:t>مع 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الوجه من التفرقة مع قوّته ليس بحاسم لمادّة الإشكال ؛ إذ يبقى السؤال في صورة اجتماع ولوغ الكلب مع ولوغ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سيأتي من اعتبار التعدّد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على إيجاب العدد فيه مثل الدليل على اعتباره في الكلب بالنظر إلى النصوصيّة ، فكلّ منهما سبب مستقلّ كأسباب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 الحكم بالتداخل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يرى التعدّد في الخمر والفأرة استنادا إلى بعض الروايات </w:t>
      </w:r>
      <w:r>
        <w:rPr>
          <w:rStyle w:val="FootnoteAnchor"/>
          <w:rtl w:val="true"/>
        </w:rPr>
        <w:footnoteReference w:id="2029"/>
      </w:r>
      <w:r>
        <w:rPr>
          <w:rFonts w:ascii="Amiri" w:hAnsi="Amiri" w:eastAsia="Amiri" w:cs="Amiri"/>
          <w:color w:val="111111"/>
          <w:sz w:val="28"/>
          <w:sz w:val="28"/>
          <w:szCs w:val="28"/>
          <w:rtl w:val="true"/>
          <w:lang w:bidi="ar-SA"/>
        </w:rPr>
        <w:t>، فيأتي السؤال عليه في صور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في البيان القول بعدم التداخل في بعض الصور </w:t>
      </w:r>
      <w:r>
        <w:rPr>
          <w:rStyle w:val="FootnoteAnchor"/>
          <w:rtl w:val="true"/>
        </w:rPr>
        <w:footnoteReference w:id="2030"/>
      </w:r>
      <w:r>
        <w:rPr>
          <w:rFonts w:ascii="Amiri" w:hAnsi="Amiri" w:eastAsia="Amiri" w:cs="Amiri"/>
          <w:color w:val="111111"/>
          <w:sz w:val="28"/>
          <w:sz w:val="28"/>
          <w:szCs w:val="28"/>
          <w:rtl w:val="true"/>
          <w:lang w:bidi="ar-SA"/>
        </w:rPr>
        <w:t xml:space="preserve">، لكن في نسخ الكتاب هاهنا اضطراب وفي الحكم أو التعدّي </w:t>
      </w:r>
      <w:r>
        <w:rPr>
          <w:rStyle w:val="FootnoteAnchor"/>
          <w:rtl w:val="true"/>
        </w:rPr>
        <w:footnoteReference w:id="2031"/>
      </w:r>
      <w:r>
        <w:rPr>
          <w:rFonts w:ascii="Amiri" w:hAnsi="Amiri" w:eastAsia="Amiri" w:cs="Amiri"/>
          <w:color w:val="111111"/>
          <w:sz w:val="28"/>
          <w:sz w:val="28"/>
          <w:szCs w:val="28"/>
          <w:rtl w:val="true"/>
          <w:lang w:bidi="ar-SA"/>
        </w:rPr>
        <w:t>عنه اختلال ، فلذلك أضربنا عن التعرّض لحكايته والمتّجه عدم التداخل فيما يثبت التعدّد فيه بالنص</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3140721_653776707"/>
      <w:bookmarkStart w:id="1177" w:name="_Toc435"/>
      <w:bookmarkEnd w:id="1176"/>
      <w:r>
        <w:rPr>
          <w:rtl w:val="true"/>
        </w:rPr>
        <w:t xml:space="preserve">[ </w:t>
      </w:r>
      <w:r>
        <w:rPr>
          <w:rtl w:val="true"/>
        </w:rPr>
        <w:t xml:space="preserve">الفرع </w:t>
      </w:r>
      <w:r>
        <w:rPr>
          <w:rtl w:val="true"/>
        </w:rPr>
        <w:t xml:space="preserve">] </w:t>
      </w:r>
      <w:r>
        <w:rPr>
          <w:rtl w:val="true"/>
        </w:rPr>
        <w:t xml:space="preserve">الثالث عشر </w:t>
      </w:r>
      <w:r>
        <w:rPr>
          <w:rtl w:val="true"/>
        </w:rPr>
        <w:t>:</w:t>
      </w:r>
      <w:bookmarkEnd w:id="1177"/>
    </w:p>
    <w:p>
      <w:pPr>
        <w:pStyle w:val="BookText"/>
        <w:rPr/>
      </w:pPr>
      <w:r>
        <w:rPr>
          <w:rFonts w:ascii="Amiri" w:hAnsi="Amiri" w:eastAsia="Amiri" w:cs="Amiri"/>
          <w:color w:val="111111"/>
          <w:sz w:val="28"/>
          <w:sz w:val="28"/>
          <w:szCs w:val="28"/>
          <w:rtl w:val="true"/>
          <w:lang w:bidi="ar-SA"/>
        </w:rPr>
        <w:t xml:space="preserve">ذكر الشيخ في الخلاف وبعده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الولوغ إذا أصاب الثوب أو الجسد لم يعتبر فيه العدد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المحقّق إليهما الإناء فحكم بعدم اعتبار التعدّد فيه أيضا إذا أصابه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له الشيخ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xml:space="preserve">. </w:t>
      </w:r>
      <w:bookmarkStart w:id="1178" w:name="pg8731_77799"/>
    </w:p>
    <w:p>
      <w:pPr>
        <w:pStyle w:val="BookText"/>
        <w:rPr/>
      </w:pPr>
      <w:bookmarkEnd w:id="1178"/>
      <w:r>
        <w:rPr>
          <w:rFonts w:ascii="Amiri" w:hAnsi="Amiri" w:eastAsia="Amiri" w:cs="Amiri"/>
          <w:color w:val="111111"/>
          <w:sz w:val="28"/>
          <w:sz w:val="28"/>
          <w:szCs w:val="28"/>
          <w:rtl w:val="true"/>
          <w:lang w:bidi="ar-SA"/>
        </w:rPr>
        <w:t xml:space="preserve">ولكنّ الظاهر من كلامه القول بمساواته لهما وأنّ ذكرهما لغرض التمثيل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الإناء نجس الماء الذي فيه ، فإن وقع ذلك الماء على بدن الإنسان أو ثوبه وجب غسله ولا يراعى فيه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إيجاب غسل كلّ موضع يصيبه ذلك الماء بقدر العدد المعتبر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إنّ وجوب غسله معلوم بالاتّفاق ؛ لنجاسة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العدد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الولوغ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الحجّة واضحة جيّدة ، وعليها عوّل المحقّق أيضا ، فقال مشيرا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العدد اقتصارا بالحكم على موضع النصّ </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العلّامة في النهاية إلحاق هذا الماء بالولوغ ، وعلّله بوجود الرطوبة اللعابيّة </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Heading6"/>
        <w:numPr>
          <w:ilvl w:val="5"/>
          <w:numId w:val="1"/>
        </w:numPr>
        <w:rPr/>
      </w:pPr>
      <w:bookmarkStart w:id="1179" w:name="__RefHeading___Toc3140723_653776707"/>
      <w:bookmarkStart w:id="1180" w:name="_Toc436"/>
      <w:bookmarkEnd w:id="1179"/>
      <w:r>
        <w:rPr>
          <w:rtl w:val="true"/>
        </w:rPr>
        <w:t xml:space="preserve">[ </w:t>
      </w:r>
      <w:r>
        <w:rPr>
          <w:rtl w:val="true"/>
        </w:rPr>
        <w:t xml:space="preserve">الفرع </w:t>
      </w:r>
      <w:r>
        <w:rPr>
          <w:rtl w:val="true"/>
        </w:rPr>
        <w:t xml:space="preserve">] </w:t>
      </w:r>
      <w:r>
        <w:rPr>
          <w:rtl w:val="true"/>
        </w:rPr>
        <w:t xml:space="preserve">الرابع عشر </w:t>
      </w:r>
      <w:r>
        <w:rPr>
          <w:rtl w:val="true"/>
        </w:rPr>
        <w:t>:</w:t>
      </w:r>
      <w:bookmarkEnd w:id="1180"/>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الماء الذي يغسل به إناء الولوغ حكم الولوغ في أنّه متى لاقى جسما يجب غسله بالتراب ؛ لأنّها نجاسة فلا يعتبر فيها حكم المحلّ الذي انفصلت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بعض الجمهور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غسله بالتراب وإن كان المحلّ الأوّل قد غسل بالتراب</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آخر منهم أنّه أوجب غسله من الغسلة الاولى ستّا بناء على قولهم بوجوب السبع في الولوغ ومن الثانية خمسا ومن الثالثة أربعا وكذا </w:t>
      </w:r>
    </w:p>
    <w:p>
      <w:pPr>
        <w:pStyle w:val="BookText"/>
        <w:rPr/>
      </w:pPr>
      <w:r>
        <w:rPr>
          <w:rFonts w:ascii="Amiri" w:hAnsi="Amiri" w:eastAsia="Amiri" w:cs="Amiri"/>
          <w:color w:val="111111"/>
          <w:sz w:val="28"/>
          <w:sz w:val="28"/>
          <w:szCs w:val="28"/>
          <w:rtl w:val="true"/>
          <w:lang w:bidi="ar-SA"/>
        </w:rPr>
        <w:t>لو كانت قد انفصلت عن محلّ غسل بالتراب غسل محلّها بغير تراب وإن كانت الاولى بغير تراب غسلت هذه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ضعيف ، والوجه أنّه يساوي غيره من النجاسات لاختصاص النصّ بالولوغ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لهذا الكلام بالمناقشة الفاضل الشيخ علي في بعض كتبه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عدم اعتبار التراب في هذه الصورة إن كان منوطا بتقدّم تعفير إناء الولوغ على غسله بالماء الذي فرض الملاقاة به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الجسم الملاقى به غير إناء ، وإلّا فالظاهر اعتباره ؛ لأنّها نجاسة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مساواة هذا الماء لباقي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لأنّ حكم النجاسة يخفّ شرعا بزيادة الغسل ويشتدّ بنقصانه فلا تتّجه التسوية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العلّامة أوجه ؛ إذ الدليل الدالّ على حكم الولوغ ليس بمتناول للصورة التي ادّعي مساواتها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بأنّها نجاسة الولوغ إن أراد به كونها مسبّبة عنه فلا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 يصدق عليها الاسم الذي هو العنوان في الحكم فتوجّه المنع إليه واضح جليّ</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الذي أشار إليه فضعيف جدّا ؛ لأنّ غرض العلّامة من الحكم بالمساواة المذكورة نفي الأقوال التي حكاها عن العامّة ؛ نظرا إلى أنّ الأعداد التي اعتبروها محتاجة إلى الدليل وليس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المتحقّق عنده كونها </w:t>
      </w:r>
    </w:p>
    <w:p>
      <w:pPr>
        <w:pStyle w:val="BookText"/>
        <w:rPr/>
      </w:pPr>
      <w:r>
        <w:rPr>
          <w:rFonts w:ascii="Amiri" w:hAnsi="Amiri" w:eastAsia="Amiri" w:cs="Amiri"/>
          <w:color w:val="111111"/>
          <w:sz w:val="28"/>
          <w:sz w:val="28"/>
          <w:szCs w:val="28"/>
          <w:rtl w:val="true"/>
          <w:lang w:bidi="ar-SA"/>
        </w:rPr>
        <w:t>نجسة ، فيعتبر في إزالتها ما يعتبر في غيرها ؛ لعدم الدليل على اعتبار عدد معيّن فيها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والتعلّق في توجيه الإشكال بأنّ حكم النجاسة يخفّ ويشتدّ إنّما يجدي لو كان هناك دليل يمكن الاعتماد عليه في أحكام 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فقد الدليل فليس إلّا الرجوع إلى الأمر الإجماعي </w:t>
      </w:r>
      <w:r>
        <w:rPr>
          <w:rStyle w:val="FootnoteAnchor"/>
          <w:rtl w:val="true"/>
        </w:rPr>
        <w:footnoteReference w:id="2039"/>
      </w:r>
      <w:r>
        <w:rPr>
          <w:rFonts w:ascii="Amiri" w:hAnsi="Amiri" w:eastAsia="Amiri" w:cs="Amiri"/>
          <w:color w:val="111111"/>
          <w:sz w:val="28"/>
          <w:sz w:val="28"/>
          <w:szCs w:val="28"/>
          <w:rtl w:val="true"/>
          <w:lang w:bidi="ar-SA"/>
        </w:rPr>
        <w:t>وهو الاتّصاف بالتنجيس واعتبار ما يصدق معه زواله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للفاضل الشيخ علي هنا وهم عجيب حيث عبّر عن الحكم بما هذه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الفاضل العلّامة في المنتهى ، والشهيد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التراب فيما نجس بماء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المناقشة التي حكيناها أوّلا وذكر بعدها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مساواة هذا الماء لباقي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بما رأيته </w:t>
      </w:r>
      <w:r>
        <w:rPr>
          <w:rStyle w:val="FootnoteAnchor"/>
          <w:rtl w:val="true"/>
        </w:rPr>
        <w:footnoteReference w:id="2040"/>
      </w:r>
      <w:r>
        <w:rPr>
          <w:rFonts w:ascii="Amiri" w:hAnsi="Amiri" w:eastAsia="Amiri" w:cs="Amiri"/>
          <w:color w:val="111111"/>
          <w:sz w:val="28"/>
          <w:sz w:val="28"/>
          <w:szCs w:val="28"/>
          <w:rtl w:val="true"/>
          <w:lang w:bidi="ar-SA"/>
        </w:rPr>
        <w:t>، والحال أنّ كلام العلّامة وما ناقشه به صريحان في أنّ موضع البحث هو الماء الذي يغسل به إناء الولوغ لا ماء الولوغ ؛ إذ هو الماء الذي يكون في الإناء حال ولوغ الكلب فيه وقد ذكرنا حكمه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الشهيد متعلّق بذلك الماء ، لا بما نحن فيه ؛ فإنّ هذه عبارته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التراب في ما نجس بماء الولوغ </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بعينها العبارة التي نسب مضمونها إلى العلّامة وإليه ، وقد عرفت ما بين كلامهما من الاختلاف وما بين الحكمين من الفرق</w:t>
      </w:r>
      <w:r>
        <w:rPr>
          <w:rFonts w:eastAsia="Amiri" w:cs="Amiri" w:ascii="Amiri" w:hAnsi="Amiri"/>
          <w:color w:val="111111"/>
          <w:sz w:val="28"/>
          <w:szCs w:val="28"/>
          <w:rtl w:val="true"/>
          <w:lang w:bidi="ar-SA"/>
        </w:rPr>
        <w:t xml:space="preserve">. </w:t>
      </w:r>
      <w:bookmarkStart w:id="1181" w:name="pg8731_77805"/>
    </w:p>
    <w:p>
      <w:pPr>
        <w:pStyle w:val="BookText"/>
        <w:rPr/>
      </w:pPr>
      <w:bookmarkEnd w:id="1181"/>
      <w:r>
        <w:rPr>
          <w:rFonts w:ascii="Amiri" w:hAnsi="Amiri" w:eastAsia="Amiri" w:cs="Amiri"/>
          <w:color w:val="111111"/>
          <w:sz w:val="28"/>
          <w:sz w:val="28"/>
          <w:szCs w:val="28"/>
          <w:rtl w:val="true"/>
          <w:lang w:bidi="ar-SA"/>
        </w:rPr>
        <w:t xml:space="preserve">وممّا يوضحه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في الخلاف يرى طهارة الماء المبحوث عنه هنا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مباحث المياه حكاية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الآخر قد ذكرنا آنفا كلامه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 قول الشيخ بالطهارة هنا ؛ استنادا إلى أنّ الحكم بالنجاسة يحتاج إلى دليل وليس في الشرع ما يدلّ على نجاسة هذا الماء ، وقول الشيخ علي بوجوب الغسل منه ثلاثا بالتعفير على بعض الوجوه</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140725_653776707"/>
      <w:bookmarkStart w:id="1183" w:name="_Toc437"/>
      <w:bookmarkEnd w:id="1182"/>
      <w:r>
        <w:rPr>
          <w:rtl w:val="true"/>
        </w:rPr>
        <w:t xml:space="preserve">[ </w:t>
      </w:r>
      <w:r>
        <w:rPr>
          <w:rtl w:val="true"/>
        </w:rPr>
        <w:t xml:space="preserve">الفرع </w:t>
      </w:r>
      <w:r>
        <w:rPr>
          <w:rtl w:val="true"/>
        </w:rPr>
        <w:t xml:space="preserve">] </w:t>
      </w:r>
      <w:r>
        <w:rPr>
          <w:rtl w:val="true"/>
        </w:rPr>
        <w:t xml:space="preserve">الخامس عشر </w:t>
      </w:r>
      <w:r>
        <w:rPr>
          <w:rtl w:val="true"/>
        </w:rPr>
        <w:t>:</w:t>
      </w:r>
      <w:bookmarkEnd w:id="1183"/>
    </w:p>
    <w:p>
      <w:pPr>
        <w:pStyle w:val="BookText"/>
        <w:rPr/>
      </w:pPr>
      <w:r>
        <w:rPr>
          <w:rFonts w:ascii="Amiri" w:hAnsi="Amiri" w:eastAsia="Amiri" w:cs="Amiri"/>
          <w:color w:val="111111"/>
          <w:sz w:val="28"/>
          <w:sz w:val="28"/>
          <w:szCs w:val="28"/>
          <w:rtl w:val="true"/>
          <w:lang w:bidi="ar-SA"/>
        </w:rPr>
        <w:t xml:space="preserve">ذكر جماعة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الإناء ممّا يفتقر إلى العصر لم يحتسب له غسله إلّا بعد عصره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اعتبار العصر هنا كاعتباره في المسائل السابقة فليطلب تحقيق الحال فيه من هناك</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3140727_653776707"/>
      <w:bookmarkStart w:id="1185" w:name="_Toc438"/>
      <w:bookmarkEnd w:id="1184"/>
      <w:r>
        <w:rPr>
          <w:rtl w:val="true"/>
        </w:rPr>
        <w:t xml:space="preserve">[ </w:t>
      </w:r>
      <w:r>
        <w:rPr>
          <w:rtl w:val="true"/>
        </w:rPr>
        <w:t xml:space="preserve">الفرع </w:t>
      </w:r>
      <w:r>
        <w:rPr>
          <w:rtl w:val="true"/>
        </w:rPr>
        <w:t xml:space="preserve">] </w:t>
      </w:r>
      <w:r>
        <w:rPr>
          <w:rtl w:val="true"/>
        </w:rPr>
        <w:t xml:space="preserve">السادس عشر </w:t>
      </w:r>
      <w:r>
        <w:rPr>
          <w:rtl w:val="true"/>
        </w:rPr>
        <w:t>:</w:t>
      </w:r>
      <w:bookmarkEnd w:id="1185"/>
    </w:p>
    <w:p>
      <w:pPr>
        <w:pStyle w:val="BookText"/>
        <w:rPr/>
      </w:pPr>
      <w:r>
        <w:rPr>
          <w:rFonts w:ascii="Amiri" w:hAnsi="Amiri" w:eastAsia="Amiri" w:cs="Amiri"/>
          <w:color w:val="111111"/>
          <w:sz w:val="28"/>
          <w:sz w:val="28"/>
          <w:szCs w:val="28"/>
          <w:rtl w:val="true"/>
          <w:lang w:bidi="ar-SA"/>
        </w:rPr>
        <w:t xml:space="preserve">قال الفاضل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ولغ في إناء فيه طعام جامد القي ما أصابه فمه وانتفع بالباقي ، كالفأرة إذا ماتت في سمن جامد ولا يجب الغسل إن لم يصب فمه أو لعابه الإناء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واضح</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3140729_653776707"/>
      <w:bookmarkStart w:id="1187" w:name="_Toc439"/>
      <w:bookmarkEnd w:id="1186"/>
      <w:r>
        <w:rPr>
          <w:rtl w:val="true"/>
        </w:rPr>
        <w:t xml:space="preserve">[ </w:t>
      </w:r>
      <w:r>
        <w:rPr>
          <w:rtl w:val="true"/>
        </w:rPr>
        <w:t xml:space="preserve">الفرع </w:t>
      </w:r>
      <w:r>
        <w:rPr>
          <w:rtl w:val="true"/>
        </w:rPr>
        <w:t xml:space="preserve">] </w:t>
      </w:r>
      <w:r>
        <w:rPr>
          <w:rtl w:val="true"/>
        </w:rPr>
        <w:t xml:space="preserve">السابع عشر </w:t>
      </w:r>
      <w:r>
        <w:rPr>
          <w:rtl w:val="true"/>
        </w:rPr>
        <w:t>:</w:t>
      </w:r>
      <w:bookmarkEnd w:id="1187"/>
    </w:p>
    <w:p>
      <w:pPr>
        <w:pStyle w:val="BookText"/>
        <w:rPr/>
      </w:pP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الإناء ممّا لا يدلك بالتراب في العادة كالقربة فهل يجب إيصاله إليه بالمزج بالماء ونحوه؟ أو لا ؛ نظرا إلى المتعارف؟ كلّ محتمل</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هذا الكلام نظر ؛ لأنّ اعتبار التعارف في الغسل بالتراب ممّا </w:t>
      </w:r>
      <w:bookmarkStart w:id="1188" w:name="pg8731_77807"/>
    </w:p>
    <w:p>
      <w:pPr>
        <w:pStyle w:val="BookText"/>
        <w:rPr/>
      </w:pPr>
      <w:bookmarkEnd w:id="1188"/>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بناء الحكم على تناول الدليل لمثله نظرا إلى المتبادر من الآنية المسؤول عن ولوغ الكلب فيها ما يكون غسلها بالتراب ممكنا بغير مشقّة أو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هذا الاحتمال في حكم ما يخاف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احتمال إرادة العموم ليس بذلك البعيد من حيث ترك الاستفصال وإطلاق الحكم ، مع أنّ هذا القائل جزم بوجوب المزج والاتّصال فيما يخاف فساده إذا أمكن ذلك فيه ولم يحصل به إفساد ، وتعارف ذاك هناك ليس بمعلوم</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3140731_653776707"/>
      <w:bookmarkStart w:id="1190" w:name="_Toc440"/>
      <w:bookmarkEnd w:id="1189"/>
      <w:r>
        <w:rPr>
          <w:rtl w:val="true"/>
        </w:rPr>
        <w:t xml:space="preserve">مسألة </w:t>
      </w:r>
      <w:r>
        <w:rPr>
          <w:rtl w:val="true"/>
        </w:rPr>
        <w:t>[</w:t>
      </w:r>
      <w:r>
        <w:rPr/>
        <w:t>12</w:t>
      </w:r>
      <w:r>
        <w:rPr>
          <w:rtl w:val="true"/>
        </w:rPr>
        <w:t>] :</w:t>
      </w:r>
      <w:bookmarkEnd w:id="1190"/>
    </w:p>
    <w:p>
      <w:pPr>
        <w:pStyle w:val="BookText"/>
        <w:rPr/>
      </w:pPr>
      <w:r>
        <w:rPr>
          <w:rFonts w:ascii="Amiri" w:hAnsi="Amiri" w:eastAsia="Amiri" w:cs="Amiri"/>
          <w:color w:val="111111"/>
          <w:sz w:val="28"/>
          <w:sz w:val="28"/>
          <w:szCs w:val="28"/>
          <w:rtl w:val="true"/>
          <w:lang w:bidi="ar-SA"/>
        </w:rPr>
        <w:t>واختلف الأصحاب في ولوغ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حكم الكلب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ذلك المحقّق وجعله كغيره من النجاسات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يرى الاكتفاء فيها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العلّامة وجمهور المتأخّرين إلى وجوب غسل الإناء منه سبعا بالماء </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علي بن جعفر في الصحيح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خنزير شرب من إناء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سبع مرّات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الخنزير يسمّى كلبا في اللغة </w:t>
      </w:r>
      <w:r>
        <w:rPr>
          <w:rStyle w:val="FootnoteAnchor"/>
          <w:rtl w:val="true"/>
        </w:rPr>
        <w:footnoteReference w:id="2049"/>
      </w:r>
      <w:r>
        <w:rPr>
          <w:rFonts w:ascii="Amiri" w:hAnsi="Amiri" w:eastAsia="Amiri" w:cs="Amiri"/>
          <w:color w:val="111111"/>
          <w:sz w:val="28"/>
          <w:sz w:val="28"/>
          <w:szCs w:val="28"/>
          <w:rtl w:val="true"/>
          <w:lang w:bidi="ar-SA"/>
        </w:rPr>
        <w:t>، فتتناوله الأخبار الواردة في ولوغ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الإناء يغسل ثلاث مرّات من سائر النجاسات والخنزير من جملتها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صدق اسم الكلب عليه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التنزّل إلى تسليمه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الخبر الخاصّ أولى بالاتّباع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ملاحظة هذا الوجه يقتضي الاكتفاء بالماء وحده ، والإلحاق بالكلب يوجب اعتبار التراب فيه ، فلا ينتظم أحد وجهي الدليل مع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المحقّق مركّبة من ردّ دليل الشيخ وما سيأتي من الحجّة على إجزاء المرّة في غير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معتمد</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ظنّه مانعا من التعلّق برواية عليّ بن جعفر في إيجاب السبع هنا حيث أشار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محمولة على الاستحباب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المانع عدم ظهور القائل بمضمونها ممّن تقدّمه من الأصحاب وهو يراعي ذلك ونحوه في العمل بالأخبار</w:t>
      </w:r>
      <w:r>
        <w:rPr>
          <w:rFonts w:eastAsia="Amiri" w:cs="Amiri" w:ascii="Amiri" w:hAnsi="Amiri"/>
          <w:color w:val="111111"/>
          <w:sz w:val="28"/>
          <w:szCs w:val="28"/>
          <w:rtl w:val="true"/>
          <w:lang w:bidi="ar-SA"/>
        </w:rPr>
        <w:t xml:space="preserve">. </w:t>
      </w:r>
      <w:bookmarkStart w:id="1191" w:name="pg8731_77811"/>
    </w:p>
    <w:p>
      <w:pPr>
        <w:pStyle w:val="BookText"/>
        <w:rPr/>
      </w:pPr>
      <w:bookmarkEnd w:id="1191"/>
      <w:r>
        <w:rPr>
          <w:rFonts w:ascii="Amiri" w:hAnsi="Amiri" w:eastAsia="Amiri" w:cs="Amiri"/>
          <w:color w:val="111111"/>
          <w:sz w:val="28"/>
          <w:sz w:val="28"/>
          <w:szCs w:val="28"/>
          <w:rtl w:val="true"/>
          <w:lang w:bidi="ar-SA"/>
        </w:rPr>
        <w:t xml:space="preserve">والقرينة على هذا أنّه لم يذكره قولا مع حكايته للخلاف ، وأنّ العلّامة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 غسل الإناء منه سبع مرّات كان قويّا لما رواه عليّ ابن جعفر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الاستحباب ضعيف ؛ إذ لا دليل عليه ، مع ثبوت أنّ الأمر للوجوب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2" w:name="__RefHeading___Toc3140733_653776707"/>
      <w:bookmarkStart w:id="1193" w:name="_Toc441"/>
      <w:bookmarkEnd w:id="1192"/>
      <w:r>
        <w:rPr>
          <w:rtl w:val="true"/>
        </w:rPr>
        <w:t xml:space="preserve">مسألة </w:t>
      </w:r>
      <w:r>
        <w:rPr>
          <w:rtl w:val="true"/>
        </w:rPr>
        <w:t>[</w:t>
      </w:r>
      <w:r>
        <w:rPr/>
        <w:t>13</w:t>
      </w:r>
      <w:r>
        <w:rPr>
          <w:rtl w:val="true"/>
        </w:rPr>
        <w:t>] :</w:t>
      </w:r>
      <w:bookmarkEnd w:id="1193"/>
    </w:p>
    <w:p>
      <w:pPr>
        <w:pStyle w:val="Heading6"/>
        <w:numPr>
          <w:ilvl w:val="5"/>
          <w:numId w:val="1"/>
        </w:numPr>
        <w:rPr/>
      </w:pPr>
      <w:bookmarkStart w:id="1194" w:name="__RefHeading___Toc3140735_653776707"/>
      <w:bookmarkStart w:id="1195" w:name="_Toc442"/>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ويغسل الإناء من الخمر أيضا سبع مرّات عند جمع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والشيخ في أحد قوليه وسلّار والشهيد في أكثر كتبه ، وجماعة من المتأخّرين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في غير المعتبر والفاضل في بعض كتبه إلى الاكتفاء فيه بالثلاث </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على سبيل الخصوصيّة كقول الفاضلين ، بل لأنّ رأيه في هذا الكتاب وجوب غسل الإناء ثلاثا ممّا عدا الولوغ من ساير النجاسات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المعتبر ، والعلّامة في أكثر كتبه قول بالاكتفاء فيه بالمرّة </w:t>
      </w:r>
      <w:r>
        <w:rPr>
          <w:rStyle w:val="FootnoteAnchor"/>
          <w:rtl w:val="true"/>
        </w:rPr>
        <w:footnoteReference w:id="2056"/>
      </w:r>
      <w:r>
        <w:rPr>
          <w:rFonts w:ascii="Amiri" w:hAnsi="Amiri" w:eastAsia="Amiri" w:cs="Amiri"/>
          <w:color w:val="111111"/>
          <w:sz w:val="28"/>
          <w:sz w:val="28"/>
          <w:szCs w:val="28"/>
          <w:rtl w:val="true"/>
          <w:lang w:bidi="ar-SA"/>
        </w:rPr>
        <w:t>كغيره من النجاسات سوى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والدي رحمه‌اللّه إلّا أنّه أطلق القول </w:t>
      </w:r>
    </w:p>
    <w:p>
      <w:pPr>
        <w:pStyle w:val="BookText"/>
        <w:rPr/>
      </w:pPr>
      <w:r>
        <w:rPr>
          <w:rFonts w:ascii="Amiri" w:hAnsi="Amiri" w:eastAsia="Amiri" w:cs="Amiri"/>
          <w:color w:val="111111"/>
          <w:sz w:val="28"/>
          <w:sz w:val="28"/>
          <w:szCs w:val="28"/>
          <w:rtl w:val="true"/>
          <w:lang w:bidi="ar-SA"/>
        </w:rPr>
        <w:t xml:space="preserve">بإجزاء المرّة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عبارتي المعتبر والمختلف التقييد بكونها بعد إزالة العين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الشهيد في اللمعة إلى إيجاب المرّتين حيث اعتبرهما في غسل الإناء من مطلق النجاسات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للأوّل بما رواه عمّار بن موسى عن أبي عبد اللّه عليه‌السلام في الإناء يشرب فيه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سبع مرّات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وللثاني برواية عمّار أيضا عنه عليه‌السلام أنّه سئل عن قدح أو إناء يشرب فيه الخمر؟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أن يصبّ فيه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حتّى يدلكه بيده ويغسله ثلاث مرّات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 الذاهبون إلى الاكتفاء بالثلاث رواية السبع على الاستحباب لضرورة الجمع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بالسبع فلا يظهر لإطراحهم رواية الثلاث وجه مع تساويهما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عوّل بعض المتأخّرين في ذلك على كون الشهرة مع رواية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بتقدير صحّته لا يعلم تحقّقه في عصر من تقدّم</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من قال بالمرّة مبنيّة على استضعاف الروايتين عن إثبات الحكم </w:t>
      </w:r>
      <w:bookmarkStart w:id="1196" w:name="pg8731_77815"/>
    </w:p>
    <w:p>
      <w:pPr>
        <w:pStyle w:val="BookText"/>
        <w:rPr/>
      </w:pPr>
      <w:bookmarkEnd w:id="1196"/>
      <w:r>
        <w:rPr>
          <w:rFonts w:ascii="Amiri" w:hAnsi="Amiri" w:eastAsia="Amiri" w:cs="Amiri"/>
          <w:color w:val="111111"/>
          <w:sz w:val="28"/>
          <w:sz w:val="28"/>
          <w:szCs w:val="28"/>
          <w:rtl w:val="true"/>
          <w:lang w:bidi="ar-SA"/>
        </w:rPr>
        <w:t>لعدم صحّة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يثبت الخصوصيّة دخل في ربقة 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الدليل على إجزاء المرّة فيها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قول الشهيد بالمرّتين</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140737_653776707"/>
      <w:bookmarkStart w:id="1198" w:name="_Toc443"/>
      <w:bookmarkEnd w:id="1197"/>
      <w:r>
        <w:rPr>
          <w:rtl w:val="true"/>
        </w:rPr>
        <w:t xml:space="preserve">فروع </w:t>
      </w:r>
      <w:r>
        <w:rPr>
          <w:rtl w:val="true"/>
        </w:rPr>
        <w:t>:</w:t>
      </w:r>
      <w:bookmarkEnd w:id="1198"/>
    </w:p>
    <w:p>
      <w:pPr>
        <w:pStyle w:val="Heading6"/>
        <w:numPr>
          <w:ilvl w:val="5"/>
          <w:numId w:val="1"/>
        </w:numPr>
        <w:rPr/>
      </w:pPr>
      <w:bookmarkStart w:id="1199" w:name="__RefHeading___Toc3140739_653776707"/>
      <w:bookmarkStart w:id="1200" w:name="_Toc444"/>
      <w:bookmarkEnd w:id="1199"/>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200"/>
    </w:p>
    <w:p>
      <w:pPr>
        <w:pStyle w:val="BookText"/>
        <w:rPr/>
      </w:pPr>
      <w:r>
        <w:rPr>
          <w:rFonts w:ascii="Amiri" w:hAnsi="Amiri" w:eastAsia="Amiri" w:cs="Amiri"/>
          <w:color w:val="111111"/>
          <w:sz w:val="28"/>
          <w:sz w:val="28"/>
          <w:szCs w:val="28"/>
          <w:rtl w:val="true"/>
          <w:lang w:bidi="ar-SA"/>
        </w:rPr>
        <w:t xml:space="preserve">نصّ الشيخان في المقنعة والنهاية وجماعة ممّن قال بوجوب السبع هنا على أنّ حكم غير الخمر من سائر المسكرات حكمه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لذلك بعضهم بل اقتصر على ذكر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التي يقال أنّها الحجّة وردت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 فينبغي على تقدير صلاحيّتها لإثبات الحكم أن يكون منوطا بهذا الاسم</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3140741_653776707"/>
      <w:bookmarkStart w:id="1202" w:name="_Toc445"/>
      <w:bookmarkEnd w:id="1201"/>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202"/>
    </w:p>
    <w:p>
      <w:pPr>
        <w:pStyle w:val="BookText"/>
        <w:rPr/>
      </w:pPr>
      <w:r>
        <w:rPr>
          <w:rFonts w:ascii="Amiri" w:hAnsi="Amiri" w:eastAsia="Amiri" w:cs="Amiri"/>
          <w:color w:val="111111"/>
          <w:sz w:val="28"/>
          <w:sz w:val="28"/>
          <w:szCs w:val="28"/>
          <w:rtl w:val="true"/>
          <w:lang w:bidi="ar-SA"/>
        </w:rPr>
        <w:t>استقرب بعض المتأخّرين إلحاق الفقاع أيضا في إيجاب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في ذلك إمّا على كونه في معنى الخمر أو على إطلاق اسمه عليه في بعض الأخبار كما مرّ في دليل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قياس ، والثاني قد بيّنا ما فيه هناك</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3140743_653776707"/>
      <w:bookmarkStart w:id="1204" w:name="_Toc446"/>
      <w:bookmarkEnd w:id="1203"/>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204"/>
    </w:p>
    <w:p>
      <w:pPr>
        <w:pStyle w:val="BookText"/>
        <w:rPr/>
      </w:pPr>
      <w:r>
        <w:rPr>
          <w:rFonts w:ascii="Amiri" w:hAnsi="Amiri" w:eastAsia="Amiri" w:cs="Amiri"/>
          <w:color w:val="111111"/>
          <w:sz w:val="28"/>
          <w:sz w:val="28"/>
          <w:szCs w:val="28"/>
          <w:rtl w:val="true"/>
          <w:lang w:bidi="ar-SA"/>
        </w:rPr>
        <w:t xml:space="preserve">ذكر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نفوا وجوب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أنّهم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للثلاث ، ومكتف بما دونها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الأوّلين في استحباب السبع إلى جعله وجها للجمع بين الحديثين كما أشرنا إليه</w:t>
      </w:r>
      <w:r>
        <w:rPr>
          <w:rFonts w:eastAsia="Amiri" w:cs="Amiri" w:ascii="Amiri" w:hAnsi="Amiri"/>
          <w:color w:val="111111"/>
          <w:sz w:val="28"/>
          <w:szCs w:val="28"/>
          <w:rtl w:val="true"/>
          <w:lang w:bidi="ar-SA"/>
        </w:rPr>
        <w:t xml:space="preserve">. </w:t>
      </w:r>
      <w:bookmarkStart w:id="1205" w:name="pg8731_77817"/>
    </w:p>
    <w:p>
      <w:pPr>
        <w:pStyle w:val="BookText"/>
        <w:rPr/>
      </w:pPr>
      <w:bookmarkEnd w:id="1205"/>
      <w:r>
        <w:rPr>
          <w:rFonts w:ascii="Amiri" w:hAnsi="Amiri" w:eastAsia="Amiri" w:cs="Amiri"/>
          <w:color w:val="111111"/>
          <w:sz w:val="28"/>
          <w:sz w:val="28"/>
          <w:szCs w:val="28"/>
          <w:rtl w:val="true"/>
          <w:lang w:bidi="ar-SA"/>
        </w:rPr>
        <w:t>وأمّا الآخرون فحيث استضعفوا الروايتين عن الصلاحيّة لإثبات الحكم فنظرهم في القول بالاستحباب إلى أنّ أدلّة السنن يتسامح فيها وأنّ فيه خروجا من خلاف الموجبين</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3140745_653776707"/>
      <w:bookmarkStart w:id="1207" w:name="_Toc447"/>
      <w:bookmarkEnd w:id="1206"/>
      <w:r>
        <w:rPr>
          <w:rtl w:val="true"/>
        </w:rPr>
        <w:t xml:space="preserve">مسألة </w:t>
      </w:r>
      <w:r>
        <w:rPr>
          <w:rtl w:val="true"/>
        </w:rPr>
        <w:t>[</w:t>
      </w:r>
      <w:r>
        <w:rPr/>
        <w:t>14</w:t>
      </w:r>
      <w:r>
        <w:rPr>
          <w:rtl w:val="true"/>
        </w:rPr>
        <w:t>] :</w:t>
      </w:r>
      <w:bookmarkEnd w:id="1207"/>
    </w:p>
    <w:p>
      <w:pPr>
        <w:pStyle w:val="BookText"/>
        <w:rPr/>
      </w:pPr>
      <w:r>
        <w:rPr>
          <w:rFonts w:ascii="Amiri" w:hAnsi="Amiri" w:eastAsia="Amiri" w:cs="Amiri"/>
          <w:color w:val="111111"/>
          <w:sz w:val="28"/>
          <w:sz w:val="28"/>
          <w:szCs w:val="28"/>
          <w:rtl w:val="true"/>
          <w:lang w:bidi="ar-SA"/>
        </w:rPr>
        <w:t xml:space="preserve">وأوجب الشيخ في النهاية غسل الإناء سبعا من موت الفأرة فيه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ذلك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المحقّق في غير المعتبر بالثلاث وكذا العلّامة في جملة من كتبه </w:t>
      </w:r>
      <w:r>
        <w:rPr>
          <w:rStyle w:val="FootnoteAnchor"/>
          <w:rtl w:val="true"/>
        </w:rPr>
        <w:footnoteReference w:id="2064"/>
      </w:r>
      <w:r>
        <w:rPr>
          <w:rFonts w:ascii="Amiri" w:hAnsi="Amiri" w:eastAsia="Amiri" w:cs="Amiri"/>
          <w:color w:val="111111"/>
          <w:sz w:val="28"/>
          <w:sz w:val="28"/>
          <w:szCs w:val="28"/>
          <w:rtl w:val="true"/>
          <w:lang w:bidi="ar-SA"/>
        </w:rPr>
        <w:t>وبعض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موافقهم في الخلاف بالاعتبار الذي أشرنا إليه في حكم الخمر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المعتبر إلى الاكتفاء بالمرّة كالخمر </w:t>
      </w:r>
      <w:r>
        <w:rPr>
          <w:rStyle w:val="FootnoteAnchor"/>
          <w:rtl w:val="true"/>
        </w:rPr>
        <w:footnoteReference w:id="2066"/>
      </w:r>
      <w:r>
        <w:rPr>
          <w:rFonts w:ascii="Amiri" w:hAnsi="Amiri" w:eastAsia="Amiri" w:cs="Amiri"/>
          <w:color w:val="111111"/>
          <w:sz w:val="28"/>
          <w:sz w:val="28"/>
          <w:szCs w:val="28"/>
          <w:rtl w:val="true"/>
          <w:lang w:bidi="ar-SA"/>
        </w:rPr>
        <w:t xml:space="preserve">، وهو اختيار العلّامة في أكثر كتبه ووالدي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 الشهيد في اللمعة المرّتين على الوجه الذي مرّ في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أكثر النافين لوجوب السبع هنا أيضا أنّها تستحبّ</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الساباطي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w:t>
      </w:r>
    </w:p>
    <w:p>
      <w:pPr>
        <w:pStyle w:val="BookText"/>
        <w:rPr/>
      </w:pPr>
      <w:r>
        <w:rPr>
          <w:rFonts w:ascii="Amiri" w:hAnsi="Amiri" w:eastAsia="Amiri" w:cs="Amiri"/>
          <w:color w:val="111111"/>
          <w:sz w:val="28"/>
          <w:sz w:val="28"/>
          <w:szCs w:val="28"/>
          <w:rtl w:val="true"/>
          <w:lang w:bidi="ar-SA"/>
        </w:rPr>
        <w:t xml:space="preserve">الإناء الذي يصيب فيه الجرذ ميتا سبع مرّات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وردّها المحقّق بضعف السند ؛ لاشتماله على جماعة من الفطحيّة ووجود الخلاف في مضمونها ؛ إذ الشيخ في الخلاف يكتفي بالثلاث في جميع النجاسات عدا الولوغ ، وبأنّ ميتة الفأرة والجرذ لا يكون أعظم نجاسة من ميتة الكلب والخنزير ، وبأنّه يحتمل أن يكون الحكم مختصّا بالجرذ فلا يتناول الفأرة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المحقّق أوّلا وأخيرا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أمر الخلاف في مضمون الرواية وكون ميتة الفأرة لا تزيد عن ميتة الكلب والخنزير فلا يصلحان للردّ بعد فرض صحّة طريق الرواية ، ومع ضعفه لا حاجة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الثاني بالنظر إلى نفي الزيادة استضعاف الرواية التي احتجّوا لإثباتها بها ، وأنّ الأصل يقتضي براءة الذمّة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نفي الأقلّ فليس بواضح ؛ إذ لم يتعرّضوا له فيما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لاح من كلام المحقّق أنّ النظر فيه إلى انحصار الخلاف المتحقّق قبل ذلك العصر في السبع والثلاث ، لكنّ الأوّل ضعيف ؛ لما ذكره ،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أثناء الكلام على حجّة السبع أنّ الامتثال بالغسل يحصل بالثلاث فلا يجب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الإشارة إلى ما قلناه ، وإلّا فلا ريب في حصول الامتثال بما دون الثلاث أيضا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حجّة المرّة والمرّتين نظير ما مرّ في حكم الخمر ، مضافا إليه عدم الالتفات إلى انحصار الخلاف القديم فيما ذكر</w:t>
      </w:r>
      <w:r>
        <w:rPr>
          <w:rFonts w:eastAsia="Amiri" w:cs="Amiri" w:ascii="Amiri" w:hAnsi="Amiri"/>
          <w:color w:val="111111"/>
          <w:sz w:val="28"/>
          <w:szCs w:val="28"/>
          <w:rtl w:val="true"/>
          <w:lang w:bidi="ar-SA"/>
        </w:rPr>
        <w:t xml:space="preserve">. </w:t>
      </w:r>
      <w:bookmarkStart w:id="1208" w:name="pg8731_77821"/>
    </w:p>
    <w:p>
      <w:pPr>
        <w:pStyle w:val="BookText"/>
        <w:rPr/>
      </w:pPr>
      <w:bookmarkEnd w:id="1208"/>
      <w:r>
        <w:rPr>
          <w:rFonts w:ascii="Amiri" w:hAnsi="Amiri" w:eastAsia="Amiri" w:cs="Amiri"/>
          <w:color w:val="111111"/>
          <w:sz w:val="28"/>
          <w:sz w:val="28"/>
          <w:szCs w:val="28"/>
          <w:rtl w:val="true"/>
          <w:lang w:bidi="ar-SA"/>
        </w:rPr>
        <w:t>وأمّا حكمهم باستحباب السبع فناظر إلى التساهل في دليل السنن مع رعاية الخروج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التمسّك في إيجاب السبع بالرواية المذكورة يقتضي قصر الحكم على موردها وهو الجرذ كما نبّه عليه المحقّق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تعميمه في مطلق الفأرة فيحتاج إلى دليل آخر لظهور كون الجرذ أخصّ فكيف يتمسّك بدليله في حكم الأعمّ؟</w:t>
      </w:r>
    </w:p>
    <w:p>
      <w:pPr>
        <w:pStyle w:val="BookText"/>
        <w:rPr/>
      </w:pPr>
      <w:r>
        <w:rPr>
          <w:rFonts w:ascii="Amiri" w:hAnsi="Amiri" w:eastAsia="Amiri" w:cs="Amiri"/>
          <w:color w:val="111111"/>
          <w:sz w:val="28"/>
          <w:sz w:val="28"/>
          <w:szCs w:val="28"/>
          <w:rtl w:val="true"/>
          <w:lang w:bidi="ar-SA"/>
        </w:rPr>
        <w:t xml:space="preserve">وقد اتّفق للفاضل الشيخ علي في هذا المقام من شرحه للقواعد كلام غريب وذلك أنّه بعد مصيره إلى إيجاب السبع في الجرذ واحتجاجه له برواية عمّار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ضعفها منجبر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يكرّر الغسل من غير هذا الضرب من الفأر؟ الظاهر عدم التفاوت نظرا إلى إطلاق اسم الفأر على الجميع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 شعري في أيّ خبر وقع الحكم معلّقا بعنوان الفأر ليتمسّك بصدقه على الجميع في ظهور عدم التفاوت؟ وبتقدير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الاحتجاج به أجدر من التشبّث برواية عمّار وتكلّف انجبارها بما هو مثلها في الكسر؟</w:t>
      </w:r>
    </w:p>
    <w:p>
      <w:pPr>
        <w:pStyle w:val="Heading6"/>
        <w:numPr>
          <w:ilvl w:val="5"/>
          <w:numId w:val="1"/>
        </w:numPr>
        <w:rPr/>
      </w:pPr>
      <w:bookmarkStart w:id="1209" w:name="__RefHeading___Toc3140747_653776707"/>
      <w:bookmarkStart w:id="1210" w:name="_Toc448"/>
      <w:bookmarkEnd w:id="1209"/>
      <w:r>
        <w:rPr>
          <w:rtl w:val="true"/>
        </w:rPr>
        <w:t xml:space="preserve">مسألة </w:t>
      </w:r>
      <w:r>
        <w:rPr>
          <w:rtl w:val="true"/>
        </w:rPr>
        <w:t>[</w:t>
      </w:r>
      <w:r>
        <w:rPr/>
        <w:t>15</w:t>
      </w:r>
      <w:r>
        <w:rPr>
          <w:rtl w:val="true"/>
        </w:rPr>
        <w:t>] :</w:t>
      </w:r>
      <w:bookmarkEnd w:id="1210"/>
    </w:p>
    <w:p>
      <w:pPr>
        <w:pStyle w:val="BookText"/>
        <w:rPr/>
      </w:pPr>
      <w:r>
        <w:rPr>
          <w:rFonts w:ascii="Amiri" w:hAnsi="Amiri" w:eastAsia="Amiri" w:cs="Amiri"/>
          <w:color w:val="111111"/>
          <w:sz w:val="28"/>
          <w:sz w:val="28"/>
          <w:szCs w:val="28"/>
          <w:rtl w:val="true"/>
          <w:lang w:bidi="ar-SA"/>
        </w:rPr>
        <w:t>واختلفوا في غسل الإناء من باقي النجاسات</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من ساير النجاسات سوى الولوغ ثلاث مرّات </w:t>
      </w:r>
      <w:r>
        <w:rPr>
          <w:rStyle w:val="FootnoteAnchor"/>
          <w:rtl w:val="true"/>
        </w:rPr>
        <w:footnoteReference w:id="2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الجنيد في المختصر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في </w:t>
      </w:r>
    </w:p>
    <w:p>
      <w:pPr>
        <w:pStyle w:val="BookText"/>
        <w:rPr/>
      </w:pPr>
      <w:r>
        <w:rPr>
          <w:rFonts w:ascii="Amiri" w:hAnsi="Amiri" w:eastAsia="Amiri" w:cs="Amiri"/>
          <w:color w:val="111111"/>
          <w:sz w:val="28"/>
          <w:sz w:val="28"/>
          <w:szCs w:val="28"/>
          <w:rtl w:val="true"/>
          <w:lang w:bidi="ar-SA"/>
        </w:rPr>
        <w:t xml:space="preserve">الذكرى والدروس والشيخ علي من المتأخّرين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الشهيد في اللمعة والرسالة إلى الاكتفاء بالمرّتين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جماعة منهم العلّامة والشهيد في البيان ووالدي رحمه‌اللّه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في الخلاف بطريقة الاحتياط ؛ فإنّه مع الغسل ثلاثا يحصل العلم بالطهارة وبرواية عمّار الساباطي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الكوز أو الإناء يكون قذرا كيف يغسل وكم مرّة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للفاضلين في المعتبر والمنتهى اختلاف في حكاية هذه الحجّة عن الخلاف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المحقّق في جملتها إجماع الفرقة وأنّ الشيخ استدلّ به </w:t>
      </w:r>
      <w:r>
        <w:rPr>
          <w:rStyle w:val="FootnoteAnchor"/>
          <w:rtl w:val="true"/>
        </w:rPr>
        <w:footnoteReference w:id="2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جوابه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 الشيخ بالإجماع بعيد مع روايته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نطالبه بتحقيق الإجماع ولا يكفي روايتهم ما رواه عمّار ؛ لأنّ كلّهم لم يروه ، ولا من يعلم أنّ الإمام في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روايته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هو وغيره من أنّ الشيخ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بوجوب الغسل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غسلة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 بعض الناس أنّ الشيخ استدلّ هنا بالإجماع واستبعده مع روايته للمرّة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لم يستدلّ بالإجماع هنا بل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فيه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هذا الاختلاف أنّ عبارة الشيخ لا تخلو عن حزازة على ما في النسخة التي رأيناها للخلاف فكلّ فهم منها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الالتباس سكتنا عن التعرّض لما يتضمّن الإجماع منها في حكايتنا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صورة كلام الشيخ في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الإناء من سائر النجاسات سوى الولوغ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ما يغلب على الظنّ معه حصول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سبعا مثل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غسله مرّة وجوبا وثلاثا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طريقة الاحتياط فإنّه إذا غسله ثلاث مرّات فقد علمنا طهارته بغسل ثلاث مرّات بإجماع الفرقة وكذلك عند الشافعي وما زاد عليه يحتاج إلى دليل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متعلّقا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علمنا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على ما قاله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فالحكم ما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عند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فالعبارة قاصرة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فيها من الخلل مستند إلى سهو الناسخ</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اقتفى الشهيد في الذكرى أثر المحقّق ، فذكر أنّ الشيخ نقل الإجماع </w:t>
      </w:r>
    </w:p>
    <w:p>
      <w:pPr>
        <w:pStyle w:val="BookText"/>
        <w:rPr/>
      </w:pPr>
      <w:r>
        <w:rPr>
          <w:rFonts w:ascii="IRNazanin" w:hAnsi="IRNazanin" w:eastAsia="IRNazanin"/>
          <w:color w:val="111111"/>
          <w:sz w:val="28"/>
          <w:sz w:val="28"/>
          <w:szCs w:val="28"/>
          <w:rtl w:val="true"/>
          <w:lang w:bidi="fa-IR"/>
        </w:rPr>
        <w:t xml:space="preserve">على اعتبار الثلاث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هذا الاختلاف عندنا سهل لتساهل الشيخ في أمر الإجماع كما نبّهنا عليه كثيرا ، فلو تحقّق ادعاؤه له لم ينهض حجّة ، واستدلاله بالاحتياط هيّن أيضا </w:t>
      </w:r>
      <w:r>
        <w:rPr>
          <w:rStyle w:val="FootnoteAnchor"/>
          <w:rtl w:val="true"/>
        </w:rPr>
        <w:footnoteReference w:id="2080"/>
      </w:r>
      <w:r>
        <w:rPr>
          <w:rFonts w:ascii="Amiri" w:hAnsi="Amiri" w:eastAsia="Amiri" w:cs="Amiri"/>
          <w:color w:val="111111"/>
          <w:sz w:val="28"/>
          <w:sz w:val="28"/>
          <w:szCs w:val="28"/>
          <w:rtl w:val="true"/>
          <w:lang w:bidi="ar-SA"/>
        </w:rPr>
        <w:t>فإنّه غير كاف في الخروج عن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ذكرها فعدم صحّة إسنادها يمنع من التعلّق بها في إثبات 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سندها فطحيّة فلا ينهض حجّة ثمّ هي معارضة برواية المرّة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أولى لأنّها مطابقة للبراءة الأصليّة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الشهيد في الذكرى بأنّه قد يعلم المذهب بالرواية الضعيفة وخصوصا مع نقل الشيخ الإجماع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ما قاله المحقّق</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حجّة الشهيد على الاكتفاء بالمرّتين فكأنّها مأخوذة من دليل اعتبارهما في غسل البول عن الثوب والبدن بناء على أنّ اعتبار ذلك في البول يدلّ بمفهوم الموافقة على اعتباره في غيره من النجاسات كما سبق نقله ، وأنّ غير الثوب والبدن مثلهما في الحكم ؛ للتقريب الذي أشرنا إليه سابقا مؤيّدا في خصوص الإناء بظهور إرادة التعدّد فيه شرعا ، كما ينبّه عليه حكم الولوغين والخمر والجرذ ، ثمّ يضاف إلى ذلك أصالة البراءة من التكليف بما زاد على </w:t>
      </w:r>
    </w:p>
    <w:p>
      <w:pPr>
        <w:pStyle w:val="BookText"/>
        <w:rPr/>
      </w:pPr>
      <w:r>
        <w:rPr>
          <w:rFonts w:ascii="Amiri" w:hAnsi="Amiri" w:eastAsia="Amiri" w:cs="Amiri"/>
          <w:color w:val="111111"/>
          <w:sz w:val="28"/>
          <w:sz w:val="28"/>
          <w:szCs w:val="28"/>
          <w:rtl w:val="true"/>
          <w:lang w:bidi="ar-SA"/>
        </w:rPr>
        <w:t>المرّتين ، واستضعاف حجّة الشيخ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 ما مرّت الإشارة إليه من عدم ظهور الأولويّة التي هي مناط مفهوم الموافقة ، وأنّ المناسبة الملحوظة في التعدية إلى غير الثوب والبدن لا يخرج اعتبارها والاعتماد عليها في الأحكام الشرعيّة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ظهور إرادة التعدّد في الإناء فإنّه مسلّم في الموارد التي يدلّ على إرادته فيها دليل معتمد ، ولهذا كان حكمها على تقدير التعدّد مطلقا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ثبت الاختلاف في الجملة انسدّ باب النظر في حكم بعضها إلى حكم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القول بالمرّة ظاهرة بعد بيان ضعف الاحتجاج للزائد ؛ فإنّ امتثال الأمر بالغسل يحصل بها ، ومسمّى الإزالة يتحقّق معها ، مع كون مستند الحكم بالتنجيس في أكثر الصور أو كلّها ليس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عدم تحقّقه بعد الغسلة الواحدة وزوال العين ، ولا أثر لاستصحاب الحكم السابق في مثله كما بيّنّاه آنفا وسابقا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الأخير خاصّ بنا إذ لم نعهد من الأصحاب التعلّق به في هذا الباب ، وقد أشرنا إلى ذلك في حكم غير البول من النجاسات الحاصلة في غير الإناء وسنعوّل عليه في مواضع اخرى يأتي الكلام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العلّامة رحمه‌اللّه أطلق في المنتهى القول بأنّ المرّة كافية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التحرير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الإنقاء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المرّة مع حصول الإنقاء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اعتبار زوال عين النجاسة وأثرها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في الإرشاد على زوال العين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أطلق في الشرائع ومختصرها كما في المنتهى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في المعتبر على اعتبار زوال العين قبلها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حجّة الشيخ على إيجاب التعدّد هنا بما حكيناه آنفا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يقوى عندي الاقتصار في اعتبار العدد على الولوغ ، وفيما عداه على ذلك النجاسة وغسل الإناء بعد ذلك مرّة واحدة لحصول الغرض من الإزالة ، ولضعف ما ينفرد به عمّار وأشباهه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العلّامة في المختلف وقعت على هذا النهج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أنّ الواجب بعد إزالة العين غسله مرّة واحدة </w:t>
      </w:r>
      <w:r>
        <w:rPr>
          <w:rStyle w:val="FootnoteAnchor"/>
          <w:rtl w:val="true"/>
        </w:rPr>
        <w:footnoteReference w:id="2090"/>
      </w:r>
      <w:r>
        <w:rPr>
          <w:rFonts w:ascii="Amiri" w:hAnsi="Amiri" w:eastAsia="Amiri" w:cs="Amiri"/>
          <w:color w:val="111111"/>
          <w:sz w:val="28"/>
          <w:sz w:val="28"/>
          <w:szCs w:val="28"/>
          <w:rtl w:val="true"/>
          <w:lang w:bidi="ar-SA"/>
        </w:rPr>
        <w:t xml:space="preserve">، وكذا عبارة الشهيد في البيان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الدليل الذي تعلّق به المحقّق فيما قوي عنده لا يدلّ على أكثر من اعتبار الغسل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العلّامة في المختلف قريب منه </w:t>
      </w:r>
    </w:p>
    <w:p>
      <w:pPr>
        <w:pStyle w:val="BookText"/>
        <w:rPr/>
      </w:pPr>
      <w:r>
        <w:rPr>
          <w:rFonts w:ascii="Amiri" w:hAnsi="Amiri" w:eastAsia="Amiri" w:cs="Amiri"/>
          <w:color w:val="111111"/>
          <w:sz w:val="28"/>
          <w:sz w:val="28"/>
          <w:szCs w:val="28"/>
          <w:rtl w:val="true"/>
          <w:lang w:bidi="ar-SA"/>
        </w:rPr>
        <w:t>فلا ندري من أين مأخذ اعتبار تقديم الإزالة؟</w:t>
      </w:r>
    </w:p>
    <w:p>
      <w:pPr>
        <w:pStyle w:val="BookText"/>
        <w:rPr/>
      </w:pPr>
      <w:r>
        <w:rPr>
          <w:rFonts w:ascii="Amiri" w:hAnsi="Amiri" w:eastAsia="Amiri" w:cs="Amiri"/>
          <w:color w:val="111111"/>
          <w:sz w:val="28"/>
          <w:sz w:val="28"/>
          <w:szCs w:val="28"/>
          <w:rtl w:val="true"/>
          <w:lang w:bidi="ar-SA"/>
        </w:rPr>
        <w:t>ويوجد في كلام بعض المتأخّرين توجيهه بأنّ سبب التنجيس إذا كان موجودا لم يظهر للماء الوارد معه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الباقي من البلل وغيره في المحلّ عين نجاسة فيأتي الكلام فيه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نقيض التوجيه بأنّه لو تمّ لاقتضى عدم حصول الطهارة بالغسل مرّة بعد زوال العين ؛ لأنّ السبب المذكور موجود حينئذ فلا يكون للماء الوارد معه تأثير وأنتم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التنجيس هو عين النجاسة المؤثّرة لا ما يتنجّس بها ، وظاهر أنّ البلل وغيره إنّما هو متنجّس لا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كونه عين نجاسة إلّا أنّه شي‌ء محكوم بنجاسته ، ومن شأن مثله أن يؤثّر التنجيس كعين النجاسة ، فإنّ منع وجود عين النجاسة من تأثير الوارد لمجرّد كون السبب في التنجيس موجودا ، فليمنع وجود المتنجّس لأنّ له سببيّة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للمتنجّس هاهنا تأثيرا كعين النجاسة ؛ لأنّ الدليل على مساواته لها غير متناول لهذا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 ولكنّا نقول نحوه في العين ؛ فإنّ الدليل على سببيّتها في التنجيس غير صالح لتناول محلّ النزاع</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قوّة القول بإجزاء المرّة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والدي رحمه‌اللّه في بعض </w:t>
      </w:r>
      <w:bookmarkStart w:id="1211" w:name="pg8731_77834"/>
    </w:p>
    <w:p>
      <w:pPr>
        <w:pStyle w:val="BookText"/>
        <w:rPr/>
      </w:pPr>
      <w:bookmarkEnd w:id="1211"/>
      <w:r>
        <w:rPr>
          <w:rFonts w:ascii="Amiri" w:hAnsi="Amiri" w:eastAsia="Amiri" w:cs="Amiri"/>
          <w:color w:val="111111"/>
          <w:sz w:val="28"/>
          <w:sz w:val="28"/>
          <w:szCs w:val="28"/>
          <w:rtl w:val="true"/>
          <w:lang w:bidi="ar-SA"/>
        </w:rPr>
        <w:t xml:space="preserve">كتبه </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بالعلّامة رحمه‌اللّه رفيقا في القول به </w:t>
      </w:r>
      <w:r>
        <w:rPr>
          <w:rStyle w:val="FootnoteAnchor"/>
          <w:rtl w:val="true"/>
        </w:rPr>
        <w:footnoteReference w:id="2093"/>
      </w:r>
      <w:r>
        <w:rPr>
          <w:rFonts w:ascii="Amiri" w:hAnsi="Amiri" w:eastAsia="Amiri" w:cs="Amiri"/>
          <w:color w:val="111111"/>
          <w:sz w:val="28"/>
          <w:sz w:val="28"/>
          <w:szCs w:val="28"/>
          <w:rtl w:val="true"/>
          <w:lang w:bidi="ar-SA"/>
        </w:rPr>
        <w:t>، إذ أكثر عباراته كما رأيت 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أكثر القائلين بالمرّة هنا ذكروا استحباب الثلاث لنحو ما قلناه في استحباب السبع للخمر والفأرة</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3140749_653776707"/>
      <w:bookmarkStart w:id="1213" w:name="_Toc449"/>
      <w:bookmarkEnd w:id="1212"/>
      <w:r>
        <w:rPr>
          <w:rtl w:val="true"/>
        </w:rPr>
        <w:t xml:space="preserve">مسألة </w:t>
      </w:r>
      <w:r>
        <w:rPr>
          <w:rtl w:val="true"/>
        </w:rPr>
        <w:t>[</w:t>
      </w:r>
      <w:r>
        <w:rPr/>
        <w:t>16</w:t>
      </w:r>
      <w:r>
        <w:rPr>
          <w:rtl w:val="true"/>
        </w:rPr>
        <w:t>] :</w:t>
      </w:r>
      <w:bookmarkEnd w:id="1213"/>
    </w:p>
    <w:p>
      <w:pPr>
        <w:pStyle w:val="Heading6"/>
        <w:numPr>
          <w:ilvl w:val="5"/>
          <w:numId w:val="1"/>
        </w:numPr>
        <w:rPr/>
      </w:pPr>
      <w:bookmarkStart w:id="1214" w:name="__RefHeading___Toc3140751_653776707"/>
      <w:bookmarkStart w:id="1215" w:name="_Toc450"/>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والغسل غير معتبر في نجاسة بول الرضيع على المشهور بين الأصحاب بحيث لا يعرف فيه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صبّ الماء على المحلّ المتنجّس به سواء في ذلك الثوب والبدن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هذا الحكم إلى عدّة أخبار أقواها إسنادا ما رواه الشيخان في الكافي والتهذيب عن الحلبي في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بول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فإن كان قد أكل فاغسله غسلا ، والغلام والجارية شرع سواء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نصّ في الحكم فليت إسنادها كان صحيحا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انضمام عدم ظهور المخالف إليها يجبر هذا الوهن مضافا إلى أنّ حسنها بواسطة إبراهيم بن هاشم ، وبعض الأصحاب يرى الاعتماد على روايته لشهادة القرائن بحسن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الشيخان في الصحيح عن أحمد بن محمّد عن عليّ بن الحكم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الصبيّ يبول على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قليلا ثمّ يعصره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الحسين بن سعيد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بول الصبيّ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الثوب كلّه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هذين الخبرين مناف لمدلول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الشيخ في الاستبصار الخبر الثاني على إرادة الصبّ من الأمر بالغسل أو على أنّ المراد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الطعام </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العلّامة في المنتهى على الوجه الثاني من الحمل ملاحظة للجمع بعد أن نبّه على ضعف السند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أحسن في ترك التعرّض للوجه الأوّل ممّا ذكره الشيخ فإنّ فيه تكلّفا ظاهرا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فمتّجه مع تحقّق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يتوقّف فيه من حيث اعتضاد هذا الخبر بالأوّل فإنّ الأمر بالعصر فيه يشعر بإرادة الغسل ، وبالأخبار الدالّة على اعتبار الغسل مرّتين في البول بقول مطلق فإنّها شاملة بحسب ظاهرها لجميع أقسامه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علم أنّ خبر الحلبي ليس بصحيح السند ، فكيف يعدل من أجله عن هذه الظواهر المتعاضدة؟</w:t>
      </w:r>
    </w:p>
    <w:p>
      <w:pPr>
        <w:pStyle w:val="BookText"/>
        <w:rPr/>
      </w:pPr>
      <w:r>
        <w:rPr>
          <w:rFonts w:ascii="Amiri" w:hAnsi="Amiri" w:eastAsia="Amiri" w:cs="Amiri"/>
          <w:color w:val="111111"/>
          <w:sz w:val="28"/>
          <w:sz w:val="28"/>
          <w:szCs w:val="28"/>
          <w:rtl w:val="true"/>
          <w:lang w:bidi="ar-SA"/>
        </w:rPr>
        <w:t xml:space="preserve">وحلّ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بما أشرنا إليه من اتّفاق كلمة الأصحاب الذين وصل إلينا كلامهم على العمل بمضمون الحديث الحسن فيقرب جعل التأويل في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يمنع تناول الأخبار الواردة بالغسل مرّتين لمحلّ النزاع فإنّ العموم فيها مستفاد من القرائن لا من لفظ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شهادة القرائن بدخول بول الرضيع في العموم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نسبة المخالف إلى خبر الحسين بن أبي العلاء من حيث الأمر فيه بالعصر تأمّل ، وإن كان العلّامة قد جزم بها في المنتهى ولم يتعرّض لوجه الجمع بينهما كما صنع في الخبر الآخر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الحلبي هي المشهورة بين علمائنا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التوقّف في الحكم بالمخالفة مع ظهور الأمر بالعصر في ذلك أنّه معارض بقوله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عليه الماء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ظاهره عدم إرادة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الغرض من العصر إخراج أجزاء النجاسة كما يشعر به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يبول على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يذكره في اعتبار العصر سابقا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المنتهى تعرّض له هناك وليس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أكثر الأصحاب ذهبوا إلى قصر الحكم هنا على الصبيّ ، فبول الصبيّة يجب الغسل منه عندهم كالكبير</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الشيخ علي بن بابويه في رسالته عدم الفرق بين الصبيّ </w:t>
      </w:r>
      <w:bookmarkStart w:id="1216" w:name="pg8731_77840"/>
    </w:p>
    <w:p>
      <w:pPr>
        <w:pStyle w:val="BookText"/>
        <w:rPr/>
      </w:pPr>
      <w:bookmarkEnd w:id="1216"/>
      <w:r>
        <w:rPr>
          <w:rFonts w:ascii="Amiri" w:hAnsi="Amiri" w:eastAsia="Amiri" w:cs="Amiri"/>
          <w:color w:val="111111"/>
          <w:sz w:val="28"/>
          <w:sz w:val="28"/>
          <w:szCs w:val="28"/>
          <w:rtl w:val="true"/>
          <w:lang w:bidi="ar-SA"/>
        </w:rPr>
        <w:t>والصبيّة حيث فرض الحكم أوّلا في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والجارية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ذلك رواية تتضمّن الفرق وسكت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عبارته المذكورة موجودة بمعناها ، وأكثر ألفاظها في الخبر الذي هو العمدة في مستند الحكم ، فكان اللازم من التمسّك به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التعلّق بها مراعى بضميمة ما يظهر من الوفاق على الحكم وهو مفقود في الصبيّة فلا جرم كان الاقتصار بالحكم على محلّ الوفاق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المحقّق في المعتبر إلى دلالة الحديث على ما ذهب إليه ابن بابويه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التسوية في التنجيس لا في حكم الإزالة مصيرا إلى ما أفتى به الأكثر من الأصحاب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الاستبصار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الغلام والجارية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بعد أكل الطعام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7" w:name="__RefHeading___Toc3140753_653776707"/>
      <w:bookmarkStart w:id="1218" w:name="_Toc451"/>
      <w:bookmarkEnd w:id="1217"/>
      <w:r>
        <w:rPr>
          <w:rtl w:val="true"/>
        </w:rPr>
        <w:t xml:space="preserve">تذنيب </w:t>
      </w:r>
      <w:r>
        <w:rPr>
          <w:rtl w:val="true"/>
        </w:rPr>
        <w:t>:</w:t>
      </w:r>
      <w:bookmarkEnd w:id="1218"/>
    </w:p>
    <w:p>
      <w:pPr>
        <w:pStyle w:val="BookText"/>
        <w:rPr/>
      </w:pPr>
      <w:r>
        <w:rPr>
          <w:rFonts w:ascii="Amiri" w:hAnsi="Amiri" w:eastAsia="Amiri" w:cs="Amiri"/>
          <w:color w:val="111111"/>
          <w:sz w:val="28"/>
          <w:sz w:val="28"/>
          <w:szCs w:val="28"/>
          <w:rtl w:val="true"/>
          <w:lang w:bidi="ar-SA"/>
        </w:rPr>
        <w:t>ذكر جماعة من متأخّري الأصحاب أنّ المراد بالرضيع من لم يغتذ بغير اللبن كثيرا بحيث يزيد على اللبن أو يساويه ولم يتجاوز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ويعزى إلى ابن إدريس تعليق الحكم بالحولين مطلقا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ظاهر ؛ فإنّ المستند خال من التعرّض له ، وإنّما علّق فيه الحكم نفيا وإثباتا بالأكل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أن يطعم ما يكون غذاء له ولا عبرة بما يلعق دواء والغذاء في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تصغ إلى من يعلّق الحكم بالحولين فإنّه مجازف ، بل لو استقلّ بالغذاء قبل الحولين تعلّق ببوله وجوب الغسل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التخفيف متعلّق بمن لم يأكل ، وحدّه ابن إدريس بالحولين وليس شيئا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الأقرب تعلّق الحكم بطعمه مستندا إلى إرادته وشهوته ، وإلّا لتعلّق الغسل بساعة الولادة ، إذ يستحبّ تحنيكه بالتمر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وأرى كلام الفاضلين هنا متقاربا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حكيناه أوّلا عن جماعة فيلوح منه نوع مخالفة لما ذكره الفاضلان حيث لم يعتبرا زيادة الأكل على اللبن أو مساواته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جعلا الضابط صدق الاغتذاء لا على سبيل الندور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وقع في آخر عبارة المحقّق من ذكر الاستقلال فتجوّز في اللفظ ، إذ لو أراد الحقيقة لخالف ما قرّره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أراد منه الحقيقة مبالغة في بيان وجه المجازفة لأنّ إطلاق ابن إدريس تعليق الحكم بالحولين يتناول صورة الاستقلال بالغذاء وترك الرضاع رأسا قبل مضيّهما ، وتسميته في تلك الحال رضيعا مجازفة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الفاضلين هو المرتبط بالدليل لا ما قاله الجماعة</w:t>
      </w:r>
      <w:r>
        <w:rPr>
          <w:rFonts w:eastAsia="Amiri" w:cs="Amiri" w:ascii="Amiri" w:hAnsi="Amiri"/>
          <w:color w:val="111111"/>
          <w:sz w:val="28"/>
          <w:szCs w:val="28"/>
          <w:rtl w:val="true"/>
          <w:lang w:bidi="ar-SA"/>
        </w:rPr>
        <w:t xml:space="preserve">. </w:t>
      </w:r>
      <w:bookmarkStart w:id="1219" w:name="pg8731_77844"/>
    </w:p>
    <w:p>
      <w:pPr>
        <w:pStyle w:val="Heading6"/>
        <w:numPr>
          <w:ilvl w:val="5"/>
          <w:numId w:val="1"/>
        </w:numPr>
        <w:rPr/>
      </w:pPr>
      <w:bookmarkStart w:id="1220" w:name="__RefHeading___Toc3140755_653776707"/>
      <w:bookmarkStart w:id="1221" w:name="_Toc452"/>
      <w:bookmarkEnd w:id="1219"/>
      <w:bookmarkEnd w:id="1220"/>
      <w:r>
        <w:rPr>
          <w:rtl w:val="true"/>
        </w:rPr>
        <w:t xml:space="preserve">مسألة </w:t>
      </w:r>
      <w:r>
        <w:rPr>
          <w:rtl w:val="true"/>
        </w:rPr>
        <w:t>[</w:t>
      </w:r>
      <w:r>
        <w:rPr/>
        <w:t>17</w:t>
      </w:r>
      <w:r>
        <w:rPr>
          <w:rtl w:val="true"/>
        </w:rPr>
        <w:t>] :</w:t>
      </w:r>
      <w:bookmarkEnd w:id="1221"/>
    </w:p>
    <w:p>
      <w:pPr>
        <w:pStyle w:val="BookText"/>
        <w:rPr/>
      </w:pPr>
      <w:r>
        <w:rPr>
          <w:rFonts w:ascii="Amiri" w:hAnsi="Amiri" w:eastAsia="Amiri" w:cs="Amiri"/>
          <w:color w:val="111111"/>
          <w:sz w:val="28"/>
          <w:sz w:val="28"/>
          <w:szCs w:val="28"/>
          <w:rtl w:val="true"/>
          <w:lang w:bidi="ar-SA"/>
        </w:rPr>
        <w:t xml:space="preserve">وذهب الصدوق رحمه‌اللّه إلى عدم اعتبار الغسل في نجاسة كلب الصيد واكتفى فيها بالرشّ فقال في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أصاب ثوبه كلب جافّ ولم يكن بكلب صيد فعليه أن يرشّه بالماء ، وإن كان رطبا فعليه أن يغسله ، وإن كان كلب صيد وكان جافّا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رطبا فعليه أن يرشّه بالماء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بين الأصحاب وجوب الغسل من ملاقاة الكلب بالرطوبة وأنّه مع اليبوسة يرشّ من غير فرق بين كلب الصيد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ما رواه الشيخ عن محمّد بن مسلم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الكلب يصيب شيئا من جسد الرجل؟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المكان الذي أصابه </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الفضل أبي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من الكلب رطوبة فاغسله ، وإن مسّه جافّا فاصبب عليه الماء </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حريز عمّن أخبره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ثوبك كلب فإن كان يابسا فانضحه وإن كان رطبا فاغسله </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 xml:space="preserve">. </w:t>
      </w:r>
      <w:bookmarkStart w:id="1222" w:name="pg8731_77846"/>
    </w:p>
    <w:p>
      <w:pPr>
        <w:pStyle w:val="BookText"/>
        <w:rPr/>
      </w:pPr>
      <w:bookmarkEnd w:id="1222"/>
      <w:r>
        <w:rPr>
          <w:rFonts w:ascii="Amiri" w:hAnsi="Amiri" w:eastAsia="Amiri" w:cs="Amiri"/>
          <w:color w:val="111111"/>
          <w:sz w:val="28"/>
          <w:sz w:val="28"/>
          <w:szCs w:val="28"/>
          <w:rtl w:val="true"/>
          <w:lang w:bidi="ar-SA"/>
        </w:rPr>
        <w:t xml:space="preserve">وعن القاسم عن عليّ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الكلب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انضحه وإن كان رطبا فاغسله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كما ترى مطلقة في الأمر بالغسل مع الرطوبة عامّة في أفراد الكلب بمعونة ترك الاستفصال وقرينة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الرشّ مع اليبوسة فهي حجّة على الصدوق في نفيه للأمرين في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لما صار إليه وجها</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3140757_653776707"/>
      <w:bookmarkStart w:id="1224" w:name="_Toc453"/>
      <w:bookmarkEnd w:id="1223"/>
      <w:r>
        <w:rPr>
          <w:rtl w:val="true"/>
        </w:rPr>
        <w:t xml:space="preserve">مسألة </w:t>
      </w:r>
      <w:r>
        <w:rPr>
          <w:rtl w:val="true"/>
        </w:rPr>
        <w:t>[</w:t>
      </w:r>
      <w:r>
        <w:rPr/>
        <w:t>18</w:t>
      </w:r>
      <w:r>
        <w:rPr>
          <w:rtl w:val="true"/>
        </w:rPr>
        <w:t>] :</w:t>
      </w:r>
      <w:bookmarkEnd w:id="1224"/>
    </w:p>
    <w:p>
      <w:pPr>
        <w:pStyle w:val="BookText"/>
        <w:rPr/>
      </w:pPr>
      <w:r>
        <w:rPr>
          <w:rFonts w:ascii="Amiri" w:hAnsi="Amiri" w:eastAsia="Amiri" w:cs="Amiri"/>
          <w:color w:val="111111"/>
          <w:sz w:val="28"/>
          <w:sz w:val="28"/>
          <w:szCs w:val="28"/>
          <w:rtl w:val="true"/>
          <w:lang w:bidi="ar-SA"/>
        </w:rPr>
        <w:t>والمشهور بين علمائنا أنّ رشّ الثوب في ملاقاة الكلب باليبوسة على جهة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ابن حمزة القول بوجوبه استنادا إلى الأوامر الواردة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والتفاتا إلى أنّ الأصل في الأمر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العلّامة في المختلف بأنّ النجاسة لا تتعدّى مع اليبوسة إجماعا وإلّا لوجب غسل المحلّ فيتعيّن حمل الأمر على الاستحباب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وللنظر في الكلامين مجال</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حجّة ابن حمزة فلأنّ الأمر بالرشّ ورد في مواضع كثيرة وسنذكرها ، ولم ينقل عنه التزام الوجوب فيها كلّها بل ظاهر الأصحاب الإطباق على الاستحباب في جملة منها ، وذلك قرينة على إرادته من الأوامر في الجميع ، مع أنّ في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ينقل عنه القول بالوجوب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أقوى </w:t>
      </w:r>
    </w:p>
    <w:p>
      <w:pPr>
        <w:pStyle w:val="BookText"/>
        <w:rPr/>
      </w:pPr>
      <w:r>
        <w:rPr>
          <w:rFonts w:ascii="Amiri" w:hAnsi="Amiri" w:eastAsia="Amiri" w:cs="Amiri"/>
          <w:color w:val="111111"/>
          <w:sz w:val="28"/>
          <w:sz w:val="28"/>
          <w:szCs w:val="28"/>
          <w:rtl w:val="true"/>
          <w:lang w:bidi="ar-SA"/>
        </w:rPr>
        <w:t xml:space="preserve">أسنادا ممّا ورد هنا ، فالتفرقة غير واضحة ، والاعتماد في القرينة على ما ذكر ليس بذلك البعيد لشيوع استعمال الأوامر في الاستحباب في كلام الأئمّة عليهم‌السلام كما نبّهنا عليه في مقدّمة الكتاب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كلام العلّامة فلأنّ ثبوت الإجماع الذي ادّعاه إنّما يقتضي نفي اعتبار الرشّ لإزالة النجاسة والحكم بالوجوب لا ينحصر فيه لجواز كونه على سبيل التعبّد 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تقدير تعدّي النجاسة حينئذ يجب غسل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قائم على الاكتفاء في زوالها بالرشّ ، والنظير باعترافه موجود على ما عرف في بول الرضيع ، فلا مجال للاستبعاد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من كلام الصدوق موافقة ابن حمزة حيث قال في صورة الملاقاة باليبوسة في ما لم يكن كلب 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أن يرشّه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الحكم في صورة ملاقاة كلب الصيد مع الرطوبة بتلك العبارة ، مضافا إلى التعبير بنظيرها في حكم الغسل عند ملاقاة النوع الأوّل بالرطوبة ، ومن المعلوم أنّ المراد في الحكمين الأخيرين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المستبعد أن يريد الاستحباب في الأوّل مع اتّفاق النمط في التأدية وعدم الإشارة إلى المخالفة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في النهاية صريح في القول بالوجوب أيضا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أحوط</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أكثر الأصحاب ذكروا الحكم هنا بلفظ الرشّ </w:t>
      </w:r>
    </w:p>
    <w:p>
      <w:pPr>
        <w:pStyle w:val="BookText"/>
        <w:rPr/>
      </w:pPr>
      <w:r>
        <w:rPr>
          <w:rFonts w:ascii="Amiri" w:hAnsi="Amiri" w:eastAsia="Amiri" w:cs="Amiri"/>
          <w:color w:val="111111"/>
          <w:sz w:val="28"/>
          <w:sz w:val="28"/>
          <w:szCs w:val="28"/>
          <w:rtl w:val="true"/>
          <w:lang w:bidi="ar-SA"/>
        </w:rPr>
        <w:t>والروايات التي هي المستند إنّما ورد فيها الأمر بالصبّ والنضح ، فكأنّهم يرون ترادف هذه الألفاظ ، فلا حجر في وضع بعضها مقام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العلّامة في النهاية على الفرق بين الرشّ والنضح </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عن قريب حكاية كلامه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بناء عليه التعبير بالرشّ حينئذ مع كون المذكور في الروايات هو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الاعتماد في الحكم على صحيحة الفضل </w:t>
      </w:r>
      <w:r>
        <w:rPr>
          <w:rStyle w:val="FootnoteAnchor"/>
          <w:rtl w:val="true"/>
        </w:rPr>
        <w:footnoteReference w:id="2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فيها الصبّ وهو في معنى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يتّجه على هذا أنّه في النهاية عبّر هنا بالنضح وفي بول الرضيع بالرشّ مع أنّ الصبّ ورد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كتبه عبّر بالرشّ فيما مستنده ورد بالنضح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المنتهى بالاحتجاج للرشّ في بعض المواضع برواية متضمّنة للنضح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فكلامه في غير النهاية ظاهر في مرادفة النضح للرشّ كما يفيده كلام غيره من الأصحاب ، ونصّ عليه جماعة من أهل اللغة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الرشّ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نحوه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1225" w:name="pg8731_77852"/>
    </w:p>
    <w:p>
      <w:pPr>
        <w:pStyle w:val="Heading6"/>
        <w:numPr>
          <w:ilvl w:val="5"/>
          <w:numId w:val="1"/>
        </w:numPr>
        <w:rPr/>
      </w:pPr>
      <w:bookmarkStart w:id="1226" w:name="__RefHeading___Toc3140759_653776707"/>
      <w:bookmarkStart w:id="1227" w:name="_Toc454"/>
      <w:bookmarkEnd w:id="1225"/>
      <w:bookmarkEnd w:id="1226"/>
      <w:r>
        <w:rPr>
          <w:rtl w:val="true"/>
        </w:rPr>
        <w:t xml:space="preserve">مسألة </w:t>
      </w:r>
      <w:r>
        <w:rPr>
          <w:rtl w:val="true"/>
        </w:rPr>
        <w:t>[</w:t>
      </w:r>
      <w:r>
        <w:rPr/>
        <w:t>19</w:t>
      </w:r>
      <w:r>
        <w:rPr>
          <w:rtl w:val="true"/>
        </w:rPr>
        <w:t>] :</w:t>
      </w:r>
      <w:bookmarkEnd w:id="1227"/>
    </w:p>
    <w:p>
      <w:pPr>
        <w:pStyle w:val="BookText"/>
        <w:rPr/>
      </w:pPr>
      <w:r>
        <w:rPr>
          <w:rFonts w:ascii="Amiri" w:hAnsi="Amiri" w:eastAsia="Amiri" w:cs="Amiri"/>
          <w:color w:val="111111"/>
          <w:sz w:val="28"/>
          <w:sz w:val="28"/>
          <w:szCs w:val="28"/>
          <w:rtl w:val="true"/>
          <w:lang w:bidi="ar-SA"/>
        </w:rPr>
        <w:t>وترشّ الثوب من ملاقاة الخنزير جافّا استحبابا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ويعزى إلى ابن حمزة إيجابه كما في الكلب </w:t>
      </w: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في النهاية يصرّح به أيضا </w:t>
      </w:r>
      <w:r>
        <w:rPr>
          <w:rStyle w:val="FootnoteAnchor"/>
          <w:rtl w:val="true"/>
        </w:rPr>
        <w:footnoteReference w:id="2119"/>
      </w:r>
      <w:r>
        <w:rPr>
          <w:rFonts w:ascii="Amiri" w:hAnsi="Amiri" w:eastAsia="Amiri" w:cs="Amiri"/>
          <w:color w:val="111111"/>
          <w:sz w:val="28"/>
          <w:sz w:val="28"/>
          <w:szCs w:val="28"/>
          <w:rtl w:val="true"/>
          <w:lang w:bidi="ar-SA"/>
        </w:rPr>
        <w:t xml:space="preserve">، وعبارة المفيد في المقنعة ظاهرة في ذلك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 في الجملة ما رواه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يصيب ثوبه خنزير فلم يغسله فذكر وهو في صلاته ،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في صلاته فليمض وإن لم يكن دخل في صلاته فلينضح ما أصاب من ثوبه إلّا أن يكون فيه أثر فيغسله </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مرادفة النضح للرشّ أو مغايرته ، وفي توجيه استفادة الوجوب أو الاستحباب من الأمر على حدّ ما ذكر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الرواية هنا عدم استناد الحكم إلى النجاسة ، فبتقدير الوجوب يكون تعبّدا ، وذلك لأنّه أمر فيها بالمضيّ في الصلاة إذا كان قد دخل فيها ، وظاهره نفي التنجيس</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بالغسل مع وجود الأثر ليس إلّا للتنجيس ، والحكم بالمضيّ في الصلاة بعد الدخول فيها شامل له ، كما يشعر به ذكر الحكمين على تقدير عدم الدخول ، فلا يصلح الاستناد في نفي التنجيس حينئذ إلى الأمر </w:t>
      </w:r>
    </w:p>
    <w:p>
      <w:pPr>
        <w:pStyle w:val="BookText"/>
        <w:rPr/>
      </w:pPr>
      <w:r>
        <w:rPr>
          <w:rFonts w:ascii="Amiri" w:hAnsi="Amiri" w:eastAsia="Amiri" w:cs="Amiri"/>
          <w:color w:val="111111"/>
          <w:sz w:val="28"/>
          <w:sz w:val="28"/>
          <w:szCs w:val="28"/>
          <w:rtl w:val="true"/>
          <w:lang w:bidi="ar-SA"/>
        </w:rPr>
        <w:t xml:space="preserve">بالمضيّ وإن لم يعهد في غير هذا الموضع تفاوت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إزالة النجاسة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في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ذلك من خصوصيات هذا النوع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السائل دلالة على علمه بحصول الأثر من الملاقاة يعني وجدان الرطوبة المؤثّرة قبل دخوله في الصلاة ومقتضى الأصل انتفاؤها فلذلك أمر بالمضيّ حينئذ وهو يدلّ على عدم وجوب التفحّص وأنّه يكفي البناء على أصالة طهارة الثوب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مستفاد من بعض الأخبار في غير هذه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الدخول فحيث أنّه مأمور بالنضح وجوبا أو استحبابا يحتاج إلى ملاحظة موضع الملاقاة فإذا تبيّن فيه الأثر وجب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لو لم يكن ظاهرا لكفى احتماله في المصير إليه لما في إثبات الخصوصيّة من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موسى بن القاسم عن علي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خنزير أصاب ثوبا وهو جافّ هل تصلح الصلاة فيه قبل أن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ينضحه بالماء ثمّ يصلّي فيه </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وإن ظهر منها اعتبار تقديم النضح على الصلاة لكنّه غير دالّ على كونه بسبب النجاسة ، بل احتمال التعبّد معه باق ، فلا معارض لظاهر الخبر الأوّل</w:t>
      </w:r>
      <w:r>
        <w:rPr>
          <w:rFonts w:eastAsia="Amiri" w:cs="Amiri" w:ascii="Amiri" w:hAnsi="Amiri"/>
          <w:color w:val="111111"/>
          <w:sz w:val="28"/>
          <w:szCs w:val="28"/>
          <w:rtl w:val="true"/>
          <w:lang w:bidi="ar-SA"/>
        </w:rPr>
        <w:t xml:space="preserve">. </w:t>
      </w:r>
      <w:bookmarkStart w:id="1228" w:name="pg8731_77856"/>
    </w:p>
    <w:p>
      <w:pPr>
        <w:pStyle w:val="Heading6"/>
        <w:numPr>
          <w:ilvl w:val="5"/>
          <w:numId w:val="1"/>
        </w:numPr>
        <w:rPr/>
      </w:pPr>
      <w:bookmarkStart w:id="1229" w:name="__RefHeading___Toc3140761_653776707"/>
      <w:bookmarkStart w:id="1230" w:name="_Toc455"/>
      <w:bookmarkEnd w:id="1228"/>
      <w:bookmarkEnd w:id="1229"/>
      <w:r>
        <w:rPr>
          <w:rtl w:val="true"/>
        </w:rPr>
        <w:t xml:space="preserve">مسألة </w:t>
      </w:r>
      <w:r>
        <w:rPr>
          <w:rtl w:val="true"/>
        </w:rPr>
        <w:t>[</w:t>
      </w:r>
      <w:r>
        <w:rPr/>
        <w:t>20</w:t>
      </w:r>
      <w:r>
        <w:rPr>
          <w:rtl w:val="true"/>
        </w:rPr>
        <w:t>] :</w:t>
      </w:r>
      <w:bookmarkEnd w:id="1230"/>
    </w:p>
    <w:p>
      <w:pPr>
        <w:pStyle w:val="BookText"/>
        <w:rPr/>
      </w:pPr>
      <w:r>
        <w:rPr>
          <w:rFonts w:ascii="Amiri" w:hAnsi="Amiri" w:eastAsia="Amiri" w:cs="Amiri"/>
          <w:color w:val="111111"/>
          <w:sz w:val="28"/>
          <w:sz w:val="28"/>
          <w:szCs w:val="28"/>
          <w:rtl w:val="true"/>
          <w:lang w:bidi="ar-SA"/>
        </w:rPr>
        <w:t>وحكى العلّامة في المختلف عن ابن حمزة إيجاب رشّ الثوب من ملاقاة الكافر باليبوسة أيضا حيث جمع في نقل خلافه والبحث معه بين الكلب وأخويه ، لكنّه لم يحتجّ له إلّا على حكم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استقرب الاستحباب وظاهره كون ذلك في الجميع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 الإنسان كلب أو خنزير أو ثعلب أو أرنب أو فأرة أو وزغة وكان يابسا وجب أن يرشّ الموضع بعينه فإن لم يتعيّن رشّ الثوب كله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ثوب الإنسان كلب أو خنزير وكانا يابسين فليرشّ موضع مسّهما منه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الفأرة والوزغة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سلّار في رسالته بوجوب الرشّ من مماسّة الكلب والخنزير والفأرة والوزغة وجسد الكافر باليبوسة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المحقّق في المعتبر أنّ الشيخ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نجاسة أصابت الثوب وكانت يابسة لا يجب غسلها وإنّما يستحبّ نضح الثوب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لاعتبار شي‌ء من ذلك في غير الكلب والخنزير بالوجوب أو </w:t>
      </w:r>
    </w:p>
    <w:p>
      <w:pPr>
        <w:pStyle w:val="BookText"/>
        <w:rPr/>
      </w:pPr>
      <w:r>
        <w:rPr>
          <w:rFonts w:ascii="Amiri" w:hAnsi="Amiri" w:eastAsia="Amiri" w:cs="Amiri"/>
          <w:color w:val="111111"/>
          <w:sz w:val="28"/>
          <w:sz w:val="28"/>
          <w:szCs w:val="28"/>
          <w:rtl w:val="true"/>
          <w:lang w:bidi="ar-SA"/>
        </w:rPr>
        <w:t xml:space="preserve">الاستحباب حجّة سوى ما رواه الشيخ 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الرطبة قد وقعت في الماء تمشي على الثياب أيصلّي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رأيت من أثرها ، وما لم تره فانضحه بالماء </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الأمر بالنضح هنا نظير ما مرّ في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أنّ الأمر بالغسل الواقع في صحبته للاستحباب كما سبق بيانه ولا قرينة معه فيقرب كون الآخر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أيضا عن عبيد اللّه بن علي الحلبي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الصلاة في ثوب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 بالماء </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إنّما يصلح دليلا على بعض وجوه ملاقاة الكافر باليبوسة لا مطلقا كما هو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بالرشّ فيه محمول على الاستحباب قطعا لوجود المعارض الدالّ على نفي الوجوب كصحيح معاوية بن عمّار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الثياب السابريّة يعملها المجوس ألبسها ولا أغسلها واصلّي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نقله في حكم ظنّ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فيه ما يفيده كلام السائل من استعمال الثياب المذكورة على ما هي عليه لله ، وإقرار الإمام عليه‌السلام له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يأمره بشي‌ء من رشّ أو غيره</w:t>
      </w:r>
      <w:r>
        <w:rPr>
          <w:rFonts w:eastAsia="Amiri" w:cs="Amiri" w:ascii="Amiri" w:hAnsi="Amiri"/>
          <w:color w:val="111111"/>
          <w:sz w:val="28"/>
          <w:szCs w:val="28"/>
          <w:rtl w:val="true"/>
          <w:lang w:bidi="ar-SA"/>
        </w:rPr>
        <w:t xml:space="preserve">. </w:t>
      </w:r>
      <w:bookmarkStart w:id="1231" w:name="pg8731_77860"/>
    </w:p>
    <w:p>
      <w:pPr>
        <w:pStyle w:val="Heading6"/>
        <w:numPr>
          <w:ilvl w:val="5"/>
          <w:numId w:val="1"/>
        </w:numPr>
        <w:rPr/>
      </w:pPr>
      <w:bookmarkStart w:id="1232" w:name="__RefHeading___Toc3140763_653776707"/>
      <w:bookmarkStart w:id="1233" w:name="_Toc456"/>
      <w:bookmarkEnd w:id="1231"/>
      <w:bookmarkEnd w:id="1232"/>
      <w:r>
        <w:rPr>
          <w:rtl w:val="true"/>
        </w:rPr>
        <w:t xml:space="preserve">مسألة </w:t>
      </w:r>
      <w:r>
        <w:rPr>
          <w:rtl w:val="true"/>
        </w:rPr>
        <w:t>[</w:t>
      </w:r>
      <w:r>
        <w:rPr/>
        <w:t>21</w:t>
      </w:r>
      <w:r>
        <w:rPr>
          <w:rtl w:val="true"/>
        </w:rPr>
        <w:t>] :</w:t>
      </w:r>
      <w:bookmarkEnd w:id="1233"/>
    </w:p>
    <w:p>
      <w:pPr>
        <w:pStyle w:val="BookText"/>
        <w:rPr/>
      </w:pPr>
      <w:r>
        <w:rPr>
          <w:rFonts w:ascii="Amiri" w:hAnsi="Amiri" w:eastAsia="Amiri" w:cs="Amiri"/>
          <w:color w:val="111111"/>
          <w:sz w:val="28"/>
          <w:sz w:val="28"/>
          <w:szCs w:val="28"/>
          <w:rtl w:val="true"/>
          <w:lang w:bidi="ar-SA"/>
        </w:rPr>
        <w:t xml:space="preserve">وعزى في المختلف إلى ابن حمزة إيجاب مسح البدن بالتراب إذا أصابه الكلب أو الخنزير أو الكافر بغير رطوبة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 الإنسان بيده كلبا أو خنزيرا أو ثعلبا أو أرنبا أو فأرة أو وزغة أو صافح ذميّا أو ناصبيّا معلنا بعداوة آل محمّد عليهم‌السلام وجب غسل يده إن كان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يابسا مسحه بالتراب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 جسد الإنسان كلب أو خنزير أو فأرة أو وزغة وكان يابسا مسحه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صافح الكافر ولم يكن في يده رطوبة مسحها ببعض الحيطان أو التراب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المعتبر عن الشيخ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نجاسة أصابت البدن وكانت يابسة لا يجب غسلها وإنّما يستحبّ مسح اليد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للمسح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العلّامة في المنتهى استحبابه من ملاقاة البدن للكلب أو الخنزير باليبوسة بعد حكمه بوجوب الغسل مع كون الملاقاة برطوبة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الحجّة على إيجاب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مسح الجسد فشي‌ء </w:t>
      </w:r>
      <w:bookmarkStart w:id="1234" w:name="pg8731_77862"/>
    </w:p>
    <w:p>
      <w:pPr>
        <w:pStyle w:val="BookText"/>
        <w:rPr/>
      </w:pPr>
      <w:bookmarkEnd w:id="1234"/>
      <w:r>
        <w:rPr>
          <w:rFonts w:ascii="Amiri" w:hAnsi="Amiri" w:eastAsia="Amiri" w:cs="Amiri"/>
          <w:color w:val="111111"/>
          <w:sz w:val="28"/>
          <w:sz w:val="28"/>
          <w:szCs w:val="28"/>
          <w:rtl w:val="true"/>
          <w:lang w:bidi="ar-SA"/>
        </w:rPr>
        <w:t xml:space="preserve">ذكره بعض الأصحاب ولم يثبت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5" w:name="__RefHeading___Toc3140765_653776707"/>
      <w:bookmarkStart w:id="1236" w:name="_Toc457"/>
      <w:bookmarkEnd w:id="1235"/>
      <w:r>
        <w:rPr>
          <w:rtl w:val="true"/>
        </w:rPr>
        <w:t xml:space="preserve">مسألة </w:t>
      </w:r>
      <w:r>
        <w:rPr>
          <w:rtl w:val="true"/>
        </w:rPr>
        <w:t>[</w:t>
      </w:r>
      <w:r>
        <w:rPr/>
        <w:t>22</w:t>
      </w:r>
      <w:r>
        <w:rPr>
          <w:rtl w:val="true"/>
        </w:rPr>
        <w:t>] :</w:t>
      </w:r>
      <w:bookmarkEnd w:id="1236"/>
    </w:p>
    <w:p>
      <w:pPr>
        <w:pStyle w:val="BookText"/>
        <w:rPr/>
      </w:pPr>
      <w:r>
        <w:rPr>
          <w:rFonts w:ascii="Amiri" w:hAnsi="Amiri" w:eastAsia="Amiri" w:cs="Amiri"/>
          <w:color w:val="111111"/>
          <w:sz w:val="28"/>
          <w:sz w:val="28"/>
          <w:szCs w:val="28"/>
          <w:rtl w:val="true"/>
          <w:lang w:bidi="ar-SA"/>
        </w:rPr>
        <w:t>ويرشّ الثوب إذا حصل في نجاسته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الشيخان في المقنعة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النهاية صريحة في كون ذلك على سبيل الاستحباب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عبارة المقنعة فمطلقة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ظنّ الإنسان أنّه قد أصاب ثوبه نجاسة ولم يتيقّن ذلك رشّه بالماء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العلّامة في المنتهى والنهاية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عبّر عن الحكم بالنضح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أنّ كلامه في غير النهاية ظاهر في موافقة أكثر الأصحاب على مرادفة النضح للرشّ فيكون ما ذكره في المنتهى موافقا لما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الاختلاف بين النهايتين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سلّار الرشّ إذا حصل الظنّ بنجاسة الثوب ولم يتيقّن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وجدناه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 عند الشكّ في إصابة بعض أنواع النجاسة المؤثّرة للثوب أو البدن</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 عن عبد الرحمن بن الحجّاج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إبراهيم عليه‌السلام عن رجل يبول بالليل فيحسب أنّ البول أصابه فلا يتيقّن فهل يجزيه أن يصبّ على ذكره إذا بال ولا يتنشّف؟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استبان أنّه أصابه وينضح ما يشكّ فيه من جسده أو ثيابه ويتنشّف قبل أن يتوضّأ </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المراد من التنشّف الاستبراء فيكون الخبر متضمّنا لمسألتين إحداهما حكم الشكّ والاخرى إجزاء الصبّ بغير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تأدية السؤال عنهما من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التوضّؤ حينئذ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الحسن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الرجل فأصاب ثوبه منّي فليغسل الذي أصابه فإن ظنّ أنّه أصابه منّي ولم يستيقن ولم ير مكانه فلينضحه بالماء </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أصاب ثوبه جنابة أو 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جنابة قبل أن يصلّي ثمّ صلّى فيه ولم يغسله فعليه أن يعيد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يرى أنّه أصابه شي‌ء فنظر فلم ير شيئا أجزأه إن لم ينضحه بالماء </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البحث عن اعتبار الدقّ والتغميز في غسل ما يعتبر عصره رواية لا يخلو سندها عن اعتبار ، متضمّنة للأمر بنضح جانب الثوب الذي يشكّ في نفوذ البول إليه من جانبه الآخر بعد الأمر بغسل الجانب الذي أصابه البول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سلّار من إيجاب الرشّ مع الظنّ فلم نقف له على حجّة</w:t>
      </w:r>
      <w:r>
        <w:rPr>
          <w:rFonts w:eastAsia="Amiri" w:cs="Amiri" w:ascii="Amiri" w:hAnsi="Amiri"/>
          <w:color w:val="111111"/>
          <w:sz w:val="28"/>
          <w:szCs w:val="28"/>
          <w:rtl w:val="true"/>
          <w:lang w:bidi="ar-SA"/>
        </w:rPr>
        <w:t xml:space="preserve">. </w:t>
      </w:r>
      <w:bookmarkStart w:id="1237" w:name="pg8731_77866"/>
    </w:p>
    <w:p>
      <w:pPr>
        <w:pStyle w:val="BookText"/>
        <w:rPr/>
      </w:pPr>
      <w:bookmarkEnd w:id="1237"/>
      <w:r>
        <w:rPr>
          <w:rFonts w:ascii="Amiri" w:hAnsi="Amiri" w:eastAsia="Amiri" w:cs="Amiri"/>
          <w:color w:val="111111"/>
          <w:sz w:val="28"/>
          <w:sz w:val="28"/>
          <w:szCs w:val="28"/>
          <w:rtl w:val="true"/>
          <w:lang w:bidi="ar-SA"/>
        </w:rPr>
        <w:t xml:space="preserve">واعتبار العلّامة في نهايته النضح هنا مغايرا للرشّ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قاله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كاعتباره في حكم الكلب والخنزير ، لما أشرنا إليه هناك من مخالفته لظاهر كلامه في غير هذا الكتاب وكلام أكثر الأصحاب ، ونصّ جماعة من أهل اللغة وأنّه لا شاهد له عليه وسيأتي نقل كلامه في ذلك والبحث معه فيه</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3140767_653776707"/>
      <w:bookmarkStart w:id="1239" w:name="_Toc458"/>
      <w:bookmarkEnd w:id="1238"/>
      <w:r>
        <w:rPr>
          <w:rtl w:val="true"/>
        </w:rPr>
        <w:t xml:space="preserve">مسألة </w:t>
      </w:r>
      <w:r>
        <w:rPr>
          <w:rtl w:val="true"/>
        </w:rPr>
        <w:t>[</w:t>
      </w:r>
      <w:r>
        <w:rPr/>
        <w:t>23</w:t>
      </w:r>
      <w:r>
        <w:rPr>
          <w:rtl w:val="true"/>
        </w:rPr>
        <w:t>] :</w:t>
      </w:r>
      <w:bookmarkEnd w:id="1239"/>
    </w:p>
    <w:p>
      <w:pPr>
        <w:pStyle w:val="BookText"/>
        <w:rPr/>
      </w:pPr>
      <w:r>
        <w:rPr>
          <w:rFonts w:ascii="Amiri" w:hAnsi="Amiri" w:eastAsia="Amiri" w:cs="Amiri"/>
          <w:color w:val="111111"/>
          <w:sz w:val="28"/>
          <w:sz w:val="28"/>
          <w:szCs w:val="28"/>
          <w:rtl w:val="true"/>
          <w:lang w:bidi="ar-SA"/>
        </w:rPr>
        <w:t xml:space="preserve">وذكر العلّامة في المنتهى والنهاية استحباب النضح في خمسة مواضع اخرى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ذلك عنه الشهيد في الذكرى </w:t>
      </w:r>
      <w:r>
        <w:rPr>
          <w:rStyle w:val="FootnoteAnchor"/>
          <w:rtl w:val="true"/>
        </w:rPr>
        <w:footnoteReference w:id="2144"/>
      </w:r>
      <w:r>
        <w:rPr>
          <w:rFonts w:ascii="Amiri" w:hAnsi="Amiri" w:eastAsia="Amiri" w:cs="Amiri"/>
          <w:color w:val="111111"/>
          <w:sz w:val="28"/>
          <w:sz w:val="28"/>
          <w:szCs w:val="28"/>
          <w:rtl w:val="true"/>
          <w:lang w:bidi="ar-SA"/>
        </w:rPr>
        <w:t>وزاد عليها موضعين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المتأخّرين ذكر الخمسة بلفظ الرشّ ، وهو بناء على الترادف كما هو المعروف ؛ إذ أكثر الأخبار وردت بالنضح كما في المسائل السابقة ونحن نذكر الروايات الواردة في المواضع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الرطبة وقد وقعت في الماء تمشي على الثياب أيصلّي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رأيت من أثرها وما لم تره فانضحه بالماء </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النضح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يرى من أثر الفأرة الرطبة في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يرى منه فالحكم فيه الغسل وجوبا أو استحبابا على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في كلام جماعة إطلاق القول بالنضح من الفأرة الرطبة تبعا لعبارة العلّامة في النهاية وليس بجيّد ، وقد صرّح في المنتهى بما قلناه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الفأرة إذا لاقت الثوب وهي رطبة ولم ير الموضع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عليّ بن جعفر أيضا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وقع ثوبه على كلب 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محمّد بن مسلم في الصحيح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المذي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ينضحه بالماء إن شاء </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نصّ على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محمّد بن مسلم في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أبوال الدوابّ والبغال والحمير؟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فإن لم تعلم مكانه فاغسل الثوب كلّه ، فإن شككت فانضحه </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يصيبه أبوال البهائم أيغسله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بول الفرس والبغل والحمار وينضح بول البعير والشاة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القميص يعرق فيه الرجل وهو جنب حتّى يبتلّ القميص؟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أن يرشّه بالماء فليفعل </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أقرب للدلالة على الاستحباب في الموضع السادس الذي هو موردها أعني عرق الجنب ، ولم يتعرّض لها في المنتهى وإنّما جعل المستند فيه رواية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يلوح منها نفي الاستحباب وأنّ الثابت هو الإباحة مماشاة للسائل حيث فهم منه الميل إلى التنزّه عن العرق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الرواية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وأنا حاضر عن رجل أجنب في ثوبه فيعرق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يعرق حتّى لو شاء أن يعصره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 أبو عبد اللّه عليه‌السلام في وجه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اتيتم فشي‌ء من ماء فانضحه به </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أبو جعفر الكليني رحمه‌اللّه في الكافي عن ابن أبي نصر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الرضا عليه‌السلام رجل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جرحا في مقعدتي فأتوضّأ واستنجي ثمّ أجد بعد ذلك الندى الصفرة من المقعدة أفأعيد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أيقنت؟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رشّه بالماء ولا تعد الوضوء </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بطريق آخر عن صفوان عن الرضا عليه‌السلام ورواه الشيخ في التهذيب </w:t>
      </w:r>
      <w:bookmarkStart w:id="1240" w:name="pg8731_77872"/>
    </w:p>
    <w:p>
      <w:pPr>
        <w:pStyle w:val="BookText"/>
        <w:rPr/>
      </w:pPr>
      <w:bookmarkEnd w:id="1240"/>
      <w:r>
        <w:rPr>
          <w:rFonts w:ascii="Amiri" w:hAnsi="Amiri" w:eastAsia="Amiri" w:cs="Amiri"/>
          <w:color w:val="111111"/>
          <w:sz w:val="28"/>
          <w:sz w:val="28"/>
          <w:szCs w:val="28"/>
          <w:rtl w:val="true"/>
          <w:lang w:bidi="ar-SA"/>
        </w:rPr>
        <w:t xml:space="preserve">أيضا بطريقين عن صفوان عنه عليه‌السلام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1" w:name="__RefHeading___Toc3140769_653776707"/>
      <w:bookmarkStart w:id="1242" w:name="_Toc459"/>
      <w:bookmarkEnd w:id="1241"/>
      <w:r>
        <w:rPr>
          <w:rtl w:val="true"/>
        </w:rPr>
        <w:t xml:space="preserve">مسألة </w:t>
      </w:r>
      <w:r>
        <w:rPr>
          <w:rtl w:val="true"/>
        </w:rPr>
        <w:t>[</w:t>
      </w:r>
      <w:r>
        <w:rPr/>
        <w:t>24</w:t>
      </w:r>
      <w:r>
        <w:rPr>
          <w:rtl w:val="true"/>
        </w:rPr>
        <w:t>] :</w:t>
      </w:r>
      <w:bookmarkEnd w:id="1242"/>
    </w:p>
    <w:p>
      <w:pPr>
        <w:pStyle w:val="BookText"/>
        <w:rPr/>
      </w:pPr>
      <w:r>
        <w:rPr>
          <w:rFonts w:ascii="Amiri" w:hAnsi="Amiri" w:eastAsia="Amiri" w:cs="Amiri"/>
          <w:color w:val="111111"/>
          <w:sz w:val="28"/>
          <w:sz w:val="28"/>
          <w:szCs w:val="28"/>
          <w:rtl w:val="true"/>
          <w:lang w:bidi="ar-SA"/>
        </w:rPr>
        <w:t xml:space="preserve">وذكر جماعة من الأصحاب منهم الشيخ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لمن قصّ أظفاره بالحديد أو أخذ من شعره أو حلق أن يمسح الموضع بالماء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في ذلك إلى رواية عمّار بن موسى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إذا قصّ أظفاره بالحديد أو جزء من شعره أو حلق قفاه فإنّ عليه أن يمسحه بالماء قبل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صلّى ولم يمسح من ذلك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لأنّ الحديد نجس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عمّار أيضا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يقرض من شعره بأسنانه يمسحه بالماء قبل أن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ذلك في الحديد </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الأوّل كما ترى يقتضي وجوب المسح المذكور ، بل هو نصّ في حصول التنجيس بملاقاة الحديد وقد 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شاذّ مخالف للأخبار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هذا المجرى لا يعمل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ذلك أنّ الوجه حمله على ضرب من الاستحباب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ما وقفنا عليه من الأخبار المخالفة له حديثان أوردهما الشيخ </w:t>
      </w:r>
    </w:p>
    <w:p>
      <w:pPr>
        <w:pStyle w:val="BookText"/>
        <w:rPr/>
      </w:pPr>
      <w:r>
        <w:rPr>
          <w:rFonts w:ascii="Amiri" w:hAnsi="Amiri" w:eastAsia="Amiri" w:cs="Amiri"/>
          <w:color w:val="111111"/>
          <w:sz w:val="28"/>
          <w:sz w:val="28"/>
          <w:szCs w:val="28"/>
          <w:rtl w:val="true"/>
          <w:lang w:bidi="ar-SA"/>
        </w:rPr>
        <w:t>في كتابي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زرارة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يقلم أظفاره ويجزّ شاربه ويأخذ من شعر لحيته ورأسه هل ينقض ذلك وضوءه؟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كلّ هذا سنّة والوضوء فريضة وليس شي‌ء من السنّة ينقض الفريضة وأنّ ذلك ليزيده تطهيرا </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الصحيح عن سعيد بن عبد اللّه الأعرج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أظفاري ومن شاربي وأحلق رأسي أفأغسل؟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ليس عليك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ليس عليك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فأمسح على أظفاري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طهور ليس عليك مسح </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الخبران مع قوّة إسناديهما معتضدان بالأصل ، وطريق خبر عمّار ليس بصحيح ؛ إذ أكثر رواته فطحيّة فلا يصلح معارضا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انتفاء احتمال العمل بظاهره كما ذكره الشيخ</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حمله على الاستحباب ، فربّما يصار إليه وإن كان حال إسناده ما قد علم لاعتضاده بما رواه الكليني والشيخ بعده بإسناد يعدّ في الصحيح عن محمّد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على طهر فيأخذ من أظفاره أو شعره أيعيد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يمسح رأسه وأظفاره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أنّ فيه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خاصموكم فلا تخاصموهم وقولوا هكذا السنّة </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bookmarkStart w:id="1243" w:name="pg8731_77876"/>
    </w:p>
    <w:p>
      <w:pPr>
        <w:pStyle w:val="Heading6"/>
        <w:numPr>
          <w:ilvl w:val="5"/>
          <w:numId w:val="1"/>
        </w:numPr>
        <w:rPr/>
      </w:pPr>
      <w:bookmarkStart w:id="1244" w:name="__RefHeading___Toc3140771_653776707"/>
      <w:bookmarkStart w:id="1245" w:name="_Toc460"/>
      <w:bookmarkEnd w:id="1243"/>
      <w:bookmarkEnd w:id="1244"/>
      <w:r>
        <w:rPr>
          <w:rtl w:val="true"/>
        </w:rPr>
        <w:t xml:space="preserve">مسألة </w:t>
      </w:r>
      <w:r>
        <w:rPr>
          <w:rtl w:val="true"/>
        </w:rPr>
        <w:t>[</w:t>
      </w:r>
      <w:r>
        <w:rPr/>
        <w:t>25</w:t>
      </w:r>
      <w:r>
        <w:rPr>
          <w:rtl w:val="true"/>
        </w:rPr>
        <w:t>] :</w:t>
      </w:r>
      <w:bookmarkEnd w:id="1245"/>
    </w:p>
    <w:p>
      <w:pPr>
        <w:pStyle w:val="Heading6"/>
        <w:numPr>
          <w:ilvl w:val="5"/>
          <w:numId w:val="1"/>
        </w:numPr>
        <w:rPr/>
      </w:pPr>
      <w:bookmarkStart w:id="1246" w:name="__RefHeading___Toc3140773_653776707"/>
      <w:bookmarkStart w:id="1247" w:name="_Toc461"/>
      <w:bookmarkEnd w:id="1246"/>
      <w:r>
        <w:rPr>
          <w:rtl w:val="true"/>
        </w:rPr>
        <w:t>اشارة</w:t>
      </w:r>
      <w:bookmarkEnd w:id="1247"/>
    </w:p>
    <w:p>
      <w:pPr>
        <w:pStyle w:val="BookText"/>
        <w:rPr/>
      </w:pPr>
      <w:r>
        <w:rPr>
          <w:rFonts w:ascii="Amiri" w:hAnsi="Amiri" w:eastAsia="Amiri" w:cs="Amiri"/>
          <w:color w:val="111111"/>
          <w:sz w:val="28"/>
          <w:sz w:val="28"/>
          <w:szCs w:val="28"/>
          <w:rtl w:val="true"/>
          <w:lang w:bidi="ar-SA"/>
        </w:rPr>
        <w:t>ويعتبر في إزالة النجاسة بالماء القليل إيراده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جمع من الأصحاب منهم الشيخ والمحقّق والعلّامة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ولغ الكلب في إناء ثمّ وقع الإناء في ماء قليل ينجس ولم يجز استعماله ولا يعتدّ بذلك في غسل الإناء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إناء الولوغ في ماء قليل نجس الماء ولم يتحصّل من الغسلات شي‌ء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غسل الثوب بالماء القليل ينبغي أن يورد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صبّه في الإناء ثمّ غمسه فيه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ورود النجاسة على الماء وورود الماء عليها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اشتراط ورود الماء على النجاسة لقوّته بالعمل إذ الوارد عامل ، وللنهي عن إدخال اليد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نجس الماء ولم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ممكن في غير الأواني وشبهها ممّا لا يمكن فيه الورود إلّا أن يكتفى بأوّل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اعتباره مطلقا متوجّه لأنّ امتزاج الماء بالنجاسة حاصل على كلّ تقدير والورود لا يخرجه عن كونه ملاقيا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الحسن بن محبوب عن أبي الحسن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الجصّ يوقد عليه بالعذرة وعظام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والنار قد طهّراه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جزم في الدروس باعتبار الورود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الورود حيث يمكن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ورود الماء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عكس نجس الماء القليل ولم يطهّره إلّا في نحو الإناء فإنّه يكفي الملاقاة ثمّ الانفصال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كلام الذكرى وقوله فيها بالاكتفاء في الأواني وشبهها بأوّل وروده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لا يراد بالورود أكثر من هذا ، وإلّا لم يتحقّق الورود في شي‌ء ممّا يحتاج فصل الغسالة عنه إلى معونة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تحصيله في هذا المقام أنّ مبنى اعتبار الورود على أنّ انتفاءه يقتضي نجاسة الماء ، ومن المستبعد صلاحيّة ما حكم بنجاسته لرفع حكم النجاسة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أنعم </w:t>
      </w:r>
      <w:r>
        <w:rPr>
          <w:rStyle w:val="FootnoteAnchor"/>
          <w:rtl w:val="true"/>
        </w:rPr>
        <w:footnoteReference w:id="2168"/>
      </w:r>
      <w:r>
        <w:rPr>
          <w:rFonts w:ascii="Amiri" w:hAnsi="Amiri" w:eastAsia="Amiri" w:cs="Amiri"/>
          <w:color w:val="111111"/>
          <w:sz w:val="28"/>
          <w:sz w:val="28"/>
          <w:szCs w:val="28"/>
          <w:rtl w:val="true"/>
          <w:lang w:bidi="ar-SA"/>
        </w:rPr>
        <w:t>نظره في دليل انفعال القليل بالملاقاة رأى أنّه مختصّ بما إذا وردت النجاسة على الماء فيجب حينئذ أن يكون المعتبر هاهنا هو عدم ورود النجاسة على الماء ، لا ورود الماء على النجاسة ، إذ بين الأمرين فرق واضح</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أنّ المعتبر ما ذكرناه لم يحتج إلى استثناء نحو الأواني ولا لتكلّف حمل الورود على ما يقع أوّلا ؛ فإنّ ورود النجاسة في جميع ذلك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إنّما يأتي من جهته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مبنى الاعتبار المذكور على رعاية السلامة من هذا المحذور فينبغي أن يكون مختصّا بمن يرى طهارة الماء المستعمل في الإزالة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رأي القائلين بنجاسته تعويلا على أنّ الماء القليل ينفعل بملاقاة النجاسة بأيّ وجه فرض فاعتبار ذلك مشكل إذ نجاسة الماء حاصلة على كلّ حال ، ومسمّى الغسل المأمور به يصدق وإن كان الوارد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استعمال ما حكم بنجاسته لغير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مقتضيات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عدم صلاحيّة ذاك للاستعمال وانتفاؤه في هذا ؛ فإنّ دليل نجاسته لغير هذا الوجه إنّما يقتضي المنع من استعماله في مغسول آخر ، وأمّا نفس المغسول الأوّل الذي منه نشأ الحكم بالتنجيس فليس في الدليل ما يقتضي المنع من استعماله فيه بالنظر إلى إزالة ذلك الحكم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يرى نجاسة المستعمل في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التنجيس إنّما يعرض للماء بعد انفصاله عن المحلّ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إشكال في الاعتبار المذكور على القول بالتنجيس أيضا لجواز مراعاة كون </w:t>
      </w:r>
      <w:r>
        <w:rPr>
          <w:rStyle w:val="FootnoteAnchor"/>
          <w:rtl w:val="true"/>
        </w:rPr>
        <w:footnoteReference w:id="2169"/>
      </w:r>
      <w:r>
        <w:rPr>
          <w:rFonts w:ascii="Amiri" w:hAnsi="Amiri" w:eastAsia="Amiri" w:cs="Amiri"/>
          <w:color w:val="111111"/>
          <w:sz w:val="28"/>
          <w:sz w:val="28"/>
          <w:szCs w:val="28"/>
          <w:rtl w:val="true"/>
          <w:lang w:bidi="ar-SA"/>
        </w:rPr>
        <w:t>الماء في حال الإزالة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وطروّ التنجيس بعده ليس بمناف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في حال الملاقاة للثوب أيضا نجس لأمكن توجيه الاعتبار المذكور حينئذ بأنّ الظاهر من حال ما حكم بنجاسته شرعا عدم صلاحيّته لإفادة التطهير</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انعقد الإجماع على أنّ الماء القليل صالح للإزالة في الجملة ، وكانت القاعدة مقتضية بحسب الفرض لانفعاله بملاقاة النجس كيف اتّفق ، </w:t>
      </w:r>
    </w:p>
    <w:p>
      <w:pPr>
        <w:pStyle w:val="BookText"/>
        <w:rPr/>
      </w:pPr>
      <w:r>
        <w:rPr>
          <w:rFonts w:ascii="Amiri" w:hAnsi="Amiri" w:eastAsia="Amiri" w:cs="Amiri"/>
          <w:color w:val="111111"/>
          <w:sz w:val="28"/>
          <w:sz w:val="28"/>
          <w:szCs w:val="28"/>
          <w:rtl w:val="true"/>
          <w:lang w:bidi="ar-SA"/>
        </w:rPr>
        <w:t>لم يكن بدّ من أن يستثنى بعض حالات نجاسته من الحكم بعدم صلاحيّة النجس لإفادة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معونة نفي الحرج الحاصل من سدّ باب التطهير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مسلك الاستثناء بهذه المثابة في المضايقة فينبغي أن يكون مقصورا على محلّ الحاجة متقدّرا بقدر الضرورة ولا ريب أنّ الضرر والحرج يندفعان باستثناء حالة الورود فيقتصر في الحكم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ويستأنس لترجيح اختيارها للاستثناء على ما عداها بانتفاء الخلاف في حصول الطهارة معها ووقوع الشكّ فيما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غاية ما يمكن تكلّفه في توجيه الاعتبار المذكور على رأي من يقول بنجاسة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وبمقدار ما فيه من التعسّف يعلم ما في أصل القول بنجاستها من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قول الشهيد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خبر الحسن ابن محبوب تنبيها على عدم اعتبار الورود مطلقا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 لأنّ الطهارة المحكوم بها في الخبر مستندة إلى الماء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الحاصلة هناك على ما يقتضيه السؤال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الماء في النجاسة العينيّة مع بقاء عينها غير معقول ، ومتى حكم بخروجها عن حقيقتها وزوال حكمها لم يبق هناك نجاسة يزيلها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لاستناد </w:t>
      </w:r>
      <w:r>
        <w:rPr>
          <w:rStyle w:val="FootnoteAnchor"/>
          <w:rtl w:val="true"/>
        </w:rPr>
        <w:footnoteReference w:id="2171"/>
      </w:r>
      <w:r>
        <w:rPr>
          <w:rFonts w:ascii="Amiri" w:hAnsi="Amiri" w:eastAsia="Amiri" w:cs="Amiri"/>
          <w:color w:val="111111"/>
          <w:sz w:val="28"/>
          <w:sz w:val="28"/>
          <w:szCs w:val="28"/>
          <w:rtl w:val="true"/>
          <w:lang w:bidi="ar-SA"/>
        </w:rPr>
        <w:t>التطهير حينئذ إليه إلّا بحمل الطهارة على معناها اللغوي من حيث إفادة الماء نوع تنظيف</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الإشكال في الإسناد إلى النار فإنّ حمله على إرادة المعنى المتعارف </w:t>
      </w:r>
    </w:p>
    <w:p>
      <w:pPr>
        <w:pStyle w:val="BookText"/>
        <w:rPr/>
      </w:pPr>
      <w:r>
        <w:rPr>
          <w:rFonts w:ascii="Amiri" w:hAnsi="Amiri" w:eastAsia="Amiri" w:cs="Amiri"/>
          <w:color w:val="111111"/>
          <w:sz w:val="28"/>
          <w:sz w:val="28"/>
          <w:szCs w:val="28"/>
          <w:rtl w:val="true"/>
          <w:lang w:bidi="ar-SA"/>
        </w:rPr>
        <w:t xml:space="preserve">للطهارة ممكن ، ولكنّ جمعه مع حكم الماء بعد فرض كون المراد فيه خلاف هذا المعنى ربّما كان موجبا لشوب ريب ولعلّه من قبيل الجمع بين إرادتي الحقيقة والمجاز اعتمادا على القرينة الحاليّة فقد بيّنا في مقدّمة الكتاب جوازه مجازا </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جعله من باب عموم المجاز بإرادة قدر مشترك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في الكلام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الاحتجاج به لتطهير النار 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أن يذكر هنا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بالماء المذكور فيه ما يجبل به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يطهّر إجماعا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واقتفى أثره الفاضل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الممازج هو الذي يحيل به وذلك غير مطهّر إجماعا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إنّما يتّجه إذا كان طريق جبل الجصّ بالماء أن يصبّ الماء أوّلا ثمّ يرمى الجصّ فيه كما شاهدناه في البلاد التي يستعمل فيها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جبله بصبّ الماء عليه فتحقّق الإجماع على عدم الطهارة به حينئذ مشكل لما مرّ من أنّ الشيخ رحمه‌اللّه يقول بطهارة التراب إذا صبّ عليه من الماء القليل ما يقهر النجاسة ويزيل لونها وريحها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حكى ذلك عن الشيخ قبل </w:t>
      </w:r>
      <w:bookmarkStart w:id="1248" w:name="pg8731_77885"/>
    </w:p>
    <w:p>
      <w:pPr>
        <w:pStyle w:val="BookText"/>
        <w:rPr/>
      </w:pPr>
      <w:bookmarkEnd w:id="1248"/>
      <w:r>
        <w:rPr>
          <w:rFonts w:ascii="Amiri" w:hAnsi="Amiri" w:eastAsia="Amiri" w:cs="Amiri"/>
          <w:color w:val="111111"/>
          <w:sz w:val="28"/>
          <w:sz w:val="28"/>
          <w:szCs w:val="28"/>
          <w:rtl w:val="true"/>
          <w:lang w:bidi="ar-SA"/>
        </w:rPr>
        <w:t xml:space="preserve">هذه المسألة بقليل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جماعة إلى بعض الأصحاب الموافقة للشيخ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التراب والجصّ غير واضح فكيف يتوجّه دعوى الإجماع على عدم حصول الطهارة بذلك؟</w:t>
      </w:r>
    </w:p>
    <w:p>
      <w:pPr>
        <w:pStyle w:val="BookText"/>
        <w:rPr/>
      </w:pPr>
      <w:r>
        <w:rPr>
          <w:rFonts w:ascii="Amiri" w:hAnsi="Amiri" w:eastAsia="Amiri" w:cs="Amiri"/>
          <w:color w:val="111111"/>
          <w:sz w:val="28"/>
          <w:sz w:val="28"/>
          <w:szCs w:val="28"/>
          <w:rtl w:val="true"/>
          <w:lang w:bidi="ar-SA"/>
        </w:rPr>
        <w:t xml:space="preserve">وربّما يظنّ أنّ استشهاد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الورود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الوجه الأوّل حيث إنّ الورود فيه على الماء ظاهر فهو بتقدير دلالته على حصول الطهارة بمعناها المتعارف نصّ في عدم الفرق بين ورود الماء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الظنّ ببعيد لكن يحتمل أيضا أن يكون نظره إلى الجبل بصبّ الماء على الجصّ لا يقتضي إيراد الماء على جميع أجزاء المحكوم بنجاستها ، بل أكثر الأجزاء إنّما يصيبه الماء بطريق النفوذ والترشّح ، ومثله لا يسمّى ورودا عنده كما يقتضيه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حكيناه عن بعض الأصحاب يدلّ على تسمية مثله ورودا فإنّه وقع على سبيل الإنكار لظاهر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يرجّح كون النظر في الاستشهاد بالخبر إلى هذا الاحتمال أنّ الشهيد رحمه‌اللّه يتحرّز من المخالفة فيما يتوهّم فيه الإجماع فضلا عن أن يدّعيه الفاضلان وقد عرفت أنّ أقلّ مراتب الإجماع الذي ذكراه أن يكون مورده الصورة التي يقع فيها الجبل بإيراد الجصّ على الماء وهي بعينها الوجه الأوّل فكيف يظنّ أنّ نظر الشهيد إليه</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3140775_653776707"/>
      <w:bookmarkStart w:id="1250" w:name="_Toc462"/>
      <w:bookmarkEnd w:id="1249"/>
      <w:r>
        <w:rPr>
          <w:rtl w:val="true"/>
        </w:rPr>
        <w:t xml:space="preserve">تذنيب </w:t>
      </w:r>
      <w:r>
        <w:rPr>
          <w:rtl w:val="true"/>
        </w:rPr>
        <w:t>:</w:t>
      </w:r>
      <w:bookmarkEnd w:id="1250"/>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إيراد الماء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 المجرّد ومع الغلبة ومع الجريان</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في الرشّ إلى الدرجة الثالثة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يحتاج إلى </w:t>
      </w:r>
      <w:bookmarkStart w:id="1251" w:name="pg8731_77887"/>
    </w:p>
    <w:p>
      <w:pPr>
        <w:pStyle w:val="BookText"/>
        <w:rPr/>
      </w:pPr>
      <w:bookmarkEnd w:id="1251"/>
      <w:r>
        <w:rPr>
          <w:rFonts w:ascii="Amiri" w:hAnsi="Amiri" w:eastAsia="Amiri" w:cs="Amiri"/>
          <w:color w:val="111111"/>
          <w:sz w:val="28"/>
          <w:sz w:val="28"/>
          <w:szCs w:val="28"/>
          <w:rtl w:val="true"/>
          <w:lang w:bidi="ar-SA"/>
        </w:rPr>
        <w:t>الثانية؟ 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ويفرّق الرشّ والغسل بالسيلان والتقاطر </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جعله الرشّ مغايرا للنضح نظر ، أشرنا إليه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أهل اللغة ترادفهما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إن لم يوافقهم فليس بمخالف لهم فلا يعلم الفرق الذي استقربه من أين أخذه؟</w:t>
      </w:r>
    </w:p>
    <w:p>
      <w:pPr>
        <w:pStyle w:val="Heading6"/>
        <w:numPr>
          <w:ilvl w:val="5"/>
          <w:numId w:val="1"/>
        </w:numPr>
        <w:rPr/>
      </w:pPr>
      <w:bookmarkStart w:id="1252" w:name="__RefHeading___Toc3140777_653776707"/>
      <w:bookmarkStart w:id="1253" w:name="_Toc463"/>
      <w:bookmarkEnd w:id="1252"/>
      <w:r>
        <w:rPr>
          <w:rtl w:val="true"/>
        </w:rPr>
        <w:t xml:space="preserve">فرع </w:t>
      </w:r>
      <w:r>
        <w:rPr>
          <w:rtl w:val="true"/>
        </w:rPr>
        <w:t>:</w:t>
      </w:r>
      <w:bookmarkEnd w:id="1253"/>
    </w:p>
    <w:p>
      <w:pPr>
        <w:pStyle w:val="BookText"/>
        <w:rPr/>
      </w:pPr>
      <w:r>
        <w:rPr>
          <w:rFonts w:ascii="Amiri" w:hAnsi="Amiri" w:eastAsia="Amiri" w:cs="Amiri"/>
          <w:color w:val="111111"/>
          <w:sz w:val="28"/>
          <w:sz w:val="28"/>
          <w:szCs w:val="28"/>
          <w:rtl w:val="true"/>
          <w:lang w:bidi="ar-SA"/>
        </w:rPr>
        <w:t>يكفي في غسل الإناء بالقليل أن يصبّ فيه الماء ثمّ يحرّك حتّى يستوعب ما نجس منه ثمّ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كثير من الأصحاب ورواه الشيخ عن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الكوز أو الإناء </w:t>
      </w:r>
      <w:r>
        <w:rPr>
          <w:rStyle w:val="FootnoteAnchor"/>
          <w:rtl w:val="true"/>
        </w:rPr>
        <w:footnoteReference w:id="2178"/>
      </w:r>
      <w:r>
        <w:rPr>
          <w:rFonts w:ascii="Amiri" w:hAnsi="Amiri" w:eastAsia="Amiri" w:cs="Amiri"/>
          <w:color w:val="111111"/>
          <w:sz w:val="28"/>
          <w:sz w:val="28"/>
          <w:szCs w:val="28"/>
          <w:rtl w:val="true"/>
          <w:lang w:bidi="ar-SA"/>
        </w:rPr>
        <w:t>، يكون قذرا ، كيف يغسل؟</w:t>
      </w:r>
    </w:p>
    <w:p>
      <w:pPr>
        <w:pStyle w:val="BookText"/>
        <w:rPr/>
      </w:pPr>
      <w:r>
        <w:rPr>
          <w:rFonts w:ascii="Amiri" w:hAnsi="Amiri" w:eastAsia="Amiri" w:cs="Amiri"/>
          <w:color w:val="111111"/>
          <w:sz w:val="28"/>
          <w:sz w:val="28"/>
          <w:szCs w:val="28"/>
          <w:rtl w:val="true"/>
          <w:lang w:bidi="ar-SA"/>
        </w:rPr>
        <w:t xml:space="preserve">وكم مرّة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يصبّ فيه ماء فيحرّك فيه ثمّ يفرّغ ذلك الماء </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 سندها ليس بصحيح فهي مؤيّدة بالاعتبار وذلك لأنّ الغسل المأمور به يتحقّق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الورود ليس بمناف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المعنى الذي أراده الشهيد فلاستثنائه الإناء منه وتصريحه بالاكتفاء فيه بأوّل وروده وكذا على المعنى الذي حكيناه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الورود في أوّل الأمر يحصل مع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قلناه فالأمر واضح</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ملى‌ء الإناء ماء كفى إفراغه عن تحريكه وأنّه يكفي في التفريغ مطلقا وقوعه بآلة لكن بشرط عدم إعادتها </w:t>
      </w:r>
      <w:bookmarkStart w:id="1254" w:name="pg8731_77890"/>
    </w:p>
    <w:p>
      <w:pPr>
        <w:pStyle w:val="BookText"/>
        <w:rPr/>
      </w:pPr>
      <w:bookmarkEnd w:id="1254"/>
      <w:r>
        <w:rPr>
          <w:rFonts w:ascii="Amiri" w:hAnsi="Amiri" w:eastAsia="Amiri" w:cs="Amiri"/>
          <w:color w:val="111111"/>
          <w:sz w:val="28"/>
          <w:sz w:val="28"/>
          <w:szCs w:val="28"/>
          <w:rtl w:val="true"/>
          <w:lang w:bidi="ar-SA"/>
        </w:rPr>
        <w:t>إلى الإناء قبل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البعض اشتراط كون الإناء مثبتا بحيث يشقّ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غير الشرطين حسن ، وأمّا فيهما فالثاني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مبنيّ على نجاسة الغسالة</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3140779_653776707"/>
      <w:bookmarkStart w:id="1256" w:name="_Toc464"/>
      <w:bookmarkEnd w:id="1255"/>
      <w:r>
        <w:rPr>
          <w:rtl w:val="true"/>
        </w:rPr>
        <w:t xml:space="preserve">مسألة </w:t>
      </w:r>
      <w:r>
        <w:rPr>
          <w:rtl w:val="true"/>
        </w:rPr>
        <w:t>[</w:t>
      </w:r>
      <w:r>
        <w:rPr/>
        <w:t>26</w:t>
      </w:r>
      <w:r>
        <w:rPr>
          <w:rtl w:val="true"/>
        </w:rPr>
        <w:t>] :</w:t>
      </w:r>
      <w:bookmarkEnd w:id="1256"/>
    </w:p>
    <w:p>
      <w:pPr>
        <w:pStyle w:val="BookText"/>
        <w:rPr/>
      </w:pPr>
      <w:r>
        <w:rPr>
          <w:rFonts w:ascii="Amiri" w:hAnsi="Amiri" w:eastAsia="Amiri" w:cs="Amiri"/>
          <w:color w:val="111111"/>
          <w:sz w:val="28"/>
          <w:sz w:val="28"/>
          <w:szCs w:val="28"/>
          <w:rtl w:val="true"/>
          <w:lang w:bidi="ar-SA"/>
        </w:rPr>
        <w:t>ويسقط اعتبار التعدّد في الغسل إذا وقع المتنجّس في الماء الكثير سواء كان إناء أو غيره على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في الإناء من سبق التعفير إذا كانت نجاسته من ولوغ الكلب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رحمه‌اللّه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إناء الولوغ إذا وقع في الماء الكثير لم يطهر بل تحسب له </w:t>
      </w:r>
      <w:r>
        <w:rPr>
          <w:rStyle w:val="FootnoteAnchor"/>
          <w:rtl w:val="true"/>
        </w:rPr>
        <w:footnoteReference w:id="2180"/>
      </w:r>
      <w:r>
        <w:rPr>
          <w:rFonts w:ascii="Amiri" w:hAnsi="Amiri" w:eastAsia="Amiri" w:cs="Amiri"/>
          <w:color w:val="111111"/>
          <w:sz w:val="28"/>
          <w:sz w:val="28"/>
          <w:szCs w:val="28"/>
          <w:rtl w:val="true"/>
          <w:lang w:bidi="ar-SA"/>
        </w:rPr>
        <w:t>بذلك غسلة من جملة الغسلات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طهره على إتمام العدد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الشيخ في ذلك </w:t>
      </w:r>
      <w:r>
        <w:rPr>
          <w:rStyle w:val="FootnoteAnchor"/>
          <w:rtl w:val="true"/>
        </w:rPr>
        <w:footnoteReference w:id="2182"/>
      </w:r>
      <w:r>
        <w:rPr>
          <w:rFonts w:ascii="Amiri" w:hAnsi="Amiri" w:eastAsia="Amiri" w:cs="Amiri"/>
          <w:color w:val="111111"/>
          <w:sz w:val="28"/>
          <w:sz w:val="28"/>
          <w:szCs w:val="28"/>
          <w:rtl w:val="true"/>
          <w:lang w:bidi="ar-SA"/>
        </w:rPr>
        <w:t xml:space="preserve">أنّ الأمر بالعدد متناول للقليل والكثير فلا بدّ للتخصيص من دليل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والجماعة عوّلوا في التخصيص على أنّ اللفظ إذا أطلق ينصرف إلى المعنى المتعارف المعهود </w:t>
      </w:r>
      <w:r>
        <w:rPr>
          <w:rStyle w:val="FootnoteAnchor"/>
          <w:rtl w:val="true"/>
        </w:rPr>
        <w:footnoteReference w:id="2184"/>
      </w:r>
      <w:r>
        <w:rPr>
          <w:rFonts w:ascii="Amiri" w:hAnsi="Amiri" w:eastAsia="Amiri" w:cs="Amiri"/>
          <w:color w:val="111111"/>
          <w:sz w:val="28"/>
          <w:sz w:val="28"/>
          <w:szCs w:val="28"/>
          <w:rtl w:val="true"/>
          <w:lang w:bidi="ar-SA"/>
        </w:rPr>
        <w:t>وظاهر الحال أنّ المتعارف في مجال الأمر بالتعدّد هو الغسل بالقليل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 ذلك في الجملة من جهة الاعتبار أنّ الماء الكثير إذا استولى على عين النجاسة وإن كانت مغلّظة بحيث اقتضى شيوع أجزائها فيه واستهلاكها سقط حكمها شرعا وصار وجودها فيه كعدمها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المتنجّس في الكثير واستولى الماء على آثار النجاسة فبالحريّ أن يسقط حكمها ويجعل وجودها كعدمها ، وإلّا لكان الأثر أقوى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من جهة النصّ ما رواه الشيخ في الصحيح عن محمّد بن أحمد ابن يحيى عن السندي </w:t>
      </w:r>
      <w:r>
        <w:rPr>
          <w:rStyle w:val="FootnoteAnchor"/>
          <w:rtl w:val="true"/>
        </w:rPr>
        <w:footnoteReference w:id="2185"/>
      </w:r>
      <w:r>
        <w:rPr>
          <w:rFonts w:ascii="Amiri" w:hAnsi="Amiri" w:eastAsia="Amiri" w:cs="Amiri"/>
          <w:color w:val="111111"/>
          <w:sz w:val="28"/>
          <w:sz w:val="28"/>
          <w:szCs w:val="28"/>
          <w:rtl w:val="true"/>
          <w:lang w:bidi="ar-SA"/>
        </w:rPr>
        <w:t xml:space="preserve">بن محمّد عن علا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في المركن مرّتين ، 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المحقّق في المعتبر عن ابن بابويه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الثوب بول فاغسله في الماء الجاري مرّة وفي الراكد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مسلم روى عن أبي عبد اللّه عليه‌السلام هذه الرواية وذكر متن الحديث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الوجه فيه أنّ الجاري تتغاير المياه فيه على الثوب فكأنّه غسل أكثر من مرّة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التقريب الذي ذكرناه أوضح في الاعتبار ممّا قاله المحقق</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في حكم الولوغ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إناؤه في كثير لم ينجس ويحصل له غسلة واحدة إن لم يشترط تقديم التراب </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وقع في جار ومرّ عليه جريات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له بالثلاث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إشكال ، وربّما كان ما ذكره حقّا إن لم يتقدّم 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غسل مرّة بالتراب وتعاقبت عليه جريتان </w:t>
      </w:r>
      <w:r>
        <w:rPr>
          <w:rStyle w:val="FootnoteAnchor"/>
          <w:rtl w:val="true"/>
        </w:rPr>
        <w:footnoteReference w:id="2189"/>
      </w:r>
      <w:r>
        <w:rPr>
          <w:rFonts w:ascii="Amiri" w:hAnsi="Amiri" w:eastAsia="Amiri" w:cs="Amiri"/>
          <w:color w:val="111111"/>
          <w:sz w:val="28"/>
          <w:sz w:val="28"/>
          <w:szCs w:val="28"/>
          <w:rtl w:val="true"/>
          <w:lang w:bidi="ar-SA"/>
        </w:rPr>
        <w:t xml:space="preserve">كانت الطهارة أشبه </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مخالفة المشهور كقول الشيخ ، إلّا أنّه خصّ الحكم بما ليس بجار ، وراعى في الجاري تعاقب الجري بمقدار العدد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العلّامة في هذه المسألة من المنتهى وقع على طبق كلام المحقّق لكنّه في بعض نسخ الكتاب صرّح بالرجوع عنه أخيرا وهذه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إناء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كثير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يحصل له غسلة أم لا؟ الأقرب أنّه لا يحصل لوجوب تقديم التراب هذا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قول المفيد فإنّ الوجه الاحتساب لغسله بغسلة ، ولو وقع في ماء جار ومرّت عليه جريات متعدّدة احتسب كلّ جرية بغسلة ، خلافا للشيخ ؛ إذ القصد غير معتبر فجرى ما لو وضعه تحت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خضخضه في الماء وحرّكه بحيث تخرج تلك الأجزاء الملاقية عن حكم الملاقاة ويلاقيه غيرها احتسب بذلك غسله ثانية كالجريات</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طرح فيه ماء لم يحتسب به غسلة حتّى يفرغ منه سواء كان كبيرا بحيث يسع الكرّ أو لم يكن ، خلافا لبعض الجمهور فإنّه قال في الكثير </w:t>
      </w:r>
      <w:r>
        <w:rPr>
          <w:rStyle w:val="FootnoteAnchor"/>
          <w:rtl w:val="true"/>
        </w:rPr>
        <w:footnoteReference w:id="2191"/>
      </w:r>
      <w:r>
        <w:rPr>
          <w:rFonts w:ascii="Amiri" w:hAnsi="Amiri" w:eastAsia="Amiri" w:cs="Amiri"/>
          <w:color w:val="111111"/>
          <w:sz w:val="28"/>
          <w:sz w:val="28"/>
          <w:szCs w:val="28"/>
          <w:rtl w:val="true"/>
          <w:lang w:bidi="ar-SA"/>
        </w:rPr>
        <w:t>إذا وسع قلّتين لو طرح فيه ماء وخضخض احتسب به غسلة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أنّه لا يكون غسلة إلّا بتفريغه منه مراعاة للعرف </w:t>
      </w:r>
      <w:r>
        <w:rPr>
          <w:rFonts w:eastAsia="Amiri" w:cs="Amiri" w:ascii="Amiri" w:hAnsi="Amiri"/>
          <w:color w:val="111111"/>
          <w:sz w:val="28"/>
          <w:szCs w:val="28"/>
          <w:rtl w:val="true"/>
          <w:lang w:bidi="ar-SA"/>
        </w:rPr>
        <w:t xml:space="preserve">». </w:t>
      </w:r>
      <w:bookmarkStart w:id="1257" w:name="pg8731_77896"/>
    </w:p>
    <w:p>
      <w:pPr>
        <w:pStyle w:val="BookText"/>
        <w:rPr/>
      </w:pPr>
      <w:bookmarkEnd w:id="1257"/>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عندي بعد ذلك كلّه أنّ العدد إنّما يعتبر لو صبّ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وقع الإناء في ماء كثير أو ماء جار وزالت النجاسة طهر </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حكى كلام الشيخ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بجيّد وإنّه يلزم عليه فيما لو طرح كرّ في إناء الولوغ أن يكون الماء طاهرا والإناء نجسا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غرضه من الكلام الأخير استبعاد ما ذهب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بمجرّده غير كاف في الاستبعاد ؛ للاعتراف بمثله فيما لو وضع الكرّ في الإناء المذكور قبل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كل موضع يستند في اعتبار التعدّد فيه إلى الإجماع يكون الحكم مخصوصا فيه بحال غسله بالقليل إذ لا سبيل إلى العلم بالإجماع في غيره وقد عرفت أنّ من هذه المواضع ولوغ الكلب ، إذ النصّ الذي وصل إلينا فيه خال من التعرّض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ثبت اعتبار التعدّد فيه بالنصّ وهو البول إذا أصاب الثوب وولوغ الخنزير فليس بالبعيد الاعتماد في تخصيصه بحال الغسل بالقليل على الوجهين السابقين مع معونة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ابقي الحكم فيه على عمومه ؛ نظرا إلى الاحتياط وعدم خلوص الحجّة من شوب الإشكال ، لم يكن بذلك بأس ؛ إذ الأمر سهل</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3140781_653776707"/>
      <w:bookmarkStart w:id="1259" w:name="_Toc465"/>
      <w:bookmarkEnd w:id="1258"/>
      <w:r>
        <w:rPr>
          <w:rtl w:val="true"/>
        </w:rPr>
        <w:t xml:space="preserve">مسألة </w:t>
      </w:r>
      <w:r>
        <w:rPr>
          <w:rtl w:val="true"/>
        </w:rPr>
        <w:t>[</w:t>
      </w:r>
      <w:r>
        <w:rPr/>
        <w:t>27</w:t>
      </w:r>
      <w:r>
        <w:rPr>
          <w:rtl w:val="true"/>
        </w:rPr>
        <w:t>] :</w:t>
      </w:r>
      <w:bookmarkEnd w:id="1259"/>
    </w:p>
    <w:p>
      <w:pPr>
        <w:pStyle w:val="Heading6"/>
        <w:numPr>
          <w:ilvl w:val="5"/>
          <w:numId w:val="1"/>
        </w:numPr>
        <w:rPr/>
      </w:pPr>
      <w:bookmarkStart w:id="1260" w:name="__RefHeading___Toc3140783_653776707"/>
      <w:bookmarkStart w:id="1261" w:name="_Toc466"/>
      <w:bookmarkEnd w:id="1260"/>
      <w:r>
        <w:rPr>
          <w:rtl w:val="true"/>
        </w:rPr>
        <w:t>اشارة</w:t>
      </w:r>
      <w:bookmarkEnd w:id="1261"/>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متأخّري الأصحاب أنّ الماء الكثير يختصّ بالصلاحيّة لتطهير </w:t>
      </w:r>
    </w:p>
    <w:p>
      <w:pPr>
        <w:pStyle w:val="BookText"/>
        <w:rPr/>
      </w:pPr>
      <w:r>
        <w:rPr>
          <w:rFonts w:ascii="Amiri" w:hAnsi="Amiri" w:eastAsia="Amiri" w:cs="Amiri"/>
          <w:color w:val="111111"/>
          <w:sz w:val="28"/>
          <w:sz w:val="28"/>
          <w:szCs w:val="28"/>
          <w:rtl w:val="true"/>
          <w:lang w:bidi="ar-SA"/>
        </w:rPr>
        <w:t>ما لا ينفصل عنه الغسالة بنفسها أو بالعصر وما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النوع ممّا يعرض له التنجيس إمّا مائع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نعلم خلافا بينهم في طهارته بالكثير إذا تخلّله وأصاب جميع الأجزاء المحكوم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فكلامهم فيه مختلف ،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الماء من مطلق المائعات ليس بقابل للتطهير ما دام باقيا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العلّامة في التذكرة إمكان طهارتها أجمع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يطهر بالغسل ما يمكن نزع الماء المغسول به عنه دون ما لا يمكن كالمائعات والكاغد والطين ، وإن أمكن إيصال الماء إلى أجزائها بالضرب ما لم تطرح في كرّ فما زاد أو في جار بحيث يسري إلى جميع أجزائه قبل إخراجه منه فلو طرح الدهن في ماء كثير وحرّكه حتّى تخلّل الماء جميع أجزاء الدهن بأسرها طهر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بحث الماء المضاف حكاية قوله في المنتهى والقواعد بطهارته إذا اختلط بالكثير المطلق وإن سلبه الإطلاق </w:t>
      </w:r>
      <w:r>
        <w:rPr>
          <w:rStyle w:val="FootnoteAnchor"/>
          <w:rtl w:val="true"/>
        </w:rPr>
        <w:footnoteReference w:id="2195"/>
      </w:r>
      <w:r>
        <w:rPr>
          <w:rFonts w:ascii="Amiri" w:hAnsi="Amiri" w:eastAsia="Amiri" w:cs="Amiri"/>
          <w:color w:val="111111"/>
          <w:sz w:val="28"/>
          <w:sz w:val="28"/>
          <w:szCs w:val="28"/>
          <w:rtl w:val="true"/>
          <w:lang w:bidi="ar-SA"/>
        </w:rPr>
        <w:t>، وهو في معنى ما قاله في التذكرة بل أصرح منه في الدلالة على صلاحيّة الكثير لتطهير ذلك النوع من المائع مع بقائه على حقيقته</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الشهيد في الذكرى على مختار التذكرة لكن في غير الدهن ، فأفرده عن ساير المائعات في الذكر ، ونسب القول بطهره حينئذ إلى التذكرة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تطهر المائعات والقرطاس والطين ولو ضربت بالماء إلّا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الدهن في الكثير وجه اختاره الفاضل في تذكرته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للاقتصار في نسبة القول بطهارة الدهن إلى الفاضل على التذكرة ؛ لأنّه ذكر الحكم في النهاية والمنتهى بنحو ما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الدهن النجس في كرّ فما زاد ومازجت أجزاؤه أجزاء الماء بالتوصيل فالأقرب الطهارة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ما يقرب من هذا الكلام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 لم يتعرّض فيهما لغير الدهن ظنّ بعض الأصحاب أنّه يرى قصر الحكم على الدهن فعدّ ذلك قولا له مغايرا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الاعتبار يشهد بكون الدهن أبعد المائعات عن قبول الطهارة من حيث اللزوجة المانعة من نفوذ الماء في أجزائه فالقول بإمكان حصول الطهارة له يقتضي القول بذلك في ساير المائعات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كلام الفاضل ما يصلح منشأ لتخيّل القول باختصاص الحكم بالدهن إلّا عدم تعرّضه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الاعتبار بالأولويّة أظهر من أن يحتاج معها إلى التنصيص على التعميم</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غير الدهن من المائعات إذا خالطها الماء على الوجه الذي شرطه عن الصلاحيّة للانتفاع بها في الغالب فليس لبيان حكمها كثير </w:t>
      </w:r>
    </w:p>
    <w:p>
      <w:pPr>
        <w:pStyle w:val="BookText"/>
        <w:rPr/>
      </w:pPr>
      <w:r>
        <w:rPr>
          <w:rFonts w:ascii="Amiri" w:hAnsi="Amiri" w:eastAsia="Amiri" w:cs="Amiri"/>
          <w:color w:val="111111"/>
          <w:sz w:val="28"/>
          <w:sz w:val="28"/>
          <w:szCs w:val="28"/>
          <w:rtl w:val="true"/>
          <w:lang w:bidi="ar-SA"/>
        </w:rPr>
        <w:t xml:space="preserve">بخلاف الدهن ؛ فإنّ مخالطة الماء له غير مستقرّة إذ يسرع انفصاله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الصلاحيّة للانتفاع بحالها ، وهو ظاهر فلذلك اقتصر في الذكر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 جماعة بأنّ العلم بوصول الماء إلى جميع أجزاء الدهن غير ممكن بل قد يعلم خلافه ؛ لأنّ الدهن يبقى في الماء مودعا فيه غير مختلط به وإنّما يصيب سطحه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العيان شاهد باستحالة مداخلة الماء لجميع أجزاء الدهن وأنّه مع الاختلاط لا يحصل له إلّا ملاقاة سطوح الأجزاء المنقطعة بالضرب ولا سبيل إلى نفوذ الماء في بواطنها ؛ ولهذه العلّة تبقى على الصلاحيّة للانتفاع إذ اختلاطه بالماء إنّما حصل على جهة التفرّق في خلاله فإذا ترك ضربه سارع إلى الانفصال واستقرّ لخفّته على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الامور الواضحة التي لا تحتاج إلى كثير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الدهن من ساير المائعات سوى الماء على ما مضى من الكلام فيه فإنّما يعقل حصول الطهارة لها مع إصابة الماء لجميع أجزائها وذلك إنّما يتحقّق بشيوعها في الماء واستهلاكها فيه بحيث لا يبقى شي‌ء من أجزائها ممتازا ؛ إذ مع الامتياز يعلم عدم نفوذ الماء في ذلك الجزء الممتاز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الاستهلاك على الوجه المذكور يخرج المائع عن الحقيقة التي كان عليها كما يخرج عين النجاسة بشيوعها في الماء الكثير عن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يسمّى تطهيرا في الاصطلاح ؛ إذ الغرض من التطهير عود الجسم المطهّر إلى وصف الطهارة مع بقاء الحقيقة وذلك مفقود في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عبارات بعض الأصحاب أنّ المائعات إذا امتزجت بالكثير بحيث يطلق على الجميع اسم الماء طهرت وإلّا فلا</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أحطت خبرا بما قلناه علمت أنّ هذا الكلام ليس على ما ينبغي ؛ </w:t>
      </w:r>
      <w:bookmarkStart w:id="1262" w:name="pg8731_77904"/>
    </w:p>
    <w:p>
      <w:pPr>
        <w:pStyle w:val="BookText"/>
        <w:rPr/>
      </w:pPr>
      <w:bookmarkEnd w:id="1262"/>
      <w:r>
        <w:rPr>
          <w:rFonts w:ascii="Amiri" w:hAnsi="Amiri" w:eastAsia="Amiri" w:cs="Amiri"/>
          <w:color w:val="111111"/>
          <w:sz w:val="28"/>
          <w:sz w:val="28"/>
          <w:szCs w:val="28"/>
          <w:rtl w:val="true"/>
          <w:lang w:bidi="ar-SA"/>
        </w:rPr>
        <w:t>فإنّ البول وغيره من الأعيان النجسة إذا امتزجت بالكثير على الوجه المذكور يصير بحكمه ولا يبقى لنجاستها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يسمّون ذلك تطهيرا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فالمناسب للوقوف في التعبير مع القانون الذي جرى عليه اصطلاحهم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 حصول هذا المعنى في المائع تطهيرا له بل يذكر حكمه مع البقاء على حقيقته ، وليس الحكم حينئذ إلّا عدم القبول للطهارة كما هو التحقيق وظاهر كلام الأكثرين ؛ لما عرفت من أنّ القول بالطهارة حينئذ ليس إلّا للعلّامة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الذي يستفاد من كلام العلّامة في غير المضاف أنّ الخلاف بينه وبين غيره يؤول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شرط في حصول الطهارة تخلّل الماء لجميع أجزاء المائع دهنا كان أو غيره وهم لا ينكرون حصول الطهارة إذا حصل هذا المعنى وإنّما يدّعى عدم إمكان حصوله في الدهن مطلقا وفي غيره مع البقاء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لم يتعرّض لها هو ولكن يلوح من إطلاق كلامه تخيّل إمكان ذلك فيها ، ومن البيّن أنّ الاختلاف في ثبوت هذا الإمكان وعدمه لا ينتظم في سلك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3140785_653776707"/>
      <w:bookmarkStart w:id="1264" w:name="_Toc467"/>
      <w:bookmarkEnd w:id="1263"/>
      <w:r>
        <w:rPr>
          <w:rtl w:val="true"/>
        </w:rPr>
        <w:t xml:space="preserve">فروع </w:t>
      </w:r>
      <w:r>
        <w:rPr>
          <w:rtl w:val="true"/>
        </w:rPr>
        <w:t>:</w:t>
      </w:r>
      <w:bookmarkEnd w:id="1264"/>
    </w:p>
    <w:p>
      <w:pPr>
        <w:pStyle w:val="Heading6"/>
        <w:numPr>
          <w:ilvl w:val="5"/>
          <w:numId w:val="1"/>
        </w:numPr>
        <w:rPr/>
      </w:pPr>
      <w:bookmarkStart w:id="1265" w:name="__RefHeading___Toc3140787_653776707"/>
      <w:bookmarkStart w:id="1266" w:name="_Toc468"/>
      <w:bookmarkEnd w:id="1265"/>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266"/>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العجين النجس إذا مزج بالماء الكثير حتّى صار رقيقا وتخلّل الماء جميع أجزائه طهر ، وهو حسن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 xml:space="preserve">. </w:t>
      </w:r>
      <w:bookmarkStart w:id="1267" w:name="pg8731_77906"/>
    </w:p>
    <w:p>
      <w:pPr>
        <w:pStyle w:val="BookText"/>
        <w:rPr/>
      </w:pPr>
      <w:bookmarkEnd w:id="1267"/>
      <w:r>
        <w:rPr>
          <w:rFonts w:ascii="Amiri" w:hAnsi="Amiri" w:eastAsia="Amiri" w:cs="Amiri"/>
          <w:color w:val="111111"/>
          <w:sz w:val="28"/>
          <w:sz w:val="28"/>
          <w:szCs w:val="28"/>
          <w:rtl w:val="true"/>
          <w:lang w:bidi="ar-SA"/>
        </w:rPr>
        <w:t xml:space="preserve">وظاهره في النهاية والمنتهى عدم قبوله للتطهير بالماء </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 الأمر ببيعه ممّن يستحلّ أكل الميتة ، وفي بعضها طهارته بالنار ، وسيأتي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الأمر بدفنه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إلى مضمون الروايات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مشعرة بسدّ باب طهارته بالماء إلّا أن يقيّد بالمعهود من القليل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لهذا الكلام وجها فإنّ ما دلّ من الأخبار على طهره بالنار خال من الإشعار قطعا ، وما دلّ على بيعه أو دفنه فالسرّ فيه توقّف تطهيره بالماء على الممازجة والنفوذ في أجزائه بحيث يستوعب كلّ ما أصابه الماء النجس إذ المفروض في الأخبار عجنه بماء نجس وفي ذلك من المشقّة والعسر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وقع العدول عنه إلى الوجهين المذكورين</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3140789_653776707"/>
      <w:bookmarkStart w:id="1269" w:name="_Toc469"/>
      <w:bookmarkEnd w:id="1268"/>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269"/>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الصابون إذا انتفع في الماء النجس ، والسمسم والحنطة إذا انتقعا كان حكمها حكم العجين ، يعني في عدم قبول التطهير بالماء ؛ لأنّ ظاهره ذلك في العجين كما أشرنا إليه وإن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بعض العامّة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والسمسم إذا تنجّسا بالماء ، واللحم إذا كان مرقه نجسا يطهر بأن يغسل ثلاثا ويترك حتّى يجفّ في كلّ مرّة فيكون ذلك كالعصر</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عندي لأنّه قد ثبت ذلك في اللحم مع سريان </w:t>
      </w:r>
    </w:p>
    <w:p>
      <w:pPr>
        <w:pStyle w:val="BookText"/>
        <w:rPr/>
      </w:pPr>
      <w:r>
        <w:rPr>
          <w:rFonts w:ascii="Amiri" w:hAnsi="Amiri" w:eastAsia="Amiri" w:cs="Amiri"/>
          <w:color w:val="111111"/>
          <w:sz w:val="28"/>
          <w:sz w:val="28"/>
          <w:szCs w:val="28"/>
          <w:rtl w:val="true"/>
          <w:lang w:bidi="ar-SA"/>
        </w:rPr>
        <w:t xml:space="preserve">أجزاء الماء النجسة فيه فكذا ما ذكرناه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هذا غرابة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بقوّة ما حكاه على الإطلاق مع تضمّنه للغسل ثلاثا ولا يعهد منه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ولتنزيل الجفاف منزلة العصر وليس بمعهود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الحكم بثبوت ذلك في اللحم مع أنّه لم يتعرّض لبيان حكم اللحم قبل ذلك فيما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كون الحكم في نفسه ثابتا أو مقرّرا في محلّ آخر غير لائق بالنظر إلى المتعارف من مثل هذه العبارات لا سيّما بمعونة بناء الكلام في هذا الكتاب على التوسّع في المباحث والاستقصاء في ذكر المسائل ، وإنّما يحسن الاكتفاء بالإشارة في مقام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قصده من الحكم بقوّة ما حكاه إلّا إثبات القبول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التعدّد والجفاف فغير 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يرشدك إلى ذاك تعليل الحكم بأنّه قد ثبت مثله في اللحم والثابت هناك على ما قرّره هو وغيره في باب الأطعمة طهارته بالغسل إذا وقع في مرقه ما يقتضي التنجيس ، فلو أراد بقوّته </w:t>
      </w:r>
      <w:r>
        <w:rPr>
          <w:rStyle w:val="FootnoteAnchor"/>
          <w:rtl w:val="true"/>
        </w:rPr>
        <w:footnoteReference w:id="2203"/>
      </w:r>
      <w:r>
        <w:rPr>
          <w:rFonts w:ascii="Amiri" w:hAnsi="Amiri" w:eastAsia="Amiri" w:cs="Amiri"/>
          <w:color w:val="111111"/>
          <w:sz w:val="28"/>
          <w:sz w:val="28"/>
          <w:szCs w:val="28"/>
          <w:rtl w:val="true"/>
          <w:lang w:bidi="ar-SA"/>
        </w:rPr>
        <w:t>ما زاد على الغسل لم يكن التعليل وافيا بإثبات المدّعى</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أنّه في النهاية اقتصر على الحكم بقبولها للتطهير فقال بعد أن حكم بعدم طهارة الصابون والعجين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السمسم والحنطة </w:t>
      </w:r>
    </w:p>
    <w:p>
      <w:pPr>
        <w:pStyle w:val="BookText"/>
        <w:rPr/>
      </w:pPr>
      <w:r>
        <w:rPr>
          <w:rFonts w:ascii="Amiri" w:hAnsi="Amiri" w:eastAsia="Amiri" w:cs="Amiri"/>
          <w:color w:val="111111"/>
          <w:sz w:val="28"/>
          <w:sz w:val="28"/>
          <w:szCs w:val="28"/>
          <w:rtl w:val="true"/>
          <w:lang w:bidi="ar-SA"/>
        </w:rPr>
        <w:t xml:space="preserve">إذا انتقعا في النجس فالأقوى قبولهما للطهارة وكذا اللحم إذا تنجّست مرقته </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أقف على دليل يدلّ على ثبوت الحكم في اللحم بالخصوص سوى حديثين رواهما الشيخان في الكافي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عليه‌السلام سئل عن قدر طبخت وإذا في القدر فأرة؟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مرقها ويغسل اللحم ويؤكل </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زكريّا بن آدم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قطرة خمر أو نبيذ مسكر قطرت في قدر فيها لحم كثير ومرق؟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 اغسله وكله </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ضعيفتان ، فالتعويل في الحكم على الثبوت في اللحم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فالحقّ أنّ إمكان التطهير في الكلّ ثابت لكنّه موقوف على العلم باستهلاك الماء الطاهر لأجزاء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في خصوص اللحم زوال الأجزاء الدهنيّة التي حكم بنجاستها في حال المائعيّة إذ لا سبيل إلى طهارتها كما بيّناه</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عرض له التنجيس وهو جامد فإنّما ينجس ظاهره ويطهر بالغسل كسائر الجامدات</w:t>
      </w:r>
      <w:r>
        <w:rPr>
          <w:rFonts w:eastAsia="Amiri" w:cs="Amiri" w:ascii="Amiri" w:hAnsi="Amiri"/>
          <w:color w:val="111111"/>
          <w:sz w:val="28"/>
          <w:szCs w:val="28"/>
          <w:rtl w:val="true"/>
          <w:lang w:bidi="ar-SA"/>
        </w:rPr>
        <w:t xml:space="preserve">. </w:t>
      </w:r>
      <w:bookmarkStart w:id="1270" w:name="pg8731_77912"/>
    </w:p>
    <w:p>
      <w:pPr>
        <w:pStyle w:val="Heading6"/>
        <w:numPr>
          <w:ilvl w:val="5"/>
          <w:numId w:val="1"/>
        </w:numPr>
        <w:rPr/>
      </w:pPr>
      <w:bookmarkStart w:id="1271" w:name="__RefHeading___Toc3140791_653776707"/>
      <w:bookmarkStart w:id="1272" w:name="_Toc470"/>
      <w:bookmarkEnd w:id="1270"/>
      <w:bookmarkEnd w:id="1271"/>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272"/>
    </w:p>
    <w:p>
      <w:pPr>
        <w:pStyle w:val="BookText"/>
        <w:rPr/>
      </w:pPr>
      <w:r>
        <w:rPr>
          <w:rFonts w:ascii="Amiri" w:hAnsi="Amiri" w:eastAsia="Amiri" w:cs="Amiri"/>
          <w:color w:val="111111"/>
          <w:sz w:val="28"/>
          <w:sz w:val="28"/>
          <w:szCs w:val="28"/>
          <w:rtl w:val="true"/>
          <w:lang w:bidi="ar-SA"/>
        </w:rPr>
        <w:t>الثوب المصبوغ بالمتنجّس المائع يتوقّف طهره قبل الجفاف على استهلاك الماء للأجزاء المائعة من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ليقة الحبر </w:t>
      </w:r>
      <w:r>
        <w:rPr>
          <w:rStyle w:val="FootnoteAnchor"/>
          <w:rtl w:val="true"/>
        </w:rPr>
        <w:footnoteReference w:id="2207"/>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التجفيف فيمكن طهارة الثوب مع بقاء أجزاء الصبغ فيه وذلك إذا علم نفوذ الماء في جميع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طهارة الليقة حينئذ فموضع نظر من حيث إنّ الاجتماع الحاصل في أجزائها موجب لعدم نفوذ الماء إلى الأجزاء الداخلة إلّا بعد المرور على الخارجة ، والحال يشهد غالبا بأن تكرّر مرور الماء على أجزاء الحبر يقتضي تغيّره وخروجه عن الإطلاق وحصول الطهارة موقوف على نفوذ الماء باقيا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تفريق أجزائها بحيث علم النفوذ قبل التغيّر المخرج عن الإطلاق طهرت كالثوب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في الثوب اجتماع أجزائه على وجه يتوقّف النفوذ إلى باطنها على تكرّر المرور بأجزاء الصبغ فهو في معنى الليقة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يختلف في أنواع الصبغ والحبر من حيث الاختلاف في خفّة الأجزاء وثقلها ؛ فإنّ الخفيف سريع الممازجة بالماء فيوجب تغيّره ولا كذلك الثقيل ، فلا بدّ من الملاحظة والتدبّر في خصوصيّات المحلّ والصبغ والحبر</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3140793_653776707"/>
      <w:bookmarkStart w:id="1274" w:name="_Toc471"/>
      <w:bookmarkEnd w:id="1273"/>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1274"/>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المشرب بالنجس إذا شرب بكثير ففي </w:t>
      </w:r>
      <w:bookmarkStart w:id="1275" w:name="pg8731_77914"/>
    </w:p>
    <w:p>
      <w:pPr>
        <w:pStyle w:val="BookText"/>
        <w:rPr/>
      </w:pPr>
      <w:bookmarkEnd w:id="1275"/>
      <w:r>
        <w:rPr>
          <w:rFonts w:ascii="IRNazanin" w:hAnsi="IRNazanin" w:eastAsia="IRNazanin"/>
          <w:color w:val="111111"/>
          <w:sz w:val="28"/>
          <w:sz w:val="28"/>
          <w:szCs w:val="28"/>
          <w:rtl w:val="true"/>
          <w:lang w:bidi="fa-IR"/>
        </w:rPr>
        <w:t xml:space="preserve">طهارته احتمال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هذا في الذكرى إلّا أنّه جعل احتمال الطهارة منوطا بتشريبه بالماء الطاهر كثيرا كان أو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بملاقاة الطاهر ما لاقى النجس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من أصله منظور فيه ؛ فإنّ قبول الحديد لشرب الماء أمر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الاعتبار أنّ الآثار الموهمة لذلك مستندة إلى تجفيف حرارته للأجزاء المائيّة لا إلى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فالبحث في طريق تطهيره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قبوله لذلك لكان المتّجه على ظاهر كلام الشهيد الاقتصار في احتمال طهارته على تشريبه بالكثير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يرى الاكتفاء في تطهير ما لا ينفصل عنه الغسالة بمجرّد ملاقاة الماء الطاهر ، كما يدلّ عليه كلامه المحكيّ في صدر المسألة بالنظر إلى حكم القرطاس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حقّقناه سابقا في اعتبار العصر فالتسوية بين الكثير والقليل متوجّهة</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3140795_653776707"/>
      <w:bookmarkStart w:id="1277" w:name="_Toc472"/>
      <w:bookmarkEnd w:id="1276"/>
      <w:r>
        <w:rPr>
          <w:rtl w:val="true"/>
        </w:rPr>
        <w:t xml:space="preserve">مسألة </w:t>
      </w:r>
      <w:r>
        <w:rPr>
          <w:rtl w:val="true"/>
        </w:rPr>
        <w:t>[</w:t>
      </w:r>
      <w:r>
        <w:rPr/>
        <w:t>28</w:t>
      </w:r>
      <w:r>
        <w:rPr>
          <w:rtl w:val="true"/>
        </w:rPr>
        <w:t>] :</w:t>
      </w:r>
      <w:bookmarkEnd w:id="1277"/>
    </w:p>
    <w:p>
      <w:pPr>
        <w:pStyle w:val="BookText"/>
        <w:rPr/>
      </w:pPr>
      <w:r>
        <w:rPr>
          <w:rFonts w:ascii="Amiri" w:hAnsi="Amiri" w:eastAsia="Amiri" w:cs="Amiri"/>
          <w:color w:val="111111"/>
          <w:sz w:val="28"/>
          <w:sz w:val="28"/>
          <w:szCs w:val="28"/>
          <w:rtl w:val="true"/>
          <w:lang w:bidi="ar-SA"/>
        </w:rPr>
        <w:t>ويجزي في إزالة الغائط عن مخرجه عوضا عن الغسل بالماء الاستجمار بثلاثة أحجار أو ما يقوم مقامها على تفصيل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الحكم في الجملة مع ما ادّعي من الإجماع عليه في كلام المحقّق وغيره عدّة روايات</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 عن زرارة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w:t>
      </w:r>
    </w:p>
    <w:p>
      <w:pPr>
        <w:pStyle w:val="BookText"/>
        <w:rPr/>
      </w:pPr>
      <w:r>
        <w:rPr>
          <w:rFonts w:ascii="Amiri" w:hAnsi="Amiri" w:eastAsia="Amiri" w:cs="Amiri"/>
          <w:color w:val="111111"/>
          <w:sz w:val="28"/>
          <w:sz w:val="28"/>
          <w:szCs w:val="28"/>
          <w:rtl w:val="true"/>
          <w:lang w:bidi="ar-SA"/>
        </w:rPr>
        <w:t xml:space="preserve">في أثر الغائط بثلاثة أحجار أن يمسح العجان ولا يغسله </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بطهور ويجزيك من الاستنجاء ثلاثة أحجار بذلك جرت السنّة من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البول فإنّه لا بدّ من غسله </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عن جميل بن درّاج عن أبي عبد اللّه عليه‌السلام قال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يستنجون بالكرسف والأحجار ثمّ احدث الوضوء وهو خلق كريم فأمر به رسول اللّه صلى‌اللّه‌عليه‌وآله وصنعه فأنزل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هذا فاعلم أنّ الأصحاب وإن كانوا متّفقين هنا على أصل الحكم فإنّهم مختلفون في عدّة مواضع 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مقام الأحجار فذهب الشيخ وجمهور المتأخّرين إلى أنّه كلّ جسم طاهر مزيل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الشيخ في الخلاف على ذلك إجماع الفرقة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الاستجمار إلّا ما كان أصله الأرض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تحضر الأحجار يمسح بالكرسف أو ما قام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أختار الاستطابة بالآجر والخزف إلّا إذا لبسه طين أو تراب يابس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المرتضى أنّه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الاستنجاء بالأحجار وما قام مقامها من المدر والخرق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ما وصل إلينا من الأخبار في هذا المعنى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بن علي يتمسّح من الغائط بالكرسف ولا يغتسل </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حريز عن زرارة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يستنجي من البول ثلاث مرّات ومن الغائط بالمدر والخرق </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الحسن عن جميل بن درّاج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يستنجون بالكرسف والأحجار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السندي بن محمّد عن يونس ابن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الذي افترضه اللّه على </w:t>
      </w:r>
    </w:p>
    <w:p>
      <w:pPr>
        <w:pStyle w:val="BookText"/>
        <w:rPr/>
      </w:pPr>
      <w:r>
        <w:rPr>
          <w:rFonts w:ascii="Amiri" w:hAnsi="Amiri" w:eastAsia="Amiri" w:cs="Amiri"/>
          <w:color w:val="111111"/>
          <w:sz w:val="28"/>
          <w:sz w:val="28"/>
          <w:szCs w:val="28"/>
          <w:rtl w:val="true"/>
          <w:lang w:bidi="ar-SA"/>
        </w:rPr>
        <w:t xml:space="preserve">العباد لمن جاء من الغائط أو 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ويذهب الغائط </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الحسن عن ابن المغيرة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ينقي مأثمه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ينقي مأثمه ويبقى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 ينظر إليها </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الرواية الأخيرة احتجّ للقول بالتعميم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الرواية التي قبلها بل هي أوضح دلالة منها لكنّهما ليستا من الصحيح فيشكل التعلّق بهما في تأسيس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وساير الأخبار إنّما تدلّ على قيام امور مخصوصة فينبغي الاقتصار على 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المتضمّن للمدر والخرق منقطع الإسناد بحسب الظاهر فينحصر الأمر في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يقوى في نفسي عدم الانقطاع في نحو هذا الخبر ممّا يقع الإسناد فيه إلى المضمر ، كما سبق تحقيقه في بحث الدم إذ الظاهر عود الضمير في مثله إلى المعصوم بقرينة الحال ومعونة ما ظهر من عادتهم في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بقيّة الأقوال التي حكيناها لم نقف لشي‌ء منها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العدد بالفعل أو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جمع من الأصحاب بالأوّل ، وصار آخرون إلى الثاني ، وفرضوا النزاع في الحجر الذي له ثلاث شعب</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العلّامة عن الشيخ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ذا الجهات الثلاث أجزأ </w:t>
      </w:r>
    </w:p>
    <w:p>
      <w:pPr>
        <w:pStyle w:val="BookText"/>
        <w:rPr/>
      </w:pPr>
      <w:r>
        <w:rPr>
          <w:rFonts w:ascii="IRNazanin" w:hAnsi="IRNazanin" w:eastAsia="IRNazanin"/>
          <w:color w:val="111111"/>
          <w:sz w:val="28"/>
          <w:sz w:val="28"/>
          <w:szCs w:val="28"/>
          <w:rtl w:val="true"/>
          <w:lang w:bidi="fa-IR"/>
        </w:rPr>
        <w:t xml:space="preserve">عند بعض أصحابنا والأحوط اعتبار العدد </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العلّامة اختار القول بالإجزاء </w:t>
      </w:r>
      <w:r>
        <w:rPr>
          <w:rStyle w:val="FootnoteAnchor"/>
          <w:rtl w:val="true"/>
        </w:rPr>
        <w:footnoteReference w:id="2223"/>
      </w:r>
      <w:r>
        <w:rPr>
          <w:rFonts w:ascii="Amiri" w:hAnsi="Amiri" w:eastAsia="Amiri" w:cs="Amiri"/>
          <w:color w:val="111111"/>
          <w:sz w:val="28"/>
          <w:sz w:val="28"/>
          <w:szCs w:val="28"/>
          <w:rtl w:val="true"/>
          <w:lang w:bidi="ar-SA"/>
        </w:rPr>
        <w:t>، وذكر أنّه اختيار ابن البرّاج أيضا ووافقهم عليه الشهيد والشيخ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وجماعة من المتأخّرين منهم والدي رحمه‌اللّه إلى عدم الإجزاء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للأوّل بأنّ المراد من الأحجار الثلاثة المأمور بها ثلاث مسحات بحجر كما لو قيل اضربه 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عشرة ضربات 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المقصود إزالة النجاسة وهي حاصلة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الشعب لو انفصلت لأجزأت فكذا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عاقل يفرّق بين الحجر متّصلا بغيره ومنفصلا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الثلاثة لو استجمروا بهذا الحجر لأجزأ كلّ واحد عن حجر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أحدكم لحاجته فليتمسّح ثلاث مسحات </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 هذه الوجوه كلّها</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فبظهور الفرق بين قول القائل اضربه عشرة أسواط وبين قوله أخرجه بثلاثة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موضع البحث إنّما ورد بالصورة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لهذه التفرقة المحقّق في المعتبر فقال بعد أن احتجّ لعدم الإجزاء بظاهر الأمر 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المراد بالأحجار المسحات كما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ضربته 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ثلاث ضربات ولو بسوط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يدرك بإدخال الباء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إن اريد الإزالة المعتبرة شرعا فمسلّم ولكنّ المطالبة متوجّهة بإثبات حصولها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مطلقا فهو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قياس لحال الاتّصال على الانفصال ، واستبعاد التفرقة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 العلّامة قطب الدين الرازي تلميذ الفاضل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 يحكم على الحجر الواحد بثلاثة؟ </w:t>
      </w:r>
      <w:r>
        <w:rPr>
          <w:rStyle w:val="FootnoteAnchor"/>
          <w:rtl w:val="true"/>
        </w:rPr>
        <w:footnoteReference w:id="2228"/>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فبالفرق باستجمار الثلاثة واستجمار الواحد من حيث إنّ العدد صادق في الثلاثة دون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حديث المسحات فوقع في كلام الشهيد في الذكرى وتبعه الشيخ علي في شرح القواعد وليس بشي‌ء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أحاديث الأصحاب ولا له ذكر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مطلق وأخبار الأحجار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حمل الإطلاق على التقييد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الجواب عن احتجاج الأوّلين يعلم </w:t>
      </w:r>
      <w:r>
        <w:rPr>
          <w:rStyle w:val="FootnoteAnchor"/>
          <w:rtl w:val="true"/>
        </w:rPr>
        <w:footnoteReference w:id="2230"/>
      </w:r>
      <w:r>
        <w:rPr>
          <w:rFonts w:ascii="Amiri" w:hAnsi="Amiri" w:eastAsia="Amiri" w:cs="Amiri"/>
          <w:color w:val="111111"/>
          <w:sz w:val="28"/>
          <w:sz w:val="28"/>
          <w:szCs w:val="28"/>
          <w:rtl w:val="true"/>
          <w:lang w:bidi="ar-SA"/>
        </w:rPr>
        <w:t>حجّة الآخرين</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اعترضوا بأنّ ظاهر أخبار الأحجار لو كان مرادا لم يجزئ غيرها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 بأنّ إجزاء غير الأحجار إنّما يثبت بدليل من خارج ، ولولاه لما كان عن الاقتصار عليها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العدد مع حصول النقاء بما دونه فقال أكثر الأصحاب بوجوبه وذهب العلّامة في المختلف إلى الاكتفاء بما يحصل به النقاء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القول بذلك إلى المفيد اعتمادا على نقل ابن إدريس له عنه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الموجبين إطلاق الأمر بالعدد فيتوقّف الامتثال على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زوال النجاسة حكم شرعي فيفتقر إلى سببه الشرعي ولم يثبت سببيّة ما 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إزالة النجاسة وقد حصل فلا يجب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الزائد لا يفيد تطهيرا لأنّ الطهارة حصلت بإزالة عين النجاسة فلا معنى لإيجاب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وبحديث ابن المغيرة السابق المتضمّن لقول أبي الحسن عليه‌السلام أنّه لا حدّ للاستنجاء إلّا نقاء مأثمه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 حجّة الموجبين بأنّ إطلاق الأمر بالثلاثة بناء على الغالب من أنّ الإزالة لا تحصل إلّا بها</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الإحاطة بأطراف الكلام في الموضعين الأوّلين </w:t>
      </w:r>
      <w:r>
        <w:rPr>
          <w:rStyle w:val="FootnoteAnchor"/>
          <w:rtl w:val="true"/>
        </w:rPr>
        <w:footnoteReference w:id="2234"/>
      </w:r>
      <w:r>
        <w:rPr>
          <w:rFonts w:ascii="Amiri" w:hAnsi="Amiri" w:eastAsia="Amiri" w:cs="Amiri"/>
          <w:color w:val="111111"/>
          <w:sz w:val="28"/>
          <w:sz w:val="28"/>
          <w:szCs w:val="28"/>
          <w:rtl w:val="true"/>
          <w:lang w:bidi="ar-SA"/>
        </w:rPr>
        <w:t>خبير بما يجيب به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كلام العلّامة في هذا الموضع</w:t>
      </w:r>
      <w:r>
        <w:rPr>
          <w:rFonts w:eastAsia="Amiri" w:cs="Amiri" w:ascii="Amiri" w:hAnsi="Amiri"/>
          <w:color w:val="111111"/>
          <w:sz w:val="28"/>
          <w:szCs w:val="28"/>
          <w:rtl w:val="true"/>
          <w:lang w:bidi="ar-SA"/>
        </w:rPr>
        <w:t xml:space="preserve">. </w:t>
      </w:r>
      <w:bookmarkStart w:id="1278" w:name="pg8731_77928"/>
    </w:p>
    <w:p>
      <w:pPr>
        <w:pStyle w:val="BookText"/>
        <w:rPr/>
      </w:pPr>
      <w:bookmarkEnd w:id="1278"/>
      <w:r>
        <w:rPr>
          <w:rFonts w:ascii="Amiri" w:hAnsi="Amiri" w:eastAsia="Amiri" w:cs="Amiri"/>
          <w:color w:val="111111"/>
          <w:sz w:val="28"/>
          <w:sz w:val="28"/>
          <w:szCs w:val="28"/>
          <w:rtl w:val="true"/>
          <w:lang w:bidi="ar-SA"/>
        </w:rPr>
        <w:t>إذا عرفت هذا فاعلم أنّ لهذه المسألة تتمّات وتفريعات يأتي بيانها في أحكام الخلوة إذ هي بذلك المقام ألصق</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3140797_653776707"/>
      <w:bookmarkStart w:id="1280" w:name="_Toc473"/>
      <w:bookmarkEnd w:id="1279"/>
      <w:r>
        <w:rPr>
          <w:rtl w:val="true"/>
        </w:rPr>
        <w:t xml:space="preserve">مسألة </w:t>
      </w:r>
      <w:r>
        <w:rPr>
          <w:rtl w:val="true"/>
        </w:rPr>
        <w:t>[</w:t>
      </w:r>
      <w:r>
        <w:rPr/>
        <w:t>29</w:t>
      </w:r>
      <w:r>
        <w:rPr>
          <w:rtl w:val="true"/>
        </w:rPr>
        <w:t>] :</w:t>
      </w:r>
      <w:bookmarkEnd w:id="1280"/>
    </w:p>
    <w:p>
      <w:pPr>
        <w:pStyle w:val="Heading6"/>
        <w:numPr>
          <w:ilvl w:val="5"/>
          <w:numId w:val="1"/>
        </w:numPr>
        <w:rPr/>
      </w:pPr>
      <w:bookmarkStart w:id="1281" w:name="__RefHeading___Toc3140799_653776707"/>
      <w:bookmarkStart w:id="1282" w:name="_Toc474"/>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ويكفي في إزالة النجاسة عن أسفل النعل والخفّ والقدم مسحه في الأرض أو المشي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ذهاب عين النجاسة بذلك حيث يكون لها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ممّا لا يعرف فيه بين الأصحاب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العلّامة في التحرير استشكل ثبوته في القدم </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في المنتهى القول بمساواته للنعل إلى بعض الأصحاب ثمّ ذكر أنّ في رواية صحيحة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توقّف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جزم بالحكم في صدر المسألة وصرّح باستواء الثلاثة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ما حكيناه بعد فراغه من بحث المسألة وانتقاله إلى فروعها فذكر ذلك في جملة الفروع ، وكلامه في سائر كتبه التي رأيناها خال من هذا التوقّف مصرّح بالتسوية بين الثلاثة وكذا كلام جمهور المتأخّرين من الأصحاب</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المتقدّمون فمنهم من صرّح بالتسوية ومنهم من اقتصر على الخفّ والنعل ولم يتعرّض للقدم بنفي ولا إثبات ، وجماعة منهم لم يذكروا المسألة من أصلها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المصرّح بالتسوية فابن الجنيد حيث قال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Style w:val="FootnoteAnchor"/>
          <w:rtl w:val="true"/>
        </w:rPr>
        <w:footnoteReference w:id="2237"/>
      </w:r>
      <w:r>
        <w:rPr>
          <w:rFonts w:ascii="Amiri" w:hAnsi="Amiri" w:eastAsia="Amiri" w:cs="Amiri"/>
          <w:color w:val="111111"/>
          <w:sz w:val="28"/>
          <w:sz w:val="28"/>
          <w:szCs w:val="28"/>
          <w:rtl w:val="true"/>
          <w:lang w:bidi="ar-SA"/>
        </w:rPr>
        <w:t>وطئ الإنسان برجليه أو بما هو وقاء لهما نجاسة رطبة أو كانت رجله رطبة والنجاسة يابسة أو رطبة فوطئ بعدها نحو خمسة عشر ذراعا أرضا طاهرة يابسة طهر ما ماسّ النجاسة من رجله والوقاء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غسلها كان أحوط ولو مسحها حتّى تذهب عين النجاسة وأثرها بغير ماء أجزأه إذا كان ما مسحها به طاهرا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المقتصر على الخفّ والنعل فالمفيد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داس الإنسان بنعله أو خفّه نجاسة ثمّ مسحها بالتراب طهرا بذلك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سلّار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على أربعة أضرب أحدها ما يمسح على الأرض والتراب ، وهو ما يكون في النعل والخفّ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فاعلم أنّ الحجّة على الحكم من جهة النصّ عدّة روايات أقواها استنادا ما رواه الشيخ عن زرارة بن أعين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وطئ على عذرة فساحت رجله فيها أينقض ذلك وضوءه وهل يجب عليه غسلها؟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يغسلها إلّا أن يقذرها ولكنّه يمسحها حتّى يذهب أثرها ويصلّي </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هي الرواية التي حكينا عن المنتهى الإشارة إليها عند توقّفه في أمر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للتوقّف وجه فإنّها نصّ فيه وهي أصحّ ما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ابن أبي عمير عن جميل بن صالح </w:t>
      </w:r>
      <w:r>
        <w:rPr>
          <w:rStyle w:val="FootnoteAnchor"/>
          <w:rtl w:val="true"/>
        </w:rPr>
        <w:footnoteReference w:id="2242"/>
      </w:r>
      <w:r>
        <w:rPr>
          <w:rFonts w:ascii="Amiri" w:hAnsi="Amiri" w:eastAsia="Amiri" w:cs="Amiri"/>
          <w:color w:val="111111"/>
          <w:sz w:val="28"/>
          <w:sz w:val="28"/>
          <w:szCs w:val="28"/>
          <w:rtl w:val="true"/>
          <w:lang w:bidi="ar-SA"/>
        </w:rPr>
        <w:t xml:space="preserve">عن الأحول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يطأ على الموضع الذي ليس بنظيف ثمّ يطأ بعده مكانا نظيفا؟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إذا كان خمسة عشر ذراعا أو نحو ذلك </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محمّد بن مسلم في الحسن عن أبي جعفر عليه‌السلام في جملة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يطهّر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المراد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سياق الكلام الواقعة فيه وما يأتي في خبرين آخرين ذكرت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الحاصلة في أسفل القدم وما هو بمعناه بملاقاة الأرض المتنجّسة على الوجه المؤثّر يطهر بالمسح في محلّ آخر من الأرض فسمّي زوال الأثر الحاصل من الأرض تطهيرا لها ، كما نقول الماء مطهّر للبول بمعنى أنّه مزيل للأثر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الحكم المستفاد من الحديث المذكور وما في معناه مختصّا بالنجاسة المكتسبة من الأرض النجسة</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في الحسن عن ابن أبي عمير عن جميل بن درّاج عن المعلّى ابن خنيس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الخنزير يخرج من الماء فيمرّ في الطريق فيسيل منه الماء أمرّ عليه حافيا؟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وراءه </w:t>
      </w:r>
      <w:r>
        <w:rPr>
          <w:rStyle w:val="FootnoteAnchor"/>
          <w:rtl w:val="true"/>
        </w:rPr>
        <w:footnoteReference w:id="2244"/>
      </w:r>
      <w:r>
        <w:rPr>
          <w:rFonts w:ascii="Amiri" w:hAnsi="Amiri" w:eastAsia="Amiri" w:cs="Amiri"/>
          <w:color w:val="111111"/>
          <w:sz w:val="28"/>
          <w:sz w:val="28"/>
          <w:szCs w:val="28"/>
          <w:rtl w:val="true"/>
          <w:lang w:bidi="ar-SA"/>
        </w:rPr>
        <w:t xml:space="preserve">شي‌ء </w:t>
      </w:r>
    </w:p>
    <w:p>
      <w:pPr>
        <w:pStyle w:val="BookText"/>
        <w:rPr/>
      </w:pPr>
      <w:r>
        <w:rPr>
          <w:rFonts w:ascii="IRNazanin" w:hAnsi="IRNazanin" w:eastAsia="IRNazanin"/>
          <w:color w:val="111111"/>
          <w:sz w:val="28"/>
          <w:sz w:val="28"/>
          <w:szCs w:val="28"/>
          <w:rtl w:val="true"/>
          <w:lang w:bidi="fa-IR"/>
        </w:rPr>
        <w:t xml:space="preserve">جاف؟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 إنّ الأرض تطهّر بعضها بعضا </w:t>
      </w:r>
      <w:r>
        <w:rPr>
          <w:rFonts w:eastAsia="IRNazanin" w:cs="IRNazanin"/>
          <w:color w:val="111111"/>
          <w:sz w:val="28"/>
          <w:szCs w:val="28"/>
          <w:rtl w:val="true"/>
          <w:lang w:bidi="fa-IR"/>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عن محمّد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نزلنا في مكان بيننا وبين المسجد زقاق قذر فدخلت على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وبين المسجد زقاقا قذرا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المسجد زقاقا قذرا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فالسرقين الرطب أطأ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يغرّك مثله </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فضالة بن أيّوب وصفوان بن يحيى عن عبد اللّه بن بكير عن حفص بن أبي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وطيت عذرة بخفّي ومسحته حتّى لم أر فيه شيئا ما تقول في الصلاة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فيه </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لم تكن نقيّة الأسانيد فإنّها معتضدة بالحديث الأوّل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مختصّا بالقدم غير ضائر فإنّ ثبوت الحكم فيه يقتضي ثبوته في غيره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الخفّ والنعل لا توقّف لأحد من الأصحاب في حكمهما على ما يظهر ، وقد حصل في القدم نوع توقّف</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رواية الأحول تضمّنت اعتبار المشي نحو خمسة عشر ذراعا وقد مرّ ذلك في عبارة ابن الجنيد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منه بيان مقدار المشي الذي يحصل به زوال عين النجاسة في الغالب</w:t>
      </w:r>
      <w:r>
        <w:rPr>
          <w:rFonts w:eastAsia="Amiri" w:cs="Amiri" w:ascii="Amiri" w:hAnsi="Amiri"/>
          <w:color w:val="111111"/>
          <w:sz w:val="28"/>
          <w:szCs w:val="28"/>
          <w:rtl w:val="true"/>
          <w:lang w:bidi="ar-SA"/>
        </w:rPr>
        <w:t xml:space="preserve">. </w:t>
      </w:r>
      <w:bookmarkStart w:id="1283" w:name="pg8731_77936"/>
    </w:p>
    <w:p>
      <w:pPr>
        <w:pStyle w:val="BookText"/>
        <w:rPr/>
      </w:pPr>
      <w:bookmarkEnd w:id="1283"/>
      <w:r>
        <w:rPr>
          <w:rFonts w:ascii="Amiri" w:hAnsi="Amiri" w:eastAsia="Amiri" w:cs="Amiri"/>
          <w:color w:val="111111"/>
          <w:sz w:val="28"/>
          <w:sz w:val="28"/>
          <w:szCs w:val="28"/>
          <w:rtl w:val="true"/>
          <w:lang w:bidi="ar-SA"/>
        </w:rPr>
        <w:t xml:space="preserve">أمّا في الرواية فللتصريح في الخبر الصحيح بأنّ المسح المذهب للأثر كاف فلا بدّ من الجميع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عبارة ابن الجنيد فلأنّه ذكر مضمون الحديث الصحيح في آخر عبارته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حفص بن أبي عيسى ليست بمفيدة للطهارة لو صحّ سندها كما لا يخفى ، إلّا أنّ الأصحاب ذكروها في دليل الحكم ، ولعلّ فيها نوع إشعار يحسن باعتباره جعلها مؤيّدة</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3140801_653776707"/>
      <w:bookmarkStart w:id="1285" w:name="_Toc475"/>
      <w:bookmarkEnd w:id="1284"/>
      <w:r>
        <w:rPr>
          <w:rtl w:val="true"/>
        </w:rPr>
        <w:t xml:space="preserve">تذنيبات </w:t>
      </w:r>
      <w:r>
        <w:rPr>
          <w:rtl w:val="true"/>
        </w:rPr>
        <w:t>:</w:t>
      </w:r>
      <w:bookmarkEnd w:id="1285"/>
    </w:p>
    <w:p>
      <w:pPr>
        <w:pStyle w:val="Heading6"/>
        <w:numPr>
          <w:ilvl w:val="5"/>
          <w:numId w:val="1"/>
        </w:numPr>
        <w:rPr/>
      </w:pPr>
      <w:bookmarkStart w:id="1286" w:name="__RefHeading___Toc3140803_653776707"/>
      <w:bookmarkStart w:id="1287" w:name="_Toc476"/>
      <w:bookmarkEnd w:id="1286"/>
      <w:r>
        <w:rPr>
          <w:rtl w:val="true"/>
        </w:rPr>
        <w:t xml:space="preserve">[ </w:t>
      </w:r>
      <w:r>
        <w:rPr>
          <w:rtl w:val="true"/>
        </w:rPr>
        <w:t xml:space="preserve">التذنيب </w:t>
      </w:r>
      <w:r>
        <w:rPr>
          <w:rtl w:val="true"/>
        </w:rPr>
        <w:t xml:space="preserve">] </w:t>
      </w:r>
      <w:r>
        <w:rPr>
          <w:rtl w:val="true"/>
        </w:rPr>
        <w:t xml:space="preserve">الأوّل </w:t>
      </w:r>
      <w:r>
        <w:rPr>
          <w:rtl w:val="true"/>
        </w:rPr>
        <w:t>:</w:t>
      </w:r>
      <w:bookmarkEnd w:id="1287"/>
    </w:p>
    <w:p>
      <w:pPr>
        <w:pStyle w:val="BookText"/>
        <w:rPr/>
      </w:pPr>
      <w:r>
        <w:rPr>
          <w:rFonts w:ascii="Amiri" w:hAnsi="Amiri" w:eastAsia="Amiri" w:cs="Amiri"/>
          <w:color w:val="111111"/>
          <w:sz w:val="28"/>
          <w:sz w:val="28"/>
          <w:szCs w:val="28"/>
          <w:rtl w:val="true"/>
          <w:lang w:bidi="ar-SA"/>
        </w:rPr>
        <w:t>ذكر بعض أصحابنا المتأخّرين أنّ إطلاق النصّ والفتوى يقتضي عدم الفرق في الأرض بين الطاهرة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الشهيد في الذكرى وجماعة باشتراط طهارتها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ابن الجنيد في كلامه المحكيّ سابقا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الإطلاق في فتوى المفيد </w:t>
      </w:r>
      <w:r>
        <w:rPr>
          <w:rStyle w:val="FootnoteAnchor"/>
          <w:rtl w:val="true"/>
        </w:rPr>
        <w:footnoteReference w:id="2250"/>
      </w:r>
      <w:r>
        <w:rPr>
          <w:rFonts w:ascii="Amiri" w:hAnsi="Amiri" w:eastAsia="Amiri" w:cs="Amiri"/>
          <w:color w:val="111111"/>
          <w:sz w:val="28"/>
          <w:sz w:val="28"/>
          <w:szCs w:val="28"/>
          <w:rtl w:val="true"/>
          <w:lang w:bidi="ar-SA"/>
        </w:rPr>
        <w:t xml:space="preserve">وسلّار </w:t>
      </w:r>
      <w:r>
        <w:rPr>
          <w:rStyle w:val="FootnoteAnchor"/>
          <w:rtl w:val="true"/>
        </w:rPr>
        <w:footnoteReference w:id="2251"/>
      </w:r>
      <w:r>
        <w:rPr>
          <w:rFonts w:ascii="Amiri" w:hAnsi="Amiri" w:eastAsia="Amiri" w:cs="Amiri"/>
          <w:color w:val="111111"/>
          <w:sz w:val="28"/>
          <w:sz w:val="28"/>
          <w:szCs w:val="28"/>
          <w:rtl w:val="true"/>
          <w:lang w:bidi="ar-SA"/>
        </w:rPr>
        <w:t xml:space="preserve">، وفي عبارات الفاضلين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القول بأنّ الفتاوى مطلقة ليس بجيّد</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 فأكثره 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لاح من بعضه التقييد وذلك في رواية الأحول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يطأ بعده مكانا نظيفا </w:t>
      </w:r>
      <w:r>
        <w:rPr>
          <w:rFonts w:eastAsia="Amiri" w:cs="Amiri" w:ascii="Amiri" w:hAnsi="Amiri"/>
          <w:color w:val="111111"/>
          <w:sz w:val="28"/>
          <w:szCs w:val="28"/>
          <w:rtl w:val="true"/>
          <w:lang w:bidi="ar-SA"/>
        </w:rPr>
        <w:t xml:space="preserve">». </w:t>
      </w:r>
      <w:bookmarkStart w:id="1288" w:name="pg8731_77938"/>
    </w:p>
    <w:p>
      <w:pPr>
        <w:pStyle w:val="BookText"/>
        <w:rPr/>
      </w:pPr>
      <w:bookmarkEnd w:id="1288"/>
      <w:r>
        <w:rPr>
          <w:rFonts w:ascii="Amiri" w:hAnsi="Amiri" w:eastAsia="Amiri" w:cs="Amiri"/>
          <w:color w:val="111111"/>
          <w:sz w:val="28"/>
          <w:sz w:val="28"/>
          <w:szCs w:val="28"/>
          <w:rtl w:val="true"/>
          <w:lang w:bidi="ar-SA"/>
        </w:rPr>
        <w:t>ولا ريب أنّ اعتبار طهارتها أولى</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3140805_653776707"/>
      <w:bookmarkStart w:id="1290" w:name="_Toc477"/>
      <w:bookmarkEnd w:id="1289"/>
      <w:r>
        <w:rPr>
          <w:rtl w:val="true"/>
        </w:rPr>
        <w:t xml:space="preserve">[ </w:t>
      </w:r>
      <w:r>
        <w:rPr>
          <w:rtl w:val="true"/>
        </w:rPr>
        <w:t xml:space="preserve">التذنيب </w:t>
      </w:r>
      <w:r>
        <w:rPr>
          <w:rtl w:val="true"/>
        </w:rPr>
        <w:t xml:space="preserve">] </w:t>
      </w:r>
      <w:r>
        <w:rPr>
          <w:rtl w:val="true"/>
        </w:rPr>
        <w:t xml:space="preserve">الثاني </w:t>
      </w:r>
      <w:r>
        <w:rPr>
          <w:rtl w:val="true"/>
        </w:rPr>
        <w:t>:</w:t>
      </w:r>
      <w:bookmarkEnd w:id="1290"/>
    </w:p>
    <w:p>
      <w:pPr>
        <w:pStyle w:val="BookText"/>
        <w:rPr/>
      </w:pPr>
      <w:r>
        <w:rPr>
          <w:rFonts w:ascii="Amiri" w:hAnsi="Amiri" w:eastAsia="Amiri" w:cs="Amiri"/>
          <w:color w:val="111111"/>
          <w:sz w:val="28"/>
          <w:sz w:val="28"/>
          <w:szCs w:val="28"/>
          <w:rtl w:val="true"/>
          <w:lang w:bidi="ar-SA"/>
        </w:rPr>
        <w:t>ذهب جماعة من متأخّري الأصحاب إلى اشتراط الجفاف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عبارة ابن الجنيد اشتراطه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ونفاه العلّامة في النهاية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الدلك بأرض رطبة أو يابسة إذا عرف 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وطئ وحلا فالأقرب عدم الطهارة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على عدم الاشتراط والدي رحمه‌اللّه في الروضة والروض ، لكنّه اشترط عدم خروج الأرض بالرطوبة عن اسمها </w:t>
      </w:r>
      <w:r>
        <w:rPr>
          <w:rStyle w:val="FootnoteAnchor"/>
          <w:rtl w:val="true"/>
        </w:rPr>
        <w:footnoteReference w:id="2254"/>
      </w:r>
      <w:r>
        <w:rPr>
          <w:rFonts w:ascii="Amiri" w:hAnsi="Amiri" w:eastAsia="Amiri" w:cs="Amiri"/>
          <w:color w:val="111111"/>
          <w:sz w:val="28"/>
          <w:sz w:val="28"/>
          <w:szCs w:val="28"/>
          <w:rtl w:val="true"/>
          <w:lang w:bidi="ar-SA"/>
        </w:rPr>
        <w:t>، وهو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الرطوبة اليسيرة التي لا يحصل منها تعدّ غير قادحة على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اشتراط الجفاف</w:t>
      </w:r>
      <w:r>
        <w:rPr>
          <w:rFonts w:eastAsia="IRNazanin" w:cs="IRNazanin"/>
          <w:color w:val="111111"/>
          <w:sz w:val="28"/>
          <w:szCs w:val="28"/>
          <w:rtl w:val="true"/>
          <w:lang w:bidi="fa-IR"/>
        </w:rPr>
        <w:t>.</w:t>
      </w:r>
    </w:p>
    <w:p>
      <w:pPr>
        <w:pStyle w:val="Heading6"/>
        <w:numPr>
          <w:ilvl w:val="5"/>
          <w:numId w:val="1"/>
        </w:numPr>
        <w:rPr/>
      </w:pPr>
      <w:bookmarkStart w:id="1291" w:name="__RefHeading___Toc3140807_653776707"/>
      <w:bookmarkStart w:id="1292" w:name="_Toc478"/>
      <w:bookmarkEnd w:id="1291"/>
      <w:r>
        <w:rPr>
          <w:rtl w:val="true"/>
        </w:rPr>
        <w:t xml:space="preserve">[ </w:t>
      </w:r>
      <w:r>
        <w:rPr>
          <w:rtl w:val="true"/>
        </w:rPr>
        <w:t xml:space="preserve">التذنيب </w:t>
      </w:r>
      <w:r>
        <w:rPr>
          <w:rtl w:val="true"/>
        </w:rPr>
        <w:t xml:space="preserve">] </w:t>
      </w:r>
      <w:r>
        <w:rPr>
          <w:rtl w:val="true"/>
        </w:rPr>
        <w:t xml:space="preserve">الثالث </w:t>
      </w:r>
      <w:r>
        <w:rPr>
          <w:rtl w:val="true"/>
        </w:rPr>
        <w:t>:</w:t>
      </w:r>
      <w:bookmarkEnd w:id="1292"/>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دلك النعل والقدم بالأجسام الصلبة كالخشب أو مشى عليها فإشكال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منشأ الإشكال من إطلاق الحكم بالطهارة مع المسح المذهب للأثر في صحيح زرارة من دون تعرّض لكونه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 الأخبار إن لم يكن فيها ما يوافقه فليست مخالفة له ، ولا فيها تقييد يدعو إلى حمل الإطلاق عليه</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 المعروف بين الأصحاب اختصاص الحكم بالأرض بحيث لا يعلم </w:t>
      </w:r>
      <w:bookmarkStart w:id="1293" w:name="pg8731_77940"/>
    </w:p>
    <w:p>
      <w:pPr>
        <w:pStyle w:val="BookText"/>
        <w:rPr/>
      </w:pPr>
      <w:bookmarkEnd w:id="1293"/>
      <w:r>
        <w:rPr>
          <w:rFonts w:ascii="Amiri" w:hAnsi="Amiri" w:eastAsia="Amiri" w:cs="Amiri"/>
          <w:color w:val="111111"/>
          <w:sz w:val="28"/>
          <w:sz w:val="28"/>
          <w:szCs w:val="28"/>
          <w:rtl w:val="true"/>
          <w:lang w:bidi="ar-SA"/>
        </w:rPr>
        <w:t>بالتعدية إلى غيرها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الاقتصار على محلّ الوفاق أولى</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3140809_653776707"/>
      <w:bookmarkStart w:id="1295" w:name="_Toc479"/>
      <w:bookmarkEnd w:id="1294"/>
      <w:r>
        <w:rPr>
          <w:rtl w:val="true"/>
        </w:rPr>
        <w:t xml:space="preserve">[ </w:t>
      </w:r>
      <w:r>
        <w:rPr>
          <w:rtl w:val="true"/>
        </w:rPr>
        <w:t xml:space="preserve">التذنيب </w:t>
      </w:r>
      <w:r>
        <w:rPr>
          <w:rtl w:val="true"/>
        </w:rPr>
        <w:t xml:space="preserve">] </w:t>
      </w:r>
      <w:r>
        <w:rPr>
          <w:rtl w:val="true"/>
        </w:rPr>
        <w:t xml:space="preserve">الرابع </w:t>
      </w:r>
      <w:r>
        <w:rPr>
          <w:rtl w:val="true"/>
        </w:rPr>
        <w:t>:</w:t>
      </w:r>
      <w:bookmarkEnd w:id="1295"/>
    </w:p>
    <w:p>
      <w:pPr>
        <w:pStyle w:val="BookText"/>
        <w:rPr/>
      </w:pPr>
      <w:r>
        <w:rPr>
          <w:rFonts w:ascii="Amiri" w:hAnsi="Amiri" w:eastAsia="Amiri" w:cs="Amiri"/>
          <w:color w:val="111111"/>
          <w:sz w:val="28"/>
          <w:sz w:val="28"/>
          <w:szCs w:val="28"/>
          <w:rtl w:val="true"/>
          <w:lang w:bidi="ar-SA"/>
        </w:rPr>
        <w:t xml:space="preserve">ذكر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يجعل وقاية للرجل حال المشي ولو من الخشب كالقبقاب حكمه حكم النعل ، وأنّ خشبة الأقطع ملحقة بالقدم ، وقيل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والدي في بعض كتبه في إلحاقها بأحدهما نظرا إلى عدم صدق شي‌ء منهما عليها </w:t>
      </w:r>
      <w:r>
        <w:rPr>
          <w:rStyle w:val="FootnoteAnchor"/>
          <w:rtl w:val="true"/>
        </w:rPr>
        <w:footnoteReference w:id="2256"/>
      </w:r>
      <w:r>
        <w:rPr>
          <w:rFonts w:ascii="Amiri" w:hAnsi="Amiri" w:eastAsia="Amiri" w:cs="Amiri"/>
          <w:color w:val="111111"/>
          <w:sz w:val="28"/>
          <w:sz w:val="28"/>
          <w:szCs w:val="28"/>
          <w:rtl w:val="true"/>
          <w:lang w:bidi="ar-SA"/>
        </w:rPr>
        <w:t xml:space="preserve">، ولكنّه جزم بالحكم في غير موضع وجعلها ملحقة بالنعل تارة وردّد بين ذلك وبين إلحاقها بالقدم اخرى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واستبعد بعض مشايخنا المعاصرين إلحاق القبقاب من حيث توقّفه على صدق اسم النعل عليه ورأى ذلك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يختلج بخاطري تصويب ما حكم به الجماعة هنا مطلقا وإن كان الظاهر من حالهم الاستناد فيه إلى الأخبار الواردة في أصل الباب ، وهي غير ناهضة بإثبات الكلّ لما فيها من الإجمال</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لاح لنا في ذلك وجه احتجاج تقدّم منّا إشارة إليه في البحث عن اعتبار تعدّد الغسل فيما عدا البول من النجاسات وسنوضحه في مسألة تطهير الشمس</w:t>
      </w:r>
      <w:r>
        <w:rPr>
          <w:rFonts w:eastAsia="Amiri" w:cs="Amiri" w:ascii="Amiri" w:hAnsi="Amiri"/>
          <w:color w:val="111111"/>
          <w:sz w:val="28"/>
          <w:szCs w:val="28"/>
          <w:rtl w:val="true"/>
          <w:lang w:bidi="ar-SA"/>
        </w:rPr>
        <w:t xml:space="preserve">. </w:t>
      </w:r>
      <w:bookmarkStart w:id="1296" w:name="pg8731_77942"/>
    </w:p>
    <w:p>
      <w:pPr>
        <w:pStyle w:val="Heading6"/>
        <w:numPr>
          <w:ilvl w:val="5"/>
          <w:numId w:val="1"/>
        </w:numPr>
        <w:rPr/>
      </w:pPr>
      <w:bookmarkStart w:id="1297" w:name="__RefHeading___Toc3140811_653776707"/>
      <w:bookmarkStart w:id="1298" w:name="_Toc480"/>
      <w:bookmarkEnd w:id="1296"/>
      <w:bookmarkEnd w:id="1297"/>
      <w:r>
        <w:rPr>
          <w:rtl w:val="true"/>
        </w:rPr>
        <w:t xml:space="preserve">مسألة </w:t>
      </w:r>
      <w:r>
        <w:rPr>
          <w:rtl w:val="true"/>
        </w:rPr>
        <w:t>[</w:t>
      </w:r>
      <w:r>
        <w:rPr/>
        <w:t>30</w:t>
      </w:r>
      <w:r>
        <w:rPr>
          <w:rtl w:val="true"/>
        </w:rPr>
        <w:t>]</w:t>
      </w:r>
      <w:bookmarkEnd w:id="1298"/>
    </w:p>
    <w:p>
      <w:pPr>
        <w:pStyle w:val="Heading6"/>
        <w:numPr>
          <w:ilvl w:val="5"/>
          <w:numId w:val="1"/>
        </w:numPr>
        <w:rPr/>
      </w:pPr>
      <w:bookmarkStart w:id="1299" w:name="__RefHeading___Toc3140813_653776707"/>
      <w:bookmarkStart w:id="1300" w:name="_Toc481"/>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وذهب جمع من الأصحاب منهم المحقّق في الشرائع </w:t>
      </w:r>
      <w:r>
        <w:rPr>
          <w:rStyle w:val="FootnoteAnchor"/>
          <w:rtl w:val="true"/>
        </w:rPr>
        <w:footnoteReference w:id="2258"/>
      </w:r>
      <w:r>
        <w:rPr>
          <w:rFonts w:ascii="Amiri" w:hAnsi="Amiri" w:eastAsia="Amiri" w:cs="Amiri"/>
          <w:color w:val="111111"/>
          <w:sz w:val="28"/>
          <w:sz w:val="28"/>
          <w:szCs w:val="28"/>
          <w:rtl w:val="true"/>
          <w:lang w:bidi="ar-SA"/>
        </w:rPr>
        <w:t xml:space="preserve">والعلّامة في أكثر كتبه </w:t>
      </w:r>
      <w:r>
        <w:rPr>
          <w:rStyle w:val="FootnoteAnchor"/>
          <w:rtl w:val="true"/>
        </w:rPr>
        <w:footnoteReference w:id="2259"/>
      </w:r>
      <w:r>
        <w:rPr>
          <w:rFonts w:ascii="Amiri" w:hAnsi="Amiri" w:eastAsia="Amiri" w:cs="Amiri"/>
          <w:color w:val="111111"/>
          <w:sz w:val="28"/>
          <w:sz w:val="28"/>
          <w:szCs w:val="28"/>
          <w:rtl w:val="true"/>
          <w:lang w:bidi="ar-SA"/>
        </w:rPr>
        <w:t xml:space="preserve">والشهيدان إلى أنّ الأرض إذا أصابتها نجاسة برطوبة مؤثّرة فيها ولم يكن لها عين كفى في زوال حكم تلك النجاسة عنها إشراق الشمس عليها وتجفيفها للرطوبة الحاصلة فيها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كان لها عين وزالت بوجه غير مطهّر وبقي من ذلك رطوبة جفّفتها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وألحقوا بالأرض في هذا الحكم كلّ ما لا ينقل ولا يحوّل في العادة كالأشجار والأبنية ، ومن المنقول الحصر والبواري لا غير</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بين علمائنا في هذه المسألة الاختلاف ، واضطربت فيها الفتاوى فذهب العلّامة في المنتهى إلى أنّ الحكم فيها مخصوص بالبول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الشيخ في موضع من المبسوط </w:t>
      </w:r>
      <w:r>
        <w:rPr>
          <w:rStyle w:val="FootnoteAnchor"/>
          <w:rtl w:val="true"/>
        </w:rPr>
        <w:footnoteReference w:id="2262"/>
      </w:r>
      <w:r>
        <w:rPr>
          <w:rFonts w:ascii="Amiri" w:hAnsi="Amiri" w:eastAsia="Amiri" w:cs="Amiri"/>
          <w:color w:val="111111"/>
          <w:sz w:val="28"/>
          <w:sz w:val="28"/>
          <w:szCs w:val="28"/>
          <w:rtl w:val="true"/>
          <w:lang w:bidi="ar-SA"/>
        </w:rPr>
        <w:t xml:space="preserve">، وذكر أنّه في موضع آخر منه أفتى بخلافه كالخلاف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المحقّق في النافع إلى أنّه مخصوص بالأرض والبواري والحصر </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الخلاف </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المفيد في المقنعة وسلّار في رسالته بين التخصيصين المذكورين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العلّامة في المختلف عن القطب الراوندي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والبارية والحصير هذه الثلاثة فحسب إذا أصابها البول فجفّفتها الشمس حكمها حكم الطاهر في جواز السجود عليها ما لم تصر رطبة أو لو يكن الجبين رطبا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المحقّق في المعتبر أنّ الراوندي وصاحب الوسيلة ذهبا إلى أنّ الأرض والبواري والحصر إذا أصابها البول وجفّفته الشمس لا يطهر بذلك ولكن تجوز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احتجّ بعد ذلك للقول بالطهارة وسيأتي حكاية كلامه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أكثر الأصحاب اقتصروا في هذه المسألة على مجرّد الفتوى ، وأطنب جماعة من المتأخّرين في تفصيل فروعها وتقرير سبقها معرضين عن التعرّض لتحقيق دليلها وهو عجيب</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 العلّامة في المختلف للقول الأوّل برواية عمّار الساباطي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الشمس هل تطهّر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الموضع قذرا من البول أو غير ذلك فأصابته الشمس ثمّ يبس الموضع فالصلاة </w:t>
      </w:r>
    </w:p>
    <w:p>
      <w:pPr>
        <w:pStyle w:val="BookText"/>
        <w:rPr/>
      </w:pPr>
      <w:r>
        <w:rPr>
          <w:rFonts w:ascii="Amiri" w:hAnsi="Amiri" w:eastAsia="Amiri" w:cs="Amiri"/>
          <w:color w:val="111111"/>
          <w:sz w:val="28"/>
          <w:sz w:val="28"/>
          <w:szCs w:val="28"/>
          <w:rtl w:val="true"/>
          <w:lang w:bidi="ar-SA"/>
        </w:rPr>
        <w:t xml:space="preserve">على الموضع جائزة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فيها بأنّ السؤال وقع عن الطهارة فلو لم يكن في الجواب ما يفهم السائل منه الطهارة أو عدمها لزم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الجواب الذي وقع لا يناسب النجاسة فدلّ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أبي بكر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ما أشرقت عليه الشمس فقد طهر </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المقتضي للتنجيس هو الأجزاء التي عدمت بإسخان الشمس فيزول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المنتهى برواية عمّار السابقة </w:t>
      </w:r>
      <w:r>
        <w:rPr>
          <w:rStyle w:val="FootnoteAnchor"/>
          <w:rtl w:val="true"/>
        </w:rPr>
        <w:footnoteReference w:id="2271"/>
      </w:r>
      <w:r>
        <w:rPr>
          <w:rFonts w:ascii="Amiri" w:hAnsi="Amiri" w:eastAsia="Amiri" w:cs="Amiri"/>
          <w:color w:val="111111"/>
          <w:sz w:val="28"/>
          <w:sz w:val="28"/>
          <w:szCs w:val="28"/>
          <w:rtl w:val="true"/>
          <w:lang w:bidi="ar-SA"/>
        </w:rPr>
        <w:t xml:space="preserve">، ورواية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البواري يصيبها البول هل يصلح الصلاة عليها إذا جفّت من غير أن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أبي بكر المتقدّمة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إنّها لا تحمل على إطلاقها بل على الأرض والبواري وشبهها توفيقا بين الأدلّة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البول يكون على السطح </w:t>
      </w:r>
    </w:p>
    <w:p>
      <w:pPr>
        <w:pStyle w:val="BookText"/>
        <w:rPr/>
      </w:pPr>
      <w:r>
        <w:rPr>
          <w:rFonts w:ascii="Amiri" w:hAnsi="Amiri" w:eastAsia="Amiri" w:cs="Amiri"/>
          <w:color w:val="111111"/>
          <w:sz w:val="28"/>
          <w:sz w:val="28"/>
          <w:szCs w:val="28"/>
          <w:rtl w:val="true"/>
          <w:lang w:bidi="ar-SA"/>
        </w:rPr>
        <w:t xml:space="preserve">أو في المكان الذي اصلّي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حرارة الشمس تفيد تسخينا وهو يوجب تبخير الأجزاء الرطبة وتصعيدها والباقي تشربه الأرض فيكون الظاهر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حكى عن الشيخ في المبسوط القول باختصاص الحكم بالبول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جيّد ؛ لأنّ الروايات الصحيحة إنّما تضمّنت البول فالتعدية بغير دليل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ورواية عمّار وإن دلّت على التعميم إلّا أنّها لضعف سندها لم يعوّل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ذلك أنّ غير الأرض والبواري والحصر من الثياب والأواني وغيرها ممّا ينقل ويحوّل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لا ينقل ممّا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كالنباتات وغيرها فالوجه الطهارة دفعا للمشقّة </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الشيخ في الخلاف </w:t>
      </w:r>
      <w:r>
        <w:rPr>
          <w:rStyle w:val="FootnoteAnchor"/>
          <w:rtl w:val="true"/>
        </w:rPr>
        <w:footnoteReference w:id="2277"/>
      </w:r>
      <w:r>
        <w:rPr>
          <w:rFonts w:ascii="Amiri" w:hAnsi="Amiri" w:eastAsia="Amiri" w:cs="Amiri"/>
          <w:color w:val="111111"/>
          <w:sz w:val="28"/>
          <w:sz w:val="28"/>
          <w:szCs w:val="28"/>
          <w:rtl w:val="true"/>
          <w:lang w:bidi="ar-SA"/>
        </w:rPr>
        <w:t>بإجماع الفرقة على ذلك وبروايتي عمّار وعليّ بن جعفر المذكورتين في احتجاج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على ذلك بقول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فحيثما أدركتني الصلاة صلّيت </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لأنّه 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المسألة في موضع آخر من الخلاف </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لها بإجماع الفرقة ، وروايتي عمّار وأبي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المحقّق في المعتبر احتجاج الشيخ بغير رواية أبي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استدلاله بالروايات إشكالا ؛ لأنّ غايتها الدلالة على جواز الصلاة عليها ، ونحن فلا نشترط طهارة موضع الصلاة ، بل نكتفي باشتراط طهارة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الصلاة عليها مطلقا دليل على جواز السجود عليها ، والسجود يشترط طهارة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بما رواه أبو بكر الحضرمي وذكر الرواية السابقة ، وبأنّ الشمس من شأنها الإسخان والسخونة تلطّف الأجزاء الرطبة وتصعدها فإذا ذهب أثر النجاسة دلّ على مفارقتها المحلّ والباقي تحيله الأرض إلى الأرضيّة فيطهر لقول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طهور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الاحتجاج من المحقّق بعد اختياره لمذهب الراوندي يدلّ على التردّد في الحكم أو الرجوع إلى ترجيح جانب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أنّه بعد ذكره لهذه المسألة بقليل ذكر مسألة تطهير الأرض من البول بإلقاء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واستضعف حجّة الشيخ فيها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تقرّر هذا فبما ذا تطهر؟ الوجه أنّ طهارتها بجريان الماء عليها أو المطر حتّى يستهلك النجاسة أو يزال التراب النجس على اليقين أو تطلع عليه الشمس حتّى يجفّ بها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النافين للطهارة هنا احتجّوا بما رواه الشيخ في الصحيح عن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الأرض والسطح يصيبه البول أو ما أشبهه هل تطهره الشمس من غير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تطهر من </w:t>
      </w:r>
    </w:p>
    <w:p>
      <w:pPr>
        <w:pStyle w:val="BookText"/>
        <w:rPr/>
      </w:pPr>
      <w:r>
        <w:rPr>
          <w:rFonts w:ascii="Amiri" w:hAnsi="Amiri" w:eastAsia="Amiri" w:cs="Amiri"/>
          <w:color w:val="111111"/>
          <w:sz w:val="28"/>
          <w:sz w:val="28"/>
          <w:szCs w:val="28"/>
          <w:rtl w:val="true"/>
          <w:lang w:bidi="ar-SA"/>
        </w:rPr>
        <w:t xml:space="preserve">غير ماء؟ </w:t>
      </w:r>
      <w:r>
        <w:rPr>
          <w:rFonts w:eastAsia="Amiri" w:cs="Amiri" w:ascii="Amiri" w:hAnsi="Amiri"/>
          <w:color w:val="111111"/>
          <w:sz w:val="28"/>
          <w:szCs w:val="28"/>
          <w:rtl w:val="true"/>
          <w:lang w:bidi="ar-SA"/>
        </w:rPr>
        <w:t xml:space="preserve">»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الاستصحاب يقتضي الحكم بالنجاسة ، وتسويغ الصلاة لا يدلّ على الطهارة ؛ لجواز أن يكون معفوّا عنه كما في الدم اليسير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الحجج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حجّة المختلف فلأنّ روايتي عمّار وأبي بكر ضعيفتان واللازم من جعله المقتضي للتنجيس هو الأجزاء التي عدمت بإسخان الشمس أن يكون المقتضي للطهارة زوال العين كيف اتّفق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المنتهى فرواية عمّار وقد علم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جعفر وإن كانت صحيحة السند إلّا أنّها مخصوصة بالبواري مطلقة في الجفاف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رواية اخرى صحيحة السند عن عليّ بن جعفر أيضا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البواري ، بلّ قصبها بماء قذر أيصلّي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يبست فلا بأس </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معتبرة الإسناد واضحة المتن في كتاب من لا يحضره الفقيه لكنّها مخصوصة بالأرض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ولزرارة رواية اخرى في الكافي والتهذيب صحيحة السند وصورة متنها </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يصيبه البول أو يبال عليه ، أيصلّى في ذلك الموضع؟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يصيبه الشمس والريح وكان جافّا فلا بأس به إلّا أن يكون يتّخذ مبالا </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عدم صراحتها في الطهارة تشارك الاولى في الاختصاص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والاعتماد في التعميم على رفع المشقّة مشكل ؛ إذ المعهود فيما يثبت </w:t>
      </w:r>
      <w:r>
        <w:rPr>
          <w:rStyle w:val="FootnoteAnchor"/>
          <w:rtl w:val="true"/>
        </w:rPr>
        <w:footnoteReference w:id="2288"/>
      </w:r>
      <w:r>
        <w:rPr>
          <w:rFonts w:ascii="Amiri" w:hAnsi="Amiri" w:eastAsia="Amiri" w:cs="Amiri"/>
          <w:color w:val="111111"/>
          <w:sz w:val="28"/>
          <w:sz w:val="28"/>
          <w:szCs w:val="28"/>
          <w:rtl w:val="true"/>
          <w:lang w:bidi="ar-SA"/>
        </w:rPr>
        <w:t>لدفع المشقّة أن يتقدّر بقدرها ، ولا سبيل إلى ادّعاء حصولها في موضع النزاع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حرارة الشمس مفيدة للتسخين فقد بيّنا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الخلاف فحال الإجماع عند الشيخ معلوم ، والروايات ذكرنا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 بالحديث النبويّ ركيك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المحقّق في توجيه الإشكال الذي أورده على استدلال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لا نشترط طهارة موضع الصلاة بل نكتفي بطهارة موضع الجبهة </w:t>
      </w:r>
      <w:r>
        <w:rPr>
          <w:rFonts w:eastAsia="Amiri" w:cs="Amiri" w:ascii="Amiri" w:hAnsi="Amiri"/>
          <w:color w:val="111111"/>
          <w:sz w:val="28"/>
          <w:szCs w:val="28"/>
          <w:rtl w:val="true"/>
          <w:lang w:bidi="ar-SA"/>
        </w:rPr>
        <w:t xml:space="preserve">» </w:t>
      </w:r>
      <w:r>
        <w:rPr>
          <w:rStyle w:val="FootnoteAnchor"/>
          <w:rtl w:val="true"/>
        </w:rPr>
        <w:footnoteReference w:id="2289"/>
      </w:r>
      <w:r>
        <w:rPr>
          <w:rFonts w:ascii="Amiri" w:hAnsi="Amiri" w:eastAsia="Amiri" w:cs="Amiri"/>
          <w:color w:val="111111"/>
          <w:sz w:val="28"/>
          <w:sz w:val="28"/>
          <w:szCs w:val="28"/>
          <w:rtl w:val="true"/>
          <w:lang w:bidi="ar-SA"/>
        </w:rPr>
        <w:t>عجيب ؛ إذ مقتضاه نفي تأثير الشمس بكلّ وجه وهو خلاف مذهب الراوندي على ما في عبارته التي حكاها الفاضل في المختلف ؛ لتصريحه فيها بجواز السجود على ما جففته الشمس بشرط انتفاء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نوع خصوصيّة للشمس كما لا يخفى</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ذكره المحقّق فلا أثر لها أصلا ولا نعرف ذلك بين الأصحاب </w:t>
      </w:r>
    </w:p>
    <w:p>
      <w:pPr>
        <w:pStyle w:val="BookText"/>
        <w:rPr/>
      </w:pPr>
      <w:r>
        <w:rPr>
          <w:rFonts w:ascii="Amiri" w:hAnsi="Amiri" w:eastAsia="Amiri" w:cs="Amiri"/>
          <w:color w:val="111111"/>
          <w:sz w:val="28"/>
          <w:sz w:val="28"/>
          <w:szCs w:val="28"/>
          <w:rtl w:val="true"/>
          <w:lang w:bidi="ar-SA"/>
        </w:rPr>
        <w:t>في المسألة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للإشكال بأنّ الإذن في الصلاة مطلقا دليل على جواز السجود ، والطهارة شرط فيه إنّما يجدي لو لم يكن بجواز السجود مع الحكم بالنجاسة قائل ، وقد عرفت أنّ الراوندي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وجه الدفع دلالة الإذن في الصلاة مطلقا على جواز السجود مع رطوبة الجبهة بعرق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المباشرة بباقي المساجد المكشوفة في الغالب كاليدين وإن كانت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الطهارة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إنّما يتمّ في روايتي عليّ بن جعفر وحديث زرارة المرويّ في الكافي والتهذيب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عمّار فظاهرها اشتراط عدم الرطوبة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رجلك رطبة أو جبهتك رطبة أو غير ذلك منك ما يصيب ذلك الموضع القذر فلا تصلّ على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جعلناه ظاهرا ؛ لأنّ في متن الرواية ركاكة واختلافا يحتمل معهما تعلّق الشرط بما يجفّ بغير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واحتجاجه بعد ذلك برواية أبي بكر وما معها يرد عليه ما ورد على احتجاج العلّامة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على حجّة النافين للطهارة وقد أجاب في المختلف عن الوجه الأوّل منها بأنّ الرواية متناولة لجواز حصول اليبوسة من غير الشمس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واقع بين الرواية المذكورة ورواية زرارة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من جهة الاستناد </w:t>
      </w:r>
      <w:r>
        <w:rPr>
          <w:rStyle w:val="FootnoteAnchor"/>
          <w:rtl w:val="true"/>
        </w:rPr>
        <w:footnoteReference w:id="2292"/>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ومتن رواية زرارة بعيد عن التأويل لصراحته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جعل التأويل في الاخرى وذلك بحملها على كون النجاسة جافّة ، فيتوقّف طهرها بالشمس على ترطيبها بالماء وتجفيف الشمس لها ، أو يراد من الماء الرطوبة الحاصلة من النجاسة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بإشراق الشمس عليها وهي جافّة؟ فأجاب بإنكار تأثيرها في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أن يكون إنكار الطهارة بغير ماء عائدا إلى مجموع ما وقع عنه السؤال ، بعد حمل المشابهة فيما أشبه البول على المماثلة في النجاسة ، فيتناول النجاسات التي لها أعيان كالدم ، وتأثير الشمس فيما له عين إنّما يتصوّر بعد زوال عينه فيرجع حاصل الإنكار إلى أنّ من النجاسات ما له عين وهذا النوع لا سبيل إلى طهارته بالشمس إلّا بتوسّط الماء ، وذلك يجعله مانعا على وجه يمكن تجفيف الشمس له وتذهب بالجفاف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الثاني بأنّ حكم الاستصحاب ثابت مع بقاء الأجزاء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عدمها بالشمس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 العلّامة غريب ؛ إذ المعروف من مذهبه قبول مثل هذا الاستصحاب والاعتداد به</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سلف تحقيقه في المباحث الاصوليّة واخترناه وفاقا للمرتضى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المردود ؛ لأنّ ما دلّ من النصوص على تأثير النجاسات والتأثير بها على وجه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تبق أعيانها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مقصور على البدن والثوب والآنية كما يشهد به الاستقراء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استفيد الحكم فيما عدا ذلك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يكون الاستصحاب المردود فيما يدركه الإجماع ؛ لأنّ الحكم الثابت به في موضع الحاجة إلى الاستصحاب يكون لا محالة مخصوصا بحال اولى فيطلب بالاستصحاب انسحابه إلى حال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اعتبار الاستصحاب حينئذ إثبات للحكم بغير دليل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يتّجه في موضع النزاع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تأثّر الأرض والحصر والبواري وكلّ ما لا ينقل في العادة بالنجاسة مختصّ بالحال التي قبل زوال العين عنها وتجفيف الشمس لها ؛ لانتفاء الإجماع فيما بعد ذلك قطعا </w:t>
      </w:r>
      <w:r>
        <w:rPr>
          <w:rStyle w:val="FootnoteAnchor"/>
          <w:rtl w:val="true"/>
        </w:rPr>
        <w:footnoteReference w:id="2295"/>
      </w:r>
      <w:r>
        <w:rPr>
          <w:rFonts w:ascii="Amiri" w:hAnsi="Amiri" w:eastAsia="Amiri" w:cs="Amiri"/>
          <w:color w:val="111111"/>
          <w:sz w:val="28"/>
          <w:sz w:val="28"/>
          <w:szCs w:val="28"/>
          <w:rtl w:val="true"/>
          <w:lang w:bidi="ar-SA"/>
        </w:rPr>
        <w:t>، فمن ادّعى ثبوت الحكم في الحال التي بعد فهو مطالب بالبرهان عليه وليس في يده 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منه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الاتّفاق واقع على أنّ للنجاسات المعلومة أثرا في كلّ ما يلاقيه برطوبة مستمرّا إلى أن يحصل المطهّر الشرعي فيفتقر كلّ نوع من أنواع المطهّرات إلى دليل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ظاهريّ يقع في خاطر العاجز عن استنباط بواطن الأدلّة ، ويلتفت إليه القانع بالجمل عن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قرّرناه أمر وراء ذلك</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التحقيق أنّه لا معنى لكون الشي‌ء نجسا إلّا دلالة الدليل الشرعيّ على التكليف باجتنابه في فعل مشروط بالطهارة أو إزالة عينه </w:t>
      </w:r>
    </w:p>
    <w:p>
      <w:pPr>
        <w:pStyle w:val="BookText"/>
        <w:rPr/>
      </w:pPr>
      <w:r>
        <w:rPr>
          <w:rFonts w:ascii="Amiri" w:hAnsi="Amiri" w:eastAsia="Amiri" w:cs="Amiri"/>
          <w:color w:val="111111"/>
          <w:sz w:val="28"/>
          <w:sz w:val="28"/>
          <w:szCs w:val="28"/>
          <w:rtl w:val="true"/>
          <w:lang w:bidi="ar-SA"/>
        </w:rPr>
        <w:t>أو أثره لأجله ، وأنّ ما لا دليل فيه على أحد الأمرين فهو على أصل الطهارة بمعنى أصالة براءة الذمّة من التكليف فيه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يتخيّل من أن يكون كلّ نوع من أنواع النجاسات بمنزلة العلّة الحقيقيّة في التأثير ، فكلّ ما لاقاه برطوبة أثّر فيه النجاسة وتوقّف في عوده إلى الطهارة على طروّ المطهّر فمن الأوهام التي يظهر فسادها بأدنى تأمّل ولا يستريح إلى أمثالها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الأمر فيما استفيد حكمه من الإجماع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الوقوف فيه مع الحال التي انعقد الإجماع على ثبوت التنجيس فيها وبقاؤه فيما بعدها على حكم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أدخلت الأرض في جملته مع أنّ الأخبار الواردة في شأنها مع الشمس وإن كانت مختلفة في الدلالة على الطهارة فهي مختلفة على تأثّرها </w:t>
      </w:r>
      <w:r>
        <w:rPr>
          <w:rStyle w:val="FootnoteAnchor"/>
          <w:rtl w:val="true"/>
        </w:rPr>
        <w:footnoteReference w:id="2297"/>
      </w:r>
      <w:r>
        <w:rPr>
          <w:rFonts w:ascii="Amiri" w:hAnsi="Amiri" w:eastAsia="Amiri" w:cs="Amiri"/>
          <w:color w:val="111111"/>
          <w:sz w:val="28"/>
          <w:sz w:val="28"/>
          <w:szCs w:val="28"/>
          <w:rtl w:val="true"/>
          <w:lang w:bidi="ar-SA"/>
        </w:rPr>
        <w:t xml:space="preserve">بالنجاسة فيكون من قبيل ما ثبت </w:t>
      </w:r>
      <w:r>
        <w:rPr>
          <w:rStyle w:val="FootnoteAnchor"/>
          <w:rtl w:val="true"/>
        </w:rPr>
        <w:footnoteReference w:id="2298"/>
      </w:r>
      <w:r>
        <w:rPr>
          <w:rFonts w:ascii="Amiri" w:hAnsi="Amiri" w:eastAsia="Amiri" w:cs="Amiri"/>
          <w:color w:val="111111"/>
          <w:sz w:val="28"/>
          <w:sz w:val="28"/>
          <w:szCs w:val="28"/>
          <w:rtl w:val="true"/>
          <w:lang w:bidi="ar-SA"/>
        </w:rPr>
        <w:t>حكمه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المستفاد من الأخبار المذكورة هو ثبوت التنجيس لها في حال وجود عين النجاسة وهو حكم خاصّ كالمستفاد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الأخبار الواردة في الثوب والبدن والآنيّة ؛ فإنّ فيها تصريحا بثبوت الحكم حيث لا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الفرق</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خبر محمّد بن إسماعيل بن بزيع ما يقتضي كون الحكم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إبقائه على ظاهره فظاهر ، وأمّا على تأويله فلأنّه لا عين هناك يستند التنجيس إليها ويصير الحكم خاصّا بسببها</w:t>
      </w:r>
      <w:r>
        <w:rPr>
          <w:rFonts w:eastAsia="Amiri" w:cs="Amiri" w:ascii="Amiri" w:hAnsi="Amiri"/>
          <w:color w:val="111111"/>
          <w:sz w:val="28"/>
          <w:szCs w:val="28"/>
          <w:rtl w:val="true"/>
          <w:lang w:bidi="ar-SA"/>
        </w:rPr>
        <w:t xml:space="preserve">. </w:t>
      </w:r>
      <w:bookmarkStart w:id="1301" w:name="pg8731_77964"/>
    </w:p>
    <w:p>
      <w:pPr>
        <w:pStyle w:val="BookText"/>
        <w:rPr/>
      </w:pPr>
      <w:bookmarkEnd w:id="130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ابقي حديث ابن بزيع على ظاهره لسقطت هذه المباحث من أصلها ، لكنّ المعارض أخرجه عن الظاهر فانتفى احتمال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خلوّه من المقتضي لكون الحكم خاصّا بحال وجود العين كما في الأخبار الاخر فمسلّم إن أوّلناه بأحد الوجهين اللذين ذكرناهما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يصير حينئذ خاصّا بحال جفاف النجاسة بغير الشمس فلا ينافي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تأويله بالوجه الأخير فاختصاصه بحال وجود العين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بنجاسة الأرض بعد ذهاب العين في صورة جفافها بغير الشمس ثابتا بالنصّ فالمتّجه عدم طهارتها بالشمس لو عادت إليها الرطوبة بوجه غير مطهّر وجفّفتها الشمس تمسّكا بالاستصحاب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الأرض بتجفيف الشمس للرطوبة الحاصلة فيها من عين البول ثابتة بخبر زرارة السابق ، فطهارتها بتجفيف الشمس للرطوبة الحاصلة من الماء المنفعل بالبول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 هذا في الدم المعفوّ عنه حيث ألحقوا به في العفو ما يتنجّس به نظرا إلى الأولويّة المذكورة</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3140815_653776707"/>
      <w:bookmarkStart w:id="1303" w:name="_Toc482"/>
      <w:bookmarkEnd w:id="1302"/>
      <w:r>
        <w:rPr>
          <w:rtl w:val="true"/>
        </w:rPr>
        <w:t xml:space="preserve">فروع </w:t>
      </w:r>
      <w:r>
        <w:rPr>
          <w:rtl w:val="true"/>
        </w:rPr>
        <w:t>:</w:t>
      </w:r>
      <w:bookmarkEnd w:id="1303"/>
    </w:p>
    <w:p>
      <w:pPr>
        <w:pStyle w:val="Heading6"/>
        <w:numPr>
          <w:ilvl w:val="5"/>
          <w:numId w:val="1"/>
        </w:numPr>
        <w:rPr/>
      </w:pPr>
      <w:bookmarkStart w:id="1304" w:name="__RefHeading___Toc3140817_653776707"/>
      <w:bookmarkStart w:id="1305" w:name="_Toc483"/>
      <w:bookmarkEnd w:id="1304"/>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305"/>
    </w:p>
    <w:p>
      <w:pPr>
        <w:pStyle w:val="BookText"/>
        <w:rPr/>
      </w:pPr>
      <w:r>
        <w:rPr>
          <w:rFonts w:ascii="Amiri" w:hAnsi="Amiri" w:eastAsia="Amiri" w:cs="Amiri"/>
          <w:color w:val="111111"/>
          <w:sz w:val="28"/>
          <w:sz w:val="28"/>
          <w:szCs w:val="28"/>
          <w:rtl w:val="true"/>
          <w:lang w:bidi="ar-SA"/>
        </w:rPr>
        <w:t>جمهور الأصحاب على أنّ الجفاف الحاصل بغير الشمس لا يثمر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إذا أصابتها نجاسة مثل البول وما أشبهه وطلعت عليها الشمس أو هبّت عليها الريح حتّى زالت عين النجاسة فإنّها تطهر ويجوز السجود عليها ، والتيمّم بترابها وإن لم يطرح عليها الماء</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للحكم بإجماع الفرقة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ما لم يعلم فيه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زوال النجاسة عن هذه الأرض ، وإنّما يدّعى حكمها ، وذلك يحتاج إلى دليل </w:t>
      </w:r>
      <w:r>
        <w:rPr>
          <w:rStyle w:val="FootnoteAnchor"/>
          <w:rtl w:val="true"/>
        </w:rPr>
        <w:footnoteReference w:id="2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موضع آخر من الكتاب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البول إذا أصاب موضعا من الأرض وجفّفته الشمس طهر الموضع ، وإن جفّ بغير الشمس لم يطهر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كلام الشيخ هنا جماعة من الأصحاب منهم العلّامة في المنتهى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ابن إدريس أخذ على الشيخ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الشيخ بهبوب الرياح المزيلة للأجزاء الملاقية للنجاسة الممازجة لها ، وليس مقصود الشيخ ذهاب الرطوبة عن الأجزاء كذهابها بحرارة الشمس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العمل تعسّف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مخالفة الشيخ نفسه في هذا الحكم لم يكن بذلك البعيد ؛ لما علم من أنّ الدليل على ثبوت التنجيس في مثله بعد ذهاب العين منحصر في الإجماع ، والشيخ قد ادّعى الإجماع على الطهارة ، فلا أقلّ من أن يكون ذلك دليلا على انتفاء الإجماع على النجاسة</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يظنّ كون حديث محمّد بن إسماعيل بن بزيع منافيا له من حيث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الطهارة مع الجفاف بغير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فإنّه بعد صرفه عن ظاهره محتمل لوجوه من التأويل ولا مرجّح لبعضها على بعض ، وهو على الاحتمال الذي ذكرناه أخيرا مساو لباقي الأخبار ، فلا يكون وجه المنافاة فيه ظاهرا</w:t>
      </w:r>
      <w:r>
        <w:rPr>
          <w:rFonts w:eastAsia="Amiri" w:cs="Amiri" w:ascii="Amiri" w:hAnsi="Amiri"/>
          <w:color w:val="111111"/>
          <w:sz w:val="28"/>
          <w:szCs w:val="28"/>
          <w:rtl w:val="true"/>
          <w:lang w:bidi="ar-SA"/>
        </w:rPr>
        <w:t xml:space="preserve">. </w:t>
      </w:r>
      <w:bookmarkStart w:id="1306" w:name="pg8731_77967"/>
    </w:p>
    <w:p>
      <w:pPr>
        <w:pStyle w:val="BookText"/>
        <w:rPr/>
      </w:pPr>
      <w:bookmarkEnd w:id="1306"/>
      <w:r>
        <w:rPr>
          <w:rFonts w:ascii="Amiri" w:hAnsi="Amiri" w:eastAsia="Amiri" w:cs="Amiri"/>
          <w:color w:val="111111"/>
          <w:sz w:val="28"/>
          <w:sz w:val="28"/>
          <w:szCs w:val="28"/>
          <w:rtl w:val="true"/>
          <w:lang w:bidi="ar-SA"/>
        </w:rPr>
        <w:t xml:space="preserve">وقد روى الصدوق عن عليّ بن جعفر في الصحيح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البيت والدار لا تصيبهما الشمس ، ويصيبهما البول ويغتسل فيهما من الجنابة أيصلّى فيهما إذا جفّا؟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يصلح شاهدا على هذا الحكم بالتقريب الذي مرّ في الاستدلال لتطهير الشمس بالرواية المتضمّنة لتسويغ الصلاة على ما جفّفته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في الصلاة مطلقا يقتضي عدم الفرق بين رطوبة الجبهة ويبوستها وذلك دليل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لو تمّ في ما نحن فيه لاقتضى حصول الطهارة بمطلق الجفاف ؛ إذ لا تعرّض في الخبر للريح ، ولا قائل بالعموم في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يجعل ذلك وجها لحمل الخبر على إرادة الجفاف الحاصل بالريح ليسلم من الإشكال المخالفة لما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لا أنّ الشيخ صرّح بالرجوع عمّا صار إليه في هذا الحكم لكان السبيل إلى توجيهه ميسّرا</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3140819_653776707"/>
      <w:bookmarkStart w:id="1308" w:name="_Toc484"/>
      <w:bookmarkEnd w:id="1307"/>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308"/>
    </w:p>
    <w:p>
      <w:pPr>
        <w:pStyle w:val="BookText"/>
        <w:rPr/>
      </w:pPr>
      <w:r>
        <w:rPr>
          <w:rFonts w:ascii="Amiri" w:hAnsi="Amiri" w:eastAsia="Amiri" w:cs="Amiri"/>
          <w:color w:val="111111"/>
          <w:sz w:val="28"/>
          <w:sz w:val="28"/>
          <w:szCs w:val="28"/>
          <w:rtl w:val="true"/>
          <w:lang w:bidi="ar-SA"/>
        </w:rPr>
        <w:t>عدّ جماعة من المتأخّرين فيما تطهّره الشمس ممّا لا ينقل 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العلّامة في النهاية بخلافه ، فأخرجها من عداد ما لا ينقل عند تمثيله له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الجماعة أقرب إلى الاعتبار وإن كان إلحاقها بالمنقول إذا صارت في محلّ القطع أولى</w:t>
      </w:r>
      <w:r>
        <w:rPr>
          <w:rFonts w:eastAsia="Amiri" w:cs="Amiri" w:ascii="Amiri" w:hAnsi="Amiri"/>
          <w:color w:val="111111"/>
          <w:sz w:val="28"/>
          <w:szCs w:val="28"/>
          <w:rtl w:val="true"/>
          <w:lang w:bidi="ar-SA"/>
        </w:rPr>
        <w:t xml:space="preserve">. </w:t>
      </w:r>
      <w:bookmarkStart w:id="1309" w:name="pg8731_77969"/>
    </w:p>
    <w:p>
      <w:pPr>
        <w:pStyle w:val="Heading6"/>
        <w:numPr>
          <w:ilvl w:val="5"/>
          <w:numId w:val="1"/>
        </w:numPr>
        <w:rPr/>
      </w:pPr>
      <w:bookmarkStart w:id="1310" w:name="__RefHeading___Toc3140821_653776707"/>
      <w:bookmarkStart w:id="1311" w:name="_Toc485"/>
      <w:bookmarkEnd w:id="1309"/>
      <w:bookmarkEnd w:id="1310"/>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311"/>
    </w:p>
    <w:p>
      <w:pPr>
        <w:pStyle w:val="BookText"/>
        <w:rPr/>
      </w:pPr>
      <w:r>
        <w:rPr>
          <w:rFonts w:ascii="Amiri" w:hAnsi="Amiri" w:eastAsia="Amiri" w:cs="Amiri"/>
          <w:color w:val="111111"/>
          <w:sz w:val="28"/>
          <w:sz w:val="28"/>
          <w:szCs w:val="28"/>
          <w:rtl w:val="true"/>
          <w:lang w:bidi="ar-SA"/>
        </w:rPr>
        <w:t xml:space="preserve">ربّما لاح من احتجاج العلّامة في المنتهى لتطهير الشمس بالوجه الاعتباري الذي سبق نقله في حكاية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حرارتها مفيدة للتسخين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والباقي تشربه الأرض فيكون الظاهر طاهرا </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يطهر بالشمس ظاهر الأرض دون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جمع من متأخّري الأصحاب على أنّ الباطن فيما تطهّره الشمس كالظاهر فيطهر إذا جفّ الجميع بها وكانت النجاسة متّصلة كالأرض التي دخلت فيها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الانفصال كوجهي الحائط إذا كانت النجاسة فيهما غير خارقة فتختصّ الطهارة بما صدق عليه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3140823_653776707"/>
      <w:bookmarkStart w:id="1313" w:name="_Toc486"/>
      <w:bookmarkEnd w:id="1312"/>
      <w:r>
        <w:rPr>
          <w:rtl w:val="true"/>
        </w:rPr>
        <w:t xml:space="preserve">مسألة </w:t>
      </w:r>
      <w:r>
        <w:rPr>
          <w:rtl w:val="true"/>
        </w:rPr>
        <w:t>[</w:t>
      </w:r>
      <w:r>
        <w:rPr/>
        <w:t>31</w:t>
      </w:r>
      <w:r>
        <w:rPr>
          <w:rtl w:val="true"/>
        </w:rPr>
        <w:t>] :</w:t>
      </w:r>
      <w:bookmarkEnd w:id="1313"/>
    </w:p>
    <w:p>
      <w:pPr>
        <w:pStyle w:val="Heading6"/>
        <w:numPr>
          <w:ilvl w:val="5"/>
          <w:numId w:val="1"/>
        </w:numPr>
        <w:rPr/>
      </w:pPr>
      <w:bookmarkStart w:id="1314" w:name="__RefHeading___Toc3140825_653776707"/>
      <w:bookmarkStart w:id="1315" w:name="_Toc487"/>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والمشهور بين علمائنا أنّ النار مطهّرة لما يستحيل بها رمادا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لذلك الشيخ في الخلاف بإجماع الفرقة وبما رواه الحسن بن محبوب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الحسن عليه‌السلام عن الجصّ يوقد عليه بالعذرة وعظام الموتى ، ويجصّص به المسجد ، أيسجد عليه؟ فكتب إليه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المحقّق في المعتبر نوع توقّف في الحكم حيث عزاه إلى الشيخ وذكر احتجاجه بما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احتجاج الشيخ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w:t>
      </w:r>
    </w:p>
    <w:p>
      <w:pPr>
        <w:pStyle w:val="BookText"/>
        <w:rPr/>
      </w:pPr>
      <w:r>
        <w:rPr>
          <w:rFonts w:ascii="Amiri" w:hAnsi="Amiri" w:eastAsia="Amiri" w:cs="Amiri"/>
          <w:color w:val="111111"/>
          <w:sz w:val="28"/>
          <w:sz w:val="28"/>
          <w:szCs w:val="28"/>
          <w:rtl w:val="true"/>
          <w:lang w:bidi="ar-SA"/>
        </w:rPr>
        <w:t>فهو أعرف به ونحن فلا نعلمه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فمن المعلوم أنّ الماء الذي يمازج الجصّ هو ما يجبل به وذاك لا يطهّر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لم تصيّره رمادا ، وقد اشترط صيرورة النجاسة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وصيرورة العظام والعذرة رمادا بعد الحكم بنجاسة الجصّ غير مؤثّر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بإجماع الناس على عدم التوقّى من دواخن السراجين النجسة ، فلو لم يكن طاهرا بالاستحالة لتورّعوا منه </w:t>
      </w:r>
      <w:r>
        <w:rPr>
          <w:rStyle w:val="FootnoteAnchor"/>
          <w:rtl w:val="true"/>
        </w:rPr>
        <w:footnoteReference w:id="2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اقتفى الفاضل في المنتهى أثره في الكلام على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الاستدلال به إشكالا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الممازج هو الذي يجبل </w:t>
      </w:r>
      <w:r>
        <w:rPr>
          <w:rStyle w:val="FootnoteAnchor"/>
          <w:rtl w:val="true"/>
        </w:rPr>
        <w:footnoteReference w:id="2308"/>
      </w:r>
      <w:r>
        <w:rPr>
          <w:rFonts w:ascii="Amiri" w:hAnsi="Amiri" w:eastAsia="Amiri" w:cs="Amiri"/>
          <w:color w:val="111111"/>
          <w:sz w:val="28"/>
          <w:sz w:val="28"/>
          <w:szCs w:val="28"/>
          <w:rtl w:val="true"/>
          <w:lang w:bidi="ar-SA"/>
        </w:rPr>
        <w:t>به وذاك غير مطهّر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بنجاسة الجصّ ثمّ بتطهيره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نجاسته بدخان الأعيان النجسة إشكال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كلامي هذين الفاضلين علمت أنّ منشأ الإشكال من إسناد الطهارة في الخبر إلى الماء ؛ فإنّهما فهما منه الحكم بنجاسة الجصّ نفسه فجاء الإشكال</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بعيد لخلوّ الكلام في السؤال والجواب عن الإشعار به إلّا من الجهة المذكورة وهي بمجرّدها لا تقتضي المصير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يخرج إلى ارتكاب </w:t>
      </w:r>
      <w:r>
        <w:rPr>
          <w:rStyle w:val="FootnoteAnchor"/>
          <w:rtl w:val="true"/>
        </w:rPr>
        <w:footnoteReference w:id="2310"/>
      </w:r>
      <w:r>
        <w:rPr>
          <w:rFonts w:ascii="Amiri" w:hAnsi="Amiri" w:eastAsia="Amiri" w:cs="Amiri"/>
          <w:color w:val="111111"/>
          <w:sz w:val="28"/>
          <w:sz w:val="28"/>
          <w:szCs w:val="28"/>
          <w:rtl w:val="true"/>
          <w:lang w:bidi="ar-SA"/>
        </w:rPr>
        <w:t>التأويل باعتبار ما في ذلك من المخالفة لمقتضى القواعد ؛ إذ مع طهارة الجصّ لا يفيده الماء تطهيرا ، والعذرة الموقدة عليه إن خرجت عن حقيقتها خروجا يوجب دخولها في حقيقة الأجسام الطاهرة لم يحتج إلى الماء ، وإن بقيت على حكمها هنا لم يفدها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والمتّجه عندي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الطهارة المستندة إلى الماء على معناها اللغوي ؛ لأنّ الماء يفيد الجصّ نوع تنظيف ربّما تزول معه النفرة الحاصلة من اشتماله على العذرة والعظام المحترقة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هذا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إرادة المعنى المذكور من تطهير الماء له غير منافية لإرادة المعنى الشرعي من تطهير النار ؛ لأنّ ضرورة مطابقة الجواب للسؤال يقتضي حصول الطهارة شرعا للعذرة حينئذ ، ولا وجه له إلّا تأثير النار فيها ، ولا مانع من الجمع بين إرادتي المعنيين مع قيام القرينة على ما بيّناه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جعله من باب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النار لم تصيّره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يريد به أنّ الجصّ لا يطهر بالنار ؛ لأنّه لا يصير بها رمادا ، وقد شرط الشيخ ذلك في حصول الطهارة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وصيرورة العذرة والعظام رمادا لا يقتضي طهارة الجصّ بعد أن حكم بنجاسته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لهذا الكلام ؛ لأنّ المستفاد من ظاهر السؤال أنّ العذرة تحرق على الجصّ بحيث يختلط به ؛ وإن غرض السائل معرفة حالها بعد الإحراق ؛ فإنّ بقاءها على النجاسة يوجب نجاسة الجصّ لملاقاتها له برطوبة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الجواب مصرّحا بطهارتها وهو دليل واضح على الحكم لا غبار عليه</w:t>
      </w:r>
      <w:r>
        <w:rPr>
          <w:rFonts w:eastAsia="Amiri" w:cs="Amiri" w:ascii="Amiri" w:hAnsi="Amiri"/>
          <w:color w:val="111111"/>
          <w:sz w:val="28"/>
          <w:szCs w:val="28"/>
          <w:rtl w:val="true"/>
          <w:lang w:bidi="ar-SA"/>
        </w:rPr>
        <w:t xml:space="preserve">. </w:t>
      </w:r>
      <w:bookmarkStart w:id="1316" w:name="pg8731_77975"/>
    </w:p>
    <w:p>
      <w:pPr>
        <w:pStyle w:val="BookText"/>
        <w:rPr/>
      </w:pPr>
      <w:bookmarkEnd w:id="1316"/>
      <w:r>
        <w:rPr>
          <w:rFonts w:ascii="Amiri" w:hAnsi="Amiri" w:eastAsia="Amiri" w:cs="Amiri"/>
          <w:color w:val="111111"/>
          <w:sz w:val="28"/>
          <w:sz w:val="28"/>
          <w:szCs w:val="28"/>
          <w:rtl w:val="true"/>
          <w:lang w:bidi="ar-SA"/>
        </w:rPr>
        <w:t>وبهذا يظهر ما في استدلال المحقّق بإجماع الناس على عدم التوقّي من دواخن السراجين ، وما في قول الفاضل أنّ في نجاسة الجصّ بدخان الأعيان النجسة إشكالا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مورد الحديث كما علمت هو استحالة عين النجاسة وقد وقع في كلام أكثر الأصحاب فرض المسألة كما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وعمّم بعضهم الحكم على وجه يتناول المتنجّس أيضا ؛ نظرا إلى أنّ ثبوت ذلك في أعيان النجاسات يقتضي ثبوته في المتنجّس بها بطريق أولى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ملاحظة ما قرّرناه في تطهير الشمس من كون دليل التنجيس في أمثال ذلك غالبا هو الإجماع ، وانتفاؤه بعد الاستحالة معلوم</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3140827_653776707"/>
      <w:bookmarkStart w:id="1318" w:name="_Toc488"/>
      <w:bookmarkEnd w:id="1317"/>
      <w:r>
        <w:rPr>
          <w:rtl w:val="true"/>
        </w:rPr>
        <w:t xml:space="preserve">فروع </w:t>
      </w:r>
      <w:r>
        <w:rPr>
          <w:rtl w:val="true"/>
        </w:rPr>
        <w:t>:</w:t>
      </w:r>
      <w:bookmarkEnd w:id="1318"/>
    </w:p>
    <w:p>
      <w:pPr>
        <w:pStyle w:val="Heading6"/>
        <w:numPr>
          <w:ilvl w:val="5"/>
          <w:numId w:val="1"/>
        </w:numPr>
        <w:rPr/>
      </w:pPr>
      <w:bookmarkStart w:id="1319" w:name="__RefHeading___Toc3140829_653776707"/>
      <w:bookmarkStart w:id="1320" w:name="_Toc489"/>
      <w:bookmarkEnd w:id="1319"/>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320"/>
    </w:p>
    <w:p>
      <w:pPr>
        <w:pStyle w:val="BookText"/>
        <w:rPr/>
      </w:pPr>
      <w:r>
        <w:rPr>
          <w:rFonts w:ascii="Amiri" w:hAnsi="Amiri" w:eastAsia="Amiri" w:cs="Amiri"/>
          <w:color w:val="111111"/>
          <w:sz w:val="28"/>
          <w:sz w:val="28"/>
          <w:szCs w:val="28"/>
          <w:rtl w:val="true"/>
          <w:lang w:bidi="ar-SA"/>
        </w:rPr>
        <w:t>ذكر جمع من الأصحاب أنّ الدخان المستحيل من الأعيان النجسة طاهر أيضا كالرماد ولم نقف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استفيد حكمه من الرماد بمفهوم الموافقة ؛ لأنّ تغيّر الحقيقة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بعضهم فيه الإجماع ولم يتعرّض له المحقّق في المعتبر ، وذكره في الشرائع في كتاب الأطعمة مع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طهارتهما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ويعزى إلى الشيخ في المبسوط القول بنجاسة دخان الدهن النجس ؛ معلّلا بأنّه لا بدّ أن يتصاعد من أجزائه قبل إحالة النار لها شي‌ء بواسطة السخونة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التعليل نظر</w:t>
      </w:r>
      <w:r>
        <w:rPr>
          <w:rFonts w:eastAsia="Amiri" w:cs="Amiri" w:ascii="Amiri" w:hAnsi="Amiri"/>
          <w:color w:val="111111"/>
          <w:sz w:val="28"/>
          <w:szCs w:val="28"/>
          <w:rtl w:val="true"/>
          <w:lang w:bidi="ar-SA"/>
        </w:rPr>
        <w:t xml:space="preserve">. </w:t>
      </w:r>
      <w:bookmarkStart w:id="1321" w:name="pg8731_77977"/>
    </w:p>
    <w:p>
      <w:pPr>
        <w:pStyle w:val="BookText"/>
        <w:rPr/>
      </w:pPr>
      <w:bookmarkEnd w:id="1321"/>
      <w:r>
        <w:rPr>
          <w:rFonts w:ascii="Amiri" w:hAnsi="Amiri" w:eastAsia="Amiri" w:cs="Amiri"/>
          <w:color w:val="111111"/>
          <w:sz w:val="28"/>
          <w:sz w:val="28"/>
          <w:szCs w:val="28"/>
          <w:rtl w:val="true"/>
          <w:lang w:bidi="ar-SA"/>
        </w:rPr>
        <w:t xml:space="preserve">وذكر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بطهارة الدخان مطلقا للاستحالة كالرماد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استصحب شيئا من أجزاء النجاسة باعتبار الحرارة المقتضية للصعود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نهي عن الاستصباح بالدهن النجس تحت الظلال لعدم انفكاك ما يستحيل من الدخان عن استصحاب أجزاء دهنيّة اكتسبت حرارة أوجبت ملاقاة الظلّ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ذكره أوّلا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هو المقتضي للنهي المذكور ففيه نظر لا يخفى</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3140831_653776707"/>
      <w:bookmarkStart w:id="1323" w:name="_Toc490"/>
      <w:bookmarkEnd w:id="1322"/>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323"/>
    </w:p>
    <w:p>
      <w:pPr>
        <w:pStyle w:val="BookText"/>
        <w:rPr/>
      </w:pPr>
      <w:r>
        <w:rPr>
          <w:rFonts w:ascii="Amiri" w:hAnsi="Amiri" w:eastAsia="Amiri" w:cs="Amiri"/>
          <w:color w:val="111111"/>
          <w:sz w:val="28"/>
          <w:sz w:val="28"/>
          <w:szCs w:val="28"/>
          <w:rtl w:val="true"/>
          <w:lang w:bidi="ar-SA"/>
        </w:rPr>
        <w:t>ألحق بعض المتأخّرين بالرماد الفحم محتجّا بزوال الصورة فيه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والدي رحمه‌اللّه في ذلك </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المتقدّمين خال من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والتوقّف في محلّه وإن كانت استحالته عن عين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مستحيلا عن منجّس كالحطب النجس فليس بالبعيد طهارته ؛ نظرا إلى ما قلناه في استحالة هذا النوع رمادا</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3140833_653776707"/>
      <w:bookmarkStart w:id="1325" w:name="_Toc491"/>
      <w:bookmarkEnd w:id="1324"/>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32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 المتصاعد من الماء النجس إذا اجتمع منه نداوة على جسم صقيل وتقاطر فهو نجس إلّا أن يعلم تكوّنه من الهواء كالقطرات الموجودة على طرف إناء في أسفله نجس فإنّها طاهرة </w:t>
      </w:r>
      <w:r>
        <w:rPr>
          <w:rStyle w:val="FootnoteAnchor"/>
          <w:rtl w:val="true"/>
        </w:rPr>
        <w:footnoteReference w:id="2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متّجه</w:t>
      </w:r>
      <w:r>
        <w:rPr>
          <w:rFonts w:eastAsia="IRNazanin" w:cs="IRNazanin"/>
          <w:color w:val="111111"/>
          <w:sz w:val="28"/>
          <w:szCs w:val="28"/>
          <w:rtl w:val="true"/>
          <w:lang w:bidi="fa-IR"/>
        </w:rPr>
        <w:t xml:space="preserve">. </w:t>
      </w:r>
      <w:bookmarkStart w:id="1326" w:name="pg8731_77979"/>
    </w:p>
    <w:p>
      <w:pPr>
        <w:pStyle w:val="Heading6"/>
        <w:numPr>
          <w:ilvl w:val="5"/>
          <w:numId w:val="1"/>
        </w:numPr>
        <w:rPr/>
      </w:pPr>
      <w:bookmarkStart w:id="1327" w:name="__RefHeading___Toc3140835_653776707"/>
      <w:bookmarkStart w:id="1328" w:name="_Toc492"/>
      <w:bookmarkEnd w:id="1326"/>
      <w:bookmarkEnd w:id="1327"/>
      <w:r>
        <w:rPr>
          <w:rtl w:val="true"/>
        </w:rPr>
        <w:t xml:space="preserve">مسألة </w:t>
      </w:r>
      <w:r>
        <w:rPr>
          <w:rtl w:val="true"/>
        </w:rPr>
        <w:t>[</w:t>
      </w:r>
      <w:r>
        <w:rPr/>
        <w:t>32</w:t>
      </w:r>
      <w:r>
        <w:rPr>
          <w:rtl w:val="true"/>
        </w:rPr>
        <w:t>] :</w:t>
      </w:r>
      <w:bookmarkEnd w:id="1328"/>
    </w:p>
    <w:p>
      <w:pPr>
        <w:pStyle w:val="BookText"/>
        <w:rPr/>
      </w:pPr>
      <w:r>
        <w:rPr>
          <w:rFonts w:ascii="Amiri" w:hAnsi="Amiri" w:eastAsia="Amiri" w:cs="Amiri"/>
          <w:color w:val="111111"/>
          <w:sz w:val="28"/>
          <w:sz w:val="28"/>
          <w:szCs w:val="28"/>
          <w:rtl w:val="true"/>
          <w:lang w:bidi="ar-SA"/>
        </w:rPr>
        <w:t>واختلف أصحابنا في طهارة الطين النجس بالنار إذا أحالته خزفا أو آجرا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الشيخ في الخلاف والعلّامة في النهاية وموضع من المنتهى والشهيد في البيان إلى طهارته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المحقّق في المعتبر والعلّامة في موضع آخر من المنتهى </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جماعة من المتأخّرين ، منهم والدي رحمه‌اللّه بعدم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بالتقريب السابق في تطهير الشمس ، وملاحظة كون مدرك الحكم بالتنجيس في مثله بعد ذهاب العين هو الإجماع ولا ريب في انتفائه بعد 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الشيخ في الخلاف للطهارة بإجماع الفرقة </w:t>
      </w:r>
      <w:r>
        <w:rPr>
          <w:rStyle w:val="FootnoteAnchor"/>
          <w:rtl w:val="true"/>
        </w:rPr>
        <w:footnoteReference w:id="2318"/>
      </w:r>
      <w:r>
        <w:rPr>
          <w:rFonts w:ascii="Amiri" w:hAnsi="Amiri" w:eastAsia="Amiri" w:cs="Amiri"/>
          <w:color w:val="111111"/>
          <w:sz w:val="28"/>
          <w:sz w:val="28"/>
          <w:szCs w:val="28"/>
          <w:rtl w:val="true"/>
          <w:lang w:bidi="ar-SA"/>
        </w:rPr>
        <w:t>فلا أقل من دلالته على نفي الإجماع على ثبوت التنجيس حينئذ ، وقد علم أنّ الاستصحاب فيما مدركه الإجماع 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على الحكم بالنجاسة فيما بعد الطبخ دليل فالأصل يقتضي براءة الذمّة من التكليف باجتنابه أو تطهير ما يلاقيه برطوبة لأجل فعل مشروط بالطهارة</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والدي رحمه‌اللّه بأنّه لم يخرج بالطبخ عن مسمّى الأرض كما لم يخرج الحجر عن مسمّاها مع كونه أقوى تصلّبا منه ، واستوائهما في العلّة المقتضية </w:t>
      </w:r>
      <w:bookmarkStart w:id="1329" w:name="pg8731_77981"/>
    </w:p>
    <w:p>
      <w:pPr>
        <w:pStyle w:val="BookText"/>
        <w:rPr/>
      </w:pPr>
      <w:bookmarkEnd w:id="1329"/>
      <w:r>
        <w:rPr>
          <w:rFonts w:ascii="Amiri" w:hAnsi="Amiri" w:eastAsia="Amiri" w:cs="Amiri"/>
          <w:color w:val="111111"/>
          <w:sz w:val="28"/>
          <w:sz w:val="28"/>
          <w:szCs w:val="28"/>
          <w:rtl w:val="true"/>
          <w:lang w:bidi="ar-SA"/>
        </w:rPr>
        <w:t xml:space="preserve">لذلك وهي عمل الحرارة في أرض أصابتها رطوبة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الخروج عن الاسم أنّ حجّتنا لا تعلّق لها بذلك ، بل مرجعها إلى أنّ نجاسة ما هذا شأنه إنّما يثبت على حالة مخصوصة وقد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عدم الخروج عن الاسم هنا توهّم منشأه النظر إلى الحجر وملاحظة ما ذكر من اشتراكهما في علّة الصلابة وكونها في الحجر أقوى والعرف الذي هو المحكّم عند فقدان الحقيقة الشرعيّة وخفاء اللغويّة ينادي بالفرق ويعلن بصدق اسم الأرض على الحجر دون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لهذا جماعة منهم المحقّق في المعتبر فقال في بحث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الخزف خرج بالطبخ عن اسم الأرض فلا يصحّ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جوازه بالحجر محتجّا بأنّه أرض إجماعا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لتوقّفه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نظره في التوقّف إلى عدم الخروج عن الاسم ؛ لأنّه توقّف فيما لا ريب في خروجه وقد عرفت كلامه في الرماد وسترى كلامه فيما يستحيل بغير النار</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3140837_653776707"/>
      <w:bookmarkStart w:id="1331" w:name="_Toc493"/>
      <w:bookmarkEnd w:id="1330"/>
      <w:r>
        <w:rPr>
          <w:rtl w:val="true"/>
        </w:rPr>
        <w:t xml:space="preserve">مسألة </w:t>
      </w:r>
      <w:r>
        <w:rPr>
          <w:rtl w:val="true"/>
        </w:rPr>
        <w:t>[</w:t>
      </w:r>
      <w:r>
        <w:rPr/>
        <w:t>33</w:t>
      </w:r>
      <w:r>
        <w:rPr>
          <w:rtl w:val="true"/>
        </w:rPr>
        <w:t>] :</w:t>
      </w:r>
      <w:bookmarkEnd w:id="1331"/>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باب المياه من النهاية إلى أنّ العجين المعجون بالماء النجس تطهّره النار إذا صار خبزا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استعمل شي‌ء من هذه المياه النجسة في عجين يعجن به ويخبز لم يكن بأس بأكل ذلك الخبز ؛ لأنّ النار قد طهّرته </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باب الأطعمة من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نجس الماء بحصول شي‌ء من النجاسات فيه ثمّ عجن به وخبز لم يجز أكل ذلك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رخصة في جواز أكله ، وذكر أنّ النار قد 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ما قدّمناه </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كلامه في كتابي الحديث أيضا فأفتى في الاستبصار بالطهارة وفي التهذيب بعدمها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وجمهور الأصحاب نفوا حصول الطهارة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النجاسة ؛ إذ المفروض كون الماء نجسا ، والنار لا تخرج من العجين المخبوز جميع الماء ، وإنّما تجفّف بعض رطوبته فيفتقر الحكم بطهارة باقي الرطوبة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طهر الأجزاء التي تجفّفها النار من رطوبة الماء رأسا لزوال المقتضي لاستصحاب النجاسة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غالب أحكام النجاسات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الخلاف هنا منحصر في القول بالبقاء على النجاسة مطلقا والقول بطهارته إذا صار خبزا مطلقا</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والتمسّك باستصحاب النجاسة ينفي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الطهارة إذا صار خبزا يابسا فإنّما ينفيه فرض انحصار الخلاف في القولين لامتناع </w:t>
      </w:r>
    </w:p>
    <w:p>
      <w:pPr>
        <w:pStyle w:val="BookText"/>
        <w:rPr/>
      </w:pPr>
      <w:r>
        <w:rPr>
          <w:rFonts w:ascii="Amiri" w:hAnsi="Amiri" w:eastAsia="Amiri" w:cs="Amiri"/>
          <w:color w:val="111111"/>
          <w:sz w:val="28"/>
          <w:sz w:val="28"/>
          <w:szCs w:val="28"/>
          <w:rtl w:val="true"/>
          <w:lang w:bidi="ar-SA"/>
        </w:rPr>
        <w:t>إحداث الثالث على ما يقتضيه اصول الأصحاب وقد بيّنا هذا في بحث الإجماع من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الشيخ في الصحيح عن ابن أبي عمير عن بعض أصحابنا وما أحسبه </w:t>
      </w:r>
      <w:r>
        <w:rPr>
          <w:rStyle w:val="FootnoteAnchor"/>
          <w:rtl w:val="true"/>
        </w:rPr>
        <w:footnoteReference w:id="2324"/>
      </w:r>
      <w:r>
        <w:rPr>
          <w:rFonts w:ascii="Amiri" w:hAnsi="Amiri" w:eastAsia="Amiri" w:cs="Amiri"/>
          <w:color w:val="111111"/>
          <w:sz w:val="28"/>
          <w:sz w:val="28"/>
          <w:szCs w:val="28"/>
          <w:rtl w:val="true"/>
          <w:lang w:bidi="ar-SA"/>
        </w:rPr>
        <w:t xml:space="preserve">إلّا حفص بن البختري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لأبي عبد اللّه عليه‌السلام في العجين يعجن من الماء النجس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ممّن يستحلّ أكل الميتة </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بعض أصحابه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ولا يباع </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في الاستبصار بما رواه في الصحيح عن ابن أبي عمير عمّن رواه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عجين عجن وخبز ثمّ علم أنّ الماء كانت فيه 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النار ما فيه </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أحمد بن محمّد بن عبد اللّه بن الزبير عن 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البئر يقع فيها الفأرة أو غيرها من الدوابّ فيموت فيعجن من مائها أيؤكل ذلك الخبز؟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النار فلا بأس بأكله </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الخبرين الأوّلين محمولان على ضرب من الاستحباب أو على تغيّر أحد أوصاف الماء بالنجاسة</w:t>
      </w:r>
      <w:r>
        <w:rPr>
          <w:rFonts w:eastAsia="Amiri" w:cs="Amiri" w:ascii="Amiri" w:hAnsi="Amiri"/>
          <w:color w:val="111111"/>
          <w:sz w:val="28"/>
          <w:szCs w:val="28"/>
          <w:rtl w:val="true"/>
          <w:lang w:bidi="ar-SA"/>
        </w:rPr>
        <w:t xml:space="preserve">. </w:t>
      </w:r>
      <w:bookmarkStart w:id="1332" w:name="pg8731_77986"/>
    </w:p>
    <w:p>
      <w:pPr>
        <w:pStyle w:val="BookText"/>
        <w:rPr/>
      </w:pPr>
      <w:bookmarkEnd w:id="1332"/>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كلّها غير نقيّة الأسناد فيشكل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لجعلها مؤيّدة لما يقتضيه القواعد وهو هنا النجاسة فينبغي أن يكون الترجيح لما يوافقها والتأويل لما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الثاني من خبري الطهارة ليس بواضح الدلالة باعتبار عدم ظهور المقتضي للنجاسة فيه سوى تعليق نفي البأس عن أكله على إصابة النار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الفاضل في المختلف بأنّه من الجائز أن يكون منشأ البأس مع عدم </w:t>
      </w:r>
      <w:r>
        <w:rPr>
          <w:rStyle w:val="FootnoteAnchor"/>
          <w:rtl w:val="true"/>
        </w:rPr>
        <w:footnoteReference w:id="2329"/>
      </w:r>
      <w:r>
        <w:rPr>
          <w:rFonts w:ascii="Amiri" w:hAnsi="Amiri" w:eastAsia="Amiri" w:cs="Amiri"/>
          <w:color w:val="111111"/>
          <w:sz w:val="28"/>
          <w:sz w:val="28"/>
          <w:szCs w:val="28"/>
          <w:rtl w:val="true"/>
          <w:lang w:bidi="ar-SA"/>
        </w:rPr>
        <w:t>إصابة النار كراهة ما ماتت فيه الفأرة ونحوها من الماء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الخبر الأوّل بالمنع من كون الماء الذي وقعت فيه الميتة نجسا على الإطلاق لاحتمال بلوغه كرّا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ولتأويله وجه آخر قريب ممّا ذكره وهو حمل الميتة على ما لا يفسد الماء أعني ميتة 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نفي البأس حينئذ كما في الآخر</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3140839_653776707"/>
      <w:bookmarkStart w:id="1334" w:name="_Toc494"/>
      <w:bookmarkEnd w:id="1333"/>
      <w:r>
        <w:rPr>
          <w:rtl w:val="true"/>
        </w:rPr>
        <w:t xml:space="preserve">مسألة </w:t>
      </w:r>
      <w:r>
        <w:rPr>
          <w:rtl w:val="true"/>
        </w:rPr>
        <w:t>[</w:t>
      </w:r>
      <w:r>
        <w:rPr/>
        <w:t>34</w:t>
      </w:r>
      <w:r>
        <w:rPr>
          <w:rtl w:val="true"/>
        </w:rPr>
        <w:t>] :</w:t>
      </w:r>
      <w:bookmarkEnd w:id="1334"/>
    </w:p>
    <w:p>
      <w:pPr>
        <w:pStyle w:val="Heading6"/>
        <w:numPr>
          <w:ilvl w:val="5"/>
          <w:numId w:val="1"/>
        </w:numPr>
        <w:rPr/>
      </w:pPr>
      <w:bookmarkStart w:id="1335" w:name="__RefHeading___Toc3140841_653776707"/>
      <w:bookmarkStart w:id="1336" w:name="_Toc495"/>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وتطهر الأعيان النجسة كالعذرة والميتات باستحالتها ترابا أو دودا على المشهور بين الأصحاب</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المحقّق في ذلك إلّا أنّه بعد التردّد في استحالتها ترابا حكى عن الشيخ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نبش قبرا وأخرج ترابه وقد صار الميّت رميما واختلط بالتراب فلا يجوز السجود على ذلك التراب لأنّه نجس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1337" w:name="pg8731_77988"/>
    </w:p>
    <w:p>
      <w:pPr>
        <w:pStyle w:val="BookText"/>
        <w:rPr/>
      </w:pPr>
      <w:bookmarkEnd w:id="1337"/>
      <w:r>
        <w:rPr>
          <w:rFonts w:ascii="Amiri" w:hAnsi="Amiri" w:eastAsia="Amiri" w:cs="Amiri"/>
          <w:color w:val="111111"/>
          <w:sz w:val="28"/>
          <w:sz w:val="28"/>
          <w:szCs w:val="28"/>
          <w:rtl w:val="true"/>
          <w:lang w:bidi="ar-SA"/>
        </w:rPr>
        <w:t>وذكر أنّه في موضع آخر من الكتاب أفتى في الفرض المذكور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قوله بالطهارة أرجح بتقدير أن تصير النجاسة ترابا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أدركتني الصلاة صلّيت </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طهور </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وجزم العلّامة في النهاية والمنتهى بالطهارة مطلقا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وتوقّف في التذكرة والتحرير والقواعد في صورة الاستحالة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بالطهارة في صورة الاستحالة دودا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في المنتهى للطهارة في صورة التراب بنحو احتجاج المحقّق ، وبأنّ الحكم معلّق على الاسم فيزول بزواله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 التعلّق بالحديثين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كون النجاسة معلّقة </w:t>
      </w:r>
      <w:r>
        <w:rPr>
          <w:rStyle w:val="FootnoteAnchor"/>
          <w:rtl w:val="true"/>
        </w:rPr>
        <w:footnoteReference w:id="2337"/>
      </w:r>
      <w:r>
        <w:rPr>
          <w:rFonts w:ascii="Amiri" w:hAnsi="Amiri" w:eastAsia="Amiri" w:cs="Amiri"/>
          <w:color w:val="111111"/>
          <w:sz w:val="28"/>
          <w:sz w:val="28"/>
          <w:szCs w:val="28"/>
          <w:rtl w:val="true"/>
          <w:lang w:bidi="ar-SA"/>
        </w:rPr>
        <w:t>بالاسم وقد زال ، فجيّد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الطهارة في الصورة الاخرى سبقت في البحث عن أصناف النجاسات</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140843_653776707"/>
      <w:bookmarkStart w:id="1339" w:name="_Toc496"/>
      <w:bookmarkEnd w:id="1338"/>
      <w:r>
        <w:rPr>
          <w:rtl w:val="true"/>
        </w:rPr>
        <w:t xml:space="preserve">فرع </w:t>
      </w:r>
      <w:r>
        <w:rPr>
          <w:rtl w:val="true"/>
        </w:rPr>
        <w:t>:</w:t>
      </w:r>
      <w:bookmarkEnd w:id="1339"/>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لو كانت النجاسة رطبة ومازجت التراب فقد نجس ، فلو استحالت النجاسة بعد ذلك وامتزجت بقيت الأجزاء الترابيّة على النجاسة </w:t>
      </w:r>
      <w:bookmarkStart w:id="1340" w:name="pg8731_77990"/>
    </w:p>
    <w:p>
      <w:pPr>
        <w:pStyle w:val="BookText"/>
        <w:rPr/>
      </w:pPr>
      <w:bookmarkEnd w:id="1340"/>
      <w:r>
        <w:rPr>
          <w:rFonts w:ascii="Amiri" w:hAnsi="Amiri" w:eastAsia="Amiri" w:cs="Amiri"/>
          <w:color w:val="111111"/>
          <w:sz w:val="28"/>
          <w:sz w:val="28"/>
          <w:szCs w:val="28"/>
          <w:rtl w:val="true"/>
          <w:lang w:bidi="ar-SA"/>
        </w:rPr>
        <w:t>والمستحيلة أيضا لاشتباهها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حسن ، لكن لا يخفى أنّ النجاسة الثانية حينئذ عرضيّة قابلة للتطهير</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3140845_653776707"/>
      <w:bookmarkStart w:id="1342" w:name="_Toc497"/>
      <w:bookmarkEnd w:id="1341"/>
      <w:r>
        <w:rPr>
          <w:rtl w:val="true"/>
        </w:rPr>
        <w:t xml:space="preserve">مسألة </w:t>
      </w:r>
      <w:r>
        <w:rPr>
          <w:rtl w:val="true"/>
        </w:rPr>
        <w:t>[</w:t>
      </w:r>
      <w:r>
        <w:rPr/>
        <w:t>35</w:t>
      </w:r>
      <w:r>
        <w:rPr>
          <w:rtl w:val="true"/>
        </w:rPr>
        <w:t>] :</w:t>
      </w:r>
      <w:bookmarkEnd w:id="1342"/>
    </w:p>
    <w:p>
      <w:pPr>
        <w:pStyle w:val="BookText"/>
        <w:rPr/>
      </w:pPr>
      <w:r>
        <w:rPr>
          <w:rFonts w:ascii="Amiri" w:hAnsi="Amiri" w:eastAsia="Amiri" w:cs="Amiri"/>
          <w:color w:val="111111"/>
          <w:sz w:val="28"/>
          <w:sz w:val="28"/>
          <w:szCs w:val="28"/>
          <w:rtl w:val="true"/>
          <w:lang w:bidi="ar-SA"/>
        </w:rPr>
        <w:t xml:space="preserve">واختلف علماؤنا في طهارة الخنزير وشبهه إذا وقع في المملحة واستحال ملحا ، والعذرة إذا وقعت في البئر واستحالت حمأة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المحقّق في المعتبر والعلّامة في المنتهى والنهاية والتحرير إلى عدم حصول الطهارة بذلك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 القواعد والتذكرة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منهم فخر المحقّقين والشهيد والشيخ علي ووالدي إلى أنّه مطهّر </w:t>
      </w:r>
      <w:r>
        <w:rPr>
          <w:rStyle w:val="FootnoteAnchor"/>
          <w:rtl w:val="true"/>
        </w:rPr>
        <w:footnoteReference w:id="2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بالنجاسة منوط بالاسم كما هو الشأن في سائر الأحكام الشرعيّة فيزول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محلّ النزاع انتفاء صدق الاسم الأوّل ودخوله تحت اسم آخر ، فيجب زوال الحكم الأوّل ولحوق أحكام الاسم الثاني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الفاضلان بأنّ النجاسة قائمة بالأجزاء النجسة لا بأوصاف الأجزاء فلا يزول بتغيّر أوصاف محلّها وتلك الأجزاء باقية فتكون النجاسة باقية لانتفاء ما يقتضي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النجاسة بالأجزاء مسلّم لكن لا مطلقا بل بشرط الوصف ؛ لأنّه المتبادر من تعليق </w:t>
      </w:r>
      <w:r>
        <w:rPr>
          <w:rStyle w:val="FootnoteAnchor"/>
          <w:rtl w:val="true"/>
        </w:rPr>
        <w:footnoteReference w:id="2342"/>
      </w:r>
      <w:r>
        <w:rPr>
          <w:rFonts w:ascii="Amiri" w:hAnsi="Amiri" w:eastAsia="Amiri" w:cs="Amiri"/>
          <w:color w:val="111111"/>
          <w:sz w:val="28"/>
          <w:sz w:val="28"/>
          <w:szCs w:val="28"/>
          <w:rtl w:val="true"/>
          <w:lang w:bidi="ar-SA"/>
        </w:rPr>
        <w:t>الحكم بالاسم ، والمعهود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انتفاء المشروط عند 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فخر المحقّقين جعل منشأ الاختلاف في هذه المسألة النظر إلى أنّ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الجسميّة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وإنّما تغيّرت بالصفات فتبقى النجاسة ، وأنّ النجاسة معلّقة بالذات باعتبار الصورة النوعيّة أو باعتبار باقي الأعراض الخاصّة اللاحقة للجواهر المتساوية مع القول بعدم استغناء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فعلّة النجاسة قد زالت فيزول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باستغناء الباقي ، فالنجاسة باقية ؛ لأنّ نجاسة هذا الجسم قد ثبتت ولم يرد نصّ على الطهارة ، والأصل البقاء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في هذا الكلام الفاضل الشيخ علي بما هو أحقّ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ولطوله أضربنا عن حكايته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أراه أنّ كلام فخر المحقّقين يؤول بحسب المعنى إلى ما قرّرناه في حجّتي القولين ، لكنّه أضاف إلى كلّ من الحجّتين نوعا من التقريب والمناسبة ، فإنّ القول باحتياج الباقي إلى المؤثّر يناسب القول بالطهارة </w:t>
      </w:r>
    </w:p>
    <w:p>
      <w:pPr>
        <w:pStyle w:val="BookText"/>
        <w:rPr/>
      </w:pPr>
      <w:r>
        <w:rPr>
          <w:rFonts w:ascii="Amiri" w:hAnsi="Amiri" w:eastAsia="Amiri" w:cs="Amiri"/>
          <w:color w:val="111111"/>
          <w:sz w:val="28"/>
          <w:sz w:val="28"/>
          <w:szCs w:val="28"/>
          <w:rtl w:val="true"/>
          <w:lang w:bidi="ar-SA"/>
        </w:rPr>
        <w:t>من حيث إنّ استمرار حكم النجاسة يحتاج إلى المقتضي حينئذ ووجوده بعد الاستحالة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بالاستغناء يناسب النجاسة ؛ لأنّ استصحابها حينئذ يكون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الخلاف في احتياج الباقي وعدمه إنّما هو في العلل الحقيقيّة دون المعرّفة للأحكام لأنّ الحكم بعد ثبوته بدلالة معرّفه مستغن عن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 لأنّ ثبوت الاحتياج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الاحتياج في المعرّفة بطريق أولى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أنّ الاحتياج في المعرّفة ثابت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حقق في استصحاب الحال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يعلم أنّ عدم المؤثّر في العلل المعرّفة يصدق مع اختصاص دليل الحكم بوقت كما قرّر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عمومه في الأزمان فهو بمنزلة وجود المؤثّر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مؤاخذة على فخر المحقّقين بحسب المعنى كما ظنّه الفاضل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المناقشة متوجّهة عليه باستعارته للألفاظ الكلاميّة في التأدية عن المعاني الفقهيّة من دون ضرورة داعية إلى ذلك أو حاجة </w:t>
      </w:r>
      <w:r>
        <w:rPr>
          <w:rStyle w:val="FootnoteAnchor"/>
          <w:rtl w:val="true"/>
        </w:rPr>
        <w:footnoteReference w:id="2345"/>
      </w:r>
      <w:r>
        <w:rPr>
          <w:rFonts w:ascii="Amiri" w:hAnsi="Amiri" w:eastAsia="Amiri" w:cs="Amiri"/>
          <w:color w:val="111111"/>
          <w:sz w:val="28"/>
          <w:sz w:val="28"/>
          <w:szCs w:val="28"/>
          <w:rtl w:val="true"/>
          <w:lang w:bidi="ar-SA"/>
        </w:rPr>
        <w:t>تلجئ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التعرّض للمناسبات المذكورة مطلقا ليس بذلك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 هو من بين الأصحاب بكثرة الالتفات إليها لأمر ما</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في كلام جماعة من الأصحاب تنبيها على اعتبار كرّية ماء المملحة</w:t>
      </w:r>
      <w:r>
        <w:rPr>
          <w:rFonts w:eastAsia="Amiri" w:cs="Amiri" w:ascii="Amiri" w:hAnsi="Amiri"/>
          <w:color w:val="111111"/>
          <w:sz w:val="28"/>
          <w:szCs w:val="28"/>
          <w:rtl w:val="true"/>
          <w:lang w:bidi="ar-SA"/>
        </w:rPr>
        <w:t xml:space="preserve">. </w:t>
      </w:r>
      <w:bookmarkStart w:id="1343" w:name="pg8731_77996"/>
    </w:p>
    <w:p>
      <w:pPr>
        <w:pStyle w:val="BookText"/>
        <w:rPr/>
      </w:pPr>
      <w:bookmarkEnd w:id="1343"/>
      <w:r>
        <w:rPr>
          <w:rFonts w:ascii="Amiri" w:hAnsi="Amiri" w:eastAsia="Amiri" w:cs="Amiri"/>
          <w:color w:val="111111"/>
          <w:sz w:val="28"/>
          <w:sz w:val="28"/>
          <w:szCs w:val="28"/>
          <w:rtl w:val="true"/>
          <w:lang w:bidi="ar-SA"/>
        </w:rPr>
        <w:t>ووجّهه البعض بتوقّف الحكم بطهارة الملح بأجمعه عليه نظرا إلى أنّ الأرض تنجس حينئذ ، ويلزم من ذلك نجاسة ما يلاقيها من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النظر في نجاسة الملح إلى نجاسة مائه بملاقاة النجاسة له قبل الاستحالة ؛ ذهابا إلى أنّ استحالته ملحا مطهّرة له كما طهرت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صدق الاستحالة بالنظر إلى الماء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انتفاؤها ، فيتّجه اعتبار كرّيّة الماء في الحكم بطهارة الملح المنعقد منه ما دامت عين النجاسة قائمة</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3140847_653776707"/>
      <w:bookmarkStart w:id="1345" w:name="_Toc498"/>
      <w:bookmarkEnd w:id="1344"/>
      <w:r>
        <w:rPr>
          <w:rtl w:val="true"/>
        </w:rPr>
        <w:t xml:space="preserve">مسألة </w:t>
      </w:r>
      <w:r>
        <w:rPr>
          <w:rtl w:val="true"/>
        </w:rPr>
        <w:t>[</w:t>
      </w:r>
      <w:r>
        <w:rPr/>
        <w:t>36</w:t>
      </w:r>
      <w:r>
        <w:rPr>
          <w:rtl w:val="true"/>
        </w:rPr>
        <w:t>] :</w:t>
      </w:r>
      <w:bookmarkEnd w:id="1345"/>
    </w:p>
    <w:p>
      <w:pPr>
        <w:pStyle w:val="BookText"/>
        <w:rPr/>
      </w:pPr>
      <w:r>
        <w:rPr>
          <w:rFonts w:ascii="Amiri" w:hAnsi="Amiri" w:eastAsia="Amiri" w:cs="Amiri"/>
          <w:color w:val="111111"/>
          <w:sz w:val="28"/>
          <w:sz w:val="28"/>
          <w:szCs w:val="28"/>
          <w:rtl w:val="true"/>
          <w:lang w:bidi="ar-SA"/>
        </w:rPr>
        <w:t xml:space="preserve">وعدّ كثير من الأصحاب في باب الاستحالة المطهّرة أشياء لا خلاف بينهم في 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كاستحالة النطفة حيوانا طاهرا ، والماء النجس بولا لحيوان مأكول اللحم أو جزءا من الخضراوات المسقيّة بها ، والغذاء النجس روثا أو لبنا لمأكول ، والدم النجس قيحا أو جزءا من حيوان لا نفس له كالبراغيث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المدّعى في كثير من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الذي هو مناط الحكم بالنجاسة زائل معها فيزول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منها استحالة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العلّامة فيه اتّفاق علماء الإسلام إذا كانت استحالته من نفسه ، والأخبار الكثيرة ناطقة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الكليني في الحسن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الخمر العتيق يجعل 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عبيد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bookmarkStart w:id="1346" w:name="pg8731_77998"/>
    </w:p>
    <w:p>
      <w:pPr>
        <w:pStyle w:val="BookText"/>
        <w:rPr/>
      </w:pPr>
      <w:bookmarkEnd w:id="1346"/>
      <w:r>
        <w:rPr>
          <w:rFonts w:ascii="Amiri" w:hAnsi="Amiri" w:eastAsia="Amiri" w:cs="Amiri"/>
          <w:color w:val="111111"/>
          <w:sz w:val="28"/>
          <w:sz w:val="28"/>
          <w:szCs w:val="28"/>
          <w:rtl w:val="true"/>
          <w:lang w:bidi="ar-SA"/>
        </w:rPr>
        <w:t xml:space="preserve">عن الرجل يأخذ الخمر فيجعلها 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أيضا عن عبيد بن زرارة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باع عصيرا فحبسه السلطان حتّى صار خمرا فجعله صاحبه خلّا؟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تحوّل عن اسم الخمر فلا بأس به </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7" w:name="__RefHeading___Toc3140849_653776707"/>
      <w:bookmarkStart w:id="1348" w:name="_Toc499"/>
      <w:bookmarkEnd w:id="1347"/>
      <w:r>
        <w:rPr>
          <w:rtl w:val="true"/>
        </w:rPr>
        <w:t xml:space="preserve">مسألة </w:t>
      </w:r>
      <w:r>
        <w:rPr>
          <w:rtl w:val="true"/>
        </w:rPr>
        <w:t>[</w:t>
      </w:r>
      <w:r>
        <w:rPr/>
        <w:t>37</w:t>
      </w:r>
      <w:r>
        <w:rPr>
          <w:rtl w:val="true"/>
        </w:rPr>
        <w:t>] :</w:t>
      </w:r>
      <w:bookmarkEnd w:id="1348"/>
    </w:p>
    <w:p>
      <w:pPr>
        <w:pStyle w:val="BookText"/>
        <w:rPr/>
      </w:pPr>
      <w:r>
        <w:rPr>
          <w:rFonts w:ascii="Amiri" w:hAnsi="Amiri" w:eastAsia="Amiri" w:cs="Amiri"/>
          <w:color w:val="111111"/>
          <w:sz w:val="28"/>
          <w:sz w:val="28"/>
          <w:szCs w:val="28"/>
          <w:rtl w:val="true"/>
          <w:lang w:bidi="ar-SA"/>
        </w:rPr>
        <w:t>ويطهر العصير على تقدير نجاسته باستحالته خلّا كالخمر ، وبذهاب ثلثيه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في ذلك بالنظر إلى الاستحالة بثبوت مثله في الخمر ، والعصير أولى بالحكم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ذهاب الثلثين فدلالة النصوص على زوال التحريم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زوال النجاسة أيضا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عن عبد اللّه بن سنان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عصير أصابته النار فهو حرام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والمعروف بين الأصحاب انّه يطهر بطهارة العصير أيدي مزاوليه وثيابهم وآلات الطبخ ، وأنّ ذهاب الثلثين بأي وجه اتّفق يقتضي الطهارة حتّى لو أصاب شيئا في حال الحكم بنجاسته ثمّ جفّت الرطوبة الحاصلة منه بحيث علم ذهاب ثلثي ما أصاب ، حكم بالطهارة</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مع فقد الدليل على أصل التنجيس وانحصار المأخذ في كلام </w:t>
      </w:r>
      <w:bookmarkStart w:id="1349" w:name="pg8731_78000"/>
    </w:p>
    <w:p>
      <w:pPr>
        <w:pStyle w:val="BookText"/>
        <w:rPr/>
      </w:pPr>
      <w:bookmarkEnd w:id="1349"/>
      <w:r>
        <w:rPr>
          <w:rFonts w:ascii="Amiri" w:hAnsi="Amiri" w:eastAsia="Amiri" w:cs="Amiri"/>
          <w:color w:val="111111"/>
          <w:sz w:val="28"/>
          <w:sz w:val="28"/>
          <w:szCs w:val="28"/>
          <w:rtl w:val="true"/>
          <w:lang w:bidi="ar-SA"/>
        </w:rPr>
        <w:t>الأصحاب فكلامهم في الامور المتعلّقة بالطهارة كاف أيضا ، اقتصارا في الحكم بالتنجيس على ما لا بدّ منه حيث يصار إلى الموافقة</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3140851_653776707"/>
      <w:bookmarkStart w:id="1351" w:name="_Toc500"/>
      <w:bookmarkEnd w:id="1350"/>
      <w:r>
        <w:rPr>
          <w:rtl w:val="true"/>
        </w:rPr>
        <w:t xml:space="preserve">مسألة </w:t>
      </w:r>
      <w:r>
        <w:rPr>
          <w:rtl w:val="true"/>
        </w:rPr>
        <w:t>[</w:t>
      </w:r>
      <w:r>
        <w:rPr/>
        <w:t>38</w:t>
      </w:r>
      <w:r>
        <w:rPr>
          <w:rtl w:val="true"/>
        </w:rPr>
        <w:t>] :</w:t>
      </w:r>
      <w:bookmarkEnd w:id="1351"/>
    </w:p>
    <w:p>
      <w:pPr>
        <w:pStyle w:val="Heading6"/>
        <w:numPr>
          <w:ilvl w:val="5"/>
          <w:numId w:val="1"/>
        </w:numPr>
        <w:rPr/>
      </w:pPr>
      <w:bookmarkStart w:id="1352" w:name="__RefHeading___Toc3140853_653776707"/>
      <w:bookmarkStart w:id="1353" w:name="_Toc501"/>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وذهب الشيخ أبو علي بن الجنيد إلى أنّ الدباغ مطهّر لجلد الميتة ممّا هو طاهر في حال الحياة لكن لا يجوز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في الذكرى إلى أبي جعفر الشلمغاني موافقته في الحكم بالطهارة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مستقيم الطريقة ثمّ تغيّر وظهرت منه مقالات منكرة وأنّ له من الكتب التي عملها في حال الاستقامة كتاب التكليف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وجمهور الأصحاب على عدم طهارته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العلّامة في المنتهى والمختلف ادّعى إجماع من عدا ابن الجنيد من علمائنا على هذا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لا يطهر جلد الميتة بالدباغ إجماعا فلم يحتفل باستثناء المخالف ؛ نظرا إلى عدم اعتبار مخالفة معلوم الأصل في تحقّق الإجماع ، مع أنّ الظاهر من الصدوق موافقة ابن الجنيد ؛ لأنّه قال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جلود الميتة يجعل فيها اللبن والماء والسمن ما ترى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يجعل فيها ما شئت من ماء </w:t>
      </w:r>
    </w:p>
    <w:p>
      <w:pPr>
        <w:pStyle w:val="BookText"/>
        <w:rPr/>
      </w:pPr>
      <w:r>
        <w:rPr>
          <w:rFonts w:ascii="Amiri" w:hAnsi="Amiri" w:eastAsia="Amiri" w:cs="Amiri"/>
          <w:color w:val="111111"/>
          <w:sz w:val="28"/>
          <w:sz w:val="28"/>
          <w:szCs w:val="28"/>
          <w:rtl w:val="true"/>
          <w:lang w:bidi="ar-SA"/>
        </w:rPr>
        <w:t xml:space="preserve">أو لبن أو سمن ويتوضّأ منه ويشرب ولكن لا تصلّ فيها </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والمقتضي لعدم نسبة القول بالطهارة إليه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مدفوع بما تكرّر التنبيه عليه من إعطائه القاعدة في أوّل هذا الكتاب أنّه لا يورد فيه إلّا ما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مراتب هذه القاعدة أن يتحقّق في الأحكام المذكورة في أوائل الكتاب ؛ لأنّ احتمال الرجوع عنها إنّما يتصوّر بعد بعد العهد ، والحكم المذكور قريب إليها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التعرّض للدباغ فالذي يختلج بخاطري أنّ الوجه فيه دلالة استعمالها في الامور المعدودة عليه إذ من المستبعد إعدادها لشي‌ء منها بدون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في الذكرى صورة ما وقع في عبارة من لا يحضره الفقيه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أغرب من الأوّل يعني قول ابن الجنيد وأشذّ ، وما ذكرناه هو الظاهر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العمدة في الاحتجاج هنا لكلّ من القولين حسب ما ذكره المتأخّرون هو الأخبار ، لأنّ الشيخ والفاضلين أضافوا إليها في الاحتجاج لعدم الطهارة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تعويلا على تناوله لجميع أنواع الانتفاع ، واستصحاب النجاسة لثبوتها قبل الدبغ </w:t>
      </w:r>
    </w:p>
    <w:p>
      <w:pPr>
        <w:pStyle w:val="BookText"/>
        <w:rPr/>
      </w:pPr>
      <w:r>
        <w:rPr>
          <w:rFonts w:ascii="Amiri" w:hAnsi="Amiri" w:eastAsia="Amiri" w:cs="Amiri"/>
          <w:color w:val="111111"/>
          <w:sz w:val="28"/>
          <w:sz w:val="28"/>
          <w:szCs w:val="28"/>
          <w:rtl w:val="true"/>
          <w:lang w:bidi="ar-SA"/>
        </w:rPr>
        <w:t>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ويلوح من الشهيد التمسّك بالإجماع كما حكيناه عنه وهو صريح كلام الشيخ في الخلاف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التمسّك بالآية فلأنّ المتبادر منها بحسب العرف تحريم الأكل ، كما سبق تحقيقه في بحث المجمل من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فلأنّ التمسّك به موقوف على ملاحظة دليل الحكم وكونه عامّا في الأزمان ، كما أسلفنا القول فيه مرارا ، وقد تقدّم في البحث عن نجاسة الميتة أنّ العمدة فيه على الإجماع وحينئذ فلا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فلعدم ثبوته على وجه يصلح للحجّة ولهذا لم يتعرّض له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الشيخ والشهيد في الإجماع معلوم ؛ إذ قد أشرنا في غير موضع إلى أنّهما داخلان في عداد من ظهر منه في أمر الإجماع ما أوجب حمله على غير معناه المصطلح الذي هو الحجّة عندنا أو أفاد قلّة الضبط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التي احتجّوا بها لعدم الطهارة كثيرة </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المغيرة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الميتة ينتفع بشي‌ء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صلى‌اللّه‌عليه‌وآله مرّ بشاة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 هذه الشاة إذ لم ينتفعوا بلحمها أن ينتفعوا بإهابها؟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شاة لسودة بنت زمعة زوج النبيّ صلى‌اللّه‌عليه‌وآله وكانت شاة مهزولة لا ينتفع بلحمها فتركوها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w:t>
      </w:r>
    </w:p>
    <w:p>
      <w:pPr>
        <w:pStyle w:val="BookText"/>
        <w:rPr/>
      </w:pPr>
      <w:r>
        <w:rPr>
          <w:rFonts w:ascii="Amiri" w:hAnsi="Amiri" w:eastAsia="Amiri" w:cs="Amiri"/>
          <w:color w:val="111111"/>
          <w:sz w:val="28"/>
          <w:sz w:val="28"/>
          <w:szCs w:val="28"/>
          <w:rtl w:val="true"/>
          <w:lang w:bidi="ar-SA"/>
        </w:rPr>
        <w:t xml:space="preserve">إذ لم ينتفعوا بلحمها أن ينتفعوا بإهابها اي تذكوا </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الفتح بن يزيد الجرجاني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أسأله عن جلود الميتة التي يؤكل لحمها ذكيّا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من الميتة بإهاب ولا عصب </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الجلد الميّت أيلبس في الصلاة إذا دبغ؟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دبغ سبعين مرّة </w:t>
      </w:r>
      <w:r>
        <w:rPr>
          <w:rFonts w:eastAsia="Amiri" w:cs="Amiri" w:ascii="Amiri" w:hAnsi="Amiri"/>
          <w:color w:val="111111"/>
          <w:sz w:val="28"/>
          <w:szCs w:val="28"/>
          <w:rtl w:val="true"/>
          <w:lang w:bidi="ar-SA"/>
        </w:rPr>
        <w:t xml:space="preserve">»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أبي عمير عن غير واحد عن أبي عبد اللّه عليه‌السلام في الميتة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شي‌ء منه ولا شسع </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الذين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فأشتري منهم الفراء للتجارة فأقول لصاحبها أليس هي ذكيّة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يصلح لي أن أبيعها على أنّها ذكيّة؟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بأس أن تبيعها وتقول قد شرط الذي اشتريتها منه أنّها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أفسد ذلك؟ قال استحلال أهل العراق للميتة ، وزعموا أنّ دباغ جلد الميت ذكاته ، ثمّ لم يرضوا أن يكذبوا في ذلك إلّا على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يدلّ من الأخبار على الطهارة فحديث واحد رواه الشيخ بإسناده </w:t>
      </w:r>
    </w:p>
    <w:p>
      <w:pPr>
        <w:pStyle w:val="BookText"/>
        <w:rPr/>
      </w:pPr>
      <w:r>
        <w:rPr>
          <w:rFonts w:ascii="Amiri" w:hAnsi="Amiri" w:eastAsia="Amiri" w:cs="Amiri"/>
          <w:color w:val="111111"/>
          <w:sz w:val="28"/>
          <w:sz w:val="28"/>
          <w:szCs w:val="28"/>
          <w:rtl w:val="true"/>
          <w:lang w:bidi="ar-SA"/>
        </w:rPr>
        <w:t xml:space="preserve">الصحيح عن الحسين بن سعيد عن صفوان بن يحيى عن الحسين بن زرارة </w:t>
      </w:r>
      <w:r>
        <w:rPr>
          <w:rStyle w:val="FootnoteAnchor"/>
          <w:rtl w:val="true"/>
        </w:rPr>
        <w:footnoteReference w:id="236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جلد شاة ميّتة يدبغ فيصبّ فيه اللبن أو الماء فأشرب منه وأتوضّأ؟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يدبغ فينتفع به ولا يصلّى فيه </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هذه الأخبار كلّها وجدت ما عدا الأوّلين منها والأخير ليس من محلّ النزاع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الشهيد أنّه ادّعى في الذكرى تواتر الأخبار بعدم الطهارة ولم يذكر منها سوى خبر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وحديثي محمّد بن مسلم وابن أبي عمير مقتصرا من حديث ابن مسلم على بعضه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دبغ سبعين مرّة </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التصرّف في متن الحديث غريب جدّا بل يكاد أن يقطع بعدم جوازه من حيث إنّ كلامه مسوق لإثبات عدم الطهارة وبيان تواتر الأخبار بذلك ، فمن وقف على عبارته غير مطّلع على أصل الحديث لا يرتاب في أنّ النفي الواقع فيه عائد إلى الطهارة والحال أنّه عائد إلى لبسه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فمفاد هذا الحديث واللذين بعده إنّما هو المنع من لبسه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والإنكار الواقع في خبر عبد الرحمن إنّما هو على تنزيل الدباغ منزلة الذكاة بحيث يسوغ معها استعمال الجلد في الصلاة ، والمخالف موافق على ذلك</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الخبران الأوّلان فظاهرهما نفي تأثير الدباغ من حيث النهي عن الانتفاع من الميتة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والخبر الأخير صريح في جواز الانتفاع بالمدبوغ في الامور المعدودة فيه فالتعارض واقع بينهما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والترجيح من جهة الإسناد منتف ؛ لأنّ رواية الفتح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والخبران الآخران </w:t>
      </w:r>
      <w:r>
        <w:rPr>
          <w:rStyle w:val="FootnoteAnchor"/>
          <w:rtl w:val="true"/>
        </w:rPr>
        <w:footnoteReference w:id="2365"/>
      </w:r>
      <w:r>
        <w:rPr>
          <w:rFonts w:ascii="Amiri" w:hAnsi="Amiri" w:eastAsia="Amiri" w:cs="Amiri"/>
          <w:color w:val="111111"/>
          <w:sz w:val="28"/>
          <w:sz w:val="28"/>
          <w:szCs w:val="28"/>
          <w:rtl w:val="true"/>
          <w:lang w:bidi="ar-SA"/>
        </w:rPr>
        <w:t>مشتركان في جهالة حال راويهما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أن يجعل وجه الجمع حمل الروايتين الأوّلتين على الكراهة أو </w:t>
      </w:r>
      <w:r>
        <w:rPr>
          <w:rStyle w:val="FootnoteAnchor"/>
          <w:rtl w:val="true"/>
        </w:rPr>
        <w:footnoteReference w:id="2366"/>
      </w:r>
      <w:r>
        <w:rPr>
          <w:rFonts w:ascii="Amiri" w:hAnsi="Amiri" w:eastAsia="Amiri" w:cs="Amiri"/>
          <w:color w:val="111111"/>
          <w:sz w:val="28"/>
          <w:sz w:val="28"/>
          <w:szCs w:val="28"/>
          <w:rtl w:val="true"/>
          <w:lang w:bidi="ar-SA"/>
        </w:rPr>
        <w:t>حمل رواية الطهارة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الثاني رعاية الموافقة لما عليه اتّفاق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 موافقته لمقتضى الأصل من براءة الذمّة بملاحظة ما قرّرناه من عدم استقامة اعتبار الاستصحاب في مثله ، وطريق 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اشترط ابن الجنيد في حصول الطهارة بالدباغ أن يكون ما يدبغ به طاهرا فقال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دباغها المحلّل لها إلّا بمحلّل طاهر كالقرظ والشث </w:t>
      </w:r>
      <w:r>
        <w:rPr>
          <w:rStyle w:val="FootnoteAnchor"/>
          <w:rtl w:val="true"/>
        </w:rPr>
        <w:footnoteReference w:id="2367"/>
      </w:r>
      <w:r>
        <w:rPr>
          <w:rFonts w:ascii="Amiri" w:hAnsi="Amiri" w:eastAsia="Amiri" w:cs="Amiri"/>
          <w:color w:val="111111"/>
          <w:sz w:val="28"/>
          <w:sz w:val="28"/>
          <w:szCs w:val="28"/>
          <w:rtl w:val="true"/>
          <w:lang w:bidi="ar-SA"/>
        </w:rPr>
        <w:t>والملح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دبغت بشي‌ء من النجس لم تطهر كالدارش </w:t>
      </w:r>
      <w:r>
        <w:rPr>
          <w:rStyle w:val="FootnoteAnchor"/>
          <w:rtl w:val="true"/>
        </w:rPr>
        <w:footnoteReference w:id="2368"/>
      </w:r>
      <w:r>
        <w:rPr>
          <w:rFonts w:ascii="IRNazanin" w:hAnsi="IRNazanin" w:eastAsia="IRNazanin"/>
          <w:color w:val="111111"/>
          <w:sz w:val="28"/>
          <w:sz w:val="28"/>
          <w:szCs w:val="28"/>
          <w:rtl w:val="true"/>
          <w:lang w:bidi="fa-IR"/>
        </w:rPr>
        <w:t xml:space="preserve">فإنّها تدبغ بخرء </w:t>
      </w:r>
      <w:r>
        <w:rPr>
          <w:rStyle w:val="FootnoteAnchor"/>
          <w:rtl w:val="true"/>
        </w:rPr>
        <w:footnoteReference w:id="2369"/>
      </w:r>
      <w:r>
        <w:rPr>
          <w:rFonts w:ascii="Amiri" w:hAnsi="Amiri" w:eastAsia="Amiri" w:cs="Amiri"/>
          <w:color w:val="111111"/>
          <w:sz w:val="28"/>
          <w:sz w:val="28"/>
          <w:szCs w:val="28"/>
          <w:rtl w:val="true"/>
          <w:lang w:bidi="ar-SA"/>
        </w:rPr>
        <w:t xml:space="preserve">الكلاب ، وكذلك اللنكا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نعلم حجّته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فيه علوق بعض أجزاء النجس به لسريانه في أعماق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الكافي والتهذيب عن السيّاري عن أبي يزيد القمّي عن أبي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سأله عن جلود الدارش الذي يتّخذ منها الخفاف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فإنّها تدبغ بخرء الكلاب </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عدم نهوض التوجيه الذي ذكرناه بإثبات الشرطيّة ، وكذا الرواية لكن لا بدّ للقائل بالطهارة من الموافقة على الشرط المذكور حيث يثبت انحصار الخلاف في القول بالطهارة مع هذا الشرط وعدمها مطلقا ؛ فإنّ القول بالطهارة مطلقا حينئذ يكون إحداثا لقول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والراء والظاء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السلم يدبغ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والثاء 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طيّب الريح مرّ الطعم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بعد أن ضبطه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بالباء الموحّدة وهو شي‌ء يشبه الزاج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الدارش فذكر الجوهري وغيره أنّه جلد معروف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اللنكا ليس بعربيّ ؛ إذ لم يذكره أهل اللغة</w:t>
      </w:r>
      <w:r>
        <w:rPr>
          <w:rFonts w:eastAsia="Amiri" w:cs="Amiri" w:ascii="Amiri" w:hAnsi="Amiri"/>
          <w:color w:val="111111"/>
          <w:sz w:val="28"/>
          <w:szCs w:val="28"/>
          <w:rtl w:val="true"/>
          <w:lang w:bidi="ar-SA"/>
        </w:rPr>
        <w:t xml:space="preserve">. </w:t>
      </w:r>
      <w:bookmarkStart w:id="1354" w:name="pg8731_78014"/>
    </w:p>
    <w:p>
      <w:pPr>
        <w:pStyle w:val="Heading6"/>
        <w:numPr>
          <w:ilvl w:val="5"/>
          <w:numId w:val="1"/>
        </w:numPr>
        <w:rPr/>
      </w:pPr>
      <w:bookmarkStart w:id="1355" w:name="__RefHeading___Toc3140855_653776707"/>
      <w:bookmarkStart w:id="1356" w:name="_Toc502"/>
      <w:bookmarkEnd w:id="1354"/>
      <w:bookmarkEnd w:id="1355"/>
      <w:r>
        <w:rPr>
          <w:rtl w:val="true"/>
        </w:rPr>
        <w:t xml:space="preserve">فرع </w:t>
      </w:r>
      <w:r>
        <w:rPr>
          <w:rtl w:val="true"/>
        </w:rPr>
        <w:t>:</w:t>
      </w:r>
      <w:bookmarkEnd w:id="1356"/>
    </w:p>
    <w:p>
      <w:pPr>
        <w:pStyle w:val="BookText"/>
        <w:rPr/>
      </w:pPr>
      <w:r>
        <w:rPr>
          <w:rFonts w:ascii="Amiri" w:hAnsi="Amiri" w:eastAsia="Amiri" w:cs="Amiri"/>
          <w:color w:val="111111"/>
          <w:sz w:val="28"/>
          <w:sz w:val="28"/>
          <w:szCs w:val="28"/>
          <w:rtl w:val="true"/>
          <w:lang w:bidi="ar-SA"/>
        </w:rPr>
        <w:t>إذا قلنا ببقاء جلود الميتة بعد الدباغ على نجاستها فهل يجوز الانتفاع بها في اليابس؟</w:t>
      </w:r>
    </w:p>
    <w:p>
      <w:pPr>
        <w:pStyle w:val="BookText"/>
        <w:rPr/>
      </w:pPr>
      <w:r>
        <w:rPr>
          <w:rFonts w:ascii="Amiri" w:hAnsi="Amiri" w:eastAsia="Amiri" w:cs="Amiri"/>
          <w:color w:val="111111"/>
          <w:sz w:val="28"/>
          <w:sz w:val="28"/>
          <w:szCs w:val="28"/>
          <w:rtl w:val="true"/>
          <w:lang w:bidi="ar-SA"/>
        </w:rPr>
        <w:t xml:space="preserve">قال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عملا بعموم النهي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ووافقهما الشهيد وبعض المتأخّرين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لأنّ الآية غير صالحة لأن يتناول عمومها مثله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العامّان قد علم ضعف إسناديهما</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3140857_653776707"/>
      <w:bookmarkStart w:id="1358" w:name="_Toc503"/>
      <w:bookmarkEnd w:id="1357"/>
      <w:r>
        <w:rPr>
          <w:rtl w:val="true"/>
        </w:rPr>
        <w:t xml:space="preserve">مسألة </w:t>
      </w:r>
      <w:r>
        <w:rPr>
          <w:rtl w:val="true"/>
        </w:rPr>
        <w:t>[</w:t>
      </w:r>
      <w:r>
        <w:rPr/>
        <w:t>39</w:t>
      </w:r>
      <w:r>
        <w:rPr>
          <w:rtl w:val="true"/>
        </w:rPr>
        <w:t>] :</w:t>
      </w:r>
      <w:bookmarkEnd w:id="1358"/>
    </w:p>
    <w:p>
      <w:pPr>
        <w:pStyle w:val="BookText"/>
        <w:rPr/>
      </w:pPr>
      <w:r>
        <w:rPr>
          <w:rFonts w:ascii="Amiri" w:hAnsi="Amiri" w:eastAsia="Amiri" w:cs="Amiri"/>
          <w:color w:val="111111"/>
          <w:sz w:val="28"/>
          <w:sz w:val="28"/>
          <w:szCs w:val="28"/>
          <w:rtl w:val="true"/>
          <w:lang w:bidi="ar-SA"/>
        </w:rPr>
        <w:t>ويكفي في طهر البواطن كالفم والأنف زوال عين النجاسة منها بغير خلاف نعرفه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رواية رواها الشيخ عن عمّار الساباطي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يسيل من أنفه الدم ، هل عليه أن يغسل باطنه يعني جوف الأنف؟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يغسل ما ظهر منه </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ضعيفة السند فلا تصلح بمجرّدها دليلا على الحكم ، وقد ضمّ إليها بعض الأصحاب التعليل برفع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بحاله</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يكفي في الاحتجاج له التمسّك بأصالة البراءة </w:t>
      </w:r>
      <w:r>
        <w:rPr>
          <w:rStyle w:val="FootnoteAnchor"/>
          <w:rtl w:val="true"/>
        </w:rPr>
        <w:footnoteReference w:id="2378"/>
      </w:r>
      <w:r>
        <w:rPr>
          <w:rFonts w:ascii="Amiri" w:hAnsi="Amiri" w:eastAsia="Amiri" w:cs="Amiri"/>
          <w:color w:val="111111"/>
          <w:sz w:val="28"/>
          <w:sz w:val="28"/>
          <w:szCs w:val="28"/>
          <w:rtl w:val="true"/>
          <w:lang w:bidi="ar-SA"/>
        </w:rPr>
        <w:t xml:space="preserve">فإنّها ملزومة </w:t>
      </w:r>
      <w:bookmarkStart w:id="1359" w:name="pg8731_78016"/>
    </w:p>
    <w:p>
      <w:pPr>
        <w:pStyle w:val="BookText"/>
        <w:rPr/>
      </w:pPr>
      <w:bookmarkEnd w:id="1359"/>
      <w:r>
        <w:rPr>
          <w:rFonts w:ascii="Amiri" w:hAnsi="Amiri" w:eastAsia="Amiri" w:cs="Amiri"/>
          <w:color w:val="111111"/>
          <w:sz w:val="28"/>
          <w:sz w:val="28"/>
          <w:szCs w:val="28"/>
          <w:rtl w:val="true"/>
          <w:lang w:bidi="ar-SA"/>
        </w:rPr>
        <w:t>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لعدم الاعتداد بها في نحو هذا الموضع إلّا توهّم كون أنواع النجاسات أسبابا مؤثّرة فيما تلاقيه برطوبة مطلقا وقد أسلفنا في مسألة تطهير الشمس أنّ ذلك بعيد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صفوان بن يحيى عن إسحاق بن عمّار عن عبد الحميد بن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 رجل يشرب الخمر فبصق فأصاب ثوبي بصاقه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يصلح شاهدا على الحكم هنا ومؤيّدا لما ذكرناه</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3140859_653776707"/>
      <w:bookmarkStart w:id="1361" w:name="_Toc504"/>
      <w:bookmarkEnd w:id="1360"/>
      <w:r>
        <w:rPr>
          <w:rtl w:val="true"/>
        </w:rPr>
        <w:t xml:space="preserve">مسألة </w:t>
      </w:r>
      <w:r>
        <w:rPr>
          <w:rtl w:val="true"/>
        </w:rPr>
        <w:t>[</w:t>
      </w:r>
      <w:r>
        <w:rPr/>
        <w:t>40</w:t>
      </w:r>
      <w:r>
        <w:rPr>
          <w:rtl w:val="true"/>
        </w:rPr>
        <w:t>] :</w:t>
      </w:r>
      <w:bookmarkEnd w:id="1361"/>
    </w:p>
    <w:p>
      <w:pPr>
        <w:pStyle w:val="Heading6"/>
        <w:numPr>
          <w:ilvl w:val="5"/>
          <w:numId w:val="1"/>
        </w:numPr>
        <w:rPr/>
      </w:pPr>
      <w:bookmarkStart w:id="1362" w:name="__RefHeading___Toc3140861_653776707"/>
      <w:bookmarkStart w:id="1363" w:name="_Toc505"/>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ويكفي زوال العين أيضا في الحيوان غير الآدمي على المشهور في كلام المتأخّرين من الأصحاب من غير تعرّض لحجّته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 ما قرّرناه في طهر البواطن ، مضافا إلى ظاهر الأخبار الدالّة على طهارة سؤر السباع ، مع قضاء العادة بعدم خلوّ أفواهها من آثار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الأسآر كلام للشيخ يتعلّق بهذا الحكم ، ويؤذن بكونه مجمعا عليه </w:t>
      </w:r>
      <w:r>
        <w:rPr>
          <w:rStyle w:val="FootnoteAnchor"/>
          <w:rtl w:val="true"/>
        </w:rPr>
        <w:footnoteReference w:id="2380"/>
      </w:r>
      <w:r>
        <w:rPr>
          <w:rFonts w:ascii="Amiri" w:hAnsi="Amiri" w:eastAsia="Amiri" w:cs="Amiri"/>
          <w:color w:val="111111"/>
          <w:sz w:val="28"/>
          <w:sz w:val="28"/>
          <w:szCs w:val="28"/>
          <w:rtl w:val="true"/>
          <w:lang w:bidi="ar-SA"/>
        </w:rPr>
        <w:t>، فلا مجال للتوقّف فيه</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3140863_653776707"/>
      <w:bookmarkStart w:id="1365" w:name="_Toc506"/>
      <w:bookmarkEnd w:id="1364"/>
      <w:r>
        <w:rPr>
          <w:rtl w:val="true"/>
        </w:rPr>
        <w:t xml:space="preserve">فرع </w:t>
      </w:r>
      <w:r>
        <w:rPr>
          <w:rtl w:val="true"/>
        </w:rPr>
        <w:t>:</w:t>
      </w:r>
      <w:bookmarkEnd w:id="1365"/>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طارت الذبابة عن النجاسة إلى الثوب أو الماء ، فعند الشيخ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الشيخ المحقّق نجم الدين في الفتاوى ؛ لعسر الاحتراز ، ولعدم الجزم ببقائها لجفافها 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في الثوب دون </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في ذلك بأنّ المقتضي لعدم تمام الحكم في الماء موجود في الثوب مع رطوبته فلا يستقيم إطلاق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كلام الشهيد في هذا الفرع مخالف للمعهود من رأيه في المسألة ؛ إذ لا وجه للتفرقة بين الثوب والماء إلّا كون الرطوبة لازمة في ملاقاة الذباب للماء دون الثوب ، ولو كان زوال العين كافيا لم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الكلام على حصول الجفاف مع بقاء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لا سيّما بملاحظة التعليل بعدم الجزم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الثوب والماء على الطهارة إلّا أن يعلم بقاء الرطوبة الحاصلة من النجاسة ، أو علوق شي‌ء من عينها مع رطوبة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علوق شي‌ء من النجاسة خلاف الأصل ، فلا بدّ من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الرطوبة وإن كان موافقا للأصل لكنّه معارض بأصالة طهارة الثوب والماء فيتساقطان ويبقى أصالة براءة الذمّة من التكليف بأحكام النجاسة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في الصحيح عن موسى بن القاسم عن عليّ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الفأرة والدجاجة والحمام وأشباههما تطأ العذرة ثمّ تطأ الثوب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استبان من أثره شي‌ء فاغسله وإلّا فلا بأس </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إشعار ببعض ما قلناه من حيث ترك الاستفصال عن حال الثوب في الرطوبة واليبوسة</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في سنده غلطا ؛ إذ المعروف رواية موسى بن القاسم عن عليّ </w:t>
      </w:r>
      <w:bookmarkStart w:id="1366" w:name="pg8731_78020"/>
    </w:p>
    <w:p>
      <w:pPr>
        <w:pStyle w:val="BookText"/>
        <w:rPr/>
      </w:pPr>
      <w:bookmarkEnd w:id="1366"/>
      <w:r>
        <w:rPr>
          <w:rFonts w:ascii="Amiri" w:hAnsi="Amiri" w:eastAsia="Amiri" w:cs="Amiri"/>
          <w:color w:val="111111"/>
          <w:sz w:val="28"/>
          <w:sz w:val="28"/>
          <w:szCs w:val="28"/>
          <w:rtl w:val="true"/>
          <w:lang w:bidi="ar-SA"/>
        </w:rPr>
        <w:t>ابن جعفر مسائله لأخيه موسى عليه‌السلام بصورة ما وقع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الطريق بأسره صحيحا</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3140865_653776707"/>
      <w:bookmarkStart w:id="1368" w:name="_Toc507"/>
      <w:bookmarkEnd w:id="1367"/>
      <w:r>
        <w:rPr>
          <w:rtl w:val="true"/>
        </w:rPr>
        <w:t xml:space="preserve">مسألة </w:t>
      </w:r>
      <w:r>
        <w:rPr>
          <w:rtl w:val="true"/>
        </w:rPr>
        <w:t>[</w:t>
      </w:r>
      <w:r>
        <w:rPr/>
        <w:t>41</w:t>
      </w:r>
      <w:r>
        <w:rPr>
          <w:rtl w:val="true"/>
        </w:rPr>
        <w:t>] :</w:t>
      </w:r>
      <w:bookmarkEnd w:id="1368"/>
    </w:p>
    <w:p>
      <w:pPr>
        <w:pStyle w:val="BookText"/>
        <w:rPr/>
      </w:pPr>
      <w:r>
        <w:rPr>
          <w:rFonts w:ascii="Amiri" w:hAnsi="Amiri" w:eastAsia="Amiri" w:cs="Amiri"/>
          <w:color w:val="111111"/>
          <w:sz w:val="28"/>
          <w:sz w:val="28"/>
          <w:szCs w:val="28"/>
          <w:rtl w:val="true"/>
          <w:lang w:bidi="ar-SA"/>
        </w:rPr>
        <w:t>وذكر الشيخ في الخلاف أنّ في أصحابنا من قال بأنّ الجسم الصقيل كالسيف والمرآة والقوارير إذا أصابته نجاسة كفى في طهارته مسح النجاسة منه وعزى إلى المرتضى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به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عدم طهارته بدون غسله بالماء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النجاسة في هذا الجسم معلوم ، والحكم بزوالها يحتاج إلى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الشرع ما يدلّ على زوال هذا الحكم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الاحتياط تقتضي ما قلناه ؛ لأنّا إذا غسلناه بالماء علمنا طهارته يقينا وإن لم نغسله بالماء فليس على طهارته دليل </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الشيخ رحمه‌اللّه وظاهره عدم انحصار القول بالطهارة في المرتضى ، على خلاف ما يفهم من كلام الفاضلين وسائر المتأخّرين إذ اقتصروا في نسبة القول بالطهارة على المرتضى ، وحيث إنّهم مطبقون على خلافه فربّما يتوهّم انعقاد الإجماع على ذلك ؛ نظرا إلى عدم تأثير مخالفة معلوم الأصل فيه ، أمّا بعد ظهور عدم الانحصار فهذا التوهّم مدفوع</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الفاضلين ومن تأخّر عنهما اقتفوا أثر الشيخ في الاحتجاج لبقاء النجاسة بالاستصحاب إلى أن يدلّ على الطهارة دليل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 xml:space="preserve">. </w:t>
      </w:r>
      <w:bookmarkStart w:id="1369" w:name="pg8731_78021"/>
    </w:p>
    <w:p>
      <w:pPr>
        <w:pStyle w:val="BookText"/>
        <w:rPr/>
      </w:pPr>
      <w:bookmarkEnd w:id="1369"/>
      <w:r>
        <w:rPr>
          <w:rFonts w:ascii="Amiri" w:hAnsi="Amiri" w:eastAsia="Amiri" w:cs="Amiri"/>
          <w:color w:val="111111"/>
          <w:sz w:val="28"/>
          <w:sz w:val="28"/>
          <w:szCs w:val="28"/>
          <w:rtl w:val="true"/>
          <w:lang w:bidi="ar-SA"/>
        </w:rPr>
        <w:t>وزاد المحقّق في المعتبر وبعده العلّامة في المنتهى التعليل بأنّ المسح يزيل عين النجاسة الظاهرة ويبقي أجزاء لاصقة لا يزيل حكمها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النجاسة الرطبة يتعدّى حكمها إلى الملاقي فلا يزول بزوال عين النجاسة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القول في أمر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 المباحث الاصوليّة أنّ السيّد لا يعوّل عليه في مثل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غفلة الجماعة عن رأي السيّد فيه وأنّ كلامه مبنيّ على أصله فلا يحسن أن يحتجّ عليه بما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ببقاء بعض أجزاء النجاسة مدفوع بأنّ المفروض زوال عين النجاسة بأجمعها فكيف يقدّر </w:t>
      </w:r>
      <w:r>
        <w:rPr>
          <w:rStyle w:val="FootnoteAnchor"/>
          <w:rtl w:val="true"/>
        </w:rPr>
        <w:footnoteReference w:id="2386"/>
      </w:r>
      <w:r>
        <w:rPr>
          <w:rFonts w:ascii="Amiri" w:hAnsi="Amiri" w:eastAsia="Amiri" w:cs="Amiri"/>
          <w:color w:val="111111"/>
          <w:sz w:val="28"/>
          <w:sz w:val="28"/>
          <w:szCs w:val="28"/>
          <w:rtl w:val="true"/>
          <w:lang w:bidi="ar-SA"/>
        </w:rPr>
        <w:t>بقاء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الحكم بالصقيل ينادي بذلك أيضا إذ يؤمن معه لصوق شي‌ء من أجزاء النجاسة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النجاسة الرطبة يتعدّى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عن أصل الدعوى</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3140867_653776707"/>
      <w:bookmarkStart w:id="1371" w:name="_Toc508"/>
      <w:bookmarkEnd w:id="1370"/>
      <w:r>
        <w:rPr>
          <w:rtl w:val="true"/>
        </w:rPr>
        <w:t xml:space="preserve">مسألة </w:t>
      </w:r>
      <w:r>
        <w:rPr>
          <w:rtl w:val="true"/>
        </w:rPr>
        <w:t>[</w:t>
      </w:r>
      <w:r>
        <w:rPr/>
        <w:t>42</w:t>
      </w:r>
      <w:r>
        <w:rPr>
          <w:rtl w:val="true"/>
        </w:rPr>
        <w:t>] :</w:t>
      </w:r>
      <w:bookmarkEnd w:id="1371"/>
    </w:p>
    <w:p>
      <w:pPr>
        <w:pStyle w:val="BookText"/>
        <w:rPr/>
      </w:pPr>
      <w:r>
        <w:rPr>
          <w:rFonts w:ascii="Amiri" w:hAnsi="Amiri" w:eastAsia="Amiri" w:cs="Amiri"/>
          <w:color w:val="111111"/>
          <w:sz w:val="28"/>
          <w:sz w:val="28"/>
          <w:szCs w:val="28"/>
          <w:rtl w:val="true"/>
          <w:lang w:bidi="ar-SA"/>
        </w:rPr>
        <w:t xml:space="preserve">قال ابن الجنيد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تزال بالبصاق عين الدم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كون ذلك على جهة التطهير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الشهيد بنسبة القول بذلك إليه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بإسناده الصحيح عن محمّد بن عليّ بن محبوب عن </w:t>
      </w:r>
    </w:p>
    <w:p>
      <w:pPr>
        <w:pStyle w:val="BookText"/>
        <w:rPr/>
      </w:pPr>
      <w:r>
        <w:rPr>
          <w:rFonts w:ascii="Amiri" w:hAnsi="Amiri" w:eastAsia="Amiri" w:cs="Amiri"/>
          <w:color w:val="111111"/>
          <w:sz w:val="28"/>
          <w:sz w:val="28"/>
          <w:szCs w:val="28"/>
          <w:rtl w:val="true"/>
          <w:lang w:bidi="ar-SA"/>
        </w:rPr>
        <w:t xml:space="preserve">العبّاس عن عبد اللّه بن المغيرة عن غياث عن أبي عبد اللّه عليه‌السلام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بالبزاق شي‌ء غير الدم </w:t>
      </w:r>
      <w:r>
        <w:rPr>
          <w:rFonts w:eastAsia="Amiri" w:cs="Amiri" w:ascii="Amiri" w:hAnsi="Amiri"/>
          <w:color w:val="111111"/>
          <w:sz w:val="28"/>
          <w:szCs w:val="28"/>
          <w:rtl w:val="true"/>
          <w:lang w:bidi="ar-SA"/>
        </w:rPr>
        <w:t xml:space="preserve">»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طريق هذه الرواية من يتوقّف في شأنه سوى غياث راويها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غياث بن إبراهيم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النجاشي </w:t>
      </w:r>
      <w:r>
        <w:rPr>
          <w:rStyle w:val="FootnoteAnchor"/>
          <w:rtl w:val="true"/>
        </w:rPr>
        <w:footnoteReference w:id="2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لم يتعرّض له بمدح ولا غيره في كتاب الرجال ولا في الفهرست بل اقتصر على ذكره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بتريا </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فيه بذلك المحقّق في المعتبر أيضا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بإسناد آخر فيه ضعف عن عبد اللّه بن المغيرة عن غياث ابن إبراهيم عن أبي عبد اللّه عليه‌السلام عن أبيه 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الدم بالبصاق </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في المختلف بعد حكايته لعبارة ابن الجنيد أنّه إن قصد بذلك الدم النجس وأنّ تلك الإزالة تطهّره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إزالة الدم الطاهر كدم السمك وشبهه أو إزالة النجس مع بقاء المحلّ على نجاسته فهو صحيح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حجّته الرواية الثانية ولم يتعرّض للأولى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عنها بالطعن في السند ، وبالحمل على أحد الأمرين اللذين احتملهما من العبارة أخيرا</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الوجهين من البعد عن ظاهر العبارة والرواية لا سيّما بالنظر إلى المتن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يثبت صحّة الطريق فلا حاجة إلى ارتكاب كلفة هذا الحمل</w:t>
      </w:r>
      <w:r>
        <w:rPr>
          <w:rFonts w:eastAsia="Amiri" w:cs="Amiri" w:ascii="Amiri" w:hAnsi="Amiri"/>
          <w:color w:val="111111"/>
          <w:sz w:val="28"/>
          <w:szCs w:val="28"/>
          <w:rtl w:val="true"/>
          <w:lang w:bidi="ar-SA"/>
        </w:rPr>
        <w:t xml:space="preserve">. </w:t>
      </w:r>
      <w:bookmarkStart w:id="1372" w:name="pg8731_78027"/>
    </w:p>
    <w:p>
      <w:pPr>
        <w:pStyle w:val="Heading5"/>
        <w:numPr>
          <w:ilvl w:val="4"/>
          <w:numId w:val="1"/>
        </w:numPr>
        <w:rPr/>
      </w:pPr>
      <w:bookmarkStart w:id="1373" w:name="__RefHeading___Toc3140869_653776707"/>
      <w:bookmarkStart w:id="1374" w:name="_Toc509"/>
      <w:bookmarkEnd w:id="1372"/>
      <w:bookmarkEnd w:id="1373"/>
      <w:r>
        <w:rPr>
          <w:rtl w:val="true"/>
        </w:rPr>
        <w:t xml:space="preserve">البحث الثالث </w:t>
      </w:r>
      <w:r>
        <w:rPr>
          <w:rtl w:val="true"/>
        </w:rPr>
        <w:t xml:space="preserve">: </w:t>
      </w:r>
      <w:r>
        <w:rPr>
          <w:rtl w:val="true"/>
        </w:rPr>
        <w:t>في بقايا مسائل متفرّقة من أحكام النجاسات</w:t>
      </w:r>
      <w:bookmarkEnd w:id="1374"/>
    </w:p>
    <w:p>
      <w:pPr>
        <w:pStyle w:val="Heading6"/>
        <w:numPr>
          <w:ilvl w:val="5"/>
          <w:numId w:val="1"/>
        </w:numPr>
        <w:rPr/>
      </w:pPr>
      <w:bookmarkStart w:id="1375" w:name="__RefHeading___Toc3140871_653776707"/>
      <w:bookmarkStart w:id="1376" w:name="_Toc510"/>
      <w:bookmarkEnd w:id="1375"/>
      <w:r>
        <w:rPr>
          <w:rtl w:val="true"/>
        </w:rPr>
        <w:t xml:space="preserve">مسألة </w:t>
      </w:r>
      <w:r>
        <w:rPr>
          <w:rtl w:val="true"/>
        </w:rPr>
        <w:t>[</w:t>
      </w:r>
      <w:r>
        <w:rPr/>
        <w:t>1</w:t>
      </w:r>
      <w:r>
        <w:rPr>
          <w:rtl w:val="true"/>
        </w:rPr>
        <w:t>] :</w:t>
      </w:r>
      <w:bookmarkEnd w:id="1376"/>
    </w:p>
    <w:p>
      <w:pPr>
        <w:pStyle w:val="BookText"/>
        <w:rPr/>
      </w:pPr>
      <w:r>
        <w:rPr>
          <w:rFonts w:ascii="Amiri" w:hAnsi="Amiri" w:eastAsia="Amiri" w:cs="Amiri"/>
          <w:color w:val="111111"/>
          <w:sz w:val="28"/>
          <w:sz w:val="28"/>
          <w:szCs w:val="28"/>
          <w:rtl w:val="true"/>
          <w:lang w:bidi="ar-SA"/>
        </w:rPr>
        <w:t>المشهور بين علمائنا عدم الفرق في النجاسات كلّها بين القليل منها والكثير بالنظر إلى أصل التنجيس وإن كان الفرق بينهما بالنظر إلى العفو ثانيا في الدم كما مرّ تحقيقه ، وفي المسألة أقوال اخر شاذّة صار إليها بعض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منها قول ابن الجنيد بطهارة ما نقص عن سعة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ثلاثة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العلّامة في المختلف عن ابن إدريس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إذا ترشّش على الثوب أو البدن مثل رءوس الإبر من النجاسات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وجوب إزالتها قليلة كانت أو كثيرة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المختلف أيضا عن السيّد المرتضى أنّه قال في جواب المسائل الميافارقيات نجاسة الخمر أغلظ من سائر النجاسات لأنّ الدم وإن </w:t>
      </w:r>
    </w:p>
    <w:p>
      <w:pPr>
        <w:pStyle w:val="BookText"/>
        <w:rPr/>
      </w:pPr>
      <w:r>
        <w:rPr>
          <w:rFonts w:ascii="Amiri" w:hAnsi="Amiri" w:eastAsia="Amiri" w:cs="Amiri"/>
          <w:color w:val="111111"/>
          <w:sz w:val="28"/>
          <w:sz w:val="28"/>
          <w:szCs w:val="28"/>
          <w:rtl w:val="true"/>
          <w:lang w:bidi="ar-SA"/>
        </w:rPr>
        <w:t>كان نجسا فقد ابيح لنا أن نصلّي في الثوب إذا كان فيه دون قدر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والبول قد عفي عنه فيما ترشّش عند الاستنجاء كرءوس الإبر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الصدوقان في الرسالة وكتاب من لا يحضره الفقيه من طهارة ما كان دون الحمّصة من الدم الذي ليس بدم حيض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ثوبك دم فلا بأس بالصلاة فيه ما لم يكن مقداره مقدار الدرهم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 ما يكون وزنه درهما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دون الدرهم الوافي فقد يجب عليك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الدم دون حمّصة فلا بأس بأن لا تغسله إلّا أن يكون دم الحيض فاغسل ثوبك منه ومن البول والمنيّ قلّ ذلك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الآخر بهذه الصورة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ينقل لشي‌ء من الأقوال الثلاثة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في المختلف للمشهور بأنّ اسم النجاسة يصدق على القليل فيجب إزالته للعمومات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عبد الرحمن بن الحجّاج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رجل يبول بالليل فيحسب أنّ البول أصابه فلا يستيقن فهل يجزيه أن يصبّ على ذكره إذا بال ولا يتنشّف؟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استبان أنّه أصابه وينضح ما يشكّ فيه من جسده أو ثيابه ويتنشّف قبل أن يتوضّأ </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هذا الخبر في مسائل النضح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وجه الدلالة فيه على المدّعى إطلاق الأمر بالغسل لما استبان أنّه أصاب من غير فرق بين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سائر الأخبار الدالّة على نجاسة البول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 هذا الخبر في إفادة المعنى المذكور ، فلا وجه لذكره بخصوصه من بينها ، كما لا وجه للفرق بين القليل والكثير مطلقا مع كون أكثر الأدلّة عامّة فيهما وانتفاء الدليل الواضح على التخصيص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الدم والبول روايات تشعر بالتخصيص لكنّها غير ناهضة بإثبات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يتعلّق بالدم فحديثان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مثنّى بن عبد السلام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إنّي حككت جلدي فخرج منه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 قدر حمّصة فاغسله ، وإلّا فلا </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لو صحّ سنده لكان حجّة فيما ذهب إليه الصدوقان ، لكنّه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دم البراغيث يكون في الثوب هل يمنعه ذلك من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أيضا بشبهه من الرعاف ينضحه ولا يغسله </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هذا الخبر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مشهور</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بالبول فخبران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كتاب من لا يحضره الفقيه بإسناد صحيح عن أحمد بن أبي عبد اللّه البرقي عن أبيه عن محمّد بن أبي عمير عن حكم بن حكيم بن أبي خلّاد أنّه سأل 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أبول فلا اصيب الماء وقد أصاب يدي شي‌ء من البول فامسحه بالحايط وبالتراب ثمّ تعرق يدي فامسح وجهي أو بعض جسدي أو يصيب 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الكافي بإسناد حسن عن ابن أبي عمير عن هشام ابن سالم عن الحكم بن الحكيم الصيرفي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صفوان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بال في موضع ليس فيه ماء فمسح ذكره بحجر وقد عرق ذكره وفخذاه؟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عمّن مسح ذكره بيده ثمّ عرقت يده فأصاب ثوبه يغسل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وإن كان لا بأس بإسناديهما لكن لا يطابق مضمونهما دعوى المخالف</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أنّهما معارضان بما رواه الشيخ في الصحيح عن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سليمان بن رشيد يخبره أنّه بال في ظلمة الليل وأنّه أصاب كفّه برد نقطة من البول ، لم يشكّ أنّه أصاب ولم يره ، وأنّه مسحه بخرقة ثمّ نسي أن </w:t>
      </w:r>
      <w:bookmarkStart w:id="1377" w:name="pg8731_78034"/>
    </w:p>
    <w:p>
      <w:pPr>
        <w:pStyle w:val="BookText"/>
        <w:rPr/>
      </w:pPr>
      <w:bookmarkEnd w:id="1377"/>
      <w:r>
        <w:rPr>
          <w:rFonts w:ascii="Amiri" w:hAnsi="Amiri" w:eastAsia="Amiri" w:cs="Amiri"/>
          <w:color w:val="111111"/>
          <w:sz w:val="28"/>
          <w:sz w:val="28"/>
          <w:szCs w:val="28"/>
          <w:rtl w:val="true"/>
          <w:lang w:bidi="ar-SA"/>
        </w:rPr>
        <w:t xml:space="preserve">يغسله وتمسّح بدهن فمسح به كفّيه ووجهه ورأسه ، ثمّ توضّأ وضوء الصلاة فصلّى؟ فأجابه بجواب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توهّمت ممّا أصاب يدك فليس بشي‌ء إلّا ما تحقّق ، فإن حقّقت ذلك كنت حقيقا أن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فالعدول عمّا عليه المعظم لمثل هذه الروايات المجملة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حينئذ على المشهور</w:t>
      </w:r>
      <w:r>
        <w:rPr>
          <w:rFonts w:eastAsia="Amiri" w:cs="Amiri" w:ascii="Amiri" w:hAnsi="Amiri"/>
          <w:color w:val="111111"/>
          <w:sz w:val="28"/>
          <w:szCs w:val="28"/>
          <w:rtl w:val="true"/>
          <w:lang w:bidi="ar-SA"/>
        </w:rPr>
        <w:t>.</w:t>
      </w:r>
    </w:p>
    <w:p>
      <w:pPr>
        <w:pStyle w:val="Heading6"/>
        <w:numPr>
          <w:ilvl w:val="5"/>
          <w:numId w:val="1"/>
        </w:numPr>
        <w:rPr/>
      </w:pPr>
      <w:bookmarkStart w:id="1378" w:name="__RefHeading___Toc3140873_653776707"/>
      <w:bookmarkStart w:id="1379" w:name="_Toc511"/>
      <w:bookmarkEnd w:id="1378"/>
      <w:r>
        <w:rPr>
          <w:rtl w:val="true"/>
        </w:rPr>
        <w:t xml:space="preserve">مسألة </w:t>
      </w:r>
      <w:r>
        <w:rPr>
          <w:rtl w:val="true"/>
        </w:rPr>
        <w:t>[</w:t>
      </w:r>
      <w:r>
        <w:rPr/>
        <w:t>2</w:t>
      </w:r>
      <w:r>
        <w:rPr>
          <w:rtl w:val="true"/>
        </w:rPr>
        <w:t>] :</w:t>
      </w:r>
      <w:bookmarkEnd w:id="1379"/>
    </w:p>
    <w:p>
      <w:pPr>
        <w:pStyle w:val="BookText"/>
        <w:rPr/>
      </w:pPr>
      <w:r>
        <w:rPr>
          <w:rFonts w:ascii="Amiri" w:hAnsi="Amiri" w:eastAsia="Amiri" w:cs="Amiri"/>
          <w:color w:val="111111"/>
          <w:sz w:val="28"/>
          <w:sz w:val="28"/>
          <w:szCs w:val="28"/>
          <w:rtl w:val="true"/>
          <w:lang w:bidi="ar-SA"/>
        </w:rPr>
        <w:t>إذا كان موضع النجاسة من الثوب معلوما وجب غسل ذلك الموضع بعينه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جهل الموضع مع يقين الإصابة غسل كلّ موضع يحتمل كونها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الاحتمال في الثوب كلّه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علمائنا </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علمائنا أجمع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خالف فيه جماعة من العامّة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النجاسة يتحرّى مكانها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الثوب كلّه</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في ما ذهب إليه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معلوم الوجود ولا يحصل اليقين بزواله إلّا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الأخبار الكثيرة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ما رواه الشيخ في الصحيح عن محمّد بن مسلم عن أحدهما عليهما‌السلام قال في المنيّ الذي يصيب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عرفت مكانه فاغسله وإن خفي عليك فاغسله كلّه </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الرجل فأصاب ثوبه منيّ فليغسل الذي أصابه ، فإن ظنّ أنّه أصابه منيّ ولم يستيقن ولم ير مكانه فلينضحه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استيقن أنّه قد أصابه ولم ير مكانه فليغسل ثوبه كلّه فإنّه أحسن </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الصحيح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أصابه ولم أدر أين هو فاغسله؟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 قد أصابها حتّى تكون على يقين من طهارتك </w:t>
      </w:r>
      <w:r>
        <w:rPr>
          <w:rFonts w:eastAsia="Amiri" w:cs="Amiri" w:ascii="Amiri" w:hAnsi="Amiri"/>
          <w:color w:val="111111"/>
          <w:sz w:val="28"/>
          <w:szCs w:val="28"/>
          <w:rtl w:val="true"/>
          <w:lang w:bidi="ar-SA"/>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يتوهّم من هذا الخبر الاكتفاء بالتحرّي كما يقوله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بتحصيل يقين الطهارة يدفعه ويقتضي حمل الكلام على انحصار الاشتباه في ناحية مخصوصة من الثوب</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للكلام على هذا الحديث العلّامة في المنتهى فأشار أوّلا إلى إشعاره بالتحرّي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لم يسنده إلى إمام فلا 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أخيرا معنى ما قلناه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1380" w:name="pg8731_78038"/>
    </w:p>
    <w:p>
      <w:pPr>
        <w:pStyle w:val="BookText"/>
        <w:rPr/>
      </w:pPr>
      <w:bookmarkEnd w:id="1380"/>
      <w:r>
        <w:rPr>
          <w:rFonts w:ascii="Amiri" w:hAnsi="Amiri" w:eastAsia="Amiri" w:cs="Amiri"/>
          <w:color w:val="111111"/>
          <w:sz w:val="28"/>
          <w:sz w:val="28"/>
          <w:szCs w:val="28"/>
          <w:rtl w:val="true"/>
          <w:lang w:bidi="ar-SA"/>
        </w:rPr>
        <w:t>وينبغي أن يكون الاعتماد عليه ؛ لأنّ عدم إسناده إلى الإمام غير مسموع ، لشهادة القرائن بكون الخطاب فيه للإمام ؛ إذ هو حديث طويل يشتمل على عدّة سؤالات وأجوبتها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تدوين مثل هذا مع كونه صادرا من غير الإمام لا يقبله الفهم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التصريح فيه باسم الإمام إنّما هو في رواية الشيخ له بالطريق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فالصدوق في العلل رواه بطريق حسن صرّح فيه بكون الخطاب مع أبي جعفر الباقر عليه‌السلام</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3140875_653776707"/>
      <w:bookmarkStart w:id="1382" w:name="_Toc512"/>
      <w:bookmarkEnd w:id="1381"/>
      <w:r>
        <w:rPr>
          <w:rtl w:val="true"/>
        </w:rPr>
        <w:t xml:space="preserve">مسألة </w:t>
      </w:r>
      <w:r>
        <w:rPr>
          <w:rtl w:val="true"/>
        </w:rPr>
        <w:t>[</w:t>
      </w:r>
      <w:r>
        <w:rPr/>
        <w:t>3</w:t>
      </w:r>
      <w:r>
        <w:rPr>
          <w:rtl w:val="true"/>
        </w:rPr>
        <w:t>] :</w:t>
      </w:r>
      <w:bookmarkEnd w:id="1382"/>
    </w:p>
    <w:p>
      <w:p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الثوب نجاسة فغسل نصفه وبقي نصفه فإنّ المغسول يكون طاهرا ولا يتعدّى نجاسة النصف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بعض العامّة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النصف المغسول ؛ لأنّه مجاور لأجزاء نجسة فتسري إليه النجاسة فينجس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 لأنّ ما يجاوره أجزاء جافّة لا تتعدّى نجاستها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تعدّت لكان يجب أن يكون إذا نجس جسم أن ينجس العالم كلّه لأنّ الأجسام كلّها متجاورة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صلى‌اللّه‌عليه‌وآله وعن أئمتنا عليهم‌السلام أنّه إذا وقع الفأر في سمن جامد أو في زيت القي وما حوله واستعمل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النجاسة تسري لوجب أن ينجس الجميع وهذا خلاف النصّ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الشيخ رحمه‌اللّه في هذه المسألة جيّد واضح</w:t>
      </w:r>
      <w:r>
        <w:rPr>
          <w:rFonts w:eastAsia="Amiri" w:cs="Amiri" w:ascii="Amiri" w:hAnsi="Amiri"/>
          <w:color w:val="111111"/>
          <w:sz w:val="28"/>
          <w:szCs w:val="28"/>
          <w:rtl w:val="true"/>
          <w:lang w:bidi="ar-SA"/>
        </w:rPr>
        <w:t xml:space="preserve">. </w:t>
      </w:r>
      <w:bookmarkStart w:id="1383" w:name="pg8731_78040"/>
    </w:p>
    <w:p>
      <w:pPr>
        <w:pStyle w:val="BookText"/>
        <w:rPr/>
      </w:pPr>
      <w:bookmarkEnd w:id="1383"/>
      <w:r>
        <w:rPr>
          <w:rFonts w:ascii="Amiri" w:hAnsi="Amiri" w:eastAsia="Amiri" w:cs="Amiri"/>
          <w:color w:val="111111"/>
          <w:sz w:val="28"/>
          <w:sz w:val="28"/>
          <w:szCs w:val="28"/>
          <w:rtl w:val="true"/>
          <w:lang w:bidi="ar-SA"/>
        </w:rPr>
        <w:t xml:space="preserve">وقد اقتفى أثره فيه الفاضلان في المعتبر والمنتهى والشهيد في الذكرى فأوردوا محصول كلامه في الحكم ودليله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ذكره من لزوم نجاسة العالم بنجاسة جسم فيه محتاج إلى التقييد بحال كونه بأجمعه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ذلك 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الجماعة بعده</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3140877_653776707"/>
      <w:bookmarkStart w:id="1385" w:name="_Toc513"/>
      <w:bookmarkEnd w:id="1384"/>
      <w:r>
        <w:rPr>
          <w:rtl w:val="true"/>
        </w:rPr>
        <w:t xml:space="preserve">مسألة </w:t>
      </w:r>
      <w:r>
        <w:rPr>
          <w:rtl w:val="true"/>
        </w:rPr>
        <w:t>[</w:t>
      </w:r>
      <w:r>
        <w:rPr/>
        <w:t>4</w:t>
      </w:r>
      <w:r>
        <w:rPr>
          <w:rtl w:val="true"/>
        </w:rPr>
        <w:t>] :</w:t>
      </w:r>
      <w:bookmarkEnd w:id="1385"/>
    </w:p>
    <w:p>
      <w:pPr>
        <w:pStyle w:val="Heading6"/>
        <w:numPr>
          <w:ilvl w:val="5"/>
          <w:numId w:val="1"/>
        </w:numPr>
        <w:rPr/>
      </w:pPr>
      <w:bookmarkStart w:id="1386" w:name="__RefHeading___Toc3140879_653776707"/>
      <w:bookmarkStart w:id="1387" w:name="_Toc514"/>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جمهور الأصحاب على أنّ أواني الخمر كلّها قابلة للتطهير من أثر نجاسة سواء في ذلك الصلب الذي لا ينشف كالصفر والرصاص والحجر والمغضور ، وغير الصلب كالقرع والخشب والخزف غير المغضور إلّا أنّه يكره استعمال غير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الفاضلان في المعتبر والمنتهى إلى ابن الجنيد القول بعدم طهارة هذا النوع </w:t>
      </w:r>
      <w:r>
        <w:rPr>
          <w:rStyle w:val="FootnoteAnchor"/>
          <w:rtl w:val="true"/>
        </w:rPr>
        <w:footnoteReference w:id="2415"/>
      </w:r>
      <w:r>
        <w:rPr>
          <w:rFonts w:ascii="Amiri" w:hAnsi="Amiri" w:eastAsia="Amiri" w:cs="Amiri"/>
          <w:color w:val="111111"/>
          <w:sz w:val="28"/>
          <w:sz w:val="28"/>
          <w:szCs w:val="28"/>
          <w:rtl w:val="true"/>
          <w:lang w:bidi="ar-SA"/>
        </w:rPr>
        <w:t>، ولم أره في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عزى إلى ابن البرّاج القول بعدم جواز استعمال هذا النوع ، غسل أو لم يغسل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للمشهور بأنّ الواجب إزالة النجاسة المعلومة والاستظهار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هذا القدر ممكن وما لا يعلم من النجاسة لا يجب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حصول الطهارة حينئذ</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وبأنّه بعد إزالة عين النجاسة يرتفع المانع من الاستعمال فيكون سائغا</w:t>
      </w:r>
      <w:r>
        <w:rPr>
          <w:rFonts w:eastAsia="Amiri" w:cs="Amiri" w:ascii="Amiri" w:hAnsi="Amiri"/>
          <w:color w:val="111111"/>
          <w:sz w:val="28"/>
          <w:szCs w:val="28"/>
          <w:rtl w:val="true"/>
          <w:lang w:bidi="ar-SA"/>
        </w:rPr>
        <w:t xml:space="preserve">. </w:t>
      </w:r>
      <w:bookmarkStart w:id="1388" w:name="pg8731_78042"/>
    </w:p>
    <w:p>
      <w:pPr>
        <w:pStyle w:val="BookText"/>
        <w:rPr/>
      </w:pPr>
      <w:bookmarkEnd w:id="1388"/>
      <w:r>
        <w:rPr>
          <w:rFonts w:ascii="Amiri" w:hAnsi="Amiri" w:eastAsia="Amiri" w:cs="Amiri"/>
          <w:color w:val="111111"/>
          <w:sz w:val="28"/>
          <w:sz w:val="28"/>
          <w:szCs w:val="28"/>
          <w:rtl w:val="true"/>
          <w:lang w:bidi="ar-SA"/>
        </w:rPr>
        <w:t>أمّا المقدّمة الاولى فظاهرة ؛ لأنّا نبحث على تقدير ارتفاع العين عن المحلّ ، وكون المقتضي للمنع ليس إلّا تلك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 المنع لو بقي بعد ارتفاع سببه لزم بقاء المعلول بعد العلّة ، وذلك يخرجها عن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عمّار بن موسى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الإبريق يكون فيه خمر أيصلح أن يكون فيه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فلا بأس </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غير المغضور لا يطهر لوجب الاستفصال في الجواب</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3140881_653776707"/>
      <w:bookmarkStart w:id="1390" w:name="_Toc515"/>
      <w:bookmarkEnd w:id="1389"/>
      <w:r>
        <w:rPr>
          <w:rtl w:val="true"/>
        </w:rPr>
        <w:t xml:space="preserve">حجّة القول الآخر وجهان </w:t>
      </w:r>
      <w:r>
        <w:rPr>
          <w:rtl w:val="true"/>
        </w:rPr>
        <w:t>:</w:t>
      </w:r>
      <w:bookmarkEnd w:id="1390"/>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فضالة بن أيّوب عن عمر </w:t>
      </w:r>
      <w:r>
        <w:rPr>
          <w:rStyle w:val="FootnoteAnchor"/>
          <w:rtl w:val="true"/>
        </w:rPr>
        <w:footnoteReference w:id="2418"/>
      </w:r>
      <w:r>
        <w:rPr>
          <w:rFonts w:ascii="Amiri" w:hAnsi="Amiri" w:eastAsia="Amiri" w:cs="Amiri"/>
          <w:color w:val="111111"/>
          <w:sz w:val="28"/>
          <w:sz w:val="28"/>
          <w:szCs w:val="28"/>
          <w:rtl w:val="true"/>
          <w:lang w:bidi="ar-SA"/>
        </w:rPr>
        <w:t xml:space="preserve">بن أبان الكلبي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الظروف؟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الدبا والمزفّت؟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الجرار الخضر والرصاص؟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محبوب عن خالد بن جرير عن أبي الربيع الشامي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صلى‌اللّه‌عليه‌وآله عن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والظروف التي يصنع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صلى‌اللّه‌عليه‌وآله عن الدبا والمزفّت والخيثم 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 القرع ، والمزفّت الدبان والخيثم الجرار الزرق ، والنقير خشب كان أهل الجاهليّة ينقرونها حتّى يصير </w:t>
      </w:r>
      <w:bookmarkStart w:id="1391" w:name="pg8731_78044"/>
    </w:p>
    <w:p>
      <w:pPr>
        <w:pStyle w:val="BookText"/>
        <w:rPr/>
      </w:pPr>
      <w:bookmarkEnd w:id="1391"/>
      <w:r>
        <w:rPr>
          <w:rFonts w:ascii="Amiri" w:hAnsi="Amiri" w:eastAsia="Amiri" w:cs="Amiri"/>
          <w:color w:val="111111"/>
          <w:sz w:val="28"/>
          <w:sz w:val="28"/>
          <w:szCs w:val="28"/>
          <w:rtl w:val="true"/>
          <w:lang w:bidi="ar-SA"/>
        </w:rPr>
        <w:t xml:space="preserve">لها أجواف ينبذون فيها </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للخمر حدّة ونفوذا في الأجسام الملاقية له فإذا لم تكن الآنية مغضورة دخلت أجزاء الخمر في باطنها فلا ينالها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الأوّل بأنّ النهي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نفوذ الماء أشدّ من غيره ؛ فإنّ ما يشرب الخمر يشرب الماء فيصل الماء إلى ما يصل إليه الخمر</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3140883_653776707"/>
      <w:bookmarkStart w:id="1393" w:name="_Toc516"/>
      <w:bookmarkEnd w:id="1392"/>
      <w:r>
        <w:rPr>
          <w:rtl w:val="true"/>
        </w:rPr>
        <w:t xml:space="preserve">مسألة </w:t>
      </w:r>
      <w:r>
        <w:rPr>
          <w:rtl w:val="true"/>
        </w:rPr>
        <w:t>[</w:t>
      </w:r>
      <w:r>
        <w:rPr/>
        <w:t>5</w:t>
      </w:r>
      <w:r>
        <w:rPr>
          <w:rtl w:val="true"/>
        </w:rPr>
        <w:t>] :</w:t>
      </w:r>
      <w:bookmarkEnd w:id="1393"/>
    </w:p>
    <w:p>
      <w:pPr>
        <w:pStyle w:val="BookText"/>
        <w:rPr/>
      </w:pPr>
      <w:r>
        <w:rPr>
          <w:rFonts w:ascii="Amiri" w:hAnsi="Amiri" w:eastAsia="Amiri" w:cs="Amiri"/>
          <w:color w:val="111111"/>
          <w:sz w:val="28"/>
          <w:sz w:val="28"/>
          <w:szCs w:val="28"/>
          <w:rtl w:val="true"/>
          <w:lang w:bidi="ar-SA"/>
        </w:rPr>
        <w:t>ذكر جماعة من الأصحاب أنّه تستحبّ تثنية الغسل وتثليثه في النجاسات التي لم يثبت وجوب أحد الأمرين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لهذا التعميم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التثنية خروج من خلاف من اعتبرها في جميع النجاسات ، وكذا في التثليث بالنظر إلى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العلّامة عند ذكره لهذا الحكم في القواعد على كون التثنية والتثليث بعد زوال العين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تطهير الأواني 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تقدّم زوال العين على الغسل المعتبر فلا وجه لاعتباره هنا خارجا عن التثنية والتثليث</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هناك توجيه بعض المتأخّرين لاشتراط ذلك بأنّ سبب التنجيس إذا كان موجودا لم يظهر للماء الوارد معه أثر وبيّنا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bookmarkStart w:id="1394" w:name="pg8731_78046"/>
    </w:p>
    <w:p>
      <w:pPr>
        <w:pStyle w:val="BookText"/>
        <w:rPr/>
      </w:pPr>
      <w:bookmarkEnd w:id="1394"/>
      <w:r>
        <w:rPr>
          <w:rFonts w:ascii="Amiri" w:hAnsi="Amiri" w:eastAsia="Amiri" w:cs="Amiri"/>
          <w:color w:val="111111"/>
          <w:sz w:val="28"/>
          <w:sz w:val="28"/>
          <w:szCs w:val="28"/>
          <w:rtl w:val="true"/>
          <w:lang w:bidi="ar-SA"/>
        </w:rPr>
        <w:t>وينبغي أن يعلم أنّه وإن لم يشترط تقدّمه على الغسل المعتبر فلا بدّ من حصوله بالمرّة الاولى لأنّ صدق الثانية يتوقّف عليه</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3140885_653776707"/>
      <w:bookmarkStart w:id="1396" w:name="_Toc517"/>
      <w:bookmarkEnd w:id="1395"/>
      <w:r>
        <w:rPr>
          <w:rtl w:val="true"/>
        </w:rPr>
        <w:t xml:space="preserve">مسألة </w:t>
      </w:r>
      <w:r>
        <w:rPr>
          <w:rtl w:val="true"/>
        </w:rPr>
        <w:t>[</w:t>
      </w:r>
      <w:r>
        <w:rPr/>
        <w:t>6</w:t>
      </w:r>
      <w:r>
        <w:rPr>
          <w:rtl w:val="true"/>
        </w:rPr>
        <w:t>] :</w:t>
      </w:r>
      <w:bookmarkEnd w:id="1396"/>
    </w:p>
    <w:p>
      <w:pPr>
        <w:pStyle w:val="BookText"/>
        <w:rPr/>
      </w:pPr>
      <w:r>
        <w:rPr>
          <w:rFonts w:ascii="Amiri" w:hAnsi="Amiri" w:eastAsia="Amiri" w:cs="Amiri"/>
          <w:color w:val="111111"/>
          <w:sz w:val="28"/>
          <w:sz w:val="28"/>
          <w:szCs w:val="28"/>
          <w:rtl w:val="true"/>
          <w:lang w:bidi="ar-SA"/>
        </w:rPr>
        <w:t xml:space="preserve">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الحتّ والقرص </w:t>
      </w:r>
      <w:r>
        <w:rPr>
          <w:rStyle w:val="FootnoteAnchor"/>
          <w:rtl w:val="true"/>
        </w:rPr>
        <w:footnoteReference w:id="2422"/>
      </w:r>
      <w:r>
        <w:rPr>
          <w:rFonts w:ascii="Amiri" w:hAnsi="Amiri" w:eastAsia="Amiri" w:cs="Amiri"/>
          <w:color w:val="111111"/>
          <w:sz w:val="28"/>
          <w:sz w:val="28"/>
          <w:szCs w:val="28"/>
          <w:rtl w:val="true"/>
          <w:lang w:bidi="ar-SA"/>
        </w:rPr>
        <w:t xml:space="preserve">في كلّ نجاسة يابسة كالمنيّ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بقول النبيّ صلى‌اللّه‌عليه‌وآله 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حتّيه ثمّ اقرصيه ثمّ اغسليه </w:t>
      </w:r>
      <w:r>
        <w:rPr>
          <w:rStyle w:val="FootnoteAnchor"/>
          <w:rtl w:val="true"/>
        </w:rPr>
        <w:footnoteReference w:id="2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واجبا ؛ لحصول امتثال الإزالة بدونه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في ذلك الشهيد في البيان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حتّ النجاسة وقرصها ثمّ غسلها بالماء وخصوصا الدم والمنيّ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 التي ذكرها العلّامة لهذا الحكم ضعيفة ؛ إذ الرواية عامّيّة ليس لها من طريق الأصحاب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المنتهى أنّه يستحبّ القرص والحتّ من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 ثمّ حكى عن بعض العامّة إيجابه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لعدم الوجوب بالأصل وببعض الاعتبارات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وانتفاء الوجوب ممّا لا ريب فيه ، وإنّما الشأن في الاستحباب</w:t>
      </w:r>
      <w:r>
        <w:rPr>
          <w:rFonts w:eastAsia="Amiri" w:cs="Amiri" w:ascii="Amiri" w:hAnsi="Amiri"/>
          <w:color w:val="111111"/>
          <w:sz w:val="28"/>
          <w:szCs w:val="28"/>
          <w:rtl w:val="true"/>
          <w:lang w:bidi="ar-SA"/>
        </w:rPr>
        <w:t xml:space="preserve">. </w:t>
      </w:r>
      <w:bookmarkStart w:id="1397" w:name="pg8731_78047"/>
    </w:p>
    <w:p>
      <w:pPr>
        <w:pStyle w:val="BookText"/>
        <w:rPr/>
      </w:pPr>
      <w:bookmarkEnd w:id="1397"/>
      <w:r>
        <w:rPr>
          <w:rFonts w:ascii="Amiri" w:hAnsi="Amiri" w:eastAsia="Amiri" w:cs="Amiri"/>
          <w:color w:val="111111"/>
          <w:sz w:val="28"/>
          <w:sz w:val="28"/>
          <w:szCs w:val="28"/>
          <w:rtl w:val="true"/>
          <w:lang w:bidi="ar-SA"/>
        </w:rPr>
        <w:t>وربّما قرب في دم الحيض لاعتضاد الرواية المذكورة بما ادّعاه من كونه مذهبا لعلمائنا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المنتهى أنّ الحتّ يكون بالظفر ليذهب خشونة دم الحيض ، والقرص بعده ليلين للغسل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الحتّ هو الفرك والقشر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حتك الورق من الغصن والمنيّ من 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القرص بالإصبعين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امرأة سألته عن دم الحيض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اقرصيه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اغسليه بأطراف أصابعك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 الدلك بأطراف الأصابع والأظفار مع صبّ الماء عليه حتّى يذهب أثره </w:t>
      </w:r>
      <w:r>
        <w:rPr>
          <w:rStyle w:val="FootnoteAnchor"/>
          <w:rtl w:val="true"/>
        </w:rPr>
        <w:footnoteReference w:id="2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3140887_653776707"/>
      <w:bookmarkStart w:id="1399" w:name="_Toc518"/>
      <w:bookmarkEnd w:id="1398"/>
      <w:r>
        <w:rPr>
          <w:rtl w:val="true"/>
        </w:rPr>
        <w:t xml:space="preserve">مسألة </w:t>
      </w:r>
      <w:r>
        <w:rPr>
          <w:rtl w:val="true"/>
        </w:rPr>
        <w:t>[</w:t>
      </w:r>
      <w:r>
        <w:rPr/>
        <w:t>7</w:t>
      </w:r>
      <w:r>
        <w:rPr>
          <w:rtl w:val="true"/>
        </w:rPr>
        <w:t>] :</w:t>
      </w:r>
      <w:bookmarkEnd w:id="1399"/>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عليّ بن محبوب عن محمّد بن أحمد عن العمركي البوفكي عن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يصلح له أن يصبّ الماء من فيه يغسل به الشي‌ء يكون في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1400" w:name="pg8731_78050"/>
    </w:p>
    <w:p>
      <w:pPr>
        <w:pStyle w:val="BookText"/>
        <w:rPr/>
      </w:pPr>
      <w:bookmarkEnd w:id="1400"/>
      <w:r>
        <w:rPr>
          <w:rFonts w:ascii="Amiri" w:hAnsi="Amiri" w:eastAsia="Amiri" w:cs="Amiri"/>
          <w:color w:val="111111"/>
          <w:sz w:val="28"/>
          <w:sz w:val="28"/>
          <w:szCs w:val="28"/>
          <w:rtl w:val="true"/>
          <w:lang w:bidi="ar-SA"/>
        </w:rPr>
        <w:t xml:space="preserve">وقد ذكر العلّامة في المنتهى هذه الرواية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موافقة للمذهب ؛ لأنّ المطلوب للشارع هو الإزالة بالماء وذلك حاصل في الصورة المذكورة ، وخصوصيّة الوعاء الذي يحوي الماء غير منظور إليها </w:t>
      </w:r>
      <w:r>
        <w:rPr>
          <w:rStyle w:val="FootnoteAnchor"/>
          <w:rtl w:val="true"/>
        </w:rPr>
        <w:footnoteReference w:id="2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قال</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3140889_653776707"/>
      <w:bookmarkStart w:id="1402" w:name="_Toc519"/>
      <w:bookmarkEnd w:id="1401"/>
      <w:r>
        <w:rPr>
          <w:rtl w:val="true"/>
        </w:rPr>
        <w:t xml:space="preserve">مسألة </w:t>
      </w:r>
      <w:r>
        <w:rPr>
          <w:rtl w:val="true"/>
        </w:rPr>
        <w:t>[</w:t>
      </w:r>
      <w:r>
        <w:rPr/>
        <w:t>8</w:t>
      </w:r>
      <w:r>
        <w:rPr>
          <w:rtl w:val="true"/>
        </w:rPr>
        <w:t>] :</w:t>
      </w:r>
      <w:bookmarkEnd w:id="1402"/>
    </w:p>
    <w:p>
      <w:pPr>
        <w:pStyle w:val="BookText"/>
        <w:rPr/>
      </w:pPr>
      <w:r>
        <w:rPr>
          <w:rFonts w:ascii="Amiri" w:hAnsi="Amiri" w:eastAsia="Amiri" w:cs="Amiri"/>
          <w:color w:val="111111"/>
          <w:sz w:val="28"/>
          <w:sz w:val="28"/>
          <w:szCs w:val="28"/>
          <w:rtl w:val="true"/>
          <w:lang w:bidi="ar-SA"/>
        </w:rPr>
        <w:t>اشتهر في كلام الأصحاب الحكم باستحباب إزالة طين المطر بعد مضيّ ثلاثة أيّام من وقت انقطاعه وأنّه لا بأس به في الثلاثة ما لم يعلم فيه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الحكم ما رواه الشيخ أبو جعفر الكليني في الكافي عن محمّد بن يحيى عن أحمد بن محمّد عن محمّد بن إسماعيل عن بعض أصحابنا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أنّه لا بأس به أن يصيب الثوب ثلاثة أيّام إلّا أن تعلم أنّه قد نجّسه شي‌ء بعد المطر فإن أصابه بعد ثلاثة أيّام فاغسله وإن كان الطريق نظيفا لم تغسله </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المعتبر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هذه أنّ الغيث لا ينجس بملاقاة النجاسة ما لم تغلب على أحد أوصافه ، فإذا مضى ثلاثة أيّام استحبّ إزالته لما يمازجه من الأشياء المستقذرة طبعا ، وإن لم يمازجه شي‌ء فهو على الإباحة ، فإن تيقّن ملاقاة نجاسة بعد المطر أي بعد انقطاع المطر وجب إزالته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الحجّة في المنتهى على استحباب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الظنّ </w:t>
      </w:r>
      <w:bookmarkStart w:id="1403" w:name="pg8731_78052"/>
    </w:p>
    <w:p>
      <w:pPr>
        <w:pStyle w:val="BookText"/>
        <w:rPr/>
      </w:pPr>
      <w:bookmarkEnd w:id="1403"/>
      <w:r>
        <w:rPr>
          <w:rFonts w:ascii="Amiri" w:hAnsi="Amiri" w:eastAsia="Amiri" w:cs="Amiri"/>
          <w:color w:val="111111"/>
          <w:sz w:val="28"/>
          <w:sz w:val="28"/>
          <w:szCs w:val="28"/>
          <w:rtl w:val="true"/>
          <w:lang w:bidi="ar-SA"/>
        </w:rPr>
        <w:t>بعدم سلامته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مؤيّدة لذلك </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قصورها عن إثبات الحكم بمجرّدها لكونها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الحكم فيها قبل الثلاثة موافق للقواعد فلا يحتاج إلى الرواية</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3140891_653776707"/>
      <w:bookmarkStart w:id="1405" w:name="_Toc520"/>
      <w:bookmarkEnd w:id="1404"/>
      <w:r>
        <w:rPr>
          <w:rtl w:val="true"/>
        </w:rPr>
        <w:t xml:space="preserve">مسألة </w:t>
      </w:r>
      <w:r>
        <w:rPr>
          <w:rtl w:val="true"/>
        </w:rPr>
        <w:t>[</w:t>
      </w:r>
      <w:r>
        <w:rPr/>
        <w:t>9</w:t>
      </w:r>
      <w:r>
        <w:rPr>
          <w:rtl w:val="true"/>
        </w:rPr>
        <w:t>] :</w:t>
      </w:r>
      <w:bookmarkEnd w:id="1405"/>
    </w:p>
    <w:p>
      <w:pPr>
        <w:pStyle w:val="BookText"/>
        <w:rPr/>
      </w:pPr>
      <w:r>
        <w:rPr>
          <w:rFonts w:ascii="Amiri" w:hAnsi="Amiri" w:eastAsia="Amiri" w:cs="Amiri"/>
          <w:color w:val="111111"/>
          <w:sz w:val="28"/>
          <w:sz w:val="28"/>
          <w:szCs w:val="28"/>
          <w:rtl w:val="true"/>
          <w:lang w:bidi="ar-SA"/>
        </w:rPr>
        <w:t xml:space="preserve">قال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عليه في الطريق ماء ولا يعلم نجاسته لم يجب عليه السؤال إجماعا ، وبنى على الطهارة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في النهاية والمنتهى للحكم بما رواه الشيخ في الصحيح عن محمّد ابن أحمد بن يحيى عن أبي جعفر يعني أحمد بن محمّد بن عيسى عن أبيه عن حفص بن غياث عن جعفر عليه‌السلام عن أبيه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ابالي بول أصابني أو ماء إذا لم أعلم </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سئل لم يجب على المسؤول ردّ الجواب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 بإطلاق عدم المبالاة مع عدم العلم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التمسّك هنا أيضا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عزى إلى بعض العامّة إيجاب الجواب محتجّا بأنّه سئل عن شرط الصلاة فيلزم مع العلم أن يجيب ، كما لو سئل عن القبلة</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بأنّ الفرق حاصل ؛ لأنّ الشرط مع عدم الجواب في صورة </w:t>
      </w:r>
      <w:bookmarkStart w:id="1406" w:name="pg8731_78054"/>
    </w:p>
    <w:p>
      <w:pPr>
        <w:pStyle w:val="BookText"/>
        <w:rPr/>
      </w:pPr>
      <w:bookmarkEnd w:id="1406"/>
      <w:r>
        <w:rPr>
          <w:rFonts w:ascii="Amiri" w:hAnsi="Amiri" w:eastAsia="Amiri" w:cs="Amiri"/>
          <w:color w:val="111111"/>
          <w:sz w:val="28"/>
          <w:sz w:val="28"/>
          <w:szCs w:val="28"/>
          <w:rtl w:val="true"/>
          <w:lang w:bidi="ar-SA"/>
        </w:rPr>
        <w:t>النزاع موجود ، إذ هو عدم العلم بالنجاسة لا العلم بعدمها ، بخلاف القبلة ، وهو حسن</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3140893_653776707"/>
      <w:bookmarkStart w:id="1408" w:name="_Toc521"/>
      <w:bookmarkEnd w:id="1407"/>
      <w:r>
        <w:rPr>
          <w:rtl w:val="true"/>
        </w:rPr>
        <w:t xml:space="preserve">مسألة </w:t>
      </w:r>
      <w:r>
        <w:rPr>
          <w:rtl w:val="true"/>
        </w:rPr>
        <w:t>[</w:t>
      </w:r>
      <w:r>
        <w:rPr/>
        <w:t>10</w:t>
      </w:r>
      <w:r>
        <w:rPr>
          <w:rtl w:val="true"/>
        </w:rPr>
        <w:t>] :</w:t>
      </w:r>
      <w:bookmarkEnd w:id="1408"/>
    </w:p>
    <w:p>
      <w:pPr>
        <w:pStyle w:val="BookText"/>
        <w:rPr/>
      </w:pPr>
      <w:r>
        <w:rPr>
          <w:rFonts w:ascii="Amiri" w:hAnsi="Amiri" w:eastAsia="Amiri" w:cs="Amiri"/>
          <w:color w:val="111111"/>
          <w:sz w:val="28"/>
          <w:sz w:val="28"/>
          <w:szCs w:val="28"/>
          <w:rtl w:val="true"/>
          <w:lang w:bidi="ar-SA"/>
        </w:rPr>
        <w:t>إذا حكم بنجاسة شي‌ء لعروض أحد الأسباب المقتضية لذلك توقّف في عوده إلى الطهارة على العلم بحصول أحد الوجوه التي ثبت كونها مفيدة للتطهير أو ما يقوم مقام العلم وهو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الاكتفاء باعتبار العدل الواحد أيضا لعموم مفهوم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اعتبار بإخبار غير العدل إلّا أن ينضمّ إليه القرائن المفيدة معه للعلم</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أفادته منفردة كفت في الحكم بالطهارة أيضا</w:t>
      </w:r>
      <w:r>
        <w:rPr>
          <w:rFonts w:eastAsia="Amiri" w:cs="Amiri" w:ascii="Amiri" w:hAnsi="Amiri"/>
          <w:color w:val="111111"/>
          <w:sz w:val="28"/>
          <w:szCs w:val="28"/>
          <w:rtl w:val="true"/>
          <w:lang w:bidi="ar-SA"/>
        </w:rPr>
        <w:t xml:space="preserve">.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9" w:name="pg8731_78057"/>
      <w:bookmarkStart w:id="1410" w:name="pg8731_78057"/>
      <w:bookmarkEnd w:id="1410"/>
    </w:p>
    <w:p>
      <w:pPr>
        <w:pStyle w:val="Heading4"/>
        <w:numPr>
          <w:ilvl w:val="3"/>
          <w:numId w:val="1"/>
        </w:numPr>
        <w:rPr/>
      </w:pPr>
      <w:bookmarkStart w:id="1411" w:name="pg8731_78057"/>
      <w:bookmarkStart w:id="1412" w:name="__RefHeading___Toc3140895_653776707"/>
      <w:bookmarkStart w:id="1413" w:name="_Toc522"/>
      <w:bookmarkEnd w:id="1411"/>
      <w:bookmarkEnd w:id="1412"/>
      <w:r>
        <w:rPr>
          <w:rtl w:val="true"/>
        </w:rPr>
        <w:t xml:space="preserve">الفصل الثالث </w:t>
      </w:r>
      <w:r>
        <w:rPr>
          <w:rtl w:val="true"/>
        </w:rPr>
        <w:t xml:space="preserve">: </w:t>
      </w:r>
      <w:r>
        <w:rPr>
          <w:rtl w:val="true"/>
        </w:rPr>
        <w:t>في أحكام الخلوة وآداب الحمّام وسائر أنواع الاستطابة</w:t>
      </w:r>
      <w:bookmarkEnd w:id="1413"/>
    </w:p>
    <w:p>
      <w:pPr>
        <w:pStyle w:val="Heading5"/>
        <w:numPr>
          <w:ilvl w:val="4"/>
          <w:numId w:val="1"/>
        </w:numPr>
        <w:rPr/>
      </w:pPr>
      <w:bookmarkStart w:id="1414" w:name="__RefHeading___Toc3140897_653776707"/>
      <w:bookmarkStart w:id="1415" w:name="_Toc523"/>
      <w:bookmarkEnd w:id="1414"/>
      <w:r>
        <w:rPr>
          <w:rtl w:val="true"/>
        </w:rPr>
        <w:t>اشارة</w:t>
      </w:r>
      <w:bookmarkEnd w:id="1415"/>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أنظار </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6" w:name="pg8731_78061"/>
      <w:bookmarkStart w:id="1417" w:name="pg8731_78061"/>
      <w:bookmarkEnd w:id="1417"/>
    </w:p>
    <w:p>
      <w:pPr>
        <w:pStyle w:val="Heading5"/>
        <w:numPr>
          <w:ilvl w:val="4"/>
          <w:numId w:val="1"/>
        </w:numPr>
        <w:rPr/>
      </w:pPr>
      <w:bookmarkStart w:id="1418" w:name="pg8731_78061"/>
      <w:bookmarkStart w:id="1419" w:name="__RefHeading___Toc3140899_653776707"/>
      <w:bookmarkStart w:id="1420" w:name="_Toc524"/>
      <w:bookmarkEnd w:id="1418"/>
      <w:bookmarkEnd w:id="1419"/>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في أحكام الخلوة</w:t>
      </w:r>
      <w:bookmarkEnd w:id="1420"/>
    </w:p>
    <w:p>
      <w:pPr>
        <w:pStyle w:val="Heading6"/>
        <w:numPr>
          <w:ilvl w:val="5"/>
          <w:numId w:val="1"/>
        </w:numPr>
        <w:rPr/>
      </w:pPr>
      <w:bookmarkStart w:id="1421" w:name="__RefHeading___Toc3140901_653776707"/>
      <w:bookmarkStart w:id="1422" w:name="_Toc525"/>
      <w:bookmarkEnd w:id="1421"/>
      <w:r>
        <w:rPr>
          <w:rtl w:val="true"/>
        </w:rPr>
        <w:t xml:space="preserve">مسألة </w:t>
      </w:r>
      <w:r>
        <w:rPr>
          <w:rtl w:val="true"/>
        </w:rPr>
        <w:t>[</w:t>
      </w:r>
      <w:r>
        <w:rPr/>
        <w:t>1</w:t>
      </w:r>
      <w:r>
        <w:rPr>
          <w:rtl w:val="true"/>
        </w:rPr>
        <w:t>] :</w:t>
      </w:r>
      <w:bookmarkEnd w:id="1422"/>
    </w:p>
    <w:p>
      <w:pPr>
        <w:pStyle w:val="BookText"/>
        <w:rPr/>
      </w:pPr>
      <w:r>
        <w:rPr>
          <w:rFonts w:ascii="Amiri" w:hAnsi="Amiri" w:eastAsia="Amiri" w:cs="Amiri"/>
          <w:color w:val="111111"/>
          <w:sz w:val="28"/>
          <w:sz w:val="28"/>
          <w:szCs w:val="28"/>
          <w:rtl w:val="true"/>
          <w:lang w:bidi="ar-SA"/>
        </w:rPr>
        <w:t>ستر العورة عن الناظر المحترم واجب في حال الخلوة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حريز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ينظر الرجل إلى عورة أخيه </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يغتسل الرجل بارزا؟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يره أحد فلا بأس </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عورة المؤمن على المؤمن ،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سفليه؟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 إنّما هو إذاعة سرّه </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حذيفة بن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شي‌ء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يذهبون إنّما عنى أن يزلّ </w:t>
      </w:r>
    </w:p>
    <w:p>
      <w:pPr>
        <w:pStyle w:val="BookText"/>
        <w:rPr/>
      </w:pPr>
      <w:r>
        <w:rPr>
          <w:rFonts w:ascii="Amiri" w:hAnsi="Amiri" w:eastAsia="Amiri" w:cs="Amiri"/>
          <w:color w:val="111111"/>
          <w:sz w:val="28"/>
          <w:sz w:val="28"/>
          <w:szCs w:val="28"/>
          <w:rtl w:val="true"/>
          <w:lang w:bidi="ar-SA"/>
        </w:rPr>
        <w:t xml:space="preserve">زلّة أو يتكلّم بشي‌ء يعاب عليه فيحفظ ليعيّر به يوما ما </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w:t>
      </w:r>
      <w:r>
        <w:rPr>
          <w:rStyle w:val="FootnoteAnchor"/>
          <w:rtl w:val="true"/>
        </w:rPr>
        <w:footnoteReference w:id="2444"/>
      </w:r>
      <w:r>
        <w:rPr>
          <w:rFonts w:ascii="Amiri" w:hAnsi="Amiri" w:eastAsia="Amiri" w:cs="Amiri"/>
          <w:color w:val="111111"/>
          <w:sz w:val="28"/>
          <w:sz w:val="28"/>
          <w:szCs w:val="28"/>
          <w:rtl w:val="true"/>
          <w:lang w:bidi="ar-SA"/>
        </w:rPr>
        <w:t xml:space="preserve">زيد الشحّام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 يكشف فترى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أن يروي عليه أو يعيبه </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منافاة لما قلناه ؛ لأنّها إنّما تضمّنت تفسير هذا اللفظ المعيّن أعني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عدم إرادة تحريم النظر من هذا اللفظ نفي التحريم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المراد بالعورة القبل والدبر ؛ للإجماع على كونهما عورة ، وعدم الدليل على ما زاد عليهما ، فينبغي وجوب ستره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الشيخ عن عليّ بن إسماعيل الميثمي 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الميثمي لا أعلمه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أو من رآه مجرّدا وعلى عورته 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الفخذ ليس من العورة </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يحيى الواسطي عن بعض أصحابه عن أبي الحسن الماضي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العورة عورتان القبل والدبر مستور بالأليتين فإذا سترت القضيب والبيضتين فقد سترت العورة </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1423" w:name="pg8731_78066"/>
    </w:p>
    <w:p>
      <w:pPr>
        <w:pStyle w:val="Heading6"/>
        <w:numPr>
          <w:ilvl w:val="5"/>
          <w:numId w:val="1"/>
        </w:numPr>
        <w:rPr/>
      </w:pPr>
      <w:bookmarkStart w:id="1424" w:name="__RefHeading___Toc3140903_653776707"/>
      <w:bookmarkStart w:id="1425" w:name="_Toc526"/>
      <w:bookmarkEnd w:id="1423"/>
      <w:bookmarkEnd w:id="1424"/>
      <w:r>
        <w:rPr>
          <w:rtl w:val="true"/>
        </w:rPr>
        <w:t xml:space="preserve">مسألة </w:t>
      </w:r>
      <w:r>
        <w:rPr>
          <w:rtl w:val="true"/>
        </w:rPr>
        <w:t>[</w:t>
      </w:r>
      <w:r>
        <w:rPr/>
        <w:t>2</w:t>
      </w:r>
      <w:r>
        <w:rPr>
          <w:rtl w:val="true"/>
        </w:rPr>
        <w:t>] :</w:t>
      </w:r>
      <w:bookmarkEnd w:id="1425"/>
    </w:p>
    <w:p>
      <w:pPr>
        <w:pStyle w:val="Heading6"/>
        <w:numPr>
          <w:ilvl w:val="5"/>
          <w:numId w:val="1"/>
        </w:numPr>
        <w:rPr/>
      </w:pPr>
      <w:bookmarkStart w:id="1426" w:name="__RefHeading___Toc3140905_653776707"/>
      <w:bookmarkStart w:id="1427" w:name="_Toc527"/>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والمشهور بين علمائنا أنّه يحرم استقبال القبلة واستدبارها بالبول أو الغائط في الصحاري والبنيان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الجنيد والشيخ 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الجنيد فقال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إذا أراد التغوّط في الصحراء أن يتجنّب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المفيد فقال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يستقبل القبلة ولا يستدبرها ولكن يجلس على استقبال المشرق إن شاء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الإنسان دارا قد بني فيها مقعد للغائط على استقبال القبلة أو استدبارها لم يضرّه ذلك وإنّما يكره ذلك في الصحاري والمواضع التي يمكن فيها الانحراف عن القبلة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سلّار فقال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وليجلس غير مستقبل القبلة ولا مستدبرها ، فإن كان في موضع قد بني على استقبالها أو استدبارها فلينحرف في قعوده هذا إذا كان في الصحاري والفلوات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ذلك في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وتجنّبه أفضل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في كلام الأصحاب اضطراب في نقل قول المفيد هنا ، فعزى إليه المحقّق في المعتبر القول بالتحريم في الصحاري والكراهة في البنيان بعد حكايته له عن سلّار ، وتبعه العلّامة في المنتهى والتذكرة والشهيد في </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2450"/>
      </w:r>
      <w:r>
        <w:rPr>
          <w:rFonts w:ascii="Amiri" w:hAnsi="Amiri" w:eastAsia="Amiri" w:cs="Amiri"/>
          <w:color w:val="111111"/>
          <w:sz w:val="28"/>
          <w:sz w:val="28"/>
          <w:szCs w:val="28"/>
          <w:rtl w:val="true"/>
          <w:lang w:bidi="ar-SA"/>
        </w:rPr>
        <w:t>، لكنّهما لم يذكرا الكراهة في البنيان ، وكأنّهم فهموا من كلام المفيد إرادة التحريم من لفظ الكراهة فإنّها تستعمل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على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المفيد لم يتعرّض للكراهة بمعناها المتعارف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سوّى بين الصحاري وبين ما يمكن فيه الانحراف من الأبنية فلا يستقيم إطلاقهم نسبة التفرقة بين الصحاري والبنيان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حكايته لعبارة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يعطي الكراهة في الصحاري والإباحة في البنيان </w:t>
      </w:r>
      <w:r>
        <w:rPr>
          <w:rFonts w:eastAsia="Amiri" w:cs="Amiri" w:ascii="Amiri" w:hAnsi="Amiri"/>
          <w:color w:val="111111"/>
          <w:sz w:val="28"/>
          <w:szCs w:val="28"/>
          <w:rtl w:val="true"/>
          <w:lang w:bidi="ar-SA"/>
        </w:rPr>
        <w:t xml:space="preserve">» </w:t>
      </w:r>
      <w:r>
        <w:rPr>
          <w:rStyle w:val="FootnoteAnchor"/>
          <w:rtl w:val="true"/>
        </w:rPr>
        <w:footnoteReference w:id="2451"/>
      </w:r>
      <w:r>
        <w:rPr>
          <w:rFonts w:ascii="Amiri" w:hAnsi="Amiri" w:eastAsia="Amiri" w:cs="Amiri"/>
          <w:color w:val="111111"/>
          <w:sz w:val="28"/>
          <w:sz w:val="28"/>
          <w:szCs w:val="28"/>
          <w:rtl w:val="true"/>
          <w:lang w:bidi="ar-SA"/>
        </w:rPr>
        <w:t>، فأجرى الكراهة على ظاهرها وعمّم الحكم بالإباحة في البنيان ، وقد عرفت أنّه مخصوص بما لا يمكن فيه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الذكرى موافقة المختلف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المفيد يكره في الصحاري لا في الأبنية </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القول بلفظ الكراهة وأطلق نفيها في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غرضه نقل صورة عبارته لا الحكم بإرادة المعنى المتعارف للكراهة منها ، لكن يبقى عليه إطلاق نفي الحكم في الأبنية ؛ لما علمت من تقييد المفيد له</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حجّة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الشيخ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عيسى بن عبد اللّه الهاشمي عن أبيه عن جدّه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 النبي صلى‌اللّه‌عليه‌وآله إذا دخلت المخرج فلا تستقبل القبلة ولا تستدبرها ولكن شرّقوا أو غرّبوا </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عمير عن عبد الحميد بن أبي العلاء أو غيره رفعه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الحسن بن عليّ ما حدّ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ولا تستدبرها </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إبراهيم رفعه إلى أبي الحسن موسى عليه‌السلام حين سأله أبو حنيفة وهو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أين يضع الغريب ببلدكم؟ فقال في جملة جوابه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يستقبل القبلة بغائط ولا بول </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القبلة محلّ التعظيم ، ولهذا وجب استقبالها في حال الصلاة فيناسب تحريم استقبالها بالحدث ، وإنّ في ذلك تعظيما لشعائر اللّه </w:t>
      </w:r>
      <w:r>
        <w:rPr>
          <w:rStyle w:val="FootnoteAnchor"/>
          <w:rtl w:val="true"/>
        </w:rPr>
        <w:footnoteReference w:id="2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الوجه الأخير الشهيد في الذكرى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الحجّة بأسرها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فلعدم صحّة شي‌ء من طرقها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الوجهان الآخران فحالهما واضح</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عليّ بن محبوب عن الهيثم بن أبي مسروق عن محمّد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الرضا عليه‌السلام </w:t>
      </w:r>
      <w:bookmarkStart w:id="1428" w:name="pg8731_78071"/>
    </w:p>
    <w:p>
      <w:pPr>
        <w:pStyle w:val="BookText"/>
        <w:rPr/>
      </w:pPr>
      <w:bookmarkEnd w:id="1428"/>
      <w:r>
        <w:rPr>
          <w:rFonts w:ascii="Amiri" w:hAnsi="Amiri" w:eastAsia="Amiri" w:cs="Amiri"/>
          <w:color w:val="111111"/>
          <w:sz w:val="28"/>
          <w:sz w:val="28"/>
          <w:szCs w:val="28"/>
          <w:rtl w:val="true"/>
          <w:lang w:bidi="ar-SA"/>
        </w:rPr>
        <w:t xml:space="preserve">وفي منزله كنيف مستقبل القبلة </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الفارق بين الصحاري والبنيان ، عول على هذا الخبر فخصّص به الأخبار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عزى الاحتجاج به إلى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بأنّه غير دالّ على أنّه عليه‌السلام كان يجلس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فجاز أن يكون قد انتقل إليه الملك على هذه الحال وكان ينحرف عند جلوسه </w:t>
      </w:r>
      <w:r>
        <w:rPr>
          <w:rStyle w:val="FootnoteAnchor"/>
          <w:rtl w:val="true"/>
        </w:rPr>
        <w:footnoteReference w:id="2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الكلام وجه لو كانت حجّة المشهور ناهضة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نظر ابن الجنيد في نفي التحريم مطلقا إلى التمسّك بالأصل وعدم ثبوت ما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 بالاستحباب إلى أنّ الأخبار المذكورة كافية في إثباته ؛ للتسامح في أدلّة السنن ، ولأنّ الاعتبارين اللذين ذكرهما العلّامة في المختلف يساعدانها عليه أيضا وهو حسن</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3140907_653776707"/>
      <w:bookmarkStart w:id="1430" w:name="_Toc528"/>
      <w:bookmarkEnd w:id="1429"/>
      <w:r>
        <w:rPr>
          <w:rtl w:val="true"/>
        </w:rPr>
        <w:t xml:space="preserve">فروع </w:t>
      </w:r>
      <w:r>
        <w:rPr>
          <w:rtl w:val="true"/>
        </w:rPr>
        <w:t>:</w:t>
      </w:r>
      <w:bookmarkEnd w:id="1430"/>
    </w:p>
    <w:p>
      <w:pPr>
        <w:pStyle w:val="Heading6"/>
        <w:numPr>
          <w:ilvl w:val="5"/>
          <w:numId w:val="1"/>
        </w:numPr>
        <w:rPr/>
      </w:pPr>
      <w:bookmarkStart w:id="1431" w:name="__RefHeading___Toc3140909_653776707"/>
      <w:bookmarkStart w:id="1432" w:name="_Toc529"/>
      <w:bookmarkEnd w:id="1431"/>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432"/>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في المعتبر عن الشيخ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الموضع مبنيّا على الاستقبال أو الاستدبار وأمكنه الانحراف وجب ، وإن لم يمكنه جلس عليه </w:t>
      </w:r>
      <w:r>
        <w:rPr>
          <w:rStyle w:val="FootnoteAnchor"/>
          <w:rtl w:val="true"/>
        </w:rPr>
        <w:footnoteReference w:id="2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مع عدم التمكّن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 xml:space="preserve">. </w:t>
      </w:r>
      <w:bookmarkStart w:id="1433" w:name="pg8731_78073"/>
    </w:p>
    <w:p>
      <w:pPr>
        <w:pStyle w:val="Heading6"/>
        <w:numPr>
          <w:ilvl w:val="5"/>
          <w:numId w:val="1"/>
        </w:numPr>
        <w:rPr/>
      </w:pPr>
      <w:bookmarkStart w:id="1434" w:name="__RefHeading___Toc3140911_653776707"/>
      <w:bookmarkStart w:id="1435" w:name="_Toc530"/>
      <w:bookmarkEnd w:id="1433"/>
      <w:bookmarkEnd w:id="1434"/>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435"/>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استقبال بيت المقدس ؛ لأنّه قد كان قبلة ولا يحرم للنسخ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الحكم بالكراهة نظر ؛ لفقد الدليل</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3140913_653776707"/>
      <w:bookmarkStart w:id="1437" w:name="_Toc531"/>
      <w:bookmarkEnd w:id="1436"/>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437"/>
    </w:p>
    <w:p>
      <w:pPr>
        <w:pStyle w:val="BookText"/>
        <w:rPr/>
      </w:pPr>
      <w:r>
        <w:rPr>
          <w:rFonts w:ascii="Amiri" w:hAnsi="Amiri" w:eastAsia="Amiri" w:cs="Amiri"/>
          <w:color w:val="111111"/>
          <w:sz w:val="28"/>
          <w:sz w:val="28"/>
          <w:szCs w:val="28"/>
          <w:rtl w:val="true"/>
          <w:lang w:bidi="ar-SA"/>
        </w:rPr>
        <w:t xml:space="preserve">احتمل العلّامة في النهاية اختصاص كراهة الاستدبار بالمدينة أو ما ساواها ؛ لأنّ من استدبر الكعبة بالمدينة استقبل بيت المقدس ؛ تعظيما لشأن بيت المقدس </w:t>
      </w:r>
      <w:r>
        <w:rPr>
          <w:rStyle w:val="FootnoteAnchor"/>
          <w:rtl w:val="true"/>
        </w:rPr>
        <w:footnoteReference w:id="2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لا أصل له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8" w:name="__RefHeading___Toc3140915_653776707"/>
      <w:bookmarkStart w:id="1439" w:name="_Toc532"/>
      <w:bookmarkEnd w:id="1438"/>
      <w:r>
        <w:rPr>
          <w:rtl w:val="true"/>
        </w:rPr>
        <w:t xml:space="preserve">مسألة </w:t>
      </w:r>
      <w:r>
        <w:rPr>
          <w:rtl w:val="true"/>
        </w:rPr>
        <w:t>[</w:t>
      </w:r>
      <w:r>
        <w:rPr/>
        <w:t>3</w:t>
      </w:r>
      <w:r>
        <w:rPr>
          <w:rtl w:val="true"/>
        </w:rPr>
        <w:t>] :</w:t>
      </w:r>
      <w:bookmarkEnd w:id="1439"/>
    </w:p>
    <w:p>
      <w:pPr>
        <w:pStyle w:val="BookText"/>
        <w:rPr/>
      </w:pPr>
      <w:r>
        <w:rPr>
          <w:rFonts w:ascii="Amiri" w:hAnsi="Amiri" w:eastAsia="Amiri" w:cs="Amiri"/>
          <w:color w:val="111111"/>
          <w:sz w:val="28"/>
          <w:sz w:val="28"/>
          <w:szCs w:val="28"/>
          <w:rtl w:val="true"/>
          <w:lang w:bidi="ar-SA"/>
        </w:rPr>
        <w:t>ويكره استقبال قرص الشمس والقمر بالفرج في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الشهيدان في الذكرى والروض كراهة استدبارهما أيضا ، وعلّلاه بالمساواة في الاحترام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وجزم العلّامة في النهاية بنفي كراهة الاستدبار </w:t>
      </w:r>
      <w:r>
        <w:rPr>
          <w:rStyle w:val="FootnoteAnchor"/>
          <w:rtl w:val="true"/>
        </w:rPr>
        <w:footnoteReference w:id="2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إنّه لا يستدبر الشمس ولا القمر ولا يستقبلهما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 xml:space="preserve">. </w:t>
      </w:r>
      <w:bookmarkStart w:id="1440" w:name="pg8731_78075"/>
    </w:p>
    <w:p>
      <w:pPr>
        <w:pStyle w:val="BookText"/>
        <w:rPr/>
      </w:pPr>
      <w:bookmarkEnd w:id="1440"/>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أن يستقبل بفرجه قرصي الشمس والقمر في بول ولا غائط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التحريم ، لكنّه غير معروف بين الأصحاب فلعلّ في الجواز المنفيّ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احتجّوا به للحكم من جهة النصّ خبران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عن جعفر عن أبيه عن آبائه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يستقبل الرجل الشمس والقمر بفرجه وهو يبول </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يحيى الكاهلي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يبولنّ أحدكم وفرجه باد للقمر فيستقبل به </w:t>
      </w:r>
      <w:r>
        <w:rPr>
          <w:rFonts w:eastAsia="Amiri" w:cs="Amiri" w:ascii="Amiri" w:hAnsi="Amiri"/>
          <w:color w:val="111111"/>
          <w:sz w:val="28"/>
          <w:szCs w:val="28"/>
          <w:rtl w:val="true"/>
          <w:lang w:bidi="ar-SA"/>
        </w:rPr>
        <w:t xml:space="preserve">»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في المنتهى إلى الخبرين التعليل باشتمالهما على نور من نور اللّه تعالى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ويحكى عن بعض الأصحاب توجيه الحكم بالكراهة في الغائط حيث لم يذكر في النصّ بأنّه أغلظ وهو كما ترى</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3140917_653776707"/>
      <w:bookmarkStart w:id="1442" w:name="_Toc533"/>
      <w:bookmarkEnd w:id="1441"/>
      <w:r>
        <w:rPr>
          <w:rtl w:val="true"/>
        </w:rPr>
        <w:t xml:space="preserve">مسألة </w:t>
      </w:r>
      <w:r>
        <w:rPr>
          <w:rtl w:val="true"/>
        </w:rPr>
        <w:t>[</w:t>
      </w:r>
      <w:r>
        <w:rPr/>
        <w:t>4</w:t>
      </w:r>
      <w:r>
        <w:rPr>
          <w:rtl w:val="true"/>
        </w:rPr>
        <w:t>] :</w:t>
      </w:r>
      <w:bookmarkEnd w:id="1442"/>
    </w:p>
    <w:p>
      <w:pPr>
        <w:pStyle w:val="BookText"/>
        <w:rPr/>
      </w:pPr>
      <w:r>
        <w:rPr>
          <w:rFonts w:ascii="Amiri" w:hAnsi="Amiri" w:eastAsia="Amiri" w:cs="Amiri"/>
          <w:color w:val="111111"/>
          <w:sz w:val="28"/>
          <w:sz w:val="28"/>
          <w:szCs w:val="28"/>
          <w:rtl w:val="true"/>
          <w:lang w:bidi="ar-SA"/>
        </w:rPr>
        <w:t>ويكره الجلوس للحدث في المشارع والشوارع وتحت الأشجار المثمرة وفي مواضع اللعن ومنازل النّزال</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 عن محمّد بن عبد الجبّار عن صفوان بن يحيى </w:t>
      </w:r>
    </w:p>
    <w:p>
      <w:pPr>
        <w:pStyle w:val="BookText"/>
        <w:rPr/>
      </w:pPr>
      <w:r>
        <w:rPr>
          <w:rFonts w:ascii="Amiri" w:hAnsi="Amiri" w:eastAsia="Amiri" w:cs="Amiri"/>
          <w:color w:val="111111"/>
          <w:sz w:val="28"/>
          <w:sz w:val="28"/>
          <w:szCs w:val="28"/>
          <w:rtl w:val="true"/>
          <w:lang w:bidi="ar-SA"/>
        </w:rPr>
        <w:t xml:space="preserve">عن عاصم بن حميد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يتوضّأ الغرباء؟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الأنهار والطرق النافذة وتحت الأشجار المثمرة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مواضع اللعن؟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الدور </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السكوني عن جعفر عن أبيه عن آبائه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يتغوّط على شفير بئر ماء يستعذب منها أو نهر يستعذب أو تحت شجرة فيها ثمرتها </w:t>
      </w:r>
      <w:r>
        <w:rPr>
          <w:rFonts w:eastAsia="Amiri" w:cs="Amiri" w:ascii="Amiri" w:hAnsi="Amiri"/>
          <w:color w:val="111111"/>
          <w:sz w:val="28"/>
          <w:szCs w:val="28"/>
          <w:rtl w:val="true"/>
          <w:lang w:bidi="ar-SA"/>
        </w:rPr>
        <w:t xml:space="preserve">»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رفعه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أبو حنيفة من عند أبي عبد اللّه عليه‌السلام وأبو الحسن موسى عليه‌السلام قائم وهو غلام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أين يضع الغريب ببلدكم؟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وشطوط الأنهار ومساقط الثمار ومنازل النّزال ، ولا تستقبل القبلة بغائط ولا بول وارفع ثوبك وضع حيث شئت </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الكرخي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المتغوّط في ظلّ النزال والمانع الماء المنتاب وسادّ الطريق المسلوك </w:t>
      </w:r>
      <w:r>
        <w:rPr>
          <w:rFonts w:eastAsia="Amiri" w:cs="Amiri" w:ascii="Amiri" w:hAnsi="Amiri"/>
          <w:color w:val="111111"/>
          <w:sz w:val="28"/>
          <w:szCs w:val="28"/>
          <w:rtl w:val="true"/>
          <w:lang w:bidi="ar-SA"/>
        </w:rPr>
        <w:t xml:space="preserve">»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الصدوق رحمه‌اللّه 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التغوّط في في‌ء النّزال وتحت الأشجار المثمرة </w:t>
      </w:r>
      <w:r>
        <w:rPr>
          <w:rFonts w:eastAsia="Amiri" w:cs="Amiri" w:ascii="Amiri" w:hAnsi="Amiri"/>
          <w:color w:val="111111"/>
          <w:sz w:val="28"/>
          <w:szCs w:val="28"/>
          <w:rtl w:val="true"/>
          <w:lang w:bidi="ar-SA"/>
        </w:rPr>
        <w:t xml:space="preserve">». </w:t>
      </w:r>
      <w:bookmarkStart w:id="1443" w:name="pg8731_78079"/>
    </w:p>
    <w:p>
      <w:pPr>
        <w:pStyle w:val="BookText"/>
        <w:rPr/>
      </w:pPr>
      <w:bookmarkEnd w:id="1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ذلك ما قال أبو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ملائكة وكلهم بنبات الأرض من الشجر والنخل ، فليس من شجرة ولا نخلة إلّا ومعها من اللّه عزوجل ملك يحفظها وما كان منها ، ولو لا أنّ معها من يمنعها لأكلتها السباع وهوامّ الأرض ، إذا كان فيها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نهى رسول اللّه صلى‌اللّه‌عليه‌وآله أن يضرب أحد من المسلمين خلاءه تحت شجرة أو نخلة قد أثمرت لمكان الملائكة الموكّلين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يكون الشجر والنخل أنسا إذا كان فيه حمله لأنّ الملائكة تحضره </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نفي الجواز هنا نظير ما ذكره المفيد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رواه في العلل مسندا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جهالة وهو كما ترى صريح في اختصاص الحكم بحال وجود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 السكوني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جماعة من المتأخّرين بعدم الفرق بين حالي وجود الثمرة وعدمها إذا كانت الشجرة ممّا شأنه أن يثمر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بعضهم بإطلاق الخبر وأنّ المشتقّ لا يشترط في صدقه بقاء المعنى المشتقّ منه ، وبأنّ ذلك موجب لبقاء النفرة من ثمرتها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 المقام مجال غير أنّ الأمر في مثله سهل</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3140919_653776707"/>
      <w:bookmarkStart w:id="1445" w:name="_Toc534"/>
      <w:bookmarkEnd w:id="1444"/>
      <w:r>
        <w:rPr>
          <w:rtl w:val="true"/>
        </w:rPr>
        <w:t xml:space="preserve">مسألة </w:t>
      </w:r>
      <w:r>
        <w:rPr>
          <w:rtl w:val="true"/>
        </w:rPr>
        <w:t>[</w:t>
      </w:r>
      <w:r>
        <w:rPr/>
        <w:t>5</w:t>
      </w:r>
      <w:r>
        <w:rPr>
          <w:rtl w:val="true"/>
        </w:rPr>
        <w:t>] :</w:t>
      </w:r>
      <w:bookmarkEnd w:id="1445"/>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في النهاية وبعض الأصحاب أنّه يكره أيضا الجلوس في أفنية </w:t>
      </w:r>
    </w:p>
    <w:p>
      <w:pPr>
        <w:pStyle w:val="BookText"/>
        <w:rPr/>
      </w:pPr>
      <w:r>
        <w:rPr>
          <w:rFonts w:ascii="Amiri" w:hAnsi="Amiri" w:eastAsia="Amiri" w:cs="Amiri"/>
          <w:color w:val="111111"/>
          <w:sz w:val="28"/>
          <w:sz w:val="28"/>
          <w:szCs w:val="28"/>
          <w:rtl w:val="true"/>
          <w:lang w:bidi="ar-SA"/>
        </w:rPr>
        <w:t xml:space="preserve">الدور ، وهي جمع فناء بكسر أوّله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الدار ما امتدّ من جوانبها </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المتّسع أمام الدار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جماعة من المتأخّرين بما قاله الجوهري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هنا حريم الدار خارج المملوك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من أين فهموا إرادة المعنى الذي ذكروه والحال أنّ كلامهم خال من بيان الدليل على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معرفة المراد يتوقّف على ملاحظة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الخبر المتضمّن لجواب أبي الحسن موسى عليه‌السلام لأبي حنيفة أمره باجتناب أفنية المساجد لا مطلق 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لاح من كلام بعض الأصحاب الاستناد في التعميم إلى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المراد من لفظ الفناء سواء كان عامّا أو خاصّا بالمساجد لا يخلو عن إشكال ؛ لأنّ العرف لا يقضي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اختلاف كلام أهل اللغة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جمع من الأصحاب أنّه يكره البول في حجرة الحيوان</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له بنهي النبيّ صلى‌اللّه‌عليه‌وآله عنه </w:t>
      </w:r>
      <w:r>
        <w:rPr>
          <w:rStyle w:val="FootnoteAnchor"/>
          <w:rtl w:val="true"/>
        </w:rPr>
        <w:footnoteReference w:id="2482"/>
      </w:r>
      <w:r>
        <w:rPr>
          <w:rFonts w:ascii="Amiri" w:hAnsi="Amiri" w:eastAsia="Amiri" w:cs="Amiri"/>
          <w:color w:val="111111"/>
          <w:sz w:val="28"/>
          <w:sz w:val="28"/>
          <w:szCs w:val="28"/>
          <w:rtl w:val="true"/>
          <w:lang w:bidi="ar-SA"/>
        </w:rPr>
        <w:t>، وبأنّه لا يؤمن خروج حيوان يلسعه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مساكن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الذكرى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سعد بن عبادة بال في حجرة بالشام فاستلقى ميّتا فسمعت الجنّ تنوح عليه بالمدينة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سيّد الخزرج سعد بن عبادة</w:t>
      </w:r>
    </w:p>
    <w:p>
      <w:pPr>
        <w:pStyle w:val="BookText"/>
        <w:rPr/>
      </w:pPr>
      <w:r>
        <w:rPr>
          <w:rFonts w:ascii="Amiri" w:hAnsi="Amiri" w:eastAsia="Amiri" w:cs="Amiri"/>
          <w:color w:val="111111"/>
          <w:sz w:val="28"/>
          <w:sz w:val="28"/>
          <w:szCs w:val="28"/>
          <w:rtl w:val="true"/>
          <w:lang w:bidi="ar-SA"/>
        </w:rPr>
        <w:t xml:space="preserve">ورميناه بسهمين فلم نخط فؤاده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ويكره البول في الأرض الصلبة وقائما ومطمّحا ومستقبلا للريح ؛ لأنّ ذلك كلّه بمظنّة عود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بالنظر إلى الصلبة ما سيأتي في استحباب ارتياد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القيام ما رواه الصدوق في من لا يحضره الفقيه مرسلا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قائما من غير علّة من الجفاء </w:t>
      </w:r>
      <w:r>
        <w:rPr>
          <w:rFonts w:eastAsia="Amiri" w:cs="Amiri" w:ascii="Amiri" w:hAnsi="Amiri"/>
          <w:color w:val="111111"/>
          <w:sz w:val="28"/>
          <w:szCs w:val="28"/>
          <w:rtl w:val="true"/>
          <w:lang w:bidi="ar-SA"/>
        </w:rPr>
        <w:t xml:space="preserve">»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أبو جعفر الكليني عن محمّد بن مسلم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تخلّى على قبر أو بال قائما أو بال في ماء قائم وعدّ أشياء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شي‌ء من الشيطان لم يدعه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الحسن عن ابن أبي عمير عن رجل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يطلي فيبول وهو 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فنخصّ كراهة القيام بغير حالة الإطلاق</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بالنظر إلى التطميح فما رواه الصدوق أيضا عن النبيّ صلى‌اللّه‌عليه‌وآله مرسلا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يطمّح الرجل ببوله في الهواء من السطح ومن الشي‌ء المرتفع </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مسمع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أو ينهى الرجل أن يطمّح ببوله من السطح في الهواء </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استقبال الريح فاستشهد له جمع من الأصحاب بما رواه الشيخ عن عبد الحميد بن أبي العلاء وغيره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الحسن بن علي عليهما‌السلام ما حدّ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ولا تستدبرها ، ولا تستقبل الريح ولا تستدبرها </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لا تعرّض فيها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لذلك جماعة منهم الشهيد فأطلق في أكثر كتبه كراهة استقبال الريح حال التخلّي محتجّا بالرواية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الأصحاب في تقريب الاحتجاج بها على الوجه الذي ذكره الشهيد أنّ الغائط فيها كناية عن التخلّي ، 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تضمّنت الاستدبار أيضا ولم يذكر أكثر الأصحاب كراهته نظرا إلى أنّ التعليل بمخافة العود غير آت فيه</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الرواية لا تعلّق لها بالتعليل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بتقدير العمل بها عدم </w:t>
      </w:r>
      <w:bookmarkStart w:id="1446" w:name="pg8731_78087"/>
    </w:p>
    <w:p>
      <w:pPr>
        <w:pStyle w:val="BookText"/>
        <w:rPr/>
      </w:pPr>
      <w:bookmarkEnd w:id="1446"/>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الشهيد في الذكرى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بالنهي عن الاستدبار حالة خوف الردّ إليه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7" w:name="__RefHeading___Toc3140921_653776707"/>
      <w:bookmarkStart w:id="1448" w:name="_Toc535"/>
      <w:bookmarkEnd w:id="1447"/>
      <w:r>
        <w:rPr>
          <w:rtl w:val="true"/>
        </w:rPr>
        <w:t xml:space="preserve">مسألة </w:t>
      </w:r>
      <w:r>
        <w:rPr>
          <w:rtl w:val="true"/>
        </w:rPr>
        <w:t>[</w:t>
      </w:r>
      <w:r>
        <w:rPr/>
        <w:t>6</w:t>
      </w:r>
      <w:r>
        <w:rPr>
          <w:rtl w:val="true"/>
        </w:rPr>
        <w:t>] :</w:t>
      </w:r>
      <w:bookmarkEnd w:id="1448"/>
    </w:p>
    <w:p>
      <w:pPr>
        <w:pStyle w:val="Heading6"/>
        <w:numPr>
          <w:ilvl w:val="5"/>
          <w:numId w:val="1"/>
        </w:numPr>
        <w:rPr/>
      </w:pPr>
      <w:bookmarkStart w:id="1449" w:name="__RefHeading___Toc3140923_653776707"/>
      <w:bookmarkStart w:id="1450" w:name="_Toc536"/>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 xml:space="preserve">ويكره البول في الماء جاريا كان أو راكدا على المشهور بين الأصحاب ، لكنّها </w:t>
      </w:r>
      <w:r>
        <w:rPr>
          <w:rStyle w:val="FootnoteAnchor"/>
          <w:rtl w:val="true"/>
        </w:rPr>
        <w:footnoteReference w:id="2494"/>
      </w:r>
      <w:r>
        <w:rPr>
          <w:rFonts w:ascii="Amiri" w:hAnsi="Amiri" w:eastAsia="Amiri" w:cs="Amiri"/>
          <w:color w:val="111111"/>
          <w:sz w:val="28"/>
          <w:sz w:val="28"/>
          <w:szCs w:val="28"/>
          <w:rtl w:val="true"/>
          <w:lang w:bidi="ar-SA"/>
        </w:rPr>
        <w:t>في الراكد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له بما رواه الشيخ في الصحيح عن ربعي عن الفضيل بن يسار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يبول الرجل في الماء الجاري وكره أن يبول في الماء الراكد </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مسمع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نهي أن يبول الرجل في الماء الجاري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أهلا </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الروايتين ؛ لأنّ الجواز لا ينافي الكراهيّة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الشيخ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كراهة </w:t>
      </w:r>
      <w:r>
        <w:rPr>
          <w:rStyle w:val="FootnoteAnchor"/>
          <w:rtl w:val="true"/>
        </w:rPr>
        <w:footnoteReference w:id="2498"/>
      </w:r>
      <w:r>
        <w:rPr>
          <w:rFonts w:ascii="Amiri" w:hAnsi="Amiri" w:eastAsia="Amiri" w:cs="Amiri"/>
          <w:color w:val="111111"/>
          <w:sz w:val="28"/>
          <w:sz w:val="28"/>
          <w:szCs w:val="28"/>
          <w:rtl w:val="true"/>
          <w:lang w:bidi="ar-SA"/>
        </w:rPr>
        <w:t xml:space="preserve">البول في الماء الجاري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 في ماء 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يبول في ماء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نفي البأس عن البول في الجاري في حديثين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الجميع نفي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مسمع لا يصلح للمعارضة ؛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ضعيف أيضا مرسل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الرجل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يتخوّف عليه من الشيطان </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العلل بإسناد صحيح عن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تبل في ماء نقيع فإنّه من فعل ذلك فأصابه شي‌ء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سبق في صحيح محمّد بن مسلم المتضمّن لكراهة البول قائما </w:t>
      </w:r>
      <w:r>
        <w:rPr>
          <w:rStyle w:val="FootnoteAnchor"/>
          <w:rtl w:val="true"/>
        </w:rPr>
        <w:footnoteReference w:id="2501"/>
      </w:r>
      <w:r>
        <w:rPr>
          <w:rFonts w:ascii="Amiri" w:hAnsi="Amiri" w:eastAsia="Amiri" w:cs="Amiri"/>
          <w:color w:val="111111"/>
          <w:sz w:val="28"/>
          <w:sz w:val="28"/>
          <w:szCs w:val="28"/>
          <w:rtl w:val="true"/>
          <w:lang w:bidi="ar-SA"/>
        </w:rPr>
        <w:t>فإنّه ذكر فيه البول في الماء ، وقيّده بالقائم كما قيّده في هذا الخبر بالنقيع</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الحكم هنا معلّق بالبول كما رأيت ، وكلام الأصحاب في ذلك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اقتصر على مضمون الأخبار فلم يذكر غير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سوّى بينه وبين الغائط في الحكم من غير تعرّض لبيان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الشهيد في الذكرى وبعض المتأخّرين بأنّ ثبوت الكراهة في البول يقتضي </w:t>
      </w:r>
      <w:bookmarkStart w:id="1451" w:name="pg8731_78091"/>
    </w:p>
    <w:p>
      <w:pPr>
        <w:pStyle w:val="BookText"/>
        <w:rPr/>
      </w:pPr>
      <w:bookmarkEnd w:id="1451"/>
      <w:r>
        <w:rPr>
          <w:rFonts w:ascii="Amiri" w:hAnsi="Amiri" w:eastAsia="Amiri" w:cs="Amiri"/>
          <w:color w:val="111111"/>
          <w:sz w:val="28"/>
          <w:sz w:val="28"/>
          <w:szCs w:val="28"/>
          <w:rtl w:val="true"/>
          <w:lang w:bidi="ar-SA"/>
        </w:rPr>
        <w:t>ثبوتها في الغائط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2" w:name="__RefHeading___Toc3140925_653776707"/>
      <w:bookmarkStart w:id="1453" w:name="_Toc537"/>
      <w:bookmarkEnd w:id="1452"/>
      <w:r>
        <w:rPr>
          <w:rtl w:val="true"/>
        </w:rPr>
        <w:t xml:space="preserve">فرع </w:t>
      </w:r>
      <w:r>
        <w:rPr>
          <w:rtl w:val="true"/>
        </w:rPr>
        <w:t>:</w:t>
      </w:r>
      <w:bookmarkEnd w:id="1453"/>
    </w:p>
    <w:p>
      <w:pPr>
        <w:pStyle w:val="BookText"/>
        <w:rPr/>
      </w:pP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المعدّ في بيوت الخلاء لأخذ النجاسة واكتنافها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في الشام وما يجري مجراها من البلاد الكثيرة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بعدم كراهة قضاء الحاجة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دليل الكراهة في الجاري غير ناهض فلا بأس بهذا الاستثناء ، وإلّا فمع ثبوت أصل الحكم وعمومه يحتاج التخصيص إلى دليل</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140927_653776707"/>
      <w:bookmarkStart w:id="1455" w:name="_Toc538"/>
      <w:bookmarkEnd w:id="1454"/>
      <w:r>
        <w:rPr>
          <w:rtl w:val="true"/>
        </w:rPr>
        <w:t xml:space="preserve">مسألة </w:t>
      </w:r>
      <w:r>
        <w:rPr>
          <w:rtl w:val="true"/>
        </w:rPr>
        <w:t>[</w:t>
      </w:r>
      <w:r>
        <w:rPr/>
        <w:t>7</w:t>
      </w:r>
      <w:r>
        <w:rPr>
          <w:rtl w:val="true"/>
        </w:rPr>
        <w:t>] :</w:t>
      </w:r>
      <w:bookmarkEnd w:id="1455"/>
    </w:p>
    <w:p>
      <w:pPr>
        <w:pStyle w:val="BookText"/>
        <w:rPr/>
      </w:pPr>
      <w:r>
        <w:rPr>
          <w:rFonts w:ascii="Amiri" w:hAnsi="Amiri" w:eastAsia="Amiri" w:cs="Amiri"/>
          <w:color w:val="111111"/>
          <w:sz w:val="28"/>
          <w:sz w:val="28"/>
          <w:szCs w:val="28"/>
          <w:rtl w:val="true"/>
          <w:lang w:bidi="ar-SA"/>
        </w:rPr>
        <w:t>ويستحبّ لمن أراد التخلّي أن يطلب موضعا يستر فيه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العلّامة بأنّه أنسب للاحتشام ، وبأنّ فيه تأسّيا بالنبيّ صلى‌اللّه‌عليه‌وآله فروي عن جابر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رسول اللّه صلى‌اللّه‌عليه‌وآله في سفر فإذا هو بشجرتين بينهما أربعة أذرع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انطلق إلى هذه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ألحقي بصاحبتك حتّى أجلس خلفكما فجلس النبيّ صلى‌اللّه‌عليه‌وآله خلفهما ثمّ رجعتا إلى مكانهما </w:t>
      </w:r>
      <w:r>
        <w:rPr>
          <w:rFonts w:eastAsia="Amiri" w:cs="Amiri" w:ascii="Amiri" w:hAnsi="Amiri"/>
          <w:color w:val="111111"/>
          <w:sz w:val="28"/>
          <w:szCs w:val="28"/>
          <w:rtl w:val="true"/>
          <w:lang w:bidi="ar-SA"/>
        </w:rPr>
        <w:t xml:space="preserve">»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6" w:name="__RefHeading___Toc3140929_653776707"/>
      <w:bookmarkStart w:id="1457" w:name="_Toc539"/>
      <w:bookmarkEnd w:id="1456"/>
      <w:r>
        <w:rPr>
          <w:rtl w:val="true"/>
        </w:rPr>
        <w:t xml:space="preserve">مسألة </w:t>
      </w:r>
      <w:r>
        <w:rPr>
          <w:rtl w:val="true"/>
        </w:rPr>
        <w:t>[</w:t>
      </w:r>
      <w:r>
        <w:rPr/>
        <w:t>8</w:t>
      </w:r>
      <w:r>
        <w:rPr>
          <w:rtl w:val="true"/>
        </w:rPr>
        <w:t>] :</w:t>
      </w:r>
      <w:bookmarkEnd w:id="1457"/>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استحباب ارتياد الموضع المناسب</w:t>
      </w:r>
      <w:r>
        <w:rPr>
          <w:rFonts w:eastAsia="Amiri" w:cs="Amiri" w:ascii="Amiri" w:hAnsi="Amiri"/>
          <w:color w:val="111111"/>
          <w:sz w:val="28"/>
          <w:szCs w:val="28"/>
          <w:rtl w:val="true"/>
          <w:lang w:bidi="ar-SA"/>
        </w:rPr>
        <w:t xml:space="preserve">. </w:t>
      </w:r>
      <w:bookmarkStart w:id="1458" w:name="pg8731_78093"/>
    </w:p>
    <w:p>
      <w:pPr>
        <w:pStyle w:val="BookText"/>
        <w:rPr/>
      </w:pPr>
      <w:bookmarkEnd w:id="1458"/>
      <w:r>
        <w:rPr>
          <w:rFonts w:ascii="Amiri" w:hAnsi="Amiri" w:eastAsia="Amiri" w:cs="Amiri"/>
          <w:color w:val="111111"/>
          <w:sz w:val="28"/>
          <w:sz w:val="28"/>
          <w:szCs w:val="28"/>
          <w:rtl w:val="true"/>
          <w:lang w:bidi="ar-SA"/>
        </w:rPr>
        <w:t xml:space="preserve">والاعتبار يشهد له ، مضافا إلى ما رواه الشيخ في الصحيح عن عليّ بن إسماعيل عن صفوان عن عبد اللّه بن مسكان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أشدّ الناس توقّيا عن البول ، كان إذا أراد البول يعمد إلى مكان مرتفع من الأرض أو إلى مكان من الأمكنة يكون فيه التراب الكثير كراهيّة أن ينضح عليه البول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سليمان الجعفري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 مع الرضا عليه‌السلام في سفح فلمّا كان آخر الليل قام فتنحّى وصار على موضع مرتفع فبال وتوضّأ </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فقه الرجل أن يرتاد لموضع بوله وبسط سراويله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عليه وصلّى صلاة الليل </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9" w:name="__RefHeading___Toc3140931_653776707"/>
      <w:bookmarkStart w:id="1460" w:name="_Toc540"/>
      <w:bookmarkEnd w:id="1459"/>
      <w:r>
        <w:rPr>
          <w:rtl w:val="true"/>
        </w:rPr>
        <w:t xml:space="preserve">مسألة </w:t>
      </w:r>
      <w:r>
        <w:rPr>
          <w:rtl w:val="true"/>
        </w:rPr>
        <w:t>[</w:t>
      </w:r>
      <w:r>
        <w:rPr/>
        <w:t>9</w:t>
      </w:r>
      <w:r>
        <w:rPr>
          <w:rtl w:val="true"/>
        </w:rPr>
        <w:t>] :</w:t>
      </w:r>
      <w:bookmarkEnd w:id="1460"/>
    </w:p>
    <w:p>
      <w:pPr>
        <w:pStyle w:val="BookText"/>
        <w:rPr/>
      </w:pPr>
      <w:r>
        <w:rPr>
          <w:rFonts w:ascii="Amiri" w:hAnsi="Amiri" w:eastAsia="Amiri" w:cs="Amiri"/>
          <w:color w:val="111111"/>
          <w:sz w:val="28"/>
          <w:sz w:val="28"/>
          <w:szCs w:val="28"/>
          <w:rtl w:val="true"/>
          <w:lang w:bidi="ar-SA"/>
        </w:rPr>
        <w:t>والمشهور بين الأصحاب استحباب تغطية الرأس عند دخول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اتّفاق الأصحاب </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الرواية الواردة بذلك وهي رواية أحمد بن أبي عبد اللّه عن عليّ بن أسباط أو رجل عنه عمّن رواه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إذا دخل الكنيف يقنّع رأسه </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المحقّق بعد هذا إلى قصور الرواية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bookmarkStart w:id="1461" w:name="pg8731_78095"/>
    </w:p>
    <w:p>
      <w:pPr>
        <w:pStyle w:val="BookText"/>
        <w:rPr/>
      </w:pPr>
      <w:bookmarkEnd w:id="1461"/>
      <w:r>
        <w:rPr>
          <w:rFonts w:ascii="Amiri" w:hAnsi="Amiri" w:eastAsia="Amiri" w:cs="Amiri"/>
          <w:color w:val="111111"/>
          <w:sz w:val="28"/>
          <w:sz w:val="28"/>
          <w:szCs w:val="28"/>
          <w:rtl w:val="true"/>
          <w:lang w:bidi="ar-SA"/>
        </w:rPr>
        <w:t>أنّه يأمن مع تغطية رأسه من وصول الرائحة إلى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المفيد رحمه‌اللّه أنّها من سنن النبيّ عليه‌السلام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حكاه عن المفيد مذكور في المقنعة مع عدّ وجوه اخر علّل بها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وليغطّ رأسه إن كان مكشوفا ليأمن بذلك من عبث الشيطان ومن وصول الرائحة الخبيثة إلى دماغه وهو سنّة من سنن النبيّ صلى‌اللّه‌عليه‌وآله ، وفيه إظهار الحياء من اللّه تعالى لكثرة نعمه على العبد ، وقلّة الشكر منه </w:t>
      </w:r>
      <w:r>
        <w:rPr>
          <w:rFonts w:eastAsia="Amiri" w:cs="Amiri" w:ascii="Amiri" w:hAnsi="Amiri"/>
          <w:color w:val="111111"/>
          <w:sz w:val="28"/>
          <w:szCs w:val="28"/>
          <w:rtl w:val="true"/>
          <w:lang w:bidi="ar-SA"/>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إذا دخل الخلاء أن يغطّي رأسه إقرارا بأنّه غير مبرّئ نفسه من العيوب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2" w:name="__RefHeading___Toc3140933_653776707"/>
      <w:bookmarkStart w:id="1463" w:name="_Toc541"/>
      <w:bookmarkEnd w:id="1462"/>
      <w:r>
        <w:rPr>
          <w:rtl w:val="true"/>
        </w:rPr>
        <w:t xml:space="preserve">مسألة </w:t>
      </w:r>
      <w:r>
        <w:rPr>
          <w:rtl w:val="true"/>
        </w:rPr>
        <w:t>[</w:t>
      </w:r>
      <w:r>
        <w:rPr/>
        <w:t>10</w:t>
      </w:r>
      <w:r>
        <w:rPr>
          <w:rtl w:val="true"/>
        </w:rPr>
        <w:t>] :</w:t>
      </w:r>
      <w:bookmarkEnd w:id="1463"/>
    </w:p>
    <w:p>
      <w:pPr>
        <w:pStyle w:val="BookText"/>
        <w:rPr/>
      </w:pPr>
      <w:r>
        <w:rPr>
          <w:rFonts w:ascii="Amiri" w:hAnsi="Amiri" w:eastAsia="Amiri" w:cs="Amiri"/>
          <w:color w:val="111111"/>
          <w:sz w:val="28"/>
          <w:sz w:val="28"/>
          <w:szCs w:val="28"/>
          <w:rtl w:val="true"/>
          <w:lang w:bidi="ar-SA"/>
        </w:rPr>
        <w:t>ويستحبّ تقديم الرجل اليسرى في الدخول واليمنى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الصدوقان والشيخان وتبعهما سائر الأصحاب </w:t>
      </w:r>
      <w:r>
        <w:rPr>
          <w:rStyle w:val="FootnoteAnchor"/>
          <w:rtl w:val="true"/>
        </w:rPr>
        <w:footnoteReference w:id="2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الصدوق والشيخ بالفرق بين دخول الخلاء ودخول المسجد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بهذا حجّة ، غير أنّ ما ذكره الشيخ وجماعة من الأصحاب حسن </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بذلك اعتبار التفرقة بينه وبين المسجد</w:t>
      </w:r>
      <w:r>
        <w:rPr>
          <w:rFonts w:eastAsia="Amiri" w:cs="Amiri" w:ascii="Amiri" w:hAnsi="Amiri"/>
          <w:color w:val="111111"/>
          <w:sz w:val="28"/>
          <w:szCs w:val="28"/>
          <w:rtl w:val="true"/>
          <w:lang w:bidi="ar-SA"/>
        </w:rPr>
        <w:t xml:space="preserve">. </w:t>
      </w:r>
      <w:bookmarkStart w:id="1464" w:name="pg8731_78097"/>
    </w:p>
    <w:p>
      <w:pPr>
        <w:pStyle w:val="BookText"/>
        <w:rPr/>
      </w:pPr>
      <w:bookmarkEnd w:id="1464"/>
      <w:r>
        <w:rPr>
          <w:rFonts w:ascii="Amiri" w:hAnsi="Amiri" w:eastAsia="Amiri" w:cs="Amiri"/>
          <w:color w:val="111111"/>
          <w:sz w:val="28"/>
          <w:sz w:val="28"/>
          <w:szCs w:val="28"/>
          <w:rtl w:val="true"/>
          <w:lang w:bidi="ar-SA"/>
        </w:rPr>
        <w:t>إذا تقرّر هذا فاعلم أنّه يلوح من بعض المتأخّرين القول باختصاص هذا الحكم بالبنيان نظرا إلى مسمّى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لا يصدق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الاختصاص بالبنيان فيقدّم اليسرى إذا بلغ موضع جلوسه في الصحراء وإذا فرغ قدّم اليمنى </w:t>
      </w:r>
      <w:r>
        <w:rPr>
          <w:rStyle w:val="FootnoteAnchor"/>
          <w:rtl w:val="true"/>
        </w:rPr>
        <w:footnoteReference w:id="2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والدي رحمه‌اللّه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 عدم اختصاصه بالبنيان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الترجيح هنا موقوف على اعتبار المأخذ فإن كان هو التوجيه الذي حكيناه فلا بأس بعدم الاختصاص</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3140935_653776707"/>
      <w:bookmarkStart w:id="1466" w:name="_Toc542"/>
      <w:bookmarkEnd w:id="1465"/>
      <w:r>
        <w:rPr>
          <w:rtl w:val="true"/>
        </w:rPr>
        <w:t xml:space="preserve">مسألة </w:t>
      </w:r>
      <w:r>
        <w:rPr>
          <w:rtl w:val="true"/>
        </w:rPr>
        <w:t>[</w:t>
      </w:r>
      <w:r>
        <w:rPr/>
        <w:t>11</w:t>
      </w:r>
      <w:r>
        <w:rPr>
          <w:rtl w:val="true"/>
        </w:rPr>
        <w:t>] :</w:t>
      </w:r>
      <w:bookmarkEnd w:id="1466"/>
    </w:p>
    <w:p>
      <w:pPr>
        <w:pStyle w:val="BookText"/>
        <w:rPr/>
      </w:pPr>
      <w:r>
        <w:rPr>
          <w:rFonts w:ascii="Amiri" w:hAnsi="Amiri" w:eastAsia="Amiri" w:cs="Amiri"/>
          <w:color w:val="111111"/>
          <w:sz w:val="28"/>
          <w:sz w:val="28"/>
          <w:szCs w:val="28"/>
          <w:rtl w:val="true"/>
          <w:lang w:bidi="ar-SA"/>
        </w:rPr>
        <w:t xml:space="preserve">ويستحبّ التسمية عند الدخول والدعاء في المشهور بين الأصحاب لما رواه الكليني في الحسن عن محمّد بن عيسى عن يونس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إنّي أعوذ بك من الخبيث المخبّث الرجس النجس الشيطان الرجيم </w:t>
      </w:r>
      <w:r>
        <w:rPr>
          <w:rFonts w:eastAsia="Amiri" w:cs="Amiri" w:ascii="Amiri" w:hAnsi="Amiri"/>
          <w:color w:val="111111"/>
          <w:sz w:val="28"/>
          <w:szCs w:val="28"/>
          <w:rtl w:val="true"/>
          <w:lang w:bidi="ar-SA"/>
        </w:rPr>
        <w:t xml:space="preserve">»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عليّ بن محبوب عن محمّد بن الحسين عن الحسن بن عليّ عن أبيه عن آبائه عن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انكشف أحدكم لبول أو غير ذلك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bookmarkStart w:id="1467" w:name="pg8731_78099"/>
    </w:p>
    <w:p>
      <w:pPr>
        <w:pStyle w:val="BookText"/>
        <w:rPr/>
      </w:pPr>
      <w:bookmarkEnd w:id="1467"/>
      <w:r>
        <w:rPr>
          <w:rFonts w:ascii="Amiri" w:hAnsi="Amiri" w:eastAsia="Amiri" w:cs="Amiri"/>
          <w:color w:val="111111"/>
          <w:sz w:val="28"/>
          <w:sz w:val="28"/>
          <w:szCs w:val="28"/>
          <w:rtl w:val="true"/>
          <w:lang w:bidi="ar-SA"/>
        </w:rPr>
        <w:t xml:space="preserve">وروى عن أبي بصير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الغائط فقل أعوذ باللّه من الرجس النجس الخبيث المخبّث الشيطان الرجيم </w:t>
      </w:r>
      <w:r>
        <w:rPr>
          <w:rFonts w:eastAsia="Amiri" w:cs="Amiri" w:ascii="Amiri" w:hAnsi="Amiri"/>
          <w:color w:val="111111"/>
          <w:sz w:val="28"/>
          <w:szCs w:val="28"/>
          <w:rtl w:val="true"/>
          <w:lang w:bidi="ar-SA"/>
        </w:rPr>
        <w:t xml:space="preserve">»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من لا يحضره الفقيه مرسلا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أراد دخول المتوضّأ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الرجس النجس الخبيث المخبّث الشيطان الرجيم اللّهم أمط عنّي الأذى وأعذني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دخل الخلاء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الحافظ المؤدّي </w:t>
      </w:r>
      <w:r>
        <w:rPr>
          <w:rFonts w:eastAsia="Amiri" w:cs="Amiri" w:ascii="Amiri" w:hAnsi="Amiri"/>
          <w:color w:val="111111"/>
          <w:sz w:val="28"/>
          <w:szCs w:val="28"/>
          <w:rtl w:val="true"/>
          <w:lang w:bidi="ar-SA"/>
        </w:rPr>
        <w:t xml:space="preserve">»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دخله يقنّع رأسه ويقول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ولا إله إلّا اللّه ربّ أخرج منّي الأذى سرحا بغير حساب واجعلني لك من الشاكرين فيما تصرفه عنّي من الأذى والغمّ الذي لو حبسته عنّي هلكت ، لك الحمد ، اعصمني من شرّ ما في هذه البقعة وأخرجني منها سالما وحل بيني وبين طاعة الشيطان الرجيم </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8" w:name="__RefHeading___Toc3140937_653776707"/>
      <w:bookmarkStart w:id="1469" w:name="_Toc543"/>
      <w:bookmarkEnd w:id="1468"/>
      <w:r>
        <w:rPr>
          <w:rtl w:val="true"/>
        </w:rPr>
        <w:t xml:space="preserve">مسألة </w:t>
      </w:r>
      <w:r>
        <w:rPr>
          <w:rtl w:val="true"/>
        </w:rPr>
        <w:t>[</w:t>
      </w:r>
      <w:r>
        <w:rPr/>
        <w:t>12</w:t>
      </w:r>
      <w:r>
        <w:rPr>
          <w:rtl w:val="true"/>
        </w:rPr>
        <w:t>] :</w:t>
      </w:r>
      <w:bookmarkEnd w:id="1469"/>
    </w:p>
    <w:p>
      <w:pPr>
        <w:pStyle w:val="BookText"/>
        <w:rPr/>
      </w:pPr>
      <w:r>
        <w:rPr>
          <w:rFonts w:ascii="Amiri" w:hAnsi="Amiri" w:eastAsia="Amiri" w:cs="Amiri"/>
          <w:color w:val="111111"/>
          <w:sz w:val="28"/>
          <w:sz w:val="28"/>
          <w:szCs w:val="28"/>
          <w:rtl w:val="true"/>
          <w:lang w:bidi="ar-SA"/>
        </w:rPr>
        <w:t>ويستحبّ تأخير كشف العورة حتّى تدنو الأرض والاعتماد في الجلوس على الرجل اليسرى</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مسّ الذكر باليد اليمنى حال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جماعة من الأصحاب</w:t>
      </w:r>
      <w:r>
        <w:rPr>
          <w:rFonts w:eastAsia="Amiri" w:cs="Amiri" w:ascii="Amiri" w:hAnsi="Amiri"/>
          <w:color w:val="111111"/>
          <w:sz w:val="28"/>
          <w:szCs w:val="28"/>
          <w:rtl w:val="true"/>
          <w:lang w:bidi="ar-SA"/>
        </w:rPr>
        <w:t xml:space="preserve">. </w:t>
      </w:r>
      <w:bookmarkStart w:id="1470" w:name="pg8731_78101"/>
    </w:p>
    <w:p>
      <w:pPr>
        <w:pStyle w:val="BookText"/>
        <w:rPr/>
      </w:pPr>
      <w:bookmarkEnd w:id="1470"/>
      <w:r>
        <w:rPr>
          <w:rFonts w:ascii="Amiri" w:hAnsi="Amiri" w:eastAsia="Amiri" w:cs="Amiri"/>
          <w:color w:val="111111"/>
          <w:sz w:val="28"/>
          <w:sz w:val="28"/>
          <w:szCs w:val="28"/>
          <w:rtl w:val="true"/>
          <w:lang w:bidi="ar-SA"/>
        </w:rPr>
        <w:t>واحتجّوا للأوّل بفعل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بتعليم النبيّ صلى‌اللّه‌عليه‌وآله أصحابه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بما رواه الصدوق في من لا يحضره الفقيه عن أبي جعفر عليه‌السلام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فلا يمسّ ذكره بيمينه </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1" w:name="__RefHeading___Toc3140939_653776707"/>
      <w:bookmarkStart w:id="1472" w:name="_Toc544"/>
      <w:bookmarkEnd w:id="1471"/>
      <w:r>
        <w:rPr>
          <w:rtl w:val="true"/>
        </w:rPr>
        <w:t xml:space="preserve">مسألة </w:t>
      </w:r>
      <w:r>
        <w:rPr>
          <w:rtl w:val="true"/>
        </w:rPr>
        <w:t>[</w:t>
      </w:r>
      <w:r>
        <w:rPr/>
        <w:t>13</w:t>
      </w:r>
      <w:r>
        <w:rPr>
          <w:rtl w:val="true"/>
        </w:rPr>
        <w:t>] :</w:t>
      </w:r>
      <w:bookmarkEnd w:id="1472"/>
    </w:p>
    <w:p>
      <w:pPr>
        <w:pStyle w:val="BookText"/>
        <w:rPr/>
      </w:pPr>
      <w:r>
        <w:rPr>
          <w:rFonts w:ascii="Amiri" w:hAnsi="Amiri" w:eastAsia="Amiri" w:cs="Amiri"/>
          <w:color w:val="111111"/>
          <w:sz w:val="28"/>
          <w:sz w:val="28"/>
          <w:szCs w:val="28"/>
          <w:rtl w:val="true"/>
          <w:lang w:bidi="ar-SA"/>
        </w:rPr>
        <w:t>ويكره أن يستصحب معه ما عليه اسم اللّه كخاتم ومصحف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للرجل أن يدخل إلى الخلاء ومعه خاتم عليه اسم اللّه أو مصحف فيه القرآن </w:t>
      </w:r>
      <w:r>
        <w:rPr>
          <w:rStyle w:val="FootnoteAnchor"/>
          <w:rtl w:val="true"/>
        </w:rPr>
        <w:footnoteReference w:id="2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للحكم بالكراهة هنا أو بغيرها دليلا سوى ما رواه الشيخ عن عمّار الساباطي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الجنب درهما ولا دينارا عليه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المخرج وهو عليه </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عثمان عن أبي القاسم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الخلاء وعليه خاتم فيه اسم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هاتين الروايتين ضعيف</w:t>
      </w:r>
      <w:r>
        <w:rPr>
          <w:rFonts w:eastAsia="Amiri" w:cs="Amiri" w:ascii="Amiri" w:hAnsi="Amiri"/>
          <w:color w:val="111111"/>
          <w:sz w:val="28"/>
          <w:szCs w:val="28"/>
          <w:rtl w:val="true"/>
          <w:lang w:bidi="ar-SA"/>
        </w:rPr>
        <w:t xml:space="preserve">. </w:t>
      </w:r>
      <w:bookmarkStart w:id="1473" w:name="pg8731_78103"/>
    </w:p>
    <w:p>
      <w:pPr>
        <w:pStyle w:val="Heading6"/>
        <w:numPr>
          <w:ilvl w:val="5"/>
          <w:numId w:val="1"/>
        </w:numPr>
        <w:rPr/>
      </w:pPr>
      <w:bookmarkStart w:id="1474" w:name="__RefHeading___Toc3140941_653776707"/>
      <w:bookmarkStart w:id="1475" w:name="_Toc545"/>
      <w:bookmarkEnd w:id="1473"/>
      <w:bookmarkEnd w:id="1474"/>
      <w:r>
        <w:rPr>
          <w:rtl w:val="true"/>
        </w:rPr>
        <w:t xml:space="preserve">مسألة </w:t>
      </w:r>
      <w:r>
        <w:rPr>
          <w:rtl w:val="true"/>
        </w:rPr>
        <w:t>[</w:t>
      </w:r>
      <w:r>
        <w:rPr/>
        <w:t>14</w:t>
      </w:r>
      <w:r>
        <w:rPr>
          <w:rtl w:val="true"/>
        </w:rPr>
        <w:t>] :</w:t>
      </w:r>
      <w:bookmarkEnd w:id="1475"/>
    </w:p>
    <w:p>
      <w:pPr>
        <w:pStyle w:val="BookText"/>
        <w:rPr/>
      </w:pPr>
      <w:r>
        <w:rPr>
          <w:rFonts w:ascii="Amiri" w:hAnsi="Amiri" w:eastAsia="Amiri" w:cs="Amiri"/>
          <w:color w:val="111111"/>
          <w:sz w:val="28"/>
          <w:sz w:val="28"/>
          <w:szCs w:val="28"/>
          <w:rtl w:val="true"/>
          <w:lang w:bidi="ar-SA"/>
        </w:rPr>
        <w:t>ويكره استصحاب دراهم بيض غير مصرورة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من الأصحاب وبه رواية رواها الشيخ بإسناده الصحيح عن محمّد بن عليّ بن محبوب عن محمّد بن الحسين عن محمّد بن يحيى الخزّاز عن غياث عن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يدخل الخلاء ومعه درهم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مصرورا </w:t>
      </w:r>
      <w:r>
        <w:rPr>
          <w:rFonts w:eastAsia="Amiri" w:cs="Amiri" w:ascii="Amiri" w:hAnsi="Amiri"/>
          <w:color w:val="111111"/>
          <w:sz w:val="28"/>
          <w:szCs w:val="28"/>
          <w:rtl w:val="true"/>
          <w:lang w:bidi="ar-SA"/>
        </w:rPr>
        <w:t xml:space="preserve">»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6" w:name="__RefHeading___Toc3140943_653776707"/>
      <w:bookmarkStart w:id="1477" w:name="_Toc546"/>
      <w:bookmarkEnd w:id="1476"/>
      <w:r>
        <w:rPr>
          <w:rtl w:val="true"/>
        </w:rPr>
        <w:t xml:space="preserve">مسألة </w:t>
      </w:r>
      <w:r>
        <w:rPr>
          <w:rtl w:val="true"/>
        </w:rPr>
        <w:t>[</w:t>
      </w:r>
      <w:r>
        <w:rPr/>
        <w:t>15</w:t>
      </w:r>
      <w:r>
        <w:rPr>
          <w:rtl w:val="true"/>
        </w:rPr>
        <w:t>] :</w:t>
      </w:r>
      <w:bookmarkEnd w:id="1477"/>
    </w:p>
    <w:p>
      <w:pPr>
        <w:pStyle w:val="BookText"/>
        <w:rPr/>
      </w:pPr>
      <w:r>
        <w:rPr>
          <w:rFonts w:ascii="Amiri" w:hAnsi="Amiri" w:eastAsia="Amiri" w:cs="Amiri"/>
          <w:color w:val="111111"/>
          <w:sz w:val="28"/>
          <w:sz w:val="28"/>
          <w:szCs w:val="28"/>
          <w:rtl w:val="true"/>
          <w:lang w:bidi="ar-SA"/>
        </w:rPr>
        <w:t>ويكره الأكل والشرب والسواك وطول الجلوس على الخلاء في المشهور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الصدوق في من لا يحضره الفقيه مرسلا عن 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الخلاء فوجد لقمة خبز في القدر فأخذها وغسلها ودفعها إلى مملوك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معك لآكلها إذا خرجت ، فلمّا خرج عليه‌السلام قال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يا 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استقرّت في جوف أحد إلّا وجبت له الجنّة ، فاذهب فأنت حرّ فإنّي أكره أن أستخدم رجلا من أهل الجنّة </w:t>
      </w:r>
      <w:r>
        <w:rPr>
          <w:rFonts w:eastAsia="Amiri" w:cs="Amiri" w:ascii="Amiri" w:hAnsi="Amiri"/>
          <w:color w:val="111111"/>
          <w:sz w:val="28"/>
          <w:szCs w:val="28"/>
          <w:rtl w:val="true"/>
          <w:lang w:bidi="ar-SA"/>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في توجيه دلالة هذا الخبر على كراهة الأكل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تأخيره عليه‌السلام أكلها مع ما فيه من الثواب العظيم يدلّ بفحواه على ذلك لا سيّما بمعونة تعليق الأكل بالخروج</w:t>
      </w:r>
      <w:r>
        <w:rPr>
          <w:rFonts w:eastAsia="Amiri" w:cs="Amiri" w:ascii="Amiri" w:hAnsi="Amiri"/>
          <w:color w:val="111111"/>
          <w:sz w:val="28"/>
          <w:szCs w:val="28"/>
          <w:rtl w:val="true"/>
          <w:lang w:bidi="ar-SA"/>
        </w:rPr>
        <w:t xml:space="preserve">. </w:t>
      </w:r>
      <w:bookmarkStart w:id="1478" w:name="pg8731_78104"/>
    </w:p>
    <w:p>
      <w:pPr>
        <w:pStyle w:val="BookText"/>
        <w:rPr/>
      </w:pPr>
      <w:bookmarkEnd w:id="1478"/>
      <w:r>
        <w:rPr>
          <w:rFonts w:ascii="Amiri" w:hAnsi="Amiri" w:eastAsia="Amiri" w:cs="Amiri"/>
          <w:color w:val="111111"/>
          <w:sz w:val="28"/>
          <w:sz w:val="28"/>
          <w:szCs w:val="28"/>
          <w:rtl w:val="true"/>
          <w:lang w:bidi="ar-SA"/>
        </w:rPr>
        <w:t>ولم نقف على خبر يقتضي كراهة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والمتعرّضون للاحتجاج منهم من اقتصر على حديث اللقمة فاحتجّ به للحكمين ، ومنهم من ضمّ إليه التعليل بتضمّنها مهانة النفس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الشرب يلحق بالأكل للاشتراك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كراهة السواك وطول الجلوس فاحتجّوا لهما بما رواه الصدوق أيضا في من لا يحضره الفقيه مرسلا عن موسى بن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في الخلاء يورث الخسر </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الجلوس على الخلاء يورث الباسور </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هذا على باب الحش </w:t>
      </w:r>
      <w:r>
        <w:rPr>
          <w:rFonts w:eastAsia="Amiri" w:cs="Amiri" w:ascii="Amiri" w:hAnsi="Amiri"/>
          <w:color w:val="111111"/>
          <w:sz w:val="28"/>
          <w:szCs w:val="28"/>
          <w:rtl w:val="true"/>
          <w:lang w:bidi="ar-SA"/>
        </w:rPr>
        <w:t xml:space="preserve">»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9" w:name="__RefHeading___Toc3140945_653776707"/>
      <w:bookmarkStart w:id="1480" w:name="_Toc547"/>
      <w:bookmarkEnd w:id="1479"/>
      <w:r>
        <w:rPr>
          <w:rtl w:val="true"/>
        </w:rPr>
        <w:t xml:space="preserve">مسألة </w:t>
      </w:r>
      <w:r>
        <w:rPr>
          <w:rtl w:val="true"/>
        </w:rPr>
        <w:t>[</w:t>
      </w:r>
      <w:r>
        <w:rPr/>
        <w:t>16</w:t>
      </w:r>
      <w:r>
        <w:rPr>
          <w:rtl w:val="true"/>
        </w:rPr>
        <w:t>] :</w:t>
      </w:r>
      <w:bookmarkEnd w:id="1480"/>
    </w:p>
    <w:p>
      <w:pPr>
        <w:pStyle w:val="Heading6"/>
        <w:numPr>
          <w:ilvl w:val="5"/>
          <w:numId w:val="1"/>
        </w:numPr>
        <w:rPr/>
      </w:pPr>
      <w:bookmarkStart w:id="1481" w:name="__RefHeading___Toc3140947_653776707"/>
      <w:bookmarkStart w:id="1482" w:name="_Toc548"/>
      <w:bookmarkEnd w:id="1481"/>
      <w:r>
        <w:rPr>
          <w:rtl w:val="true"/>
        </w:rPr>
        <w:t>اشارة</w:t>
      </w:r>
      <w:bookmarkEnd w:id="1482"/>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الأصحاب كراهة الكلام على الخلاء إلّا بذكر اللّه تعالى وقراءة آية الكرسي ، وحكاية الأذان ، وردّ السلام ، وفي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الكلام على الخلاء لنهي النبيّ صلى‌اللّه‌عليه‌وآله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من تكلّم على الخلاء لم تقض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قبل هذا الكلام </w:t>
      </w:r>
    </w:p>
    <w:p>
      <w:pPr>
        <w:pStyle w:val="BookText"/>
        <w:rPr/>
      </w:pPr>
      <w:r>
        <w:rPr>
          <w:rFonts w:ascii="Amiri" w:hAnsi="Amiri" w:eastAsia="Amiri" w:cs="Amiri"/>
          <w:color w:val="111111"/>
          <w:sz w:val="28"/>
          <w:sz w:val="28"/>
          <w:szCs w:val="28"/>
          <w:rtl w:val="true"/>
          <w:lang w:bidi="ar-SA"/>
        </w:rPr>
        <w:t xml:space="preserve">جواز الذكر وحكاية الأذان وقراءة آية الكرسي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الفاضلان لأصل الحكم بالكراهة هنا بما رواه الشيخ رحمه‌اللّه عن صفوان عن أبي الحسن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يجيب الرجل آخر وهو على الغائط أو يكلّمه حتّى يفرغ </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عن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التسبيح في المخرج وقراءة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أكثر من آية الكرسي وبحمد اللّه أو آية </w:t>
      </w:r>
      <w:r>
        <w:rPr>
          <w:rFonts w:eastAsia="Amiri" w:cs="Amiri" w:ascii="Amiri" w:hAnsi="Amiri"/>
          <w:color w:val="111111"/>
          <w:sz w:val="28"/>
          <w:szCs w:val="28"/>
          <w:rtl w:val="true"/>
          <w:lang w:bidi="ar-SA"/>
        </w:rPr>
        <w:t xml:space="preserve">»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وبالخبر الثاني احتجّ العلّامة في المنتهى لاستثناء قراءة آية الكرسي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واحتجّا لاستثناء الذكر بما رواه سليمان بن خالد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تمرّ بي حالات أستحي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ذكري حسن على كلّ حال </w:t>
      </w:r>
      <w:r>
        <w:rPr>
          <w:rFonts w:eastAsia="Amiri" w:cs="Amiri" w:ascii="Amiri" w:hAnsi="Amiri"/>
          <w:color w:val="111111"/>
          <w:sz w:val="28"/>
          <w:szCs w:val="28"/>
          <w:rtl w:val="true"/>
          <w:lang w:bidi="ar-SA"/>
        </w:rPr>
        <w:t xml:space="preserve">»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من لا يحضره الفقيه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ناجى اللّه موسى ابن عمران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أحوال اجلّك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على كلّ حال </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وبهذه الرواية احتجّ في المنتهى لاستثناء حكاية الأذان أيضا </w:t>
      </w:r>
      <w:r>
        <w:rPr>
          <w:rStyle w:val="FootnoteAnchor"/>
          <w:rtl w:val="true"/>
        </w:rPr>
        <w:footnoteReference w:id="2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المحقّق لاستثنائها ، فلا حجّة له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العلّامة وبعض المتأخّرين بعموم الأمر به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في المعتبر لحال الضرورة بأنّ في الامتناع عن الكلام حينئذ ضررا منفيّا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اعترض على احتجاج العلّامة لاستثناء حكاية الأذان بحديث الذكر من حيث إنّ الحيعلات ليست ذكرا ، فلا يتمّ استثناء حكايته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الدليل على هذا الاستثناء بخصوصه موجود في الأخبار فلا حاجة إلى التشبّث بعموم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الصدوق في من لا يحضره الفقيه عن أبي جعفر عليه‌السلام أنّه قال لمحمّد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مسلم لا تدعنّ ذكر اللّه على كلّ حال ولو سمعت المنادي ينادي بالأذان وأنت في الخلاء فاذكر اللّه عزوجل ، وقل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هذه الرواية في الكتاب المذكور وإن كان غير نقيّ فقد رواها مصنّفه في كتاب العلل بطريق واضح الصحّة </w:t>
      </w:r>
      <w:r>
        <w:rPr>
          <w:rStyle w:val="FootnoteAnchor"/>
          <w:rtl w:val="true"/>
        </w:rPr>
        <w:footnoteReference w:id="2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أيضا عن أبي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سمعت الأذان وأنت على الخلاء فقل مثل ما يقول المؤذّن ولا تدع ذكر اللّه عزوجل في تلك الحال لأنّ ذكر اللّه حسن </w:t>
      </w:r>
      <w:bookmarkStart w:id="1483" w:name="pg8731_78110"/>
    </w:p>
    <w:p>
      <w:pPr>
        <w:pStyle w:val="BookText"/>
        <w:rPr/>
      </w:pPr>
      <w:bookmarkEnd w:id="1483"/>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مقبل المديني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يستحبّ للإنسان إذا سمع الأذان أن يقول كما يقول المؤذّن وإن كان على البول والغائط؟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يزيد في الرزق </w:t>
      </w:r>
      <w:r>
        <w:rPr>
          <w:rFonts w:eastAsia="Amiri" w:cs="Amiri" w:ascii="Amiri" w:hAnsi="Amiri"/>
          <w:color w:val="111111"/>
          <w:sz w:val="28"/>
          <w:szCs w:val="28"/>
          <w:rtl w:val="true"/>
          <w:lang w:bidi="ar-SA"/>
        </w:rPr>
        <w:t xml:space="preserve">» </w:t>
      </w:r>
      <w:r>
        <w:rPr>
          <w:rStyle w:val="FootnoteAnchor"/>
          <w:rtl w:val="true"/>
        </w:rPr>
        <w:footnoteReference w:id="254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التي احتجّ بها الفاضلان لاستثناء قراءة آية الكرسي ومطلق الذكر ليست بصحيحة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خبران صحيحان فكانا أحقّ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من لا يحضره الفقيه عن عمر بن يزيد في 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عليه‌السلام عن التسبيح في المخرج وقراءة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أكثر من آية الكرسي وبحمد اللّه أو آية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أبي حمزة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التوراة التي لم تغيّر أنّ موسى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اعزّك واجلّك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ذكري حسن على كلّ حال </w:t>
      </w:r>
      <w:r>
        <w:rPr>
          <w:rFonts w:eastAsia="Amiri" w:cs="Amiri" w:ascii="Amiri" w:hAnsi="Amiri"/>
          <w:color w:val="111111"/>
          <w:sz w:val="28"/>
          <w:szCs w:val="28"/>
          <w:rtl w:val="true"/>
          <w:lang w:bidi="ar-SA"/>
        </w:rPr>
        <w:t xml:space="preserve">»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4" w:name="__RefHeading___Toc3140949_653776707"/>
      <w:bookmarkStart w:id="1485" w:name="_Toc549"/>
      <w:bookmarkEnd w:id="1484"/>
      <w:r>
        <w:rPr>
          <w:rtl w:val="true"/>
        </w:rPr>
        <w:t xml:space="preserve">فرع </w:t>
      </w:r>
      <w:r>
        <w:rPr>
          <w:rtl w:val="true"/>
        </w:rPr>
        <w:t>:</w:t>
      </w:r>
      <w:bookmarkEnd w:id="1485"/>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يحمد اللّه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bookmarkStart w:id="1486" w:name="pg8731_78112"/>
    </w:p>
    <w:p>
      <w:pPr>
        <w:pStyle w:val="BookText"/>
        <w:rPr/>
      </w:pPr>
      <w:bookmarkEnd w:id="1486"/>
      <w:r>
        <w:rPr>
          <w:rFonts w:ascii="Amiri" w:hAnsi="Amiri" w:eastAsia="Amiri" w:cs="Amiri"/>
          <w:color w:val="111111"/>
          <w:sz w:val="28"/>
          <w:sz w:val="28"/>
          <w:szCs w:val="28"/>
          <w:rtl w:val="true"/>
          <w:lang w:bidi="ar-SA"/>
        </w:rPr>
        <w:t xml:space="preserve">يسمّت العاطس لما فيهما من الذكر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فاستشكله بعض المتأخّرين وهو في محلّه حيث يثبت عموم الكراهة ؛ إذ التسميت غير داخل في مفهوم الذكر</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3140951_653776707"/>
      <w:bookmarkStart w:id="1488" w:name="_Toc550"/>
      <w:bookmarkEnd w:id="1487"/>
      <w:r>
        <w:rPr>
          <w:rtl w:val="true"/>
        </w:rPr>
        <w:t xml:space="preserve">مسألة </w:t>
      </w:r>
      <w:r>
        <w:rPr>
          <w:rtl w:val="true"/>
        </w:rPr>
        <w:t>[</w:t>
      </w:r>
      <w:r>
        <w:rPr/>
        <w:t>17</w:t>
      </w:r>
      <w:r>
        <w:rPr>
          <w:rtl w:val="true"/>
        </w:rPr>
        <w:t>] :</w:t>
      </w:r>
      <w:bookmarkEnd w:id="1488"/>
    </w:p>
    <w:p>
      <w:pPr>
        <w:pStyle w:val="BookText"/>
        <w:rPr/>
      </w:pPr>
      <w:r>
        <w:rPr>
          <w:rFonts w:ascii="Amiri" w:hAnsi="Amiri" w:eastAsia="Amiri" w:cs="Amiri"/>
          <w:color w:val="111111"/>
          <w:sz w:val="28"/>
          <w:sz w:val="28"/>
          <w:szCs w:val="28"/>
          <w:rtl w:val="true"/>
          <w:lang w:bidi="ar-SA"/>
        </w:rPr>
        <w:t xml:space="preserve">قال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إلّا وبه ملك موكّل يلوي عنقه حتّى ينظر إلى حدثه ، ثمّ 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هذا رزقك فانظر من أين أخذته وإلى 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للعبد عند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الحلال وجنّبني الحرام </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ولم ير للنبيّ صلى‌اللّه‌عليه‌وآله قطّ نجو ؛ لأنّ اللّه تبارك وتعالى وكّل الأرض بابتلاع 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عليه‌السلام إذا أراد الحاجة وقف على باب المذهب ، ثمّ التفت عن يمينه وعن يساره إلى ملكيه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أميطا عنّي فلكما اللّه عليّ أن لا احدّث بلساني شيئا حتّى أخرج إليكما </w:t>
      </w:r>
      <w:r>
        <w:rPr>
          <w:rFonts w:eastAsia="Amiri" w:cs="Amiri" w:ascii="Amiri" w:hAnsi="Amiri"/>
          <w:color w:val="111111"/>
          <w:sz w:val="28"/>
          <w:szCs w:val="28"/>
          <w:rtl w:val="true"/>
          <w:lang w:bidi="ar-SA"/>
        </w:rPr>
        <w:t xml:space="preserve">»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مضمون ما ذكره أوّلا في كتاب العلل مسندا من طريقين</w:t>
      </w:r>
      <w:r>
        <w:rPr>
          <w:rFonts w:eastAsia="Amiri" w:cs="Amiri" w:ascii="Amiri" w:hAnsi="Amiri"/>
          <w:color w:val="111111"/>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العيص بن أبي مهيبة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عليه‌السلام وسأله عمرو بن عبيد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الرجل إذا أراد أن يقضي حاجته إنّما ينظر إلى سفليه وما يخرج من 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يريد ذلك إلّا وكّل اللّه عزوجل به </w:t>
      </w:r>
    </w:p>
    <w:p>
      <w:pPr>
        <w:pStyle w:val="BookText"/>
        <w:rPr/>
      </w:pPr>
      <w:r>
        <w:rPr>
          <w:rFonts w:ascii="Amiri" w:hAnsi="Amiri" w:eastAsia="Amiri" w:cs="Amiri"/>
          <w:color w:val="111111"/>
          <w:sz w:val="28"/>
          <w:sz w:val="28"/>
          <w:szCs w:val="28"/>
          <w:rtl w:val="true"/>
          <w:lang w:bidi="ar-SA"/>
        </w:rPr>
        <w:t xml:space="preserve">ملكا يأخذ بعنقه ليريه ما يخرج منه أحلال أو حرام </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فسأله رجل من المغيريّة عن شي‌ء من السنن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يحتاج إليه أحد من ولد آدم إلّا وقد جرت فيه من اللّه ورسوله سنّة عرفها من عرفها وأنكرها من 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على حال الخلاء لا يصبر حتّى ينظر إلى 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ومعه ملكان موكّلان به فإذا كان على تلك الحال ثنيا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انظر إلى ما كنت تكدح له في الدنيا إلى ما هو صائر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هذا الحديث الشيخ أبو جعفر الكليني في الكافي أيضا مسندا عن أبي اسامة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عن أمير المؤمنين عليه‌السلام أخيرا فرواه الشيخ في التهذيب بإسناده الصحيح عن محمّد بن عليّ بن محبوب عن محمّد بن عيسى العبيدي عن الحسن بن عليّ بن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كان إذا أراد قضاء الحاجة وقف على باب المذهب ، ثمّ التفت يمينا وشمالا إلى ملكيه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أميطا عنّي فلكما اللّه عليّ ألّا احدث حدثا حتّى أخرج إليكما </w:t>
      </w:r>
      <w:r>
        <w:rPr>
          <w:rFonts w:eastAsia="Amiri" w:cs="Amiri" w:ascii="Amiri" w:hAnsi="Amiri"/>
          <w:color w:val="111111"/>
          <w:sz w:val="28"/>
          <w:szCs w:val="28"/>
          <w:rtl w:val="true"/>
          <w:lang w:bidi="ar-SA"/>
        </w:rPr>
        <w:t xml:space="preserve">»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 xml:space="preserve">. </w:t>
      </w:r>
      <w:bookmarkStart w:id="1489" w:name="pg8731_78116"/>
    </w:p>
    <w:p>
      <w:pPr>
        <w:pStyle w:val="Heading6"/>
        <w:numPr>
          <w:ilvl w:val="5"/>
          <w:numId w:val="1"/>
        </w:numPr>
        <w:rPr/>
      </w:pPr>
      <w:bookmarkStart w:id="1490" w:name="__RefHeading___Toc3140953_653776707"/>
      <w:bookmarkStart w:id="1491" w:name="_Toc551"/>
      <w:bookmarkEnd w:id="1489"/>
      <w:bookmarkEnd w:id="1490"/>
      <w:r>
        <w:rPr>
          <w:rtl w:val="true"/>
        </w:rPr>
        <w:t xml:space="preserve">مسألة </w:t>
      </w:r>
      <w:r>
        <w:rPr>
          <w:rtl w:val="true"/>
        </w:rPr>
        <w:t>[</w:t>
      </w:r>
      <w:r>
        <w:rPr/>
        <w:t>18</w:t>
      </w:r>
      <w:r>
        <w:rPr>
          <w:rtl w:val="true"/>
        </w:rPr>
        <w:t>] :</w:t>
      </w:r>
      <w:bookmarkEnd w:id="1491"/>
    </w:p>
    <w:p>
      <w:pPr>
        <w:pStyle w:val="Heading6"/>
        <w:numPr>
          <w:ilvl w:val="5"/>
          <w:numId w:val="1"/>
        </w:numPr>
        <w:rPr/>
      </w:pPr>
      <w:bookmarkStart w:id="1492" w:name="__RefHeading___Toc3140955_653776707"/>
      <w:bookmarkStart w:id="1493" w:name="_Toc552"/>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ويستحبّ الاستبراء من البول عند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العلّامة إلى الشيخ في الاستبصار القول بوجوبه حيث أدرج لفظ الوجوب في عنوان الباب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مصرّح في غير موضع باستعمال لفظ الوجوب فيما هو أعمّ من المعنى المتعارف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فالوجوب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كلام الأصحاب في كيفيّته مختلف ، فقال الشيخ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الاستنجاء فامسح من عند المقعدة إلى الأنثيين ثلاث مرّات ، ثمّ انتر ذكرك ثلاث مرّات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فيستحبّ له أن ينتر ذكره من أصله إلى طرفه ثلاث مرّات ليخرج شي‌ء إن كان بقي في المجرى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حاجته وأراد الاستبراء فليمسح بإصبعه الوسطى تحت انثييه إلى أصل القضيب مرّتين أو ثلاثا ، ثمّ يضع مسبحته تحت القضيب وإبهامه فوقه ويمرّها عليه باعتماد قويّ من أصله إلى رأس الحشفة مرّة أو مرّتين أو ثلاثا ليخرج ما فيه من بقيّة البول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فليمسح بإصبعه من عند مخرج النجو </w:t>
      </w:r>
    </w:p>
    <w:p>
      <w:pPr>
        <w:pStyle w:val="BookText"/>
        <w:rPr/>
      </w:pPr>
      <w:r>
        <w:rPr>
          <w:rFonts w:ascii="Amiri" w:hAnsi="Amiri" w:eastAsia="Amiri" w:cs="Amiri"/>
          <w:color w:val="111111"/>
          <w:sz w:val="28"/>
          <w:sz w:val="28"/>
          <w:szCs w:val="28"/>
          <w:rtl w:val="true"/>
          <w:lang w:bidi="ar-SA"/>
        </w:rPr>
        <w:t xml:space="preserve">إلى أصل القضيب وينتره ثلاث مرّات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الفاضلان عن المرتضى نحو ما قاله ابن الجنيد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لعبارة الشيخين والمرتضى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الشيخ أبلغ في الاستظهار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في المنتهى والنهاية والتذكرة وجماعة من المتأخّرين تبعا له في بيان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المسح باليد من عند المقعدة إلى أصل القضيب ثلاثا ، ومنه إلى رأسه ثلاثا </w:t>
      </w:r>
      <w:r>
        <w:rPr>
          <w:rStyle w:val="FootnoteAnchor"/>
          <w:rtl w:val="true"/>
        </w:rPr>
        <w:footnoteReference w:id="2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الكيفيّة زيادة على ما ذكر في العبارات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العلّامة لغير عبارة المرتضى عند إشارته إلى الخلاف هنا وهو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لاح من ذلك ظنّ موافقة ما ذكره لكلام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بالنظر إلى عبارة المفيد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 الشيخ فظاهرها المخالفة وأنّها في معنى عبارة ابن بابويه ولكنّ احتمال الموافقة منها غير ممتنع</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الشهيدين كيفيّة اخرى مغايرة للكلّ ، ذكرها الأوّل في أكثر كتبه </w:t>
      </w:r>
      <w:r>
        <w:rPr>
          <w:rStyle w:val="FootnoteAnchor"/>
          <w:rtl w:val="true"/>
        </w:rPr>
        <w:footnoteReference w:id="2562"/>
      </w:r>
      <w:r>
        <w:rPr>
          <w:rFonts w:ascii="Amiri" w:hAnsi="Amiri" w:eastAsia="Amiri" w:cs="Amiri"/>
          <w:color w:val="111111"/>
          <w:sz w:val="28"/>
          <w:sz w:val="28"/>
          <w:szCs w:val="28"/>
          <w:rtl w:val="true"/>
          <w:lang w:bidi="ar-SA"/>
        </w:rPr>
        <w:t xml:space="preserve">، والثاني في الروضة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ما بين المقعدة وأصل القضيب ثلاثا ، ثمّ نتره ثلاثا ، ثمّ عصر الحشفة ثلاثا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احتجّ في المنتهى لما اختاره من الكيفيّة بما رواه الكليني في الحسن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بال ولم يكن معه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أصل ذكره إلى طرفه ثلاث عصرات وينتر طرفه ، فإن خرج بعد ذلك شي‌ء فليس من البول ، ولكنّه من الحبائل </w:t>
      </w:r>
      <w:r>
        <w:rPr>
          <w:rFonts w:eastAsia="Amiri" w:cs="Amiri" w:ascii="Amiri" w:hAnsi="Amiri"/>
          <w:color w:val="111111"/>
          <w:sz w:val="28"/>
          <w:szCs w:val="28"/>
          <w:rtl w:val="true"/>
          <w:lang w:bidi="ar-SA"/>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هذا الحديث غير واف بإثبات الكيفيّة التي ذكرها ، وإنّما يصلح دليلا على نفي ما حكاه عن المرتضى حيث لم يذكر في الكيفيّة العصر من عند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عزى إلى المرتضى الاحتجاج بما رواه الشيخ في الصحيح عن محمّد ابن أبي عمير عن حفص بن البختريّ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ينتره ثلاثا ثمّ إن سال حتّى يبلغ الساق فلا يبالي </w:t>
      </w:r>
      <w:r>
        <w:rPr>
          <w:rFonts w:eastAsia="Amiri" w:cs="Amiri" w:ascii="Amiri" w:hAnsi="Amiri"/>
          <w:color w:val="111111"/>
          <w:sz w:val="28"/>
          <w:szCs w:val="28"/>
          <w:rtl w:val="true"/>
          <w:lang w:bidi="ar-SA"/>
        </w:rPr>
        <w:t xml:space="preserve">»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بأنّه لا تنافي بين الحديثين لأنّ المستحبّ الاستظهار بحيث لا يتخلّف شي‌ء من أجزاء البول في القضيب ، وذلك قابل للشدّة والضعف ، ومتفاوت بقوّة المثانة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جيّد فإنّ الحديثين متقاربان من جهة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تأدّي الوظيفة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 التي ذكرها الأصحاب لا حرج فيها بعد ظهور كون العلّة هي إخراج بقايا البول ؛ فإنّ لكثرة الاستظهار مدخل في حصول الغرض</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العجب من اضطراب كلامهم في ذلك وخصوصا المتأخّرين مع عدم الدليل على ما قالوه ولكونه مخالفا لكلام القدماء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جمعا من الأصحاب منهم سلّار في رسالته ، والعلّامة في التذكرة والنهاية ، والشهيد في أكثر كتبه ذكروا التنحنح في الاستبراء </w:t>
      </w:r>
      <w:r>
        <w:rPr>
          <w:rStyle w:val="FootnoteAnchor"/>
          <w:rtl w:val="true"/>
        </w:rPr>
        <w:footnoteReference w:id="2566"/>
      </w:r>
      <w:r>
        <w:rPr>
          <w:rFonts w:ascii="Amiri" w:hAnsi="Amiri" w:eastAsia="Amiri" w:cs="Amiri"/>
          <w:color w:val="111111"/>
          <w:sz w:val="28"/>
          <w:sz w:val="28"/>
          <w:szCs w:val="28"/>
          <w:rtl w:val="true"/>
          <w:lang w:bidi="ar-SA"/>
        </w:rPr>
        <w:t>، ولم نقف فيه على أثر ، ولا ادّعاه أحد منهم ، فلا ندري من أين مأخذه؟</w:t>
      </w:r>
    </w:p>
    <w:p>
      <w:pPr>
        <w:pStyle w:val="BookText"/>
        <w:rPr/>
      </w:pPr>
      <w:r>
        <w:rPr>
          <w:rFonts w:ascii="Amiri" w:hAnsi="Amiri" w:eastAsia="Amiri" w:cs="Amiri"/>
          <w:color w:val="111111"/>
          <w:sz w:val="28"/>
          <w:sz w:val="28"/>
          <w:szCs w:val="28"/>
          <w:rtl w:val="true"/>
          <w:lang w:bidi="ar-SA"/>
        </w:rPr>
        <w:t>ثمّ إنّ العلّامة اقتصر على مجرّد فعله حينئذ ، وجعله الشهيد مثلّثا ، ونسب الحكم باستحبابه ثلاثا في الذكرى إلى سلّار ، وأراه وهما ؛ لأنّه ذكر التنحنح في جملة كيفيّة الاستبراء ، ووقع في عبارته لفظ الثلاث بعده ، وليس قيدا فيه ، بل في النتر المعتبر في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حاجته فليمسح بإصبعه الوسطى تحت قضيبه من أصله من تحت انثييه ثلاثا ثمّ ينتر قضيبه ثلاثا فيما بين المسبحة والإبهام وهو يتنحنح ثلاثا </w:t>
      </w:r>
      <w:r>
        <w:rPr>
          <w:rFonts w:eastAsia="Amiri" w:cs="Amiri" w:ascii="Amiri" w:hAnsi="Amiri"/>
          <w:color w:val="111111"/>
          <w:sz w:val="28"/>
          <w:szCs w:val="28"/>
          <w:rtl w:val="true"/>
          <w:lang w:bidi="ar-SA"/>
        </w:rPr>
        <w:t xml:space="preserve">»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والشهيد في التذكرة والذكرى أنّه يستحبّ الصبر هنيئة قبل الاستبراء ، وكأنّ وجهه انتظار خروج بقايا البول ؛ إذ لا نصّ فيه ، بل يلوح من بعض الأخبار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جميل بن درّاج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انقطعت درّة البول فصبّ الماء </w:t>
      </w:r>
      <w:r>
        <w:rPr>
          <w:rFonts w:eastAsia="Amiri" w:cs="Amiri" w:ascii="Amiri" w:hAnsi="Amiri"/>
          <w:color w:val="111111"/>
          <w:sz w:val="28"/>
          <w:szCs w:val="28"/>
          <w:rtl w:val="true"/>
          <w:lang w:bidi="ar-SA"/>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روح بن عبد الرحيم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وأنا قائم على رأسه ومعي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انقطع شخب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هكذا </w:t>
      </w:r>
      <w:bookmarkStart w:id="1494" w:name="pg8731_78124"/>
    </w:p>
    <w:p>
      <w:pPr>
        <w:pStyle w:val="BookText"/>
        <w:rPr/>
      </w:pPr>
      <w:bookmarkEnd w:id="1494"/>
      <w:r>
        <w:rPr>
          <w:rFonts w:ascii="Amiri" w:hAnsi="Amiri" w:eastAsia="Amiri" w:cs="Amiri"/>
          <w:color w:val="111111"/>
          <w:sz w:val="28"/>
          <w:sz w:val="28"/>
          <w:szCs w:val="28"/>
          <w:rtl w:val="true"/>
          <w:lang w:bidi="ar-SA"/>
        </w:rPr>
        <w:t xml:space="preserve">إليّ فناولته الماء فتوضّأ مكانه </w:t>
      </w:r>
      <w:r>
        <w:rPr>
          <w:rFonts w:eastAsia="Amiri" w:cs="Amiri" w:ascii="Amiri" w:hAnsi="Amiri"/>
          <w:color w:val="111111"/>
          <w:sz w:val="28"/>
          <w:szCs w:val="28"/>
          <w:rtl w:val="true"/>
          <w:lang w:bidi="ar-SA"/>
        </w:rPr>
        <w:t xml:space="preserve">»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5" w:name="__RefHeading___Toc3140957_653776707"/>
      <w:bookmarkStart w:id="1496" w:name="_Toc553"/>
      <w:bookmarkEnd w:id="1495"/>
      <w:r>
        <w:rPr>
          <w:rtl w:val="true"/>
        </w:rPr>
        <w:t xml:space="preserve">تذنيب </w:t>
      </w:r>
      <w:r>
        <w:rPr>
          <w:rtl w:val="true"/>
        </w:rPr>
        <w:t>:</w:t>
      </w:r>
      <w:bookmarkEnd w:id="1496"/>
    </w:p>
    <w:p>
      <w:pPr>
        <w:pStyle w:val="BookText"/>
        <w:rPr/>
      </w:pPr>
      <w:r>
        <w:rPr>
          <w:rFonts w:ascii="Amiri" w:hAnsi="Amiri" w:eastAsia="Amiri" w:cs="Amiri"/>
          <w:color w:val="111111"/>
          <w:sz w:val="28"/>
          <w:sz w:val="28"/>
          <w:szCs w:val="28"/>
          <w:rtl w:val="true"/>
          <w:lang w:bidi="ar-SA"/>
        </w:rPr>
        <w:t>الظاهر من كلام أكثر الأصحاب اختصاص الحكم باستحباب الاستبراء بالذكر بل صرّح بذلك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جماعة القول بثبوته للأنثى أيضا وأنّها تستبرئ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العلّامة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البكر والثيّب ؛ لأنّ مخرج البول غير مخرج البكارة والثيوبة </w:t>
      </w:r>
      <w:r>
        <w:rPr>
          <w:rStyle w:val="FootnoteAnchor"/>
          <w:rtl w:val="true"/>
        </w:rPr>
        <w:footnoteReference w:id="2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للمغايرة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الأخبار في هذا الباب مختصّ بالذكر فلا نعرف لتعديته إلى الانثى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مختصر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بالت المرأة تنحنحت بعد بولها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7" w:name="__RefHeading___Toc3140959_653776707"/>
      <w:bookmarkStart w:id="1498" w:name="_Toc554"/>
      <w:bookmarkEnd w:id="1497"/>
      <w:r>
        <w:rPr>
          <w:rtl w:val="true"/>
        </w:rPr>
        <w:t xml:space="preserve">فرع </w:t>
      </w:r>
      <w:r>
        <w:rPr>
          <w:rtl w:val="true"/>
        </w:rPr>
        <w:t>:</w:t>
      </w:r>
      <w:bookmarkEnd w:id="1498"/>
    </w:p>
    <w:p>
      <w:pPr>
        <w:pStyle w:val="BookText"/>
        <w:rPr/>
      </w:pPr>
      <w:r>
        <w:rPr>
          <w:rFonts w:ascii="Amiri" w:hAnsi="Amiri" w:eastAsia="Amiri" w:cs="Amiri"/>
          <w:color w:val="111111"/>
          <w:sz w:val="28"/>
          <w:sz w:val="28"/>
          <w:szCs w:val="28"/>
          <w:rtl w:val="true"/>
          <w:lang w:bidi="ar-SA"/>
        </w:rPr>
        <w:t>لا نعرف خلافا بين علمائنا في أنّ البلل المتجدّد بعد الاستبراء لا حكم له ، وأنّ الخارج مع عدم الاستبراء بحكم البول</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والخبران السابقان يدلّان على الحكم الأوّل ، مضافين إلى ما رواه الشيخ في الصحيح عن ابن أبي عمير عن جميل بن صالح عن عبد الملك بن عمرو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 ثمّ يستنجي ، ثمّ يجد بعد ذلك بللا؟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فخرط ما بين المقعدة والأنثيين ثلاث مرّات وغمز ما بينهما ثمّ </w:t>
      </w:r>
    </w:p>
    <w:p>
      <w:pPr>
        <w:pStyle w:val="BookText"/>
        <w:rPr/>
      </w:pPr>
      <w:r>
        <w:rPr>
          <w:rFonts w:ascii="Amiri" w:hAnsi="Amiri" w:eastAsia="Amiri" w:cs="Amiri"/>
          <w:color w:val="111111"/>
          <w:sz w:val="28"/>
          <w:sz w:val="28"/>
          <w:szCs w:val="28"/>
          <w:rtl w:val="true"/>
          <w:lang w:bidi="ar-SA"/>
        </w:rPr>
        <w:t xml:space="preserve">استنجى فإن سال حتى يبلغ السوق فلا يبالي </w:t>
      </w:r>
      <w:r>
        <w:rPr>
          <w:rFonts w:eastAsia="Amiri" w:cs="Amiri" w:ascii="Amiri" w:hAnsi="Amiri"/>
          <w:color w:val="111111"/>
          <w:sz w:val="28"/>
          <w:szCs w:val="28"/>
          <w:rtl w:val="true"/>
          <w:lang w:bidi="ar-SA"/>
        </w:rPr>
        <w:t xml:space="preserve">»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الشحّام وزرارة ومحمّد بن مسلم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سال من ذكرك شي‌ء من مذي أو وذي فلا تغسله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خرج منك بعد الوضوء فإنّه من الحبائل </w:t>
      </w:r>
      <w:r>
        <w:rPr>
          <w:rFonts w:eastAsia="Amiri" w:cs="Amiri" w:ascii="Amiri" w:hAnsi="Amiri"/>
          <w:color w:val="111111"/>
          <w:sz w:val="28"/>
          <w:szCs w:val="28"/>
          <w:rtl w:val="true"/>
          <w:lang w:bidi="ar-SA"/>
        </w:rPr>
        <w:t xml:space="preserve">»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صفوان بن يحيى عن العلاء عن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بال ثمّ توضّأ وقام إلى الصلاة فوجد بللا؟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يتوضّأ إنّما ذلك من الحبائل </w:t>
      </w:r>
      <w:r>
        <w:rPr>
          <w:rFonts w:eastAsia="Amiri" w:cs="Amiri" w:ascii="Amiri" w:hAnsi="Amiri"/>
          <w:color w:val="111111"/>
          <w:sz w:val="28"/>
          <w:szCs w:val="28"/>
          <w:rtl w:val="true"/>
          <w:lang w:bidi="ar-SA"/>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والخبران الأخيران وإن كانا خاليين من ذكر الاستبراء فيمكن أن يقيّد إطلاقهما بالأخبار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بقيا على ظاهرهما فأولى بالدلالة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موافق لأصالة البراءة ، فلا مجال للتوقّف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حديث يدلّ بظاهره على خلاف ذلك ، وطريقه ليس بنقيّ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عليه وعلى الحكم الآخر في بحث الوضوء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الفائدة المذكورة للاستبراء في الذكر يتأتّى في الانثى على القول باستحباب الاستبراء لها</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باختصاصه بالذكر فقال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قويّا الحكم بطهارة الخارج المشتبه منها ، وعدم ترتّب أثر عليه وإن لم يستبر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 لأنّ الحكم بالنجاسة وترتّب الأثر منوط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لا يعلم أنّه بول فلا مخرج في حكمه عمّا يقتضيه الأصل</w:t>
      </w:r>
      <w:r>
        <w:rPr>
          <w:rFonts w:eastAsia="Amiri" w:cs="Amiri" w:ascii="Amiri" w:hAnsi="Amiri"/>
          <w:color w:val="111111"/>
          <w:sz w:val="28"/>
          <w:szCs w:val="28"/>
          <w:rtl w:val="true"/>
          <w:lang w:bidi="ar-SA"/>
        </w:rPr>
        <w:t xml:space="preserve">. </w:t>
      </w:r>
      <w:bookmarkStart w:id="1499" w:name="pg8731_78129"/>
    </w:p>
    <w:p>
      <w:pPr>
        <w:pStyle w:val="Heading6"/>
        <w:numPr>
          <w:ilvl w:val="5"/>
          <w:numId w:val="1"/>
        </w:numPr>
        <w:rPr/>
      </w:pPr>
      <w:bookmarkStart w:id="1500" w:name="__RefHeading___Toc3140961_653776707"/>
      <w:bookmarkStart w:id="1501" w:name="_Toc555"/>
      <w:bookmarkEnd w:id="1499"/>
      <w:bookmarkEnd w:id="1500"/>
      <w:r>
        <w:rPr>
          <w:rtl w:val="true"/>
        </w:rPr>
        <w:t xml:space="preserve">مسألة </w:t>
      </w:r>
      <w:r>
        <w:rPr>
          <w:rtl w:val="true"/>
        </w:rPr>
        <w:t>[</w:t>
      </w:r>
      <w:r>
        <w:rPr/>
        <w:t>19</w:t>
      </w:r>
      <w:r>
        <w:rPr>
          <w:rtl w:val="true"/>
        </w:rPr>
        <w:t>] :</w:t>
      </w:r>
      <w:bookmarkEnd w:id="1501"/>
    </w:p>
    <w:p>
      <w:pPr>
        <w:pStyle w:val="BookText"/>
        <w:rPr/>
      </w:pPr>
      <w:r>
        <w:rPr>
          <w:rFonts w:ascii="Amiri" w:hAnsi="Amiri" w:eastAsia="Amiri" w:cs="Amiri"/>
          <w:color w:val="111111"/>
          <w:sz w:val="28"/>
          <w:sz w:val="28"/>
          <w:szCs w:val="28"/>
          <w:rtl w:val="true"/>
          <w:lang w:bidi="ar-SA"/>
        </w:rPr>
        <w:t>ويجب الاستنجاء من البول والغائط عند علمائنا أجمع ، وأخبارنا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الشيخ في الصحيح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 ويجزيك من الاستنجاء ثلاثة أحجار ، وبذلك جرت السنّة من رسول اللّه صلى‌اللّه‌عليه‌وآله ، وأمّا البول فلا بدّ من غسله </w:t>
      </w:r>
      <w:r>
        <w:rPr>
          <w:rFonts w:eastAsia="Amiri" w:cs="Amiri" w:ascii="Amiri" w:hAnsi="Amiri"/>
          <w:color w:val="111111"/>
          <w:sz w:val="28"/>
          <w:szCs w:val="28"/>
          <w:rtl w:val="true"/>
          <w:lang w:bidi="ar-SA"/>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يستنج من الخلا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ويستنجي من الخلا ويعيد الصلاة </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السندي بن محمّد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الوضوء الذي افترضه اللّه على العباد لمن جاء من الغائط أو 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ويذهب بالغائط </w:t>
      </w:r>
      <w:r>
        <w:rPr>
          <w:rFonts w:eastAsia="Amiri" w:cs="Amiri" w:ascii="Amiri" w:hAnsi="Amiri"/>
          <w:color w:val="111111"/>
          <w:sz w:val="28"/>
          <w:szCs w:val="28"/>
          <w:rtl w:val="true"/>
          <w:lang w:bidi="ar-SA"/>
        </w:rPr>
        <w:t xml:space="preserve">»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2" w:name="__RefHeading___Toc3140963_653776707"/>
      <w:bookmarkStart w:id="1503" w:name="_Toc556"/>
      <w:bookmarkEnd w:id="1502"/>
      <w:r>
        <w:rPr>
          <w:rtl w:val="true"/>
        </w:rPr>
        <w:t xml:space="preserve">مسألة </w:t>
      </w:r>
      <w:r>
        <w:rPr>
          <w:rtl w:val="true"/>
        </w:rPr>
        <w:t>[</w:t>
      </w:r>
      <w:r>
        <w:rPr/>
        <w:t>20</w:t>
      </w:r>
      <w:r>
        <w:rPr>
          <w:rtl w:val="true"/>
        </w:rPr>
        <w:t>] :</w:t>
      </w:r>
      <w:bookmarkEnd w:id="1503"/>
    </w:p>
    <w:p>
      <w:pPr>
        <w:pStyle w:val="BookText"/>
        <w:rPr/>
      </w:pPr>
      <w:r>
        <w:rPr>
          <w:rFonts w:ascii="Amiri" w:hAnsi="Amiri" w:eastAsia="Amiri" w:cs="Amiri"/>
          <w:color w:val="111111"/>
          <w:sz w:val="28"/>
          <w:sz w:val="28"/>
          <w:szCs w:val="28"/>
          <w:rtl w:val="true"/>
          <w:lang w:bidi="ar-SA"/>
        </w:rPr>
        <w:t>ولا استنجاء في أحد المخرجين بخروج الحدث من الآخر ، ولا من الريح بإجماع علمائنا ؛ للأصل</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عمّار بن موسى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ولم يخرج منه شي‌ء غيره فإنّما عليه أن يغسل إحليله وحده ، ولا يغسل </w:t>
      </w:r>
      <w:bookmarkStart w:id="1504" w:name="pg8731_78131"/>
    </w:p>
    <w:p>
      <w:pPr>
        <w:pStyle w:val="BookText"/>
        <w:rPr/>
      </w:pPr>
      <w:bookmarkEnd w:id="1504"/>
      <w:r>
        <w:rPr>
          <w:rFonts w:ascii="Amiri" w:hAnsi="Amiri" w:eastAsia="Amiri" w:cs="Amiri"/>
          <w:color w:val="111111"/>
          <w:sz w:val="28"/>
          <w:sz w:val="28"/>
          <w:szCs w:val="28"/>
          <w:rtl w:val="true"/>
          <w:lang w:bidi="ar-SA"/>
        </w:rPr>
        <w:t>مقعدته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من مقعدته شي‌ء ولم يبل فإنّما عليه أن يغسل المقعدة وحدها ولا يغسل الإحليل </w:t>
      </w:r>
      <w:r>
        <w:rPr>
          <w:rFonts w:eastAsia="Amiri" w:cs="Amiri" w:ascii="Amiri" w:hAnsi="Amiri"/>
          <w:color w:val="111111"/>
          <w:sz w:val="28"/>
          <w:szCs w:val="28"/>
          <w:rtl w:val="true"/>
          <w:lang w:bidi="ar-SA"/>
        </w:rPr>
        <w:t xml:space="preserve">» </w:t>
      </w:r>
      <w:r>
        <w:rPr>
          <w:rStyle w:val="FootnoteAnchor"/>
          <w:rtl w:val="true"/>
        </w:rPr>
        <w:footnoteReference w:id="2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سليمان بن جعفر الجعفري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أبا الحسن عليه‌السلام يستيقظ من نومه يتوضّأ ولا يستنجي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كالمتعجّب من رجل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إذا خرجت منه ريح استنجى </w:t>
      </w:r>
      <w:r>
        <w:rPr>
          <w:rFonts w:eastAsia="Amiri" w:cs="Amiri" w:ascii="Amiri" w:hAnsi="Amiri"/>
          <w:color w:val="111111"/>
          <w:sz w:val="28"/>
          <w:szCs w:val="28"/>
          <w:rtl w:val="true"/>
          <w:lang w:bidi="ar-SA"/>
        </w:rPr>
        <w:t xml:space="preserve">»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5" w:name="__RefHeading___Toc3140965_653776707"/>
      <w:bookmarkStart w:id="1506" w:name="_Toc557"/>
      <w:bookmarkEnd w:id="1505"/>
      <w:r>
        <w:rPr>
          <w:rtl w:val="true"/>
        </w:rPr>
        <w:t xml:space="preserve">مسألة </w:t>
      </w:r>
      <w:r>
        <w:rPr>
          <w:rtl w:val="true"/>
        </w:rPr>
        <w:t>[</w:t>
      </w:r>
      <w:r>
        <w:rPr/>
        <w:t>21</w:t>
      </w:r>
      <w:r>
        <w:rPr>
          <w:rtl w:val="true"/>
        </w:rPr>
        <w:t>] :</w:t>
      </w:r>
      <w:bookmarkEnd w:id="1506"/>
    </w:p>
    <w:p>
      <w:pPr>
        <w:pStyle w:val="Heading6"/>
        <w:numPr>
          <w:ilvl w:val="5"/>
          <w:numId w:val="1"/>
        </w:numPr>
        <w:rPr/>
      </w:pPr>
      <w:bookmarkStart w:id="1507" w:name="__RefHeading___Toc3140967_653776707"/>
      <w:bookmarkStart w:id="1508" w:name="_Toc558"/>
      <w:bookmarkEnd w:id="1507"/>
      <w:r>
        <w:rPr>
          <w:rtl w:val="true"/>
        </w:rPr>
        <w:t>اشارة</w:t>
      </w:r>
      <w:bookmarkEnd w:id="1508"/>
    </w:p>
    <w:p>
      <w:pPr>
        <w:pStyle w:val="BookText"/>
        <w:rPr/>
      </w:pPr>
      <w:r>
        <w:rPr>
          <w:rFonts w:ascii="Amiri" w:hAnsi="Amiri" w:eastAsia="Amiri" w:cs="Amiri"/>
          <w:color w:val="111111"/>
          <w:sz w:val="28"/>
          <w:sz w:val="28"/>
          <w:szCs w:val="28"/>
          <w:rtl w:val="true"/>
          <w:lang w:bidi="ar-SA"/>
        </w:rPr>
        <w:t>والواجب في الاستنجاء إزالة النجاسة عن الظاهر وهو مذهب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المنتهى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وعزى إلى بعض العامّة خلافه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الشيخان في الكافي والتهذيب عن إبراهيم بن أبي محمود في الصحيح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في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ظهر على الشرج </w:t>
      </w:r>
      <w:r>
        <w:rPr>
          <w:rStyle w:val="FootnoteAnchor"/>
          <w:rtl w:val="true"/>
        </w:rPr>
        <w:footnoteReference w:id="2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فيه الأنملة </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عمّار الساباطي عن أبي عبد اللّه عليه‌السلام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عليه أن يغسل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أن يغسل باطنهما </w:t>
      </w:r>
      <w:r>
        <w:rPr>
          <w:rFonts w:eastAsia="Amiri" w:cs="Amiri" w:ascii="Amiri" w:hAnsi="Amiri"/>
          <w:color w:val="111111"/>
          <w:sz w:val="28"/>
          <w:szCs w:val="28"/>
          <w:rtl w:val="true"/>
          <w:lang w:bidi="ar-SA"/>
        </w:rPr>
        <w:t xml:space="preserve">». </w:t>
      </w:r>
      <w:bookmarkStart w:id="1509" w:name="pg8731_78133"/>
    </w:p>
    <w:p>
      <w:pPr>
        <w:pStyle w:val="Heading6"/>
        <w:numPr>
          <w:ilvl w:val="5"/>
          <w:numId w:val="1"/>
        </w:numPr>
        <w:rPr/>
      </w:pPr>
      <w:bookmarkStart w:id="1510" w:name="__RefHeading___Toc3140969_653776707"/>
      <w:bookmarkStart w:id="1511" w:name="_Toc559"/>
      <w:bookmarkEnd w:id="1509"/>
      <w:bookmarkEnd w:id="1510"/>
      <w:r>
        <w:rPr>
          <w:rtl w:val="true"/>
        </w:rPr>
        <w:t xml:space="preserve">فرعان </w:t>
      </w:r>
      <w:r>
        <w:rPr>
          <w:rtl w:val="true"/>
        </w:rPr>
        <w:t>:</w:t>
      </w:r>
      <w:bookmarkEnd w:id="1511"/>
    </w:p>
    <w:p>
      <w:pPr>
        <w:pStyle w:val="Heading6"/>
        <w:numPr>
          <w:ilvl w:val="5"/>
          <w:numId w:val="1"/>
        </w:numPr>
        <w:rPr/>
      </w:pPr>
      <w:bookmarkStart w:id="1512" w:name="__RefHeading___Toc3140971_653776707"/>
      <w:bookmarkStart w:id="1513" w:name="_Toc560"/>
      <w:bookmarkEnd w:id="1512"/>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513"/>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إن كان مرتتقا كفاه غسل الظاهر من موضع الملاقاة ، وإن أمكن كشفها كشفها إذا بال وغسل المخرج ، وإن لم يكشفها عند الإراقة فهل يجب عليه كشفها لغسله؟ فيه تردّد ، أشبهه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تجري مجرى الظاهر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في المنتهى نحوه ، واستقرب وجوب الكشف للغسل </w:t>
      </w:r>
      <w:r>
        <w:rPr>
          <w:rStyle w:val="FootnoteAnchor"/>
          <w:rtl w:val="true"/>
        </w:rPr>
        <w:footnoteReference w:id="2584"/>
      </w:r>
      <w:r>
        <w:rPr>
          <w:rFonts w:ascii="Amiri" w:hAnsi="Amiri" w:eastAsia="Amiri" w:cs="Amiri"/>
          <w:color w:val="111111"/>
          <w:sz w:val="28"/>
          <w:sz w:val="28"/>
          <w:szCs w:val="28"/>
          <w:rtl w:val="true"/>
          <w:lang w:bidi="ar-SA"/>
        </w:rPr>
        <w:t xml:space="preserve">، وكذا في النهاية </w:t>
      </w:r>
      <w:r>
        <w:rPr>
          <w:rStyle w:val="FootnoteAnchor"/>
          <w:rtl w:val="true"/>
        </w:rPr>
        <w:footnoteReference w:id="2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التذكرة والتحرير بالحكم </w:t>
      </w:r>
      <w:r>
        <w:rPr>
          <w:rStyle w:val="FootnoteAnchor"/>
          <w:rtl w:val="true"/>
        </w:rPr>
        <w:footnoteReference w:id="2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الشهيد في الذكرى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وجب غسلها كما لو انتشر إلى الحشفة </w:t>
      </w:r>
      <w:r>
        <w:rPr>
          <w:rStyle w:val="FootnoteAnchor"/>
          <w:rtl w:val="true"/>
        </w:rPr>
        <w:footnoteReference w:id="2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قالوه وجه</w:t>
      </w:r>
      <w:r>
        <w:rPr>
          <w:rFonts w:eastAsia="IRNazanin" w:cs="IRNazanin"/>
          <w:color w:val="111111"/>
          <w:sz w:val="28"/>
          <w:szCs w:val="28"/>
          <w:rtl w:val="true"/>
          <w:lang w:bidi="fa-IR"/>
        </w:rPr>
        <w:t>.</w:t>
      </w:r>
    </w:p>
    <w:p>
      <w:pPr>
        <w:pStyle w:val="Heading6"/>
        <w:numPr>
          <w:ilvl w:val="5"/>
          <w:numId w:val="1"/>
        </w:numPr>
        <w:rPr/>
      </w:pPr>
      <w:bookmarkStart w:id="1514" w:name="__RefHeading___Toc3140973_653776707"/>
      <w:bookmarkStart w:id="1515" w:name="_Toc561"/>
      <w:bookmarkEnd w:id="1514"/>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515"/>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غسل الباطن بين الرجل والمرأة بكرا أو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علمت الثيّب وصول البول إلى مدخل الذكر ومخرج الولد وجب غسل ما ظهر منه عند الجلوس على القدمين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 xml:space="preserve">. </w:t>
      </w:r>
      <w:bookmarkStart w:id="1516" w:name="pg8731_78135"/>
    </w:p>
    <w:p>
      <w:pPr>
        <w:pStyle w:val="BookText"/>
        <w:rPr/>
      </w:pPr>
      <w:bookmarkEnd w:id="1516"/>
      <w:r>
        <w:rPr>
          <w:rFonts w:ascii="Amiri" w:hAnsi="Amiri" w:eastAsia="Amiri" w:cs="Amiri"/>
          <w:color w:val="111111"/>
          <w:sz w:val="28"/>
          <w:sz w:val="28"/>
          <w:szCs w:val="28"/>
          <w:rtl w:val="true"/>
          <w:lang w:bidi="ar-SA"/>
        </w:rPr>
        <w:t>وما ذكره من إناطة التفرقة بين الظاهر والباطن بحال الجلوس على القدمين اقتفى فيه أثر العلّامة في التذكرة ، وكأنّ مدركه العرف إذ لم يرد فيه من جهة النقل شي‌ء</w:t>
      </w:r>
      <w:r>
        <w:rPr>
          <w:rFonts w:eastAsia="Amiri" w:cs="Amiri" w:ascii="Amiri" w:hAnsi="Amiri"/>
          <w:color w:val="111111"/>
          <w:sz w:val="28"/>
          <w:szCs w:val="28"/>
          <w:rtl w:val="true"/>
          <w:lang w:bidi="ar-SA"/>
        </w:rPr>
        <w:t>.</w:t>
      </w:r>
    </w:p>
    <w:p>
      <w:pPr>
        <w:pStyle w:val="Heading6"/>
        <w:numPr>
          <w:ilvl w:val="5"/>
          <w:numId w:val="1"/>
        </w:numPr>
        <w:rPr/>
      </w:pPr>
      <w:bookmarkStart w:id="1517" w:name="__RefHeading___Toc3140975_653776707"/>
      <w:bookmarkStart w:id="1518" w:name="_Toc562"/>
      <w:bookmarkEnd w:id="1517"/>
      <w:r>
        <w:rPr>
          <w:rtl w:val="true"/>
        </w:rPr>
        <w:t xml:space="preserve">مسألة </w:t>
      </w:r>
      <w:r>
        <w:rPr>
          <w:rtl w:val="true"/>
        </w:rPr>
        <w:t>[</w:t>
      </w:r>
      <w:r>
        <w:rPr/>
        <w:t>22</w:t>
      </w:r>
      <w:r>
        <w:rPr>
          <w:rtl w:val="true"/>
        </w:rPr>
        <w:t>] :</w:t>
      </w:r>
      <w:bookmarkEnd w:id="1518"/>
    </w:p>
    <w:p>
      <w:pPr>
        <w:pStyle w:val="BookText"/>
        <w:rPr/>
      </w:pPr>
      <w:r>
        <w:rPr>
          <w:rFonts w:ascii="Amiri" w:hAnsi="Amiri" w:eastAsia="Amiri" w:cs="Amiri"/>
          <w:color w:val="111111"/>
          <w:sz w:val="28"/>
          <w:sz w:val="28"/>
          <w:szCs w:val="28"/>
          <w:rtl w:val="true"/>
          <w:lang w:bidi="ar-SA"/>
        </w:rPr>
        <w:t xml:space="preserve">وذكر جماعة من الأصحاب منهم المفيد في المقنعة ، والشهيد في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في الاستنجاء بمخرج الغائط </w:t>
      </w:r>
      <w:r>
        <w:rPr>
          <w:rStyle w:val="FootnoteAnchor"/>
          <w:rtl w:val="true"/>
        </w:rPr>
        <w:footnoteReference w:id="2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رواية رواها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إذا أراد أن يستنجي بأيّ ما يبدأ؟ بالمقعدة أو بالإحليل؟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بالمقعدة ، ثمّ بالإحليل </w:t>
      </w:r>
      <w:r>
        <w:rPr>
          <w:rFonts w:eastAsia="Amiri" w:cs="Amiri" w:ascii="Amiri" w:hAnsi="Amiri"/>
          <w:color w:val="111111"/>
          <w:sz w:val="28"/>
          <w:szCs w:val="28"/>
          <w:rtl w:val="true"/>
          <w:lang w:bidi="ar-SA"/>
        </w:rPr>
        <w:t xml:space="preserve">»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العلّامة في المنتهى هذه الرواية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في ذلك افتقار البول إلى المسح من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غسلها لا تنفكّ اليد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الجمهور عكس الحكم لئلّا تتلوّث يده إذا شرع في الدبر لأنّ قبله بارز يصيبه إذا مدّها إلى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عندي سائغان فإنّ عمّارا لا يوثق بما يفرد به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قال ، غير أنّ الرواية لو كانت ناهضة بإثبات الحكم لكان المناسب توجيهه بأنّ في ذلك استظهارا لخروج بقايا البول ، لا ما ذكره</w:t>
      </w:r>
      <w:r>
        <w:rPr>
          <w:rFonts w:eastAsia="Amiri" w:cs="Amiri" w:ascii="Amiri" w:hAnsi="Amiri"/>
          <w:color w:val="111111"/>
          <w:sz w:val="28"/>
          <w:szCs w:val="28"/>
          <w:rtl w:val="true"/>
          <w:lang w:bidi="ar-SA"/>
        </w:rPr>
        <w:t xml:space="preserve">. </w:t>
      </w:r>
      <w:bookmarkStart w:id="1519" w:name="pg8731_78137"/>
    </w:p>
    <w:p>
      <w:pPr>
        <w:pStyle w:val="Heading6"/>
        <w:numPr>
          <w:ilvl w:val="5"/>
          <w:numId w:val="1"/>
        </w:numPr>
        <w:rPr/>
      </w:pPr>
      <w:bookmarkStart w:id="1520" w:name="__RefHeading___Toc3140977_653776707"/>
      <w:bookmarkStart w:id="1521" w:name="_Toc563"/>
      <w:bookmarkEnd w:id="1519"/>
      <w:bookmarkEnd w:id="1520"/>
      <w:r>
        <w:rPr>
          <w:rtl w:val="true"/>
        </w:rPr>
        <w:t xml:space="preserve">مسألة </w:t>
      </w:r>
      <w:r>
        <w:rPr>
          <w:rtl w:val="true"/>
        </w:rPr>
        <w:t>[</w:t>
      </w:r>
      <w:r>
        <w:rPr/>
        <w:t>23</w:t>
      </w:r>
      <w:r>
        <w:rPr>
          <w:rtl w:val="true"/>
        </w:rPr>
        <w:t>] :</w:t>
      </w:r>
      <w:bookmarkEnd w:id="1521"/>
    </w:p>
    <w:p>
      <w:pPr>
        <w:pStyle w:val="Heading6"/>
        <w:numPr>
          <w:ilvl w:val="5"/>
          <w:numId w:val="1"/>
        </w:numPr>
        <w:rPr/>
      </w:pPr>
      <w:bookmarkStart w:id="1522" w:name="__RefHeading___Toc3140979_653776707"/>
      <w:bookmarkStart w:id="1523" w:name="_Toc564"/>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ويتعيّن الماء في الاستنجاء من البول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منها صحيحة زرارة </w:t>
      </w:r>
      <w:r>
        <w:rPr>
          <w:rStyle w:val="FootnoteAnchor"/>
          <w:rtl w:val="true"/>
        </w:rPr>
        <w:footnoteReference w:id="2593"/>
      </w:r>
      <w:r>
        <w:rPr>
          <w:rFonts w:ascii="Amiri" w:hAnsi="Amiri" w:eastAsia="Amiri" w:cs="Amiri"/>
          <w:color w:val="111111"/>
          <w:sz w:val="28"/>
          <w:sz w:val="28"/>
          <w:szCs w:val="28"/>
          <w:rtl w:val="true"/>
          <w:lang w:bidi="ar-SA"/>
        </w:rPr>
        <w:t xml:space="preserve">، ورواية يونس بن يعقوب </w:t>
      </w:r>
      <w:r>
        <w:rPr>
          <w:rStyle w:val="FootnoteAnchor"/>
          <w:rtl w:val="true"/>
        </w:rPr>
        <w:footnoteReference w:id="2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البول فلا بدّ من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بن درّاج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انقطعت درّة البول فصبّ الماء </w:t>
      </w:r>
      <w:r>
        <w:rPr>
          <w:rFonts w:eastAsia="Amiri" w:cs="Amiri" w:ascii="Amiri" w:hAnsi="Amiri"/>
          <w:color w:val="111111"/>
          <w:sz w:val="28"/>
          <w:szCs w:val="28"/>
          <w:rtl w:val="true"/>
          <w:lang w:bidi="ar-SA"/>
        </w:rPr>
        <w:t xml:space="preserve">»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اذينة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مريم الأنصاري أنّ الحكم بن عيينة بال يوما ولم يغسل ذكره متعمّدا فذكرت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عليه أن يغسل ذكره </w:t>
      </w:r>
      <w:r>
        <w:rPr>
          <w:rFonts w:eastAsia="Amiri" w:cs="Amiri" w:ascii="Amiri" w:hAnsi="Amiri"/>
          <w:color w:val="111111"/>
          <w:sz w:val="28"/>
          <w:szCs w:val="28"/>
          <w:rtl w:val="true"/>
          <w:lang w:bidi="ar-SA"/>
        </w:rPr>
        <w:t xml:space="preserve">»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توضّأت يوما ولم أغسل ذكري ، ثمّ صلّيت ، فسألت أبا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ذكرك وأعد صلاتك </w:t>
      </w:r>
      <w:r>
        <w:rPr>
          <w:rFonts w:eastAsia="Amiri" w:cs="Amiri" w:ascii="Amiri" w:hAnsi="Amiri"/>
          <w:color w:val="111111"/>
          <w:sz w:val="28"/>
          <w:szCs w:val="28"/>
          <w:rtl w:val="true"/>
          <w:lang w:bidi="ar-SA"/>
        </w:rPr>
        <w:t xml:space="preserve">»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للأصحاب في كمّيّة ما يزال به البول من الماء خلافا أسلفنا البحث فيه ، وبيّنا أنّ الأظهر الاكتفاء في ذلك بما يزيل العين ، والأحوط المرّتان ، والأكمل الثلاث</w:t>
      </w:r>
      <w:r>
        <w:rPr>
          <w:rFonts w:eastAsia="Amiri" w:cs="Amiri" w:ascii="Amiri" w:hAnsi="Amiri"/>
          <w:color w:val="111111"/>
          <w:sz w:val="28"/>
          <w:szCs w:val="28"/>
          <w:rtl w:val="true"/>
          <w:lang w:bidi="ar-SA"/>
        </w:rPr>
        <w:t xml:space="preserve">. </w:t>
      </w:r>
      <w:bookmarkStart w:id="1524" w:name="pg8731_78139"/>
    </w:p>
    <w:p>
      <w:pPr>
        <w:pStyle w:val="Heading6"/>
        <w:numPr>
          <w:ilvl w:val="5"/>
          <w:numId w:val="1"/>
        </w:numPr>
        <w:rPr/>
      </w:pPr>
      <w:bookmarkStart w:id="1525" w:name="__RefHeading___Toc3140981_653776707"/>
      <w:bookmarkStart w:id="1526" w:name="_Toc565"/>
      <w:bookmarkEnd w:id="1524"/>
      <w:bookmarkEnd w:id="1525"/>
      <w:r>
        <w:rPr>
          <w:rtl w:val="true"/>
        </w:rPr>
        <w:t xml:space="preserve">فرع </w:t>
      </w:r>
      <w:r>
        <w:rPr>
          <w:rtl w:val="true"/>
        </w:rPr>
        <w:t>:</w:t>
      </w:r>
      <w:bookmarkEnd w:id="1526"/>
    </w:p>
    <w:p>
      <w:pPr>
        <w:pStyle w:val="BookText"/>
        <w:rPr/>
      </w:pPr>
      <w:r>
        <w:rPr>
          <w:rFonts w:ascii="Amiri" w:hAnsi="Amiri" w:eastAsia="Amiri" w:cs="Amiri"/>
          <w:color w:val="111111"/>
          <w:sz w:val="28"/>
          <w:sz w:val="28"/>
          <w:szCs w:val="28"/>
          <w:rtl w:val="true"/>
          <w:lang w:bidi="ar-SA"/>
        </w:rPr>
        <w:t xml:space="preserve">قال الفاضلان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الماء لغسل مخرج البول أو تعذّر استعماله لمانع كالجرح أجزأه مسحه بما يزيل عين النجاسة ، كالحجر والخرق والكرسف وشبهه ؛ لأنّه يجب إزالة عين النجاسة وأثرها ، فإذا تعذّرت إزالة الأثر تعيّنت إزالة العين </w:t>
      </w:r>
      <w:r>
        <w:rPr>
          <w:rStyle w:val="FootnoteAnchor"/>
          <w:rtl w:val="true"/>
        </w:rPr>
        <w:footnoteReference w:id="2598"/>
      </w:r>
      <w:r>
        <w:rPr>
          <w:rFonts w:ascii="Amiri" w:hAnsi="Amiri" w:eastAsia="Amiri" w:cs="Amiri"/>
          <w:color w:val="111111"/>
          <w:sz w:val="28"/>
          <w:sz w:val="28"/>
          <w:szCs w:val="28"/>
          <w:rtl w:val="true"/>
          <w:lang w:bidi="ar-SA"/>
        </w:rPr>
        <w:t>، وقد أشرنا فيما سلف إلى هذا الكلام ونبّهنا على أنّ التعليل في موضع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الوجه في ذلك عدم تعدّي البول إلى غير المخرج من البدن والثوب لكان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زاد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الماء بعد ذلك وجب عليه الغسل ، ولا يجتزئ بالمسح المتقدّم لأنّه اجتزأ به للضرورة وقد زالت ، ونجاسة المحلّ باقية ؛ لأنّ المزيل لم يوجد ، فلو لاقاه شي‌ء برطوبة كان نجسا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واضح بالنظر إلى القواعد ؛ فإنّ إزالة الأثر لم تحصل لتوقّفها على الماء ، كما هو المفروض ، فتبقى النجاسة إلى أن يغسل المحلّ بالماء ، وليس ذلك أيضا بموضع خلاف بين الأصحاب معروف ، ولكن روى الشيخ في الصحيح عن ابن أبي عمير عن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رجلا 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بلت فلا أقدر على الماء ، ويشتدّ ذلك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وتمسّحت فامسح ذكرك بريقك فإن وجدت شيئا فقل هذا من ذاك </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عن حنّان أيضا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أبول ثمّ أتمسّح بالأحجار فيجي‌ء من البلل ما يفسد سراويلي؟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لاح من هذين الخبرين نوع منافاة للحكم المذكور ، لكنّهما قابلان للتأويل ، مع أنّ في طريقهما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حنّان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يمسحه بريقه فإذا وجد بللا فمنه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بال في موضع ليس فيه ماء فمسح ذكره بحجر وقد عرق ذكره وفخذاه؟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عمّن مسح ذكره بيده ، ثمّ عرقت يده فأصاب ثوبه ، يغسل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هذا الخبر عند الكلام على خلاف بعض المتقدّمين في قليل النجاسة ، وصدره صريح في الموافقة </w:t>
      </w:r>
      <w:r>
        <w:rPr>
          <w:rStyle w:val="FootnoteAnchor"/>
          <w:rtl w:val="true"/>
        </w:rPr>
        <w:footnoteReference w:id="2605"/>
      </w:r>
      <w:r>
        <w:rPr>
          <w:rFonts w:ascii="Amiri" w:hAnsi="Amiri" w:eastAsia="Amiri" w:cs="Amiri"/>
          <w:color w:val="111111"/>
          <w:sz w:val="28"/>
          <w:sz w:val="28"/>
          <w:szCs w:val="28"/>
          <w:rtl w:val="true"/>
          <w:lang w:bidi="ar-SA"/>
        </w:rPr>
        <w:t>لمقتضى القواعد كما قرّرناه ، دافع لظاهر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بعجزه كون إصابة اليد للثوب بغير الموضع الذي حصل به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الشبهة المقتضية للسؤال حينئذ احتمال </w:t>
      </w:r>
      <w:bookmarkStart w:id="1527" w:name="pg8731_78143"/>
    </w:p>
    <w:p>
      <w:pPr>
        <w:pStyle w:val="BookText"/>
        <w:rPr/>
      </w:pPr>
      <w:bookmarkEnd w:id="1527"/>
      <w:r>
        <w:rPr>
          <w:rFonts w:ascii="Amiri" w:hAnsi="Amiri" w:eastAsia="Amiri" w:cs="Amiri"/>
          <w:color w:val="111111"/>
          <w:sz w:val="28"/>
          <w:sz w:val="28"/>
          <w:szCs w:val="28"/>
          <w:rtl w:val="true"/>
          <w:lang w:bidi="ar-SA"/>
        </w:rPr>
        <w:t xml:space="preserve">سريان النجاسة </w:t>
      </w:r>
      <w:r>
        <w:rPr>
          <w:rStyle w:val="FootnoteAnchor"/>
          <w:rtl w:val="true"/>
        </w:rPr>
        <w:footnoteReference w:id="2606"/>
      </w:r>
      <w:r>
        <w:rPr>
          <w:rFonts w:ascii="Amiri" w:hAnsi="Amiri" w:eastAsia="Amiri" w:cs="Amiri"/>
          <w:color w:val="111111"/>
          <w:sz w:val="28"/>
          <w:sz w:val="28"/>
          <w:szCs w:val="28"/>
          <w:rtl w:val="true"/>
          <w:lang w:bidi="ar-SA"/>
        </w:rPr>
        <w:t>لليد كلّها بسبب رطوبة العرق</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3140983_653776707"/>
      <w:bookmarkStart w:id="1529" w:name="_Toc566"/>
      <w:bookmarkEnd w:id="1528"/>
      <w:r>
        <w:rPr>
          <w:rtl w:val="true"/>
        </w:rPr>
        <w:t xml:space="preserve">مسألة </w:t>
      </w:r>
      <w:r>
        <w:rPr>
          <w:rtl w:val="true"/>
        </w:rPr>
        <w:t>[</w:t>
      </w:r>
      <w:r>
        <w:rPr/>
        <w:t>24</w:t>
      </w:r>
      <w:r>
        <w:rPr>
          <w:rtl w:val="true"/>
        </w:rPr>
        <w:t>] :</w:t>
      </w:r>
      <w:bookmarkEnd w:id="1529"/>
    </w:p>
    <w:p>
      <w:pPr>
        <w:pStyle w:val="BookText"/>
        <w:rPr/>
      </w:pPr>
      <w:r>
        <w:rPr>
          <w:rFonts w:ascii="Amiri" w:hAnsi="Amiri" w:eastAsia="Amiri" w:cs="Amiri"/>
          <w:color w:val="111111"/>
          <w:sz w:val="28"/>
          <w:sz w:val="28"/>
          <w:szCs w:val="28"/>
          <w:rtl w:val="true"/>
          <w:lang w:bidi="ar-SA"/>
        </w:rPr>
        <w:t xml:space="preserve">ويتخيّر في الاستنجاء من الغائط إذا لم يتعدّ المخرج بين الغسل بالماء والاستجمار بالأحجار أو ما يقوم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والغسل بالماء أفضل ، والجمع بينهما أكمل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الدليل على أصل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له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أقوى المطهّرين ؛ لأنّه يزيل العين والأثر ، بخلاف الحجر </w:t>
      </w:r>
      <w:r>
        <w:rPr>
          <w:rStyle w:val="FootnoteAnchor"/>
          <w:rtl w:val="true"/>
        </w:rPr>
        <w:footnoteReference w:id="2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إلى ذلك في المنتهى الاحتجاج بقول أبي جعفر عليه‌السلام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من الاستنجاء ثلاثة 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أفضليّة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البرقي عن ابن أبي عمير عن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يا معشر الأنصار إنّ اللّه قد أحسن عليكم الثناء فما ذا تصنعون؟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نستنجي بالماء </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دلالة على أفضليّة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الجمع أكمل فاحتجّوا له بأنّه جمع بين مطهّرين</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الشيخ عن أحمد بن محمّد عن بعض أصحابنا ، رفعه إلى أبي عبد </w:t>
      </w:r>
      <w:bookmarkStart w:id="1530" w:name="pg8731_78144"/>
    </w:p>
    <w:p>
      <w:pPr>
        <w:pStyle w:val="BookText"/>
        <w:rPr/>
      </w:pPr>
      <w:bookmarkEnd w:id="1530"/>
      <w:r>
        <w:rPr>
          <w:rFonts w:ascii="Amiri" w:hAnsi="Amiri" w:eastAsia="Amiri" w:cs="Amiri"/>
          <w:color w:val="111111"/>
          <w:sz w:val="28"/>
          <w:sz w:val="28"/>
          <w:szCs w:val="28"/>
          <w:rtl w:val="true"/>
          <w:lang w:bidi="ar-SA"/>
        </w:rPr>
        <w:t xml:space="preserve">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بثلاثة أحجار أبكار ويتبع بالماء </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1" w:name="__RefHeading___Toc3140985_653776707"/>
      <w:bookmarkStart w:id="1532" w:name="_Toc567"/>
      <w:bookmarkEnd w:id="1531"/>
      <w:r>
        <w:rPr>
          <w:rtl w:val="true"/>
        </w:rPr>
        <w:t xml:space="preserve">مسألة </w:t>
      </w:r>
      <w:r>
        <w:rPr>
          <w:rtl w:val="true"/>
        </w:rPr>
        <w:t>[</w:t>
      </w:r>
      <w:r>
        <w:rPr/>
        <w:t>25</w:t>
      </w:r>
      <w:r>
        <w:rPr>
          <w:rtl w:val="true"/>
        </w:rPr>
        <w:t>] :</w:t>
      </w:r>
      <w:bookmarkEnd w:id="1532"/>
    </w:p>
    <w:p>
      <w:pPr>
        <w:pStyle w:val="BookText"/>
        <w:rPr/>
      </w:pPr>
      <w:r>
        <w:rPr>
          <w:rFonts w:ascii="Amiri" w:hAnsi="Amiri" w:eastAsia="Amiri" w:cs="Amiri"/>
          <w:color w:val="111111"/>
          <w:sz w:val="28"/>
          <w:sz w:val="28"/>
          <w:szCs w:val="28"/>
          <w:rtl w:val="true"/>
          <w:lang w:bidi="ar-SA"/>
        </w:rPr>
        <w:t>وإذا تعدّى الغائط المخرج تعيّن الماء للاستنجاء منه بغير خلاف نعرفه لأحد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المعتبر دعوى الإجماع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له بحديثين عامّيين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فاحتجّ له في المنتهى بعموم الأخبار المتضمّنة للأمر بغسل مخرج الغائط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 وجه الدلالة بأنّه إذا ثبت وجوب الغسل بالماء من الغائط مطلقا ثمّ قام الدليل على التخيير بينه وبين الاستجمار في غير التعدّي منه صار العموم مخصوصا وبقيت دلالته في المتعدّي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تكلّف لا يخفى</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3140987_653776707"/>
      <w:bookmarkStart w:id="1534" w:name="_Toc568"/>
      <w:bookmarkEnd w:id="1533"/>
      <w:r>
        <w:rPr>
          <w:rtl w:val="true"/>
        </w:rPr>
        <w:t xml:space="preserve">مسألة </w:t>
      </w:r>
      <w:r>
        <w:rPr>
          <w:rtl w:val="true"/>
        </w:rPr>
        <w:t>[</w:t>
      </w:r>
      <w:r>
        <w:rPr/>
        <w:t>26</w:t>
      </w:r>
      <w:r>
        <w:rPr>
          <w:rtl w:val="true"/>
        </w:rPr>
        <w:t>] :</w:t>
      </w:r>
      <w:bookmarkEnd w:id="1534"/>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حدّ للاستنجاء من الغائط بالماء إلّا الإنقاء وهو قول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يستنجي حتّى يصر الموضع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 xml:space="preserve">. </w:t>
      </w:r>
      <w:bookmarkStart w:id="1535" w:name="pg8731_78145"/>
    </w:p>
    <w:p>
      <w:pPr>
        <w:pStyle w:val="BookText"/>
        <w:rPr/>
      </w:pPr>
      <w:bookmarkEnd w:id="1535"/>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زوال عين النجاسة عن المحلّ بالماء ، فإذا زالت خرج المكلّف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أبو جعفر الكليني في الحسن عن ابن المغيرة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للاستنجاء 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مأثمه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مأثمه ويبقى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 ينظر إليها </w:t>
      </w:r>
      <w:r>
        <w:rPr>
          <w:rFonts w:eastAsia="Amiri" w:cs="Amiri" w:ascii="Amiri" w:hAnsi="Amiri"/>
          <w:color w:val="111111"/>
          <w:sz w:val="28"/>
          <w:szCs w:val="28"/>
          <w:rtl w:val="true"/>
          <w:lang w:bidi="ar-SA"/>
        </w:rPr>
        <w:t xml:space="preserve">»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سلّار لا نعرف به أثرا غير أنّه لا يبعد كون ذلك في الغالب لازما لزوال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الفاضلان في المعتبر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سلّار يختلف باختلاف المياه في الحرارة والبرودة واللزوجة والخشونة ، فلا يحصل الصرء </w:t>
      </w:r>
      <w:r>
        <w:rPr>
          <w:rStyle w:val="FootnoteAnchor"/>
          <w:rtl w:val="true"/>
        </w:rPr>
        <w:footnoteReference w:id="2615"/>
      </w:r>
      <w:r>
        <w:rPr>
          <w:rFonts w:ascii="Amiri" w:hAnsi="Amiri" w:eastAsia="Amiri" w:cs="Amiri"/>
          <w:color w:val="111111"/>
          <w:sz w:val="28"/>
          <w:sz w:val="28"/>
          <w:szCs w:val="28"/>
          <w:rtl w:val="true"/>
          <w:lang w:bidi="ar-SA"/>
        </w:rPr>
        <w:t>مع اللزج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حصل قبل التطهير مع الخشن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6" w:name="__RefHeading___Toc3140989_653776707"/>
      <w:bookmarkStart w:id="1537" w:name="_Toc569"/>
      <w:bookmarkEnd w:id="1536"/>
      <w:r>
        <w:rPr>
          <w:rtl w:val="true"/>
        </w:rPr>
        <w:t xml:space="preserve">مسألة </w:t>
      </w:r>
      <w:r>
        <w:rPr>
          <w:rtl w:val="true"/>
        </w:rPr>
        <w:t>[</w:t>
      </w:r>
      <w:r>
        <w:rPr/>
        <w:t>27</w:t>
      </w:r>
      <w:r>
        <w:rPr>
          <w:rtl w:val="true"/>
        </w:rPr>
        <w:t>] :</w:t>
      </w:r>
      <w:bookmarkEnd w:id="1537"/>
    </w:p>
    <w:p>
      <w:pPr>
        <w:pStyle w:val="BookText"/>
        <w:rPr/>
      </w:pPr>
      <w:r>
        <w:rPr>
          <w:rFonts w:ascii="Amiri" w:hAnsi="Amiri" w:eastAsia="Amiri" w:cs="Amiri"/>
          <w:color w:val="111111"/>
          <w:sz w:val="28"/>
          <w:sz w:val="28"/>
          <w:szCs w:val="28"/>
          <w:rtl w:val="true"/>
          <w:lang w:bidi="ar-SA"/>
        </w:rPr>
        <w:t>وحدّ الاستنجاء بالاستجمار زوال العين وكمال العدد ، على الأظهر والأشهر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ذلك</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اتّفق زوال العين وكمال العدد بالثلاثة فذاك ، وإلّا استعمل الزائد </w:t>
      </w:r>
      <w:bookmarkStart w:id="1538" w:name="pg8731_78146"/>
    </w:p>
    <w:p>
      <w:pPr>
        <w:pStyle w:val="BookText"/>
        <w:rPr/>
      </w:pPr>
      <w:bookmarkEnd w:id="1538"/>
      <w:r>
        <w:rPr>
          <w:rFonts w:ascii="Amiri" w:hAnsi="Amiri" w:eastAsia="Amiri" w:cs="Amiri"/>
          <w:color w:val="111111"/>
          <w:sz w:val="28"/>
          <w:sz w:val="28"/>
          <w:szCs w:val="28"/>
          <w:rtl w:val="true"/>
          <w:lang w:bidi="ar-SA"/>
        </w:rPr>
        <w:t>حتّى ينقى المحلّ ، لكن يستحبّ أن لا يقطع إلّا على وتر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عيسى بن عبد اللّه عن أبيه عن جدّه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استنجى أحدكم فليوتر بها وترا إذا لم يكن الماء </w:t>
      </w:r>
      <w:r>
        <w:rPr>
          <w:rFonts w:eastAsia="Amiri" w:cs="Amiri" w:ascii="Amiri" w:hAnsi="Amiri"/>
          <w:color w:val="111111"/>
          <w:sz w:val="28"/>
          <w:szCs w:val="28"/>
          <w:rtl w:val="true"/>
          <w:lang w:bidi="ar-SA"/>
        </w:rPr>
        <w:t xml:space="preserve">»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من المشاهير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9" w:name="__RefHeading___Toc3140991_653776707"/>
      <w:bookmarkStart w:id="1540" w:name="_Toc570"/>
      <w:bookmarkEnd w:id="1539"/>
      <w:r>
        <w:rPr>
          <w:rtl w:val="true"/>
        </w:rPr>
        <w:t xml:space="preserve">مسألة </w:t>
      </w:r>
      <w:r>
        <w:rPr>
          <w:rtl w:val="true"/>
        </w:rPr>
        <w:t>[</w:t>
      </w:r>
      <w:r>
        <w:rPr/>
        <w:t>28</w:t>
      </w:r>
      <w:r>
        <w:rPr>
          <w:rtl w:val="true"/>
        </w:rPr>
        <w:t>] :</w:t>
      </w:r>
      <w:bookmarkEnd w:id="1540"/>
    </w:p>
    <w:p>
      <w:pPr>
        <w:pStyle w:val="Heading6"/>
        <w:numPr>
          <w:ilvl w:val="5"/>
          <w:numId w:val="1"/>
        </w:numPr>
        <w:rPr/>
      </w:pPr>
      <w:bookmarkStart w:id="1541" w:name="__RefHeading___Toc3140993_653776707"/>
      <w:bookmarkStart w:id="1542" w:name="_Toc571"/>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 xml:space="preserve">ويعتبر في أداة الاستجمار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فيها من الاختلاف 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يختصّ أكثرها بالقول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فلا يجزي الاستجمار بالمنجّس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المنتهى </w:t>
      </w:r>
      <w:r>
        <w:rPr>
          <w:rStyle w:val="FootnoteAnchor"/>
          <w:rtl w:val="true"/>
        </w:rPr>
        <w:footnoteReference w:id="2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 مع ذلك بقول أبي عبد اللّه عليه‌السلام في الرواية السابقة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في الاستنجاء بثلاثة أحجار أبكار </w:t>
      </w:r>
      <w:r>
        <w:rPr>
          <w:rStyle w:val="FootnoteAnchor"/>
          <w:rtl w:val="true"/>
        </w:rPr>
        <w:footnoteReference w:id="2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وإن كانت مرسلة إلّا أنّها موافقة للمذهب ؛ لأنّه إزالة للنجاسة فلا تحصل بالنجس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الأصحاب</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له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الرطوبة ينجس البلل الذي عليها </w:t>
      </w:r>
    </w:p>
    <w:p>
      <w:pPr>
        <w:pStyle w:val="BookText"/>
        <w:rPr/>
      </w:pPr>
      <w:r>
        <w:rPr>
          <w:rFonts w:ascii="Amiri" w:hAnsi="Amiri" w:eastAsia="Amiri" w:cs="Amiri"/>
          <w:color w:val="111111"/>
          <w:sz w:val="28"/>
          <w:sz w:val="28"/>
          <w:szCs w:val="28"/>
          <w:rtl w:val="true"/>
          <w:lang w:bidi="ar-SA"/>
        </w:rPr>
        <w:t>بإصابة النجاسة له ويعود شي‌ء منه إلى محلّ النجو ، فيحصل عليه نجاسة أجنبيّة ، فيكون قد استعمل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الرطب لا يزيل النجاسة بل يزيد التلويث 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الإجزاء لأنّ البلل ينجس بالانفصال كالماء الذي يغسل به النجاسة ، لا بإصابة النجاسة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توجيه الاحتمال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الأوّلان فيرد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شي‌ء من البلل إلى محلّ النجو إنّما يكون مع كثرة الرطوبة لا مع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زيادة التلويث والانتشار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في التذكرة اشتراط الجفاف بأنّ الرطب لا ينشف المحلّ </w:t>
      </w:r>
      <w:r>
        <w:rPr>
          <w:rStyle w:val="FootnoteAnchor"/>
          <w:rtl w:val="true"/>
        </w:rPr>
        <w:footnoteReference w:id="2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يتمّ في غير المسحة الأخيرة ؛ لأنّ الرطوبة حينئذ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صقيلة كالزجاج ولا رخوة كاللحم ، ولا ممّا يتفتّت بالاعتماد عليه كالتراب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كلّه توقّف زوال العين بالمسح على الخشونة والصلابة والاستمساك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استفيد هذا الشرط من تقييد ما يقوم مقام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مزيلا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عظما ولا 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في المعتبر اتّفاق الأصحاب على عدم إجزائهما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التهذيب بإسناد فيه ضعف عن ليث المرادي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استنجاء الرجل بالعظم أو البعر أو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43" w:name="pg8731_78148"/>
    </w:p>
    <w:p>
      <w:pPr>
        <w:pStyle w:val="BookText"/>
        <w:rPr/>
      </w:pPr>
      <w:bookmarkEnd w:id="1543"/>
      <w:r>
        <w:rPr>
          <w:rFonts w:ascii="Amiri" w:hAnsi="Amiri" w:eastAsia="Amiri" w:cs="Amiri"/>
          <w:color w:val="111111"/>
          <w:sz w:val="28"/>
          <w:sz w:val="28"/>
          <w:szCs w:val="28"/>
          <w:rtl w:val="true"/>
          <w:lang w:bidi="ar-SA"/>
        </w:rPr>
        <w:t>أمّا العظم والروث فطعام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اشترطوا على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بشي‌ء من ذلك </w:t>
      </w:r>
      <w:r>
        <w:rPr>
          <w:rFonts w:eastAsia="Amiri" w:cs="Amiri" w:ascii="Amiri" w:hAnsi="Amiri"/>
          <w:color w:val="111111"/>
          <w:sz w:val="28"/>
          <w:szCs w:val="28"/>
          <w:rtl w:val="true"/>
          <w:lang w:bidi="ar-SA"/>
        </w:rPr>
        <w:t xml:space="preserve">»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مطعوما كالخبز والفاكهة ؛ لأنّ له حرمة تمنع من الاستهانة به ، ولأنّ طعام الجنّ منهيّ عنه فطعام أهل الصلاح أولى بدلالة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محترما كورق المصحف وكتب الحديث والفقه والتربة الحسينيّة ؛ لأنّ في استعمال مثله هتكا لحرمة الشرع</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3140995_653776707"/>
      <w:bookmarkStart w:id="1545" w:name="_Toc572"/>
      <w:bookmarkEnd w:id="1544"/>
      <w:r>
        <w:rPr>
          <w:rtl w:val="true"/>
        </w:rPr>
        <w:t xml:space="preserve">فروع </w:t>
      </w:r>
      <w:r>
        <w:rPr>
          <w:rtl w:val="true"/>
        </w:rPr>
        <w:t>:</w:t>
      </w:r>
      <w:bookmarkEnd w:id="1545"/>
    </w:p>
    <w:p>
      <w:pPr>
        <w:pStyle w:val="Heading6"/>
        <w:numPr>
          <w:ilvl w:val="5"/>
          <w:numId w:val="1"/>
        </w:numPr>
        <w:rPr/>
      </w:pPr>
      <w:bookmarkStart w:id="1546" w:name="__RefHeading___Toc3140997_653776707"/>
      <w:bookmarkStart w:id="1547" w:name="_Toc573"/>
      <w:bookmarkEnd w:id="1546"/>
      <w:r>
        <w:rPr>
          <w:rtl w:val="true"/>
        </w:rPr>
        <w:t xml:space="preserve">[ </w:t>
      </w:r>
      <w:r>
        <w:rPr>
          <w:rtl w:val="true"/>
        </w:rPr>
        <w:t xml:space="preserve">الفرع </w:t>
      </w:r>
      <w:r>
        <w:rPr>
          <w:rtl w:val="true"/>
        </w:rPr>
        <w:t xml:space="preserve">] </w:t>
      </w:r>
      <w:r>
        <w:rPr>
          <w:rtl w:val="true"/>
        </w:rPr>
        <w:t xml:space="preserve">الأوّل </w:t>
      </w:r>
      <w:r>
        <w:rPr>
          <w:rtl w:val="true"/>
        </w:rPr>
        <w:t>:</w:t>
      </w:r>
      <w:bookmarkEnd w:id="1547"/>
    </w:p>
    <w:p>
      <w:pPr>
        <w:pStyle w:val="BookText"/>
        <w:rPr/>
      </w:pPr>
      <w:r>
        <w:rPr>
          <w:rFonts w:ascii="Amiri" w:hAnsi="Amiri" w:eastAsia="Amiri" w:cs="Amiri"/>
          <w:color w:val="111111"/>
          <w:sz w:val="28"/>
          <w:sz w:val="28"/>
          <w:szCs w:val="28"/>
          <w:rtl w:val="true"/>
          <w:lang w:bidi="ar-SA"/>
        </w:rPr>
        <w:t>لو استجمر بالنجس لم يجزئ لفقد شرط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وفي حكم المحلّ حينئذ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الماء ؛ لأنّ الاستجمار إنّما يجزئ من نجاسة المحلّ ، وما حصل باستعمال النجس أمر خارج فلا يتناوله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جزم الشهيدان رحمهما‌اللّه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المحلّ على حاله فيجري فيه الاستجمار ، كما كان قبل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ذكره العلّامة في النهاية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بأنّ النجس لا يتأثّر بالنجاسة فيبقى على حكمه </w:t>
      </w:r>
      <w:r>
        <w:rPr>
          <w:rStyle w:val="FootnoteAnchor"/>
          <w:rtl w:val="true"/>
        </w:rPr>
        <w:footnoteReference w:id="2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فإن كانت نجاسة بغير الغائط تعيّن الماء ، وإلّا أجزأ </w:t>
      </w:r>
      <w:bookmarkStart w:id="1548" w:name="pg8731_78149"/>
    </w:p>
    <w:p>
      <w:pPr>
        <w:pStyle w:val="BookText"/>
        <w:rPr/>
      </w:pPr>
      <w:bookmarkEnd w:id="1548"/>
      <w:r>
        <w:rPr>
          <w:rFonts w:ascii="Amiri" w:hAnsi="Amiri" w:eastAsia="Amiri" w:cs="Amiri"/>
          <w:color w:val="111111"/>
          <w:sz w:val="28"/>
          <w:sz w:val="28"/>
          <w:szCs w:val="28"/>
          <w:rtl w:val="true"/>
          <w:lang w:bidi="ar-SA"/>
        </w:rPr>
        <w:t>الاستجمار بثلاثة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مختار العلّامة في القواعد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الأوّل</w:t>
      </w:r>
      <w:r>
        <w:rPr>
          <w:rFonts w:eastAsia="IRNazanin" w:cs="IRNazanin"/>
          <w:color w:val="111111"/>
          <w:sz w:val="28"/>
          <w:szCs w:val="28"/>
          <w:rtl w:val="true"/>
          <w:lang w:bidi="fa-IR"/>
        </w:rPr>
        <w:t>.</w:t>
      </w:r>
    </w:p>
    <w:p>
      <w:pPr>
        <w:pStyle w:val="Heading6"/>
        <w:numPr>
          <w:ilvl w:val="5"/>
          <w:numId w:val="1"/>
        </w:numPr>
        <w:rPr/>
      </w:pPr>
      <w:bookmarkStart w:id="1549" w:name="__RefHeading___Toc3140999_653776707"/>
      <w:bookmarkStart w:id="1550" w:name="_Toc574"/>
      <w:bookmarkEnd w:id="1549"/>
      <w:r>
        <w:rPr>
          <w:rtl w:val="true"/>
        </w:rPr>
        <w:t xml:space="preserve">[ </w:t>
      </w:r>
      <w:r>
        <w:rPr>
          <w:rtl w:val="true"/>
        </w:rPr>
        <w:t xml:space="preserve">الفرع </w:t>
      </w:r>
      <w:r>
        <w:rPr>
          <w:rtl w:val="true"/>
        </w:rPr>
        <w:t xml:space="preserve">] </w:t>
      </w:r>
      <w:r>
        <w:rPr>
          <w:rtl w:val="true"/>
        </w:rPr>
        <w:t xml:space="preserve">الثاني </w:t>
      </w:r>
      <w:r>
        <w:rPr>
          <w:rtl w:val="true"/>
        </w:rPr>
        <w:t>:</w:t>
      </w:r>
      <w:bookmarkEnd w:id="1550"/>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استجمر بحجر ثمّ غسله أو كسر ما نجس منه جاز الاستجمار به ثانيا ؛ لأنّه حجر يجزي غيره الاستجمار به فأجزأه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قول الشيخ عدم الإجزاء محافظة على صورة لفظ العدد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بقول الشيخ إيجابه كمال العدد وإن حصل النقاء بما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المذكور قريب وإن استبعده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يخرج بالكسر عن اسم الحجر الواحد ، أو كان استعماله في الزيادة على الثلاث حيث لا يحصل النقاء بها</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3141001_653776707"/>
      <w:bookmarkStart w:id="1552" w:name="_Toc575"/>
      <w:bookmarkEnd w:id="1551"/>
      <w:r>
        <w:rPr>
          <w:rtl w:val="true"/>
        </w:rPr>
        <w:t xml:space="preserve">[ </w:t>
      </w:r>
      <w:r>
        <w:rPr>
          <w:rtl w:val="true"/>
        </w:rPr>
        <w:t xml:space="preserve">الفرع </w:t>
      </w:r>
      <w:r>
        <w:rPr>
          <w:rtl w:val="true"/>
        </w:rPr>
        <w:t xml:space="preserve">] </w:t>
      </w:r>
      <w:r>
        <w:rPr>
          <w:rtl w:val="true"/>
        </w:rPr>
        <w:t xml:space="preserve">الثالث </w:t>
      </w:r>
      <w:r>
        <w:rPr>
          <w:rtl w:val="true"/>
        </w:rPr>
        <w:t>:</w:t>
      </w:r>
      <w:bookmarkEnd w:id="1552"/>
    </w:p>
    <w:p>
      <w:pPr>
        <w:pStyle w:val="BookText"/>
        <w:rPr/>
      </w:pPr>
      <w:r>
        <w:rPr>
          <w:rFonts w:ascii="Amiri" w:hAnsi="Amiri" w:eastAsia="Amiri" w:cs="Amiri"/>
          <w:color w:val="111111"/>
          <w:sz w:val="28"/>
          <w:sz w:val="28"/>
          <w:szCs w:val="28"/>
          <w:rtl w:val="true"/>
          <w:lang w:bidi="ar-SA"/>
        </w:rPr>
        <w:t xml:space="preserve">لو استعمل ما منع من استعماله كالمطعوم والمحترم ، قال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المحلّ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ويعزى إلى الشيخ الاحتجاج له بأنّه استنجاء منهيّ عنه </w:t>
      </w:r>
      <w:r>
        <w:rPr>
          <w:rStyle w:val="FootnoteAnchor"/>
          <w:rtl w:val="true"/>
        </w:rPr>
        <w:footnoteReference w:id="2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يدلّ على الفساد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والمتأخّرون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 لأنّ الغرض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حصلت ، </w:t>
      </w:r>
      <w:bookmarkStart w:id="1553" w:name="pg8731_78150"/>
    </w:p>
    <w:p>
      <w:pPr>
        <w:pStyle w:val="BookText"/>
        <w:rPr/>
      </w:pPr>
      <w:bookmarkEnd w:id="1553"/>
      <w:r>
        <w:rPr>
          <w:rFonts w:ascii="Amiri" w:hAnsi="Amiri" w:eastAsia="Amiri" w:cs="Amiri"/>
          <w:color w:val="111111"/>
          <w:sz w:val="28"/>
          <w:sz w:val="28"/>
          <w:szCs w:val="28"/>
          <w:rtl w:val="true"/>
          <w:lang w:bidi="ar-SA"/>
        </w:rPr>
        <w:t xml:space="preserve">غاية ما هناك أنّه يكون آثما بمخالفة النهي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أجود بناء على القول بالتعميم فيما يقوم مقام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المختلف عن حجّة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إنّما يدلّ على الفساد في العبادات ، والاستنجاء إزالة النجاسة وليس عبادة ، وإلّا لاشترط فيه ما يشترط في العبادة ، والتالي باطل إجماعا 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جليّ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4" w:name="__RefHeading___Toc3141003_653776707"/>
      <w:bookmarkStart w:id="1555" w:name="_Toc576"/>
      <w:bookmarkEnd w:id="1554"/>
      <w:r>
        <w:rPr>
          <w:rtl w:val="true"/>
        </w:rPr>
        <w:t xml:space="preserve">[ </w:t>
      </w:r>
      <w:r>
        <w:rPr>
          <w:rtl w:val="true"/>
        </w:rPr>
        <w:t xml:space="preserve">الفرع </w:t>
      </w:r>
      <w:r>
        <w:rPr>
          <w:rtl w:val="true"/>
        </w:rPr>
        <w:t xml:space="preserve">] </w:t>
      </w:r>
      <w:r>
        <w:rPr>
          <w:rtl w:val="true"/>
        </w:rPr>
        <w:t xml:space="preserve">الرابع </w:t>
      </w:r>
      <w:r>
        <w:rPr>
          <w:rtl w:val="true"/>
        </w:rPr>
        <w:t>:</w:t>
      </w:r>
      <w:bookmarkEnd w:id="1555"/>
    </w:p>
    <w:p>
      <w:pPr>
        <w:pStyle w:val="BookText"/>
        <w:rPr/>
      </w:pPr>
      <w:r>
        <w:rPr>
          <w:rFonts w:ascii="Amiri" w:hAnsi="Amiri" w:eastAsia="Amiri" w:cs="Amiri"/>
          <w:color w:val="111111"/>
          <w:sz w:val="28"/>
          <w:sz w:val="28"/>
          <w:szCs w:val="28"/>
          <w:rtl w:val="true"/>
          <w:lang w:bidi="ar-SA"/>
        </w:rPr>
        <w:t>لو استجمر بما يتفتّت بالاعتماد فقد علم عدم 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حصل به نقل النجاسة من موضع إلى آخر تعيّن الماء ، وإلّا بقي المحلّ على حكم فيجزي فيه الاستجمار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حصول النقاء به فالظاهر الإجزاء إن قلنا بالتعميم ؛ لحصول الغرض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في النهاية عدم الاجتزاء 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استنجى بما لا يقلع لم يسقط الفرض به وإن أنقى العين خاصّة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يخلو عن غرابة إن لم يكن مصروفا عن ظاهره</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3141005_653776707"/>
      <w:bookmarkStart w:id="1557" w:name="_Toc577"/>
      <w:bookmarkEnd w:id="1556"/>
      <w:r>
        <w:rPr>
          <w:rtl w:val="true"/>
        </w:rPr>
        <w:t xml:space="preserve">مسألة </w:t>
      </w:r>
      <w:r>
        <w:rPr>
          <w:rtl w:val="true"/>
        </w:rPr>
        <w:t>[</w:t>
      </w:r>
      <w:r>
        <w:rPr/>
        <w:t>29</w:t>
      </w:r>
      <w:r>
        <w:rPr>
          <w:rtl w:val="true"/>
        </w:rPr>
        <w:t>] :</w:t>
      </w:r>
      <w:bookmarkEnd w:id="1557"/>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بين أصحابنا عدم الفرق في الاستجمار بالنظر إلى أصل الإجزاء بين أن يستوعب المحلّ كلّه في المسحات الثلاث وبين أن يوزّعها عليه بأن يمسح ببعض الأدوات جزءا من المحلّ وبالبعض الآخر جزءا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لذلك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امتثال الأمر بالاستجمار بالثلاثة حاصل على التقديرين </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ينقل في ذلك خلافا ، ولكن أورد على الحجّة سؤالا حاصله أنّه مع التوزيع يكون بمنزلة المسحة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المسحة الواحدة لا يتحقّق معها العدد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للمسألة واحتجاجه بنحو ما ذكره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الفقهاء منع من ذلك ؛ لأنّه يكون تلفيقا فيكون بمنزلة مسحة واحدة ، ولا يكون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لأنّه لو خلّينا والأصل لاجتزأنا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المزيلة ، لكن لمّا دلّ النصّ على التعدّد وجب اعتباره ، وقد حصل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 جماعة من المتأخّرين أنّ للأصحاب قولا بعدم إجزاء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توهّما نشأ من نسبة العلّامة القول بذلك إلى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والممارسة تطلع على أنّه يعني بمثل هذه العبارة أهل الخلاف</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العلّامة ذكر في النهاية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الأحسن والأحوط في كيفيّة الاستجمار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واحدا على مقدّم الصفحة اليمنى فيمسحها به إلى مؤخّرها ، ويديره إلى الصفحة اليسرى فيمسحها به من مؤخّرها إلى مقدّمها ، ويرجع على الموضع الذي بدأ عنه ، ويضع الثاني على مقدّم الصفحة اليسرى ويفعل به عكس ذلك ويمسح بالثالث الصفحتين معا والوسط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وضع الحجر على موضع طاهر بقرب النجاسة ، لأنّه لو وضعه على النجاسة لأبقى منها شيئا ولنشرها فتعيّن حينئذ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انتهى إلى النجاسة أدار الحجر قليلا قليلا حتّى يرفع كلّ جزء منه جزءا من النجاسة ، ولا يمرّه لئلّا تنتقل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أمّره ولم ينقل فالأقرب الإجزاء ؛ لأنّ الاقتصار على الحجر رخصة ، وتكليف الإدارة تضييق باب الرخصة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عدمه ؛ لأنّ الجزء الثاني من المحلّ يلقى ما تنجّس من الحجر ، والاستنجاء بالنجس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قرّبه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يستطيب بالثلاثة الأحجار جعل حجرين للصفحتين ، وحجرا للمسربة تدنيه ثم تقلبه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الحدث من الدبر ، قاله ابن الأثير في النهاية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في أخبارنا على أثر لهذه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الجنيد مرويّ من طريق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التي في كلام العلّامة عليه لا نعرف مأخذها</w:t>
      </w:r>
      <w:r>
        <w:rPr>
          <w:rFonts w:eastAsia="Amiri" w:cs="Amiri" w:ascii="Amiri" w:hAnsi="Amiri"/>
          <w:color w:val="111111"/>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المحقّق في المعتبر على الحكم بأفضليّة مسح المحلّ كلّه بكلّ حجر </w:t>
      </w:r>
      <w:r>
        <w:rPr>
          <w:rStyle w:val="FootnoteAnchor"/>
          <w:rtl w:val="true"/>
        </w:rPr>
        <w:footnoteReference w:id="2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الأجود</w:t>
      </w:r>
      <w:r>
        <w:rPr>
          <w:rFonts w:eastAsia="IRNazanin" w:cs="IRNazanin"/>
          <w:color w:val="111111"/>
          <w:sz w:val="28"/>
          <w:szCs w:val="28"/>
          <w:rtl w:val="true"/>
          <w:lang w:bidi="fa-IR"/>
        </w:rPr>
        <w:t xml:space="preserve">. </w:t>
      </w:r>
      <w:bookmarkStart w:id="1558" w:name="pg8731_78153"/>
    </w:p>
    <w:p>
      <w:pPr>
        <w:pStyle w:val="Heading6"/>
        <w:numPr>
          <w:ilvl w:val="5"/>
          <w:numId w:val="1"/>
        </w:numPr>
        <w:rPr/>
      </w:pPr>
      <w:bookmarkStart w:id="1559" w:name="__RefHeading___Toc3141007_653776707"/>
      <w:bookmarkStart w:id="1560" w:name="_Toc578"/>
      <w:bookmarkEnd w:id="1558"/>
      <w:bookmarkEnd w:id="1559"/>
      <w:r>
        <w:rPr>
          <w:rtl w:val="true"/>
        </w:rPr>
        <w:t xml:space="preserve">مسألة </w:t>
      </w:r>
      <w:r>
        <w:rPr>
          <w:rtl w:val="true"/>
        </w:rPr>
        <w:t>[</w:t>
      </w:r>
      <w:r>
        <w:rPr/>
        <w:t>30</w:t>
      </w:r>
      <w:r>
        <w:rPr>
          <w:rtl w:val="true"/>
        </w:rPr>
        <w:t>] :</w:t>
      </w:r>
      <w:bookmarkEnd w:id="1560"/>
    </w:p>
    <w:p>
      <w:pPr>
        <w:pStyle w:val="BookText"/>
        <w:rPr/>
      </w:pPr>
      <w:r>
        <w:rPr>
          <w:rFonts w:ascii="Amiri" w:hAnsi="Amiri" w:eastAsia="Amiri" w:cs="Amiri"/>
          <w:color w:val="111111"/>
          <w:sz w:val="28"/>
          <w:sz w:val="28"/>
          <w:szCs w:val="28"/>
          <w:rtl w:val="true"/>
          <w:lang w:bidi="ar-SA"/>
        </w:rPr>
        <w:t>حكى العلّامة عن بعض العامّة أنّهم شرطوا في الاستجمار أن لا يقوم المتغوّط عن المحلّ ؛ لأنّه بقيامه تنتقل النجاسة من مكان إلى آخر ، وأن تبقى الرطوبة في النجاسة ؛ لأنّ الحجر لا يزيل النجاسة الجامدة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الأوّل جيّد على أصلنا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الشرطين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حاجة إليه بعد اشتراط عدم التعدّي ، مع أنّ اقتضاء القيام لانتقال النجاسة ليس على إطلاقه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اليبوسة إن أمكن زوال العين بالاستجمار أجزأ لتناول الأدلّة له ، وإلّا تعيّن الماء ؛ لتوقّف الإزالة عليه ، لا لليبوسة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للمستنجي بالحجر أن لا يقوم من موضعه قبله لئلّا يتعدّى المخرج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الأصحاب أنّه يستحبّ إعداد أدوات الاستجمار قبل الشروع في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بذلك</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3141009_653776707"/>
      <w:bookmarkStart w:id="1562" w:name="_Toc579"/>
      <w:bookmarkEnd w:id="1561"/>
      <w:r>
        <w:rPr>
          <w:rtl w:val="true"/>
        </w:rPr>
        <w:t xml:space="preserve">مسألة </w:t>
      </w:r>
      <w:r>
        <w:rPr>
          <w:rtl w:val="true"/>
        </w:rPr>
        <w:t>[</w:t>
      </w:r>
      <w:r>
        <w:rPr/>
        <w:t>31</w:t>
      </w:r>
      <w:r>
        <w:rPr>
          <w:rtl w:val="true"/>
        </w:rPr>
        <w:t>] :</w:t>
      </w:r>
      <w:bookmarkEnd w:id="1562"/>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الاستجمار إنّما يكون في المعتاد كالغائط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النادر كالدم فلا بدّ فيه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عندنا طاهر لا يجب فيه استنجاء بحجر </w:t>
      </w:r>
      <w:bookmarkStart w:id="1563" w:name="pg8731_78154"/>
    </w:p>
    <w:p>
      <w:pPr>
        <w:pStyle w:val="BookText"/>
        <w:rPr/>
      </w:pPr>
      <w:bookmarkEnd w:id="1563"/>
      <w:r>
        <w:rPr>
          <w:rFonts w:ascii="IRNazanin" w:hAnsi="IRNazanin" w:eastAsia="IRNazanin"/>
          <w:color w:val="111111"/>
          <w:sz w:val="28"/>
          <w:sz w:val="28"/>
          <w:szCs w:val="28"/>
          <w:rtl w:val="true"/>
          <w:lang w:bidi="fa-IR"/>
        </w:rPr>
        <w:t>ولا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حكى عن بعض العامّة القول بأنّ الاستجمار يجري في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بعد ذلك لما اختاره بأنّ الرخصة إنّما شرّعت مع الكثرة لحصول المشقّة بالاقتصار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منتف في النادر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الحجّة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إجزاء الاستجمار غير متناول للدم فيتمسّك في حكمه بالأدلّة الدالّة على وجوب غسله عن البدن فإنّه من جملة أفراد ملاقاته له</w:t>
      </w:r>
      <w:r>
        <w:rPr>
          <w:rFonts w:eastAsia="Amiri" w:cs="Amiri" w:ascii="Amiri" w:hAnsi="Amiri"/>
          <w:color w:val="111111"/>
          <w:sz w:val="28"/>
          <w:szCs w:val="28"/>
          <w:rtl w:val="true"/>
          <w:lang w:bidi="ar-SA"/>
        </w:rPr>
        <w:t>.</w:t>
      </w:r>
    </w:p>
    <w:p>
      <w:pPr>
        <w:pStyle w:val="Heading6"/>
        <w:numPr>
          <w:ilvl w:val="5"/>
          <w:numId w:val="1"/>
        </w:numPr>
        <w:rPr/>
      </w:pPr>
      <w:bookmarkStart w:id="1564" w:name="__RefHeading___Toc3141011_653776707"/>
      <w:bookmarkStart w:id="1565" w:name="_Toc580"/>
      <w:bookmarkEnd w:id="1564"/>
      <w:r>
        <w:rPr>
          <w:rtl w:val="true"/>
        </w:rPr>
        <w:t xml:space="preserve">مسألة </w:t>
      </w:r>
      <w:r>
        <w:rPr>
          <w:rtl w:val="true"/>
        </w:rPr>
        <w:t>[</w:t>
      </w:r>
      <w:r>
        <w:rPr/>
        <w:t>32</w:t>
      </w:r>
      <w:r>
        <w:rPr>
          <w:rtl w:val="true"/>
        </w:rPr>
        <w:t>] :</w:t>
      </w:r>
      <w:bookmarkEnd w:id="1565"/>
    </w:p>
    <w:p>
      <w:pPr>
        <w:pStyle w:val="Heading6"/>
        <w:numPr>
          <w:ilvl w:val="5"/>
          <w:numId w:val="1"/>
        </w:numPr>
        <w:rPr/>
      </w:pPr>
      <w:bookmarkStart w:id="1566" w:name="__RefHeading___Toc3141013_653776707"/>
      <w:bookmarkStart w:id="1567" w:name="_Toc581"/>
      <w:bookmarkEnd w:id="1566"/>
      <w:r>
        <w:rPr>
          <w:rtl w:val="true"/>
        </w:rPr>
        <w:t>اشارة</w:t>
      </w:r>
      <w:bookmarkEnd w:id="1567"/>
    </w:p>
    <w:p>
      <w:pPr>
        <w:pStyle w:val="BookText"/>
        <w:rPr/>
      </w:pPr>
      <w:r>
        <w:rPr>
          <w:rFonts w:ascii="Amiri" w:hAnsi="Amiri" w:eastAsia="Amiri" w:cs="Amiri"/>
          <w:color w:val="111111"/>
          <w:sz w:val="28"/>
          <w:sz w:val="28"/>
          <w:szCs w:val="28"/>
          <w:rtl w:val="true"/>
          <w:lang w:bidi="ar-SA"/>
        </w:rPr>
        <w:t>ويكره الاستنجاء باليمين ، وباليسار وفيها خاتم عليه اسم من أسماء اللّه أو أسماء أنبيائه أو أحد الأئمّة عليهم‌السلام أو فصّه من أحجار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لحكم اليمين بما رواه الصدوق في من لا يحضره الفقيه مرسلا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باليمين من الجفاء </w:t>
      </w:r>
      <w:r>
        <w:rPr>
          <w:rFonts w:eastAsia="Amiri" w:cs="Amiri" w:ascii="Amiri" w:hAnsi="Amiri"/>
          <w:color w:val="111111"/>
          <w:sz w:val="28"/>
          <w:szCs w:val="28"/>
          <w:rtl w:val="true"/>
          <w:lang w:bidi="ar-SA"/>
        </w:rPr>
        <w:t xml:space="preserve">»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ولحكم اليسار بما رواه الشيخ عن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الجنب درهما ودينارا عليه اسم اللّه ، ولا يستنجي وعليه خاتم فيه اسم اللّه </w:t>
      </w:r>
      <w:r>
        <w:rPr>
          <w:rFonts w:eastAsia="Amiri" w:cs="Amiri" w:ascii="Amiri" w:hAnsi="Amiri"/>
          <w:color w:val="111111"/>
          <w:sz w:val="28"/>
          <w:szCs w:val="28"/>
          <w:rtl w:val="true"/>
          <w:lang w:bidi="ar-SA"/>
        </w:rPr>
        <w:t xml:space="preserve">» </w:t>
      </w: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وبأنّه فيه إجلالا لله تعالى وتعظيما فكان مناسبا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عن وهب بن وهب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يساره يستنجي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يده اليسرى يستنجي بها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محمول على التقيّة ؛ لأنّ راويه وهب بن وهب وهو عامّي متروك العمل بما يختصّ بروايته ولم نقف على خبر يدلّ على الكراهة في غير اسم اللّه ، فكان حجّتهم في ذلك ملاحظة أمر التعظيم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كان فصّه من أحجار زمزم فبه رواية رواها الشيخ بإسناده الصحيح عن أحمد بن محمّد بن عيسى عن عليّ بن الحسين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الفصّ يتّخذ من أحجار زمزم؟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أراد الاستنجاء نزعه </w:t>
      </w:r>
      <w:r>
        <w:rPr>
          <w:rFonts w:eastAsia="Amiri" w:cs="Amiri" w:ascii="Amiri" w:hAnsi="Amiri"/>
          <w:color w:val="111111"/>
          <w:sz w:val="28"/>
          <w:szCs w:val="28"/>
          <w:rtl w:val="true"/>
          <w:lang w:bidi="ar-SA"/>
        </w:rPr>
        <w:t xml:space="preserve">»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الحديث الشيخ أبو جعفر الكليني في الكافي أيضا ، لكن وقع في نسخة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بدل زمزم زمرّد </w:t>
      </w:r>
      <w:r>
        <w:rPr>
          <w:rStyle w:val="FootnoteAnchor"/>
          <w:rtl w:val="true"/>
        </w:rPr>
        <w:footnoteReference w:id="2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على رواية زمزم إشكال حاصله أنّ زمزم من جملة المسجد فلا يجوز أخذ الحصا منه كسائره</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بأنّ ذلك مستثنى ؛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الحكم مبنيّ على الوقوع ، ولا يلزم </w:t>
      </w:r>
      <w:bookmarkStart w:id="1568" w:name="pg8731_78156"/>
    </w:p>
    <w:p>
      <w:pPr>
        <w:pStyle w:val="BookText"/>
        <w:rPr/>
      </w:pPr>
      <w:bookmarkEnd w:id="1568"/>
      <w:r>
        <w:rPr>
          <w:rFonts w:ascii="IRNazanin" w:hAnsi="IRNazanin" w:eastAsia="IRNazanin"/>
          <w:color w:val="111111"/>
          <w:sz w:val="28"/>
          <w:sz w:val="28"/>
          <w:szCs w:val="28"/>
          <w:rtl w:val="true"/>
          <w:lang w:bidi="fa-IR"/>
        </w:rPr>
        <w:t>من وقوعه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واستبعد والدي رحمه‌اللّه كلا الوجهين لا سيّما الأوّل من حيث إنّ مثل هذا النصّ لا يكفي في معارضة ما وقع الاتّفاق عليه من المنع من أخذ الحصا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تقريبه بما يخرج من البئر على وجه الإصلاح فإنّه لا يعدّ جزءا منه ، كالقمامة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بعد هذا رواية الزمرّد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الأنسب </w:t>
      </w:r>
      <w:r>
        <w:rPr>
          <w:rStyle w:val="FootnoteAnchor"/>
          <w:rtl w:val="true"/>
        </w:rPr>
        <w:footnoteReference w:id="2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الذي ذكره متوجّه فالتصحيف في كلّ منهما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والزمرّد بالضمات وشدّ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9" w:name="__RefHeading___Toc3141015_653776707"/>
      <w:bookmarkStart w:id="1570" w:name="_Toc582"/>
      <w:bookmarkEnd w:id="1569"/>
      <w:r>
        <w:rPr>
          <w:rtl w:val="true"/>
        </w:rPr>
        <w:t xml:space="preserve">تذنيب </w:t>
      </w:r>
      <w:r>
        <w:rPr>
          <w:rtl w:val="true"/>
        </w:rPr>
        <w:t>:</w:t>
      </w:r>
      <w:bookmarkEnd w:id="1570"/>
    </w:p>
    <w:p>
      <w:pPr>
        <w:pStyle w:val="BookText"/>
        <w:rPr/>
      </w:pPr>
      <w:r>
        <w:rPr>
          <w:rFonts w:ascii="Amiri" w:hAnsi="Amiri" w:eastAsia="Amiri" w:cs="Amiri"/>
          <w:color w:val="111111"/>
          <w:sz w:val="28"/>
          <w:sz w:val="28"/>
          <w:szCs w:val="28"/>
          <w:rtl w:val="true"/>
          <w:lang w:bidi="ar-SA"/>
        </w:rPr>
        <w:t>استثنى بعض الأصحاب من كراهة الاستنجاء باليمين ما إذا دعت إلى ذلك ضرورة كمرض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به رواية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الاستجمار باليمين أيضا</w:t>
      </w:r>
      <w:r>
        <w:rPr>
          <w:rFonts w:eastAsia="Amiri" w:cs="Amiri" w:ascii="Amiri" w:hAnsi="Amiri"/>
          <w:color w:val="111111"/>
          <w:sz w:val="28"/>
          <w:szCs w:val="28"/>
          <w:rtl w:val="true"/>
          <w:lang w:bidi="ar-SA"/>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له بأنّ النبيّ صلى‌اللّه‌عليه‌وآله كانت يمناه لطهوره وطعامه ، ويسراه لخلائه ، وما كان من أذى</w:t>
      </w:r>
      <w:r>
        <w:rPr>
          <w:rFonts w:eastAsia="Amiri" w:cs="Amiri" w:ascii="Amiri" w:hAnsi="Amiri"/>
          <w:color w:val="111111"/>
          <w:sz w:val="28"/>
          <w:szCs w:val="28"/>
          <w:rtl w:val="true"/>
          <w:lang w:bidi="ar-SA"/>
        </w:rPr>
        <w:t xml:space="preserve">. </w:t>
      </w:r>
      <w:bookmarkStart w:id="1571" w:name="pg8731_78157"/>
    </w:p>
    <w:p>
      <w:pPr>
        <w:pStyle w:val="Heading6"/>
        <w:numPr>
          <w:ilvl w:val="5"/>
          <w:numId w:val="1"/>
        </w:numPr>
        <w:rPr/>
      </w:pPr>
      <w:bookmarkStart w:id="1572" w:name="__RefHeading___Toc3141017_653776707"/>
      <w:bookmarkStart w:id="1573" w:name="_Toc583"/>
      <w:bookmarkEnd w:id="1571"/>
      <w:bookmarkEnd w:id="1572"/>
      <w:r>
        <w:rPr>
          <w:rtl w:val="true"/>
        </w:rPr>
        <w:t xml:space="preserve">مسألة </w:t>
      </w:r>
      <w:r>
        <w:rPr>
          <w:rtl w:val="true"/>
        </w:rPr>
        <w:t>[</w:t>
      </w:r>
      <w:r>
        <w:rPr/>
        <w:t>33</w:t>
      </w:r>
      <w:r>
        <w:rPr>
          <w:rtl w:val="true"/>
        </w:rPr>
        <w:t>] :</w:t>
      </w:r>
      <w:bookmarkEnd w:id="1573"/>
    </w:p>
    <w:p>
      <w:pPr>
        <w:pStyle w:val="BookText"/>
        <w:rPr/>
      </w:pPr>
      <w:r>
        <w:rPr>
          <w:rFonts w:ascii="Amiri" w:hAnsi="Amiri" w:eastAsia="Amiri" w:cs="Amiri"/>
          <w:color w:val="111111"/>
          <w:sz w:val="28"/>
          <w:sz w:val="28"/>
          <w:szCs w:val="28"/>
          <w:rtl w:val="true"/>
          <w:lang w:bidi="ar-SA"/>
        </w:rPr>
        <w:t xml:space="preserve">وذكر بعض أصحابنا أنّه يستحبّ أن يدعو حال الاستنجاء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حصّن فرجي واستر عورتي وحرّمهما على النار ووفّقني لما يقرّبني منك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الشيخان في المقنعة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الاستنجاء قام من موضعه ومسح بيده اليمنى بطنه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أماط عنّي الأذى وهنّأني طعامي وعافاني من البلوى </w:t>
      </w:r>
      <w:r>
        <w:rPr>
          <w:rFonts w:eastAsia="Amiri" w:cs="Amiri" w:ascii="Amiri" w:hAnsi="Amiri"/>
          <w:color w:val="111111"/>
          <w:sz w:val="28"/>
          <w:szCs w:val="28"/>
          <w:rtl w:val="true"/>
          <w:lang w:bidi="ar-SA"/>
        </w:rPr>
        <w:t xml:space="preserve">»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نعرف للحكمين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في الكافي بإسناد ضعيف جدّا أنّ أمير المؤمنين عليه‌السلام استنجى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حصّن فرجي واعفه واستر عورتي وحرّمها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ذلك أيضا الصدوق في من لا يحضره الفقيه مرسلا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أبي بصير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الغائط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عافاني من البلاء وأماط عنّي الأذى </w:t>
      </w:r>
      <w:r>
        <w:rPr>
          <w:rFonts w:eastAsia="Amiri" w:cs="Amiri" w:ascii="Amiri" w:hAnsi="Amiri"/>
          <w:color w:val="111111"/>
          <w:sz w:val="28"/>
          <w:szCs w:val="28"/>
          <w:rtl w:val="true"/>
          <w:lang w:bidi="ar-SA"/>
        </w:rPr>
        <w:t xml:space="preserve">»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 xml:space="preserve">. </w:t>
      </w:r>
      <w:bookmarkStart w:id="1574" w:name="pg8731_78158"/>
    </w:p>
    <w:p>
      <w:pPr>
        <w:pStyle w:val="Heading6"/>
        <w:numPr>
          <w:ilvl w:val="5"/>
          <w:numId w:val="1"/>
        </w:numPr>
        <w:rPr/>
      </w:pPr>
      <w:bookmarkStart w:id="1575" w:name="__RefHeading___Toc3141019_653776707"/>
      <w:bookmarkStart w:id="1576" w:name="_Toc584"/>
      <w:bookmarkEnd w:id="1574"/>
      <w:bookmarkEnd w:id="1575"/>
      <w:r>
        <w:rPr>
          <w:rtl w:val="true"/>
        </w:rPr>
        <w:t xml:space="preserve">مسألة </w:t>
      </w:r>
      <w:r>
        <w:rPr>
          <w:rtl w:val="true"/>
        </w:rPr>
        <w:t>[</w:t>
      </w:r>
      <w:r>
        <w:rPr/>
        <w:t>34</w:t>
      </w:r>
      <w:r>
        <w:rPr>
          <w:rtl w:val="true"/>
        </w:rPr>
        <w:t>] :</w:t>
      </w:r>
      <w:bookmarkEnd w:id="1576"/>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يدعو إذا خرج من الخلا بما رواه الشيخ في الصحيح عن عبد اللّه بن ميمون القدّاح عن أبي عبد اللّه عليه‌السلام عن آبائه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خرج من الخلا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وأبقى قوّته في جسدي ، وأخرج عنّي أذاه يا لها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 xml:space="preserve">.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7" w:name="pg8731_78160"/>
      <w:bookmarkStart w:id="1578" w:name="pg8731_78160"/>
      <w:bookmarkEnd w:id="1578"/>
    </w:p>
    <w:p>
      <w:pPr>
        <w:pStyle w:val="Heading5"/>
        <w:numPr>
          <w:ilvl w:val="4"/>
          <w:numId w:val="1"/>
        </w:numPr>
        <w:rPr/>
      </w:pPr>
      <w:bookmarkStart w:id="1579" w:name="pg8731_78160"/>
      <w:bookmarkStart w:id="1580" w:name="__RefHeading___Toc3141021_653776707"/>
      <w:bookmarkStart w:id="1581" w:name="_Toc585"/>
      <w:bookmarkEnd w:id="1579"/>
      <w:bookmarkEnd w:id="1580"/>
      <w:r>
        <w:rPr>
          <w:rtl w:val="true"/>
        </w:rPr>
        <w:t xml:space="preserve">النظر الثاني </w:t>
      </w:r>
      <w:r>
        <w:rPr>
          <w:rtl w:val="true"/>
        </w:rPr>
        <w:t xml:space="preserve">: </w:t>
      </w:r>
      <w:r>
        <w:rPr>
          <w:rtl w:val="true"/>
        </w:rPr>
        <w:t>في آداب الحمّام</w:t>
      </w:r>
      <w:bookmarkEnd w:id="1581"/>
    </w:p>
    <w:p>
      <w:pPr>
        <w:pStyle w:val="Heading6"/>
        <w:numPr>
          <w:ilvl w:val="5"/>
          <w:numId w:val="1"/>
        </w:numPr>
        <w:rPr/>
      </w:pPr>
      <w:bookmarkStart w:id="1582" w:name="__RefHeading___Toc3141023_653776707"/>
      <w:bookmarkStart w:id="1583" w:name="_Toc586"/>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 xml:space="preserve">روى الشيخ عن عيسى بن عبد اللّه الهاشمي عن جدّه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وعمر الحمّام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البيت الحمّام يكثر فيه العنا ويقلّ فيه الحيا ،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البيت الحمّام يذهب الأذى ويذكّر بالنار </w:t>
      </w:r>
      <w:r>
        <w:rPr>
          <w:rFonts w:eastAsia="Amiri" w:cs="Amiri" w:ascii="Amiri" w:hAnsi="Amiri"/>
          <w:color w:val="111111"/>
          <w:sz w:val="28"/>
          <w:szCs w:val="28"/>
          <w:rtl w:val="true"/>
          <w:lang w:bidi="ar-SA"/>
        </w:rPr>
        <w:t xml:space="preserve">»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مرسلا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البيت الحمّام يذكر فيه النار ويذهب بالدرن </w:t>
      </w:r>
      <w:r>
        <w:rPr>
          <w:rStyle w:val="FootnoteAnchor"/>
          <w:rtl w:val="true"/>
        </w:rPr>
        <w:footnoteReference w:id="2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البيت الحمّام يهتك الستر ويبدي العورة ونعم البيت الحمّام يذكّر حرّ النار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الشهيد في الذكرى ما ورد من الذمّ على حال الدخول بغير مئزر </w:t>
      </w:r>
      <w:r>
        <w:rPr>
          <w:rStyle w:val="FootnoteAnchor"/>
          <w:rtl w:val="true"/>
        </w:rPr>
        <w:footnoteReference w:id="2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ترجيح المدح بما رواه في الكافي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يذكّر النار ويذهب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1584" w:name="pg8731_78161"/>
    </w:p>
    <w:p>
      <w:pPr>
        <w:pStyle w:val="BookText"/>
        <w:rPr/>
      </w:pPr>
      <w:bookmarkEnd w:id="1584"/>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يبدي العورة ويهتك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الناس قول عمر إلى أمير المؤمنين عليه‌السلام ، وقول أمير المؤمنين إلى عمر </w:t>
      </w:r>
      <w:r>
        <w:rPr>
          <w:rFonts w:eastAsia="Amiri" w:cs="Amiri" w:ascii="Amiri" w:hAnsi="Amiri"/>
          <w:color w:val="111111"/>
          <w:sz w:val="28"/>
          <w:szCs w:val="28"/>
          <w:rtl w:val="true"/>
          <w:lang w:bidi="ar-SA"/>
        </w:rPr>
        <w:t xml:space="preserve">»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5" w:name="__RefHeading___Toc3141025_653776707"/>
      <w:bookmarkStart w:id="1586" w:name="_Toc587"/>
      <w:bookmarkEnd w:id="1585"/>
      <w:r>
        <w:rPr>
          <w:rtl w:val="true"/>
        </w:rPr>
        <w:t xml:space="preserve">فصل </w:t>
      </w:r>
      <w:r>
        <w:rPr>
          <w:rtl w:val="true"/>
        </w:rPr>
        <w:t>:</w:t>
      </w:r>
      <w:bookmarkEnd w:id="1586"/>
    </w:p>
    <w:p>
      <w:pPr>
        <w:pStyle w:val="BookText"/>
        <w:rPr/>
      </w:pPr>
      <w:r>
        <w:rPr>
          <w:rFonts w:ascii="Amiri" w:hAnsi="Amiri" w:eastAsia="Amiri" w:cs="Amiri"/>
          <w:color w:val="111111"/>
          <w:sz w:val="28"/>
          <w:sz w:val="28"/>
          <w:szCs w:val="28"/>
          <w:rtl w:val="true"/>
          <w:lang w:bidi="ar-SA"/>
        </w:rPr>
        <w:t xml:space="preserve">وروى الشيخ أبو جعفر الكليني عن سليمان بن جعفر الجعفري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حتّى ذهب لحمي فدخلت على الرضا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أيسرّك أن يعود لحمك إليك؟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الحمّام غبّا </w:t>
      </w:r>
      <w:r>
        <w:rPr>
          <w:rStyle w:val="FootnoteAnchor"/>
          <w:rtl w:val="true"/>
        </w:rPr>
        <w:footnoteReference w:id="2661"/>
      </w:r>
      <w:r>
        <w:rPr>
          <w:rFonts w:ascii="Amiri" w:hAnsi="Amiri" w:eastAsia="Amiri" w:cs="Amiri"/>
          <w:color w:val="111111"/>
          <w:sz w:val="28"/>
          <w:sz w:val="28"/>
          <w:szCs w:val="28"/>
          <w:rtl w:val="true"/>
          <w:lang w:bidi="ar-SA"/>
        </w:rPr>
        <w:t>فإنّه يعود إليك لحمك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تدمنه فإنّ إدمانه يورث السلّ </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بطريق آخر عن سليمان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أيضا في الصحيح عن عليّ بن الحكم عن سليمان الجعفري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يوم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يكثر اللحم ، وإدمانه يذهب شحم الكليتين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سليمان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يحمل لحما فليدخل الحمّام يوما ويغب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يضمر </w:t>
      </w:r>
      <w:r>
        <w:rPr>
          <w:rStyle w:val="FootnoteAnchor"/>
          <w:rtl w:val="true"/>
        </w:rPr>
        <w:footnoteReference w:id="2665"/>
      </w:r>
      <w:r>
        <w:rPr>
          <w:rFonts w:ascii="Amiri" w:hAnsi="Amiri" w:eastAsia="Amiri" w:cs="Amiri"/>
          <w:color w:val="111111"/>
          <w:sz w:val="28"/>
          <w:sz w:val="28"/>
          <w:szCs w:val="28"/>
          <w:rtl w:val="true"/>
          <w:lang w:bidi="ar-SA"/>
        </w:rPr>
        <w:t xml:space="preserve">وكان كثير اللحم فليدخل كلّ يوم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من لا يحضره الفقيه مرسلا عن الكاظم عليه‌السلام أنّه قال </w:t>
      </w:r>
      <w:r>
        <w:rPr>
          <w:rFonts w:eastAsia="Amiri" w:cs="Amiri" w:ascii="Amiri" w:hAnsi="Amiri"/>
          <w:color w:val="111111"/>
          <w:sz w:val="28"/>
          <w:szCs w:val="28"/>
          <w:rtl w:val="true"/>
          <w:lang w:bidi="ar-SA"/>
        </w:rPr>
        <w:t xml:space="preserve">: </w:t>
      </w:r>
      <w:bookmarkStart w:id="1587" w:name="pg8731_78162"/>
    </w:p>
    <w:p>
      <w:pPr>
        <w:pStyle w:val="BookText"/>
        <w:rPr/>
      </w:pPr>
      <w:bookmarkEnd w:id="1587"/>
      <w:r>
        <w:rPr>
          <w:rFonts w:ascii="Amiri" w:hAnsi="Amiri" w:eastAsia="Amiri" w:cs="Amiri"/>
          <w:color w:val="111111"/>
          <w:sz w:val="28"/>
          <w:sz w:val="28"/>
          <w:szCs w:val="28"/>
          <w:rtl w:val="true"/>
          <w:lang w:bidi="ar-SA"/>
        </w:rPr>
        <w:t xml:space="preserve">الحمّام يوم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اللحم ، وإدمانه يذهب شحم الكليتين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استحمّوا يوم الأربعاء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8" w:name="__RefHeading___Toc3141027_653776707"/>
      <w:bookmarkStart w:id="1589" w:name="_Toc588"/>
      <w:bookmarkEnd w:id="1588"/>
      <w:r>
        <w:rPr>
          <w:rtl w:val="true"/>
        </w:rPr>
        <w:t xml:space="preserve">فصل </w:t>
      </w:r>
      <w:r>
        <w:rPr>
          <w:rtl w:val="true"/>
        </w:rPr>
        <w:t>:</w:t>
      </w:r>
      <w:bookmarkEnd w:id="1589"/>
    </w:p>
    <w:p>
      <w:pPr>
        <w:pStyle w:val="BookText"/>
        <w:rPr/>
      </w:pPr>
      <w:r>
        <w:rPr>
          <w:rFonts w:ascii="Amiri" w:hAnsi="Amiri" w:eastAsia="Amiri" w:cs="Amiri"/>
          <w:color w:val="111111"/>
          <w:sz w:val="28"/>
          <w:sz w:val="28"/>
          <w:szCs w:val="28"/>
          <w:rtl w:val="true"/>
          <w:lang w:bidi="ar-SA"/>
        </w:rPr>
        <w:t xml:space="preserve">وروى الكليني عن رفاعة في الحسن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يدخل حليلته الحمّام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في الموثّق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يرسل حليلته إلى الحمّام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مرسلا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يبعث بحليلته إلى الحمّام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كبّه اللّه على منخره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تدعوه إلى النياحات والعرسات والحمّامات والثياب الرقاق فيجيبها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الشهيد في الذكرى هذا الحكم مختصّا بحالة اجتماعهنّ ، فمع الانفراد لا بأس </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 xml:space="preserve">. </w:t>
      </w:r>
      <w:bookmarkStart w:id="1590" w:name="pg8731_78163"/>
    </w:p>
    <w:p>
      <w:pPr>
        <w:pStyle w:val="BookText"/>
        <w:rPr/>
      </w:pPr>
      <w:bookmarkEnd w:id="1590"/>
      <w:r>
        <w:rPr>
          <w:rFonts w:ascii="Amiri" w:hAnsi="Amiri" w:eastAsia="Amiri" w:cs="Amiri"/>
          <w:color w:val="111111"/>
          <w:sz w:val="28"/>
          <w:sz w:val="28"/>
          <w:szCs w:val="28"/>
          <w:rtl w:val="true"/>
          <w:lang w:bidi="ar-SA"/>
        </w:rPr>
        <w:t>واستثنى من الكراهة مع الاجتماع حال الضرورة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الاتّزار عند الاجتماع يحقّق الكراهة وأنّ ذلك مرويّ عن عليّ عليه‌السلام ولم أقف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الاعتبار يشهد له</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3141029_653776707"/>
      <w:bookmarkStart w:id="1592" w:name="_Toc589"/>
      <w:bookmarkEnd w:id="1591"/>
      <w:r>
        <w:rPr>
          <w:rtl w:val="true"/>
        </w:rPr>
        <w:t xml:space="preserve">فصل </w:t>
      </w:r>
      <w:r>
        <w:rPr>
          <w:rtl w:val="true"/>
        </w:rPr>
        <w:t>:</w:t>
      </w:r>
      <w:bookmarkEnd w:id="1592"/>
    </w:p>
    <w:p>
      <w:pPr>
        <w:pStyle w:val="BookText"/>
        <w:rPr/>
      </w:pPr>
      <w:r>
        <w:rPr>
          <w:rFonts w:ascii="Amiri" w:hAnsi="Amiri" w:eastAsia="Amiri" w:cs="Amiri"/>
          <w:color w:val="111111"/>
          <w:sz w:val="28"/>
          <w:sz w:val="28"/>
          <w:szCs w:val="28"/>
          <w:rtl w:val="true"/>
          <w:lang w:bidi="ar-SA"/>
        </w:rPr>
        <w:t xml:space="preserve">ويجب على الداخل إلى الحمّام ستر عورته مع وجود الناظر المحترم ، لما مرّ في الخلوة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الكليني عن رفاعة بن موسى في الحسن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من كان يؤمن باللّه واليوم الآخر فلا يدخل الحمّام إلّا بمئزر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الصحيح عن عليّ بن الحكم عن أبان بن عثمان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أيتجرّد الرجل عند صبّ الماء ترى عورته؟ أو يصبّ عليه الماء ، أو يرى هو عورة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يكره ذلك من كلّ أحد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عن عبيد اللّه بن عليّ الحلبي </w:t>
      </w:r>
      <w:r>
        <w:rPr>
          <w:rStyle w:val="FootnoteAnchor"/>
          <w:rtl w:val="true"/>
        </w:rPr>
        <w:footnoteReference w:id="267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يغتسل بغير إزار حيث لا يراه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محمّد بن مسلم في الصحيح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بإزار </w:t>
      </w:r>
      <w:r>
        <w:rPr>
          <w:rStyle w:val="FootnoteAnchor"/>
          <w:rtl w:val="true"/>
        </w:rPr>
        <w:footnoteReference w:id="2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حمزة بن أحمد 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أو سأله غيري عن الحمّام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بمئزر وغضّ بصرك </w:t>
      </w:r>
      <w:r>
        <w:rPr>
          <w:rStyle w:val="FootnoteAnchor"/>
          <w:rtl w:val="true"/>
        </w:rPr>
        <w:footnoteReference w:id="2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عليه‌السلام عن أبيه عن آبائه 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تعرّى أحدكم نظر إليه الشيطان فطمع فيه فاستتروا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مسمع عنه عليه‌السلام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أن يدخل الرجل الماء إلّا بمئزر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عيسى عن جعفر عن أبيه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سعيد بن عبد الملك يدخل مع جواريه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بأس إذا كان عليه وعليهنّ الإزار لا يكونون عراة كالحمير ينظر بعضهم إلى سوأة بعض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الكافي ومن لا يحضره الفقيه بإسنادين صحيح وحسن ، 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وجدّي وعمّي حمّاما بالمدينة فإذا رجل في بيت المسلخ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فقلنا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العراق؟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أنتم الشعار </w:t>
      </w:r>
      <w:bookmarkStart w:id="1593" w:name="pg8731_78165"/>
    </w:p>
    <w:p>
      <w:pPr>
        <w:pStyle w:val="BookText"/>
        <w:rPr/>
      </w:pPr>
      <w:bookmarkEnd w:id="1593"/>
      <w:r>
        <w:rPr>
          <w:rFonts w:ascii="Amiri" w:hAnsi="Amiri" w:eastAsia="Amiri" w:cs="Amiri"/>
          <w:color w:val="111111"/>
          <w:sz w:val="28"/>
          <w:sz w:val="28"/>
          <w:szCs w:val="28"/>
          <w:rtl w:val="true"/>
          <w:lang w:bidi="ar-SA"/>
        </w:rPr>
        <w:t>دون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من الأزر </w:t>
      </w:r>
      <w:r>
        <w:rPr>
          <w:rStyle w:val="FootnoteAnchor"/>
          <w:rtl w:val="true"/>
        </w:rPr>
        <w:footnoteReference w:id="2684"/>
      </w:r>
      <w:r>
        <w:rPr>
          <w:rFonts w:ascii="Amiri" w:hAnsi="Amiri" w:eastAsia="Amiri" w:cs="Amiri"/>
          <w:color w:val="111111"/>
          <w:sz w:val="28"/>
          <w:sz w:val="28"/>
          <w:szCs w:val="28"/>
          <w:rtl w:val="true"/>
          <w:lang w:bidi="ar-SA"/>
        </w:rPr>
        <w:t xml:space="preserve">؟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أبي إلى كرباسة فشقّها بأربعة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كلّ واحد منّا واحدا ثمّ دخلنا فيها فلمّا كنّا في البيت الحارّ صمد لجدّي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كهل ما منعك من الخضاب؟ فقال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هو خير منّي ومنك 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لذلك حتّى عرفنا غضبه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الذي هو خير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عليّ بن أبي طالب وهو 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وتصابّ عرقا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كهل إن تختضب فإنّ رسول اللّه صلى‌اللّه‌عليه‌وآله قد خضّب وهو خير من عليّ ، وإن تترك فلك بعليّ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الحمّام سألنا عن الرجل فإذا هو عليّ بن الحسين ، ومعه ابنه محمّد بن عليّ صلوات اللّه عليهم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4" w:name="__RefHeading___Toc3141031_653776707"/>
      <w:bookmarkStart w:id="1595" w:name="_Toc590"/>
      <w:bookmarkEnd w:id="1594"/>
      <w:r>
        <w:rPr>
          <w:rtl w:val="true"/>
        </w:rPr>
        <w:t xml:space="preserve">فصل </w:t>
      </w:r>
      <w:r>
        <w:rPr>
          <w:rtl w:val="true"/>
        </w:rPr>
        <w:t>:</w:t>
      </w:r>
      <w:bookmarkEnd w:id="1595"/>
    </w:p>
    <w:p>
      <w:pPr>
        <w:pStyle w:val="BookText"/>
        <w:rPr/>
      </w:pPr>
      <w:r>
        <w:rPr>
          <w:rFonts w:ascii="Amiri" w:hAnsi="Amiri" w:eastAsia="Amiri" w:cs="Amiri"/>
          <w:color w:val="111111"/>
          <w:sz w:val="28"/>
          <w:sz w:val="28"/>
          <w:szCs w:val="28"/>
          <w:rtl w:val="true"/>
          <w:lang w:bidi="ar-SA"/>
        </w:rPr>
        <w:t xml:space="preserve">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 النظر إلى عورة المسلم ، فأمّا النظر إلى عورة من ليس بمسلم مثل النظر إلى عورة حمار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التي أشار إليها مرويّة في الكافي بإسناد حسن عن ابن أبي عمير عن غير واحد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عورة من ليس </w:t>
      </w:r>
      <w:bookmarkStart w:id="1596" w:name="pg8731_78166"/>
    </w:p>
    <w:p>
      <w:pPr>
        <w:pStyle w:val="BookText"/>
        <w:rPr/>
      </w:pPr>
      <w:bookmarkEnd w:id="1596"/>
      <w:r>
        <w:rPr>
          <w:rFonts w:ascii="Amiri" w:hAnsi="Amiri" w:eastAsia="Amiri" w:cs="Amiri"/>
          <w:color w:val="111111"/>
          <w:sz w:val="28"/>
          <w:sz w:val="28"/>
          <w:szCs w:val="28"/>
          <w:rtl w:val="true"/>
          <w:lang w:bidi="ar-SA"/>
        </w:rPr>
        <w:t xml:space="preserve">بمسلم مثل نظرك إلى عورة الحمار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الشهيد في الذكرى أنّه لا خلاف في وجوب غضّ البصر عن عورة الكافر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الفرج وغضّ البصر ولو عن عورة الكافر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خبر عن الصادق عليه‌السلام بالجواز </w:t>
      </w:r>
      <w:r>
        <w:rPr>
          <w:rStyle w:val="FootnoteAnchor"/>
          <w:rtl w:val="true"/>
        </w:rPr>
        <w:footnoteReference w:id="2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إيراد الخبر في من لا يحضره الفقيه يدلّ على أنّ مصنّفه يعمل به كما نبّهنا عليه مرارا ، فيكون القائل بجواز النظر إلى عورة الكافر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الكافي وإن لم تكن صحيحة السند فالأصل يعضدها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سبق الاحتجاج به لتحريم النظر إلى العورة في بحث الخلوة مخصوص بعورة المسلم</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3141033_653776707"/>
      <w:bookmarkStart w:id="1598" w:name="_Toc591"/>
      <w:bookmarkEnd w:id="1597"/>
      <w:r>
        <w:rPr>
          <w:rtl w:val="true"/>
        </w:rPr>
        <w:t xml:space="preserve">فصل </w:t>
      </w:r>
      <w:r>
        <w:rPr>
          <w:rtl w:val="true"/>
        </w:rPr>
        <w:t>:</w:t>
      </w:r>
      <w:bookmarkEnd w:id="1598"/>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دخول الولد مع أبيه الحمّام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الأدب أن لا يدخل الرجل ولده معه الحمّام فنظر إلى عورته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سهل بن زياد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لا يدخل الرجل مع ابنه الحمّام فينظر إلى عورته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 xml:space="preserve">. </w:t>
      </w:r>
      <w:bookmarkStart w:id="1599" w:name="pg8731_78167"/>
    </w:p>
    <w:p>
      <w:pPr>
        <w:pStyle w:val="BookText"/>
        <w:rPr/>
      </w:pPr>
      <w:bookmarkEnd w:id="1599"/>
      <w:r>
        <w:rPr>
          <w:rFonts w:ascii="Amiri" w:hAnsi="Amiri" w:eastAsia="Amiri" w:cs="Amiri"/>
          <w:color w:val="111111"/>
          <w:sz w:val="28"/>
          <w:sz w:val="28"/>
          <w:szCs w:val="28"/>
          <w:rtl w:val="true"/>
          <w:lang w:bidi="ar-SA"/>
        </w:rPr>
        <w:t xml:space="preserve">وعن محمّد بن جعفر عن بعض رجاله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لا يدخل الرجل مع ابنه الحمّام فينظر إلى عورته </w:t>
      </w:r>
      <w:r>
        <w:rPr>
          <w:rStyle w:val="FootnoteAnchor"/>
          <w:rtl w:val="true"/>
        </w:rPr>
        <w:footnoteReference w:id="2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رواية حنّان بن سدير السابقة دخول عليّ بن الحسين ومعه ولده محمّد بن عليّ عليهم‌السلام وهو يعطي نفي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الصدوق خاصّا بالإمام ، فقال بعد إيراده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إطلاقا للإمام أن يدخل ولده معه الحمّام دون من ليس بإمام ؛ وذلك أنّ الإمام معصوم في صغره وكبره ولا يقع منه النظر إلى عورة في حمّام ولا غيره </w:t>
      </w:r>
      <w:r>
        <w:rPr>
          <w:rFonts w:eastAsia="Amiri" w:cs="Amiri" w:ascii="Amiri" w:hAnsi="Amiri"/>
          <w:color w:val="111111"/>
          <w:sz w:val="28"/>
          <w:szCs w:val="28"/>
          <w:rtl w:val="true"/>
          <w:lang w:bidi="ar-SA"/>
        </w:rPr>
        <w:t xml:space="preserve">»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واقتفى أثره في هذا الكلام الشهيد في الذكرى </w:t>
      </w:r>
      <w:r>
        <w:rPr>
          <w:rStyle w:val="FootnoteAnchor"/>
          <w:rtl w:val="true"/>
        </w:rPr>
        <w:footnoteReference w:id="2694"/>
      </w:r>
      <w:r>
        <w:rPr>
          <w:rFonts w:ascii="Amiri" w:hAnsi="Amiri" w:eastAsia="Amiri" w:cs="Amiri"/>
          <w:color w:val="111111"/>
          <w:sz w:val="28"/>
          <w:sz w:val="28"/>
          <w:szCs w:val="28"/>
          <w:rtl w:val="true"/>
          <w:lang w:bidi="ar-SA"/>
        </w:rPr>
        <w:t>وله وجه ، غير أنّ الكراهة لم يثبت عمومها ؛ إذ لم نقف في هذا الباب على روايتي سهل بن زياد ومحمد ابن جعفر والطريق فيهما ضعيف جدّا ، وظاهرهما الاختصاص بحالة عدم الأمن من رؤيته لعورة الأب ، فيمكن جعل ذلك طريقا للجمع لو تحقّق التعارض إلّا ما ذكره الجماعة</w:t>
      </w:r>
      <w:r>
        <w:rPr>
          <w:rFonts w:eastAsia="Amiri" w:cs="Amiri" w:ascii="Amiri" w:hAnsi="Amiri"/>
          <w:color w:val="111111"/>
          <w:sz w:val="28"/>
          <w:szCs w:val="28"/>
          <w:rtl w:val="true"/>
          <w:lang w:bidi="ar-SA"/>
        </w:rPr>
        <w:t>.</w:t>
      </w:r>
    </w:p>
    <w:p>
      <w:pPr>
        <w:pStyle w:val="Heading6"/>
        <w:numPr>
          <w:ilvl w:val="5"/>
          <w:numId w:val="1"/>
        </w:numPr>
        <w:rPr/>
      </w:pPr>
      <w:bookmarkStart w:id="1600" w:name="__RefHeading___Toc3141035_653776707"/>
      <w:bookmarkStart w:id="1601" w:name="_Toc592"/>
      <w:bookmarkEnd w:id="1600"/>
      <w:r>
        <w:rPr>
          <w:rtl w:val="true"/>
        </w:rPr>
        <w:t xml:space="preserve">فصل </w:t>
      </w:r>
      <w:r>
        <w:rPr>
          <w:rtl w:val="true"/>
        </w:rPr>
        <w:t>:</w:t>
      </w:r>
      <w:bookmarkEnd w:id="1601"/>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أبو جعفر الكليني عن أحمد بن محمّد عن عليّ بن الحكم عن المثنّى بن الوليد الخيّاط </w:t>
      </w:r>
      <w:r>
        <w:rPr>
          <w:rStyle w:val="FootnoteAnchor"/>
          <w:rtl w:val="true"/>
        </w:rPr>
        <w:footnoteReference w:id="2695"/>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الحمّام إلّا وفي جوفك شي‌ء يطفي عنك وهج المعدة وهو أقوى </w:t>
      </w:r>
      <w:bookmarkStart w:id="1602" w:name="pg8731_78168"/>
    </w:p>
    <w:p>
      <w:pPr>
        <w:pStyle w:val="BookText"/>
        <w:rPr/>
      </w:pPr>
      <w:bookmarkEnd w:id="1602"/>
      <w:r>
        <w:rPr>
          <w:rFonts w:ascii="IRNazanin" w:hAnsi="IRNazanin" w:eastAsia="IRNazanin"/>
          <w:color w:val="111111"/>
          <w:sz w:val="28"/>
          <w:sz w:val="28"/>
          <w:szCs w:val="28"/>
          <w:rtl w:val="true"/>
          <w:lang w:bidi="fa-IR"/>
        </w:rPr>
        <w:t xml:space="preserve">للبدن ولا تدخله وأنت ممتلئ من الطعام </w:t>
      </w:r>
      <w:r>
        <w:rPr>
          <w:rFonts w:eastAsia="IRNazanin" w:cs="IRNazanin"/>
          <w:color w:val="111111"/>
          <w:sz w:val="28"/>
          <w:szCs w:val="28"/>
          <w:rtl w:val="true"/>
          <w:lang w:bidi="fa-IR"/>
        </w:rPr>
        <w:t xml:space="preserve">»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عليّ بن الحكم عن رفاعة بن موسى عمّن أخبره عن أبي عبد اللّه عليه‌السلام أنّه كان إذا أراد دخول الحمّام تناول شيئا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عندنا يقولون إنّه على الريق أجود ما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يؤكل شي‌ء قبله فيطفي ، المرار ويسكن حرارة الجوف </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من لا يحضره الفقيه مرسلا عن أبي الحسن موسى بن جعفر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الحمّام على الريق ، لا تدخلوه حتّى تطعموا شيئا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3" w:name="__RefHeading___Toc3141037_653776707"/>
      <w:bookmarkStart w:id="1604" w:name="_Toc593"/>
      <w:bookmarkEnd w:id="1603"/>
      <w:r>
        <w:rPr>
          <w:rtl w:val="true"/>
        </w:rPr>
        <w:t xml:space="preserve">فصل </w:t>
      </w:r>
      <w:r>
        <w:rPr>
          <w:rtl w:val="true"/>
        </w:rPr>
        <w:t>:</w:t>
      </w:r>
      <w:bookmarkEnd w:id="1604"/>
    </w:p>
    <w:p>
      <w:pPr>
        <w:pStyle w:val="BookText"/>
        <w:rPr/>
      </w:pPr>
      <w:r>
        <w:rPr>
          <w:rFonts w:ascii="Amiri" w:hAnsi="Amiri" w:eastAsia="Amiri" w:cs="Amiri"/>
          <w:color w:val="111111"/>
          <w:sz w:val="28"/>
          <w:sz w:val="28"/>
          <w:szCs w:val="28"/>
          <w:rtl w:val="true"/>
          <w:lang w:bidi="ar-SA"/>
        </w:rPr>
        <w:t xml:space="preserve">وروى في الكافي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عليه‌السلام الحمّام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اخلّيه 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أخفّ من ذلك </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من لا يحضره الفقيه مرسلا عنه عليه‌السلام أنّه دخل الحمّام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نخلّيه 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 المؤمن خفيف المئونة </w:t>
      </w:r>
      <w:r>
        <w:rPr>
          <w:rFonts w:eastAsia="Amiri" w:cs="Amiri" w:ascii="Amiri" w:hAnsi="Amiri"/>
          <w:color w:val="111111"/>
          <w:sz w:val="28"/>
          <w:szCs w:val="28"/>
          <w:rtl w:val="true"/>
          <w:lang w:bidi="ar-SA"/>
        </w:rPr>
        <w:t xml:space="preserve">»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محمّد بن حمران بإسناد يقوى أنّ فيه تصحيفا ، ولولاه لكان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دخلت الحمّام فقل في الوقت الذي تنزع فيه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عنّي ربقة النفاق ، وثبّتني على الإيمان </w:t>
      </w:r>
      <w:r>
        <w:rPr>
          <w:rFonts w:eastAsia="Amiri" w:cs="Amiri" w:ascii="Amiri" w:hAnsi="Amiri"/>
          <w:color w:val="111111"/>
          <w:sz w:val="28"/>
          <w:szCs w:val="28"/>
          <w:rtl w:val="true"/>
          <w:lang w:bidi="ar-SA"/>
        </w:rPr>
        <w:t xml:space="preserve">». </w:t>
      </w:r>
      <w:bookmarkStart w:id="1605" w:name="pg8731_78169"/>
    </w:p>
    <w:p>
      <w:pPr>
        <w:pStyle w:val="BookText"/>
        <w:rPr/>
      </w:pPr>
      <w:bookmarkEnd w:id="1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الأوّل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نفسي وأستعيذ بك من أذاه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الثاني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الرجس النجس وطهّر جسدي وقلبي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من الماء الحار ، وضعه على هامتك ، وصبّ منه على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تبلع منه جرعة فافعل فإنّه ينقّي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والبث في البيت الثاني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النار ونسأله الجنّة ، تردّدها إلى وقت خروجك من البيت الحارّ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وشرب الماء البارد والفقّاع في الحمّام فإنّه يفسد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تصبّن عليك الماء البارد فإنّه يضعف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الماء البارد على قدميك إذا خرجت فإنّه يسلّ الداء من جسدك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لبست ثيابك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وجنّبني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أمنت من كلّ الأذى </w:t>
      </w:r>
      <w:r>
        <w:rPr>
          <w:rFonts w:eastAsia="Amiri" w:cs="Amiri" w:ascii="Amiri" w:hAnsi="Amiri"/>
          <w:color w:val="111111"/>
          <w:sz w:val="28"/>
          <w:szCs w:val="28"/>
          <w:rtl w:val="true"/>
          <w:lang w:bidi="ar-SA"/>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6" w:name="__RefHeading___Toc3141039_653776707"/>
      <w:bookmarkStart w:id="1607" w:name="_Toc594"/>
      <w:bookmarkEnd w:id="1606"/>
      <w:r>
        <w:rPr>
          <w:rtl w:val="true"/>
        </w:rPr>
        <w:t xml:space="preserve">فصل </w:t>
      </w:r>
      <w:r>
        <w:rPr>
          <w:rtl w:val="true"/>
        </w:rPr>
        <w:t>:</w:t>
      </w:r>
      <w:bookmarkEnd w:id="1607"/>
    </w:p>
    <w:p>
      <w:pPr>
        <w:pStyle w:val="BookText"/>
        <w:rPr/>
      </w:pPr>
      <w:r>
        <w:rPr>
          <w:rFonts w:ascii="Amiri" w:hAnsi="Amiri" w:eastAsia="Amiri" w:cs="Amiri"/>
          <w:color w:val="111111"/>
          <w:sz w:val="28"/>
          <w:sz w:val="28"/>
          <w:szCs w:val="28"/>
          <w:rtl w:val="true"/>
          <w:lang w:bidi="ar-SA"/>
        </w:rPr>
        <w:t xml:space="preserve">وروى الكليني في الصحيح عن محمّد بن أبي حمزة </w:t>
      </w:r>
      <w:r>
        <w:rPr>
          <w:rStyle w:val="FootnoteAnchor"/>
          <w:rtl w:val="true"/>
        </w:rPr>
        <w:footnoteReference w:id="2702"/>
      </w:r>
      <w:r>
        <w:rPr>
          <w:rFonts w:ascii="Amiri" w:hAnsi="Amiri" w:eastAsia="Amiri" w:cs="Amiri"/>
          <w:color w:val="111111"/>
          <w:sz w:val="28"/>
          <w:sz w:val="28"/>
          <w:szCs w:val="28"/>
          <w:rtl w:val="true"/>
          <w:lang w:bidi="ar-SA"/>
        </w:rPr>
        <w:t xml:space="preserve">عن عليّ ابن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الحمّام وأنكح؟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أمير المؤمنين صلوات اللّه عليه ينهى عن قراءة القرآن في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نهى </w:t>
      </w:r>
    </w:p>
    <w:p>
      <w:pPr>
        <w:pStyle w:val="BookText"/>
        <w:rPr/>
      </w:pPr>
      <w:r>
        <w:rPr>
          <w:rFonts w:ascii="Amiri" w:hAnsi="Amiri" w:eastAsia="Amiri" w:cs="Amiri"/>
          <w:color w:val="111111"/>
          <w:sz w:val="28"/>
          <w:sz w:val="28"/>
          <w:szCs w:val="28"/>
          <w:rtl w:val="true"/>
          <w:lang w:bidi="ar-SA"/>
        </w:rPr>
        <w:t xml:space="preserve">أن يقرأ الرجل وهو عريان فأمّا إذا كان عليه إزار فلا بأس </w:t>
      </w:r>
      <w:r>
        <w:rPr>
          <w:rFonts w:eastAsia="Amiri" w:cs="Amiri" w:ascii="Amiri" w:hAnsi="Amiri"/>
          <w:color w:val="111111"/>
          <w:sz w:val="28"/>
          <w:szCs w:val="28"/>
          <w:rtl w:val="true"/>
          <w:lang w:bidi="ar-SA"/>
        </w:rPr>
        <w:t xml:space="preserve">»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في الحسن أيضا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للرجل أن يقرأ القرآن في الحمّام إذا كان يريد به وجه اللّه ولا يريد ينظر كيف صوته </w:t>
      </w:r>
      <w:r>
        <w:rPr>
          <w:rFonts w:eastAsia="Amiri" w:cs="Amiri" w:ascii="Amiri" w:hAnsi="Amiri"/>
          <w:color w:val="111111"/>
          <w:sz w:val="28"/>
          <w:szCs w:val="28"/>
          <w:rtl w:val="true"/>
          <w:lang w:bidi="ar-SA"/>
        </w:rPr>
        <w:t xml:space="preserve">»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عن محمّد بن إسماعيل بن بزيع في الصحيح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يقرأ في الحمّام وينكح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الحسن بن عليّ بن يقطين عن أخيه الحسين عن أبيه علي بن يقطين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يقرأ في الحمّام وينكح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القراءة في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عليك إزار فاقرأ القرآن إن شئت كلّه </w:t>
      </w:r>
      <w:r>
        <w:rPr>
          <w:rFonts w:eastAsia="Amiri" w:cs="Amiri" w:ascii="Amiri" w:hAnsi="Amiri"/>
          <w:color w:val="111111"/>
          <w:sz w:val="28"/>
          <w:szCs w:val="28"/>
          <w:rtl w:val="true"/>
          <w:lang w:bidi="ar-SA"/>
        </w:rPr>
        <w:t xml:space="preserve">»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من لا يحضره الفقيه عن عبد الرحمن بن مسلم المعروف بسعدان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الحمّام في البيت الأوسط فدخل أبو الحسن موسى بن جعفر عليهما‌السلام وعليه إزار فوق النورة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فرددت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البيت الذي فيه الحوض فاغتسلت </w:t>
      </w:r>
      <w:bookmarkStart w:id="1608" w:name="pg8731_78171"/>
    </w:p>
    <w:p>
      <w:pPr>
        <w:pStyle w:val="BookText"/>
        <w:rPr/>
      </w:pPr>
      <w:bookmarkEnd w:id="1608"/>
      <w:r>
        <w:rPr>
          <w:rFonts w:ascii="IRNazanin" w:hAnsi="IRNazanin" w:eastAsia="IRNazanin"/>
          <w:color w:val="111111"/>
          <w:sz w:val="28"/>
          <w:sz w:val="28"/>
          <w:szCs w:val="28"/>
          <w:rtl w:val="true"/>
          <w:lang w:bidi="fa-IR"/>
        </w:rPr>
        <w:t xml:space="preserve">وخرجت </w:t>
      </w:r>
      <w:r>
        <w:rPr>
          <w:rFonts w:eastAsia="IRNazanin" w:cs="IRNazanin"/>
          <w:color w:val="111111"/>
          <w:sz w:val="28"/>
          <w:szCs w:val="28"/>
          <w:rtl w:val="true"/>
          <w:lang w:bidi="fa-IR"/>
        </w:rPr>
        <w:t xml:space="preserve">»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إطلاق في التسليم في الحمّام لمن عليه مئزر ، والنهي الوارد عن التسليم فيه هو لمن لا مئزر عليه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على رواية النهي التي أشار إليها</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141041_653776707"/>
      <w:bookmarkStart w:id="1610" w:name="_Toc595"/>
      <w:bookmarkEnd w:id="1609"/>
      <w:r>
        <w:rPr>
          <w:rtl w:val="true"/>
        </w:rPr>
        <w:t xml:space="preserve">فصل </w:t>
      </w:r>
      <w:r>
        <w:rPr>
          <w:rtl w:val="true"/>
        </w:rPr>
        <w:t>:</w:t>
      </w:r>
      <w:bookmarkEnd w:id="1610"/>
    </w:p>
    <w:p>
      <w:pPr>
        <w:pStyle w:val="Heading6"/>
        <w:numPr>
          <w:ilvl w:val="5"/>
          <w:numId w:val="1"/>
        </w:numPr>
        <w:rPr/>
      </w:pPr>
      <w:bookmarkStart w:id="1611" w:name="__RefHeading___Toc3141043_653776707"/>
      <w:bookmarkStart w:id="1612" w:name="_Toc596"/>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 xml:space="preserve">وروى الصدوق في العلل عن عبد اللّه بن أبي يعفور في الموثّق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والاضطجاع في الحمّام فإنّه يذيب </w:t>
      </w:r>
      <w:r>
        <w:rPr>
          <w:rStyle w:val="FootnoteAnchor"/>
          <w:rtl w:val="true"/>
        </w:rPr>
        <w:footnoteReference w:id="2711"/>
      </w:r>
      <w:r>
        <w:rPr>
          <w:rFonts w:ascii="Amiri" w:hAnsi="Amiri" w:eastAsia="Amiri" w:cs="Amiri"/>
          <w:color w:val="111111"/>
          <w:sz w:val="28"/>
          <w:sz w:val="28"/>
          <w:szCs w:val="28"/>
          <w:rtl w:val="true"/>
          <w:lang w:bidi="ar-SA"/>
        </w:rPr>
        <w:t>شحم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والاستلقاء على القفا في الحمّام فإنّه يورث داء الدبيلة </w:t>
      </w:r>
      <w:r>
        <w:rPr>
          <w:rStyle w:val="FootnoteAnchor"/>
          <w:rtl w:val="true"/>
        </w:rPr>
        <w:footnoteReference w:id="2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والتمشّط في الحمّام فإنّه يورث وباء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والسواك في الحمّام فإنّه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تغسل رأسك بالطين فإنّه يسمّج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تدلك رأسك ووجهك بمئزر فإنّه يذهب بماء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تدلك تحت قدمك بالخزف فإنّه يورث البرص </w:t>
      </w:r>
      <w:r>
        <w:rPr>
          <w:rFonts w:eastAsia="Amiri" w:cs="Amiri" w:ascii="Amiri" w:hAnsi="Amiri"/>
          <w:color w:val="111111"/>
          <w:sz w:val="28"/>
          <w:szCs w:val="28"/>
          <w:rtl w:val="true"/>
          <w:lang w:bidi="ar-SA"/>
        </w:rPr>
        <w:t xml:space="preserve">»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رحمه‌اللّه رويت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الطين هو طين مصر وإنّ هذا الخزف هو خزف الشام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عن الصادق عليه‌السلام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 </w:t>
      </w:r>
    </w:p>
    <w:p>
      <w:pPr>
        <w:pStyle w:val="BookText"/>
        <w:rPr/>
      </w:pPr>
      <w:r>
        <w:rPr>
          <w:rFonts w:ascii="Amiri" w:hAnsi="Amiri" w:eastAsia="Amiri" w:cs="Amiri"/>
          <w:color w:val="111111"/>
          <w:sz w:val="28"/>
          <w:sz w:val="28"/>
          <w:szCs w:val="28"/>
          <w:rtl w:val="true"/>
          <w:lang w:bidi="ar-SA"/>
        </w:rPr>
        <w:t xml:space="preserve">في الحمّام فإنّه يذيب شحم الكليتين ، ولا تسرّح في الحمّام فإنّه يرقّق الشعر ولا تغسل رأسك بالطين فإنّه يسمج الوجه </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بالغيرة ، ولا تدلك بالخزف فإنّه يورث البرص ، ولا تمسح وجهك بالإزار فإنّه يذهب بماء الوجه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ذلك طين مصر وخزف الشام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الموثّق عن عمر بن يزيد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يستلقينّ أحدكم في الحمّام فإنّه يذيب شحم الكليتين ، ولا يدلكنّ رجليه بالخزف فإنّه يورث الجذام </w:t>
      </w:r>
      <w:r>
        <w:rPr>
          <w:rFonts w:eastAsia="Amiri" w:cs="Amiri" w:ascii="Amiri" w:hAnsi="Amiri"/>
          <w:color w:val="111111"/>
          <w:sz w:val="28"/>
          <w:szCs w:val="28"/>
          <w:rtl w:val="true"/>
          <w:lang w:bidi="ar-SA"/>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يوسف بن السخت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 في الحمّام ؛ فإنّه يذهب شحم الكليتين ، ولا تسرّح في الحمّام ؛ فإنّه يرقّق الشعر ، ولا تغسل رأسك بالطين ؛ فإنّه يذهب بالغيرة ، ولا تدلك بالخزف ؛ فإنّه يورث البرص ، ولا تمسح وجهك بالإزار ؛ فإنّه يذهب بماء الوجه </w:t>
      </w:r>
      <w:r>
        <w:rPr>
          <w:rFonts w:eastAsia="Amiri" w:cs="Amiri" w:ascii="Amiri" w:hAnsi="Amiri"/>
          <w:color w:val="111111"/>
          <w:sz w:val="28"/>
          <w:szCs w:val="28"/>
          <w:rtl w:val="true"/>
          <w:lang w:bidi="ar-SA"/>
        </w:rPr>
        <w:t xml:space="preserve">»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عليّ بن إبراهيم عن أبيه عن علي بن أسباط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تغسلوا رءوسكم بطين مصر فإنّه يذهب بالغيرة ويورث الدياثة </w:t>
      </w:r>
      <w:r>
        <w:rPr>
          <w:rFonts w:eastAsia="Amiri" w:cs="Amiri" w:ascii="Amiri" w:hAnsi="Amiri"/>
          <w:color w:val="111111"/>
          <w:sz w:val="28"/>
          <w:szCs w:val="28"/>
          <w:rtl w:val="true"/>
          <w:lang w:bidi="ar-SA"/>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محمّد بن عليّ بن جعفر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الحمّام خزفة فحكّ بها جسده فأصابه البرص فلا يلومنّ إلّا </w:t>
      </w:r>
      <w:bookmarkStart w:id="1613" w:name="pg8731_78173"/>
    </w:p>
    <w:p>
      <w:pPr>
        <w:pStyle w:val="BookText"/>
        <w:rPr/>
      </w:pPr>
      <w:bookmarkEnd w:id="1613"/>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4" w:name="__RefHeading___Toc3141045_653776707"/>
      <w:bookmarkStart w:id="1615" w:name="_Toc597"/>
      <w:bookmarkEnd w:id="1614"/>
      <w:r>
        <w:rPr>
          <w:rtl w:val="true"/>
        </w:rPr>
        <w:t xml:space="preserve">فصل </w:t>
      </w:r>
      <w:r>
        <w:rPr>
          <w:rtl w:val="true"/>
        </w:rPr>
        <w:t>:</w:t>
      </w:r>
      <w:bookmarkEnd w:id="1615"/>
    </w:p>
    <w:p>
      <w:pPr>
        <w:pStyle w:val="BookText"/>
        <w:rPr/>
      </w:pPr>
      <w:r>
        <w:rPr>
          <w:rFonts w:ascii="Amiri" w:hAnsi="Amiri" w:eastAsia="Amiri" w:cs="Amiri"/>
          <w:color w:val="111111"/>
          <w:sz w:val="28"/>
          <w:sz w:val="28"/>
          <w:szCs w:val="28"/>
          <w:rtl w:val="true"/>
          <w:lang w:bidi="ar-SA"/>
        </w:rPr>
        <w:t xml:space="preserve">ويستحبّ التنّور وغسل الرأس بالخطمي والسدر لما رواه الشيخ أبو جعفر الكليني في الصحيح عن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مع أبي عبد اللّه عليه‌السلام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أطليت منذ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فإنّها طهور </w:t>
      </w:r>
      <w:r>
        <w:rPr>
          <w:rFonts w:eastAsia="Amiri" w:cs="Amiri" w:ascii="Amiri" w:hAnsi="Amiri"/>
          <w:color w:val="111111"/>
          <w:sz w:val="28"/>
          <w:szCs w:val="28"/>
          <w:rtl w:val="true"/>
          <w:lang w:bidi="ar-SA"/>
        </w:rPr>
        <w:t xml:space="preserve">»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 الفراء في الحسن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النورة طهور </w:t>
      </w:r>
      <w:r>
        <w:rPr>
          <w:rFonts w:eastAsia="Amiri" w:cs="Amiri" w:ascii="Amiri" w:hAnsi="Amiri"/>
          <w:color w:val="111111"/>
          <w:sz w:val="28"/>
          <w:szCs w:val="28"/>
          <w:rtl w:val="true"/>
          <w:lang w:bidi="ar-SA"/>
        </w:rPr>
        <w:t xml:space="preserve">»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أحمد بن محمّد بن أبي نصر عن أحمد بن المبارك عن الحسين بن أحمد المنقري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النورة في خمسة عشر يوما ، فإن أتت عليك عشرون يوما وليس عندك فاستقرض على اللّه </w:t>
      </w:r>
      <w:r>
        <w:rPr>
          <w:rFonts w:eastAsia="Amiri" w:cs="Amiri" w:ascii="Amiri" w:hAnsi="Amiri"/>
          <w:color w:val="111111"/>
          <w:sz w:val="28"/>
          <w:szCs w:val="28"/>
          <w:rtl w:val="true"/>
          <w:lang w:bidi="ar-SA"/>
        </w:rPr>
        <w:t xml:space="preserve">»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أبي عمير عن بعض أصحابنا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النورة في خمس عشرة ، فإن أتت عليك عشرون يوما وليس عندك فاستقرض على اللّه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عمرو بن إبراهيم عن خلف بن حمّاد عن هارون بن حكيم الأرقط خال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أتيته في حاجة فأصبته في الحمّام </w:t>
      </w:r>
    </w:p>
    <w:p>
      <w:pPr>
        <w:pStyle w:val="BookText"/>
        <w:rPr/>
      </w:pPr>
      <w:r>
        <w:rPr>
          <w:rFonts w:ascii="Amiri" w:hAnsi="Amiri" w:eastAsia="Amiri" w:cs="Amiri"/>
          <w:color w:val="111111"/>
          <w:sz w:val="28"/>
          <w:sz w:val="28"/>
          <w:szCs w:val="28"/>
          <w:rtl w:val="true"/>
          <w:lang w:bidi="ar-SA"/>
        </w:rPr>
        <w:t xml:space="preserve">يطلي ، فذكرت له حاجتي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عهدي به أوّل أمس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فإنّ النورة طهور </w:t>
      </w:r>
      <w:r>
        <w:rPr>
          <w:rFonts w:eastAsia="Amiri" w:cs="Amiri" w:ascii="Amiri" w:hAnsi="Amiri"/>
          <w:color w:val="111111"/>
          <w:sz w:val="28"/>
          <w:szCs w:val="28"/>
          <w:rtl w:val="true"/>
          <w:lang w:bidi="ar-SA"/>
        </w:rPr>
        <w:t xml:space="preserve">»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فضّال عن ابن بكير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في كلّ جمعة أمان من البرص والجنون </w:t>
      </w:r>
      <w:r>
        <w:rPr>
          <w:rFonts w:eastAsia="Amiri" w:cs="Amiri" w:ascii="Amiri" w:hAnsi="Amiri"/>
          <w:color w:val="111111"/>
          <w:sz w:val="28"/>
          <w:szCs w:val="28"/>
          <w:rtl w:val="true"/>
          <w:lang w:bidi="ar-SA"/>
        </w:rPr>
        <w:t xml:space="preserve">»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أبي بصير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يذهب بالدرن وينقّي الأقذار </w:t>
      </w:r>
      <w:r>
        <w:rPr>
          <w:rFonts w:eastAsia="Amiri" w:cs="Amiri" w:ascii="Amiri" w:hAnsi="Amiri"/>
          <w:color w:val="111111"/>
          <w:sz w:val="28"/>
          <w:szCs w:val="28"/>
          <w:rtl w:val="true"/>
          <w:lang w:bidi="ar-SA"/>
        </w:rPr>
        <w:t xml:space="preserve">»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عبد الخالق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نشرة </w:t>
      </w:r>
      <w:r>
        <w:rPr>
          <w:rFonts w:eastAsia="Amiri" w:cs="Amiri" w:ascii="Amiri" w:hAnsi="Amiri"/>
          <w:color w:val="111111"/>
          <w:sz w:val="28"/>
          <w:szCs w:val="28"/>
          <w:rtl w:val="true"/>
          <w:lang w:bidi="ar-SA"/>
        </w:rPr>
        <w:t xml:space="preserve">»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بزرج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بالسدر يجلب الرزق جلبا </w:t>
      </w:r>
      <w:r>
        <w:rPr>
          <w:rFonts w:eastAsia="Amiri" w:cs="Amiri" w:ascii="Amiri" w:hAnsi="Amiri"/>
          <w:color w:val="111111"/>
          <w:sz w:val="28"/>
          <w:szCs w:val="28"/>
          <w:rtl w:val="true"/>
          <w:lang w:bidi="ar-SA"/>
        </w:rPr>
        <w:t xml:space="preserve">»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الحسين العلوي عن أبيه عن جدّه عليّ صلوات اللّه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 اللّه عزوجل رسوله صلى‌اللّه‌عليه‌وآله بإظهار الإسلام وظهر الوحي رأى قلّة من المسلمين وكثرة من المشركين فاهتمّ رسول اللّه صلى‌اللّه‌عليه‌وآله همّا شديدا فبعث اللّه عزوجل إليه جبرئيل عليه‌السلام بسدر من سدرة المنتهى فغسل به رأسه فجلا به </w:t>
      </w:r>
      <w:bookmarkStart w:id="1616" w:name="pg8731_78175"/>
    </w:p>
    <w:p>
      <w:pPr>
        <w:pStyle w:val="BookText"/>
        <w:rPr/>
      </w:pPr>
      <w:bookmarkEnd w:id="1616"/>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أكثر هذه الأخبار مرسلة مع رواية اخرى في السدر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اغسلوا رءوسكم بورق السدر فإنّه قدّسه كلّ ملك مقرّب وكلّ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غسل رأسه بورق السدر صرف اللّه عنه وسوسة الشيطان سبعين يوما ومن صرف اللّه عنه وسوسة الشيطان سبعين يوما لم يعص اللّه ومن لم يعص دخل الجنّة </w:t>
      </w:r>
      <w:r>
        <w:rPr>
          <w:rFonts w:eastAsia="Amiri" w:cs="Amiri" w:ascii="Amiri" w:hAnsi="Amiri"/>
          <w:color w:val="111111"/>
          <w:sz w:val="28"/>
          <w:szCs w:val="28"/>
          <w:rtl w:val="true"/>
          <w:lang w:bidi="ar-SA"/>
        </w:rPr>
        <w:t xml:space="preserve">»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7" w:name="__RefHeading___Toc3141047_653776707"/>
      <w:bookmarkStart w:id="1618" w:name="_Toc598"/>
      <w:bookmarkEnd w:id="1617"/>
      <w:r>
        <w:rPr>
          <w:rtl w:val="true"/>
        </w:rPr>
        <w:t xml:space="preserve">فصل </w:t>
      </w:r>
      <w:r>
        <w:rPr>
          <w:rtl w:val="true"/>
        </w:rPr>
        <w:t>:</w:t>
      </w:r>
      <w:bookmarkEnd w:id="1618"/>
    </w:p>
    <w:p>
      <w:pPr>
        <w:pStyle w:val="BookText"/>
        <w:rPr/>
      </w:pPr>
      <w:r>
        <w:rPr>
          <w:rFonts w:ascii="Amiri" w:hAnsi="Amiri" w:eastAsia="Amiri" w:cs="Amiri"/>
          <w:color w:val="111111"/>
          <w:sz w:val="28"/>
          <w:sz w:val="28"/>
          <w:szCs w:val="28"/>
          <w:rtl w:val="true"/>
          <w:lang w:bidi="ar-SA"/>
        </w:rPr>
        <w:t xml:space="preserve">وروى في الكافي عن الحسين بن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الحسن موسى ابن جعفر عليهما‌السلام إذا أراد دخول الحمّام أمر أن يوقد عليه ثلاثا ، فكان لا يمكنه دخوله حتّى يدخله السودان فيلقون له اللبود ، فإذا دخله فمرّة قاعد ومرّة قائم ، فخرج يوما من الحمّام فاستقبله رجل من آل الزبير يقال له كنيد وبيده أثر حنّاء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الأثر بيدك؟ فقال أثر حنّاء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كنيد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أعلم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الحمّام فاطّلى ثمّ اتبعه بالحنّاء من قرنه إلى قدمه كان أمانا له من الجنون والجذام والبرص والأكلة إلى مثلة من النورة </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عبدوس بن إبراهيم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أطلى في الحمّام فتدلّك بالحناء من قرنه إلى قدمه نفي عنه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الثاني عليه‌السلام قد خرج من الحمّام وهو من قرنه إلى قدمه </w:t>
      </w:r>
      <w:bookmarkStart w:id="1619" w:name="pg8731_78176"/>
    </w:p>
    <w:p>
      <w:pPr>
        <w:pStyle w:val="BookText"/>
        <w:rPr/>
      </w:pPr>
      <w:bookmarkEnd w:id="1619"/>
      <w:r>
        <w:rPr>
          <w:rFonts w:ascii="IRNazanin" w:hAnsi="IRNazanin" w:eastAsia="IRNazanin"/>
          <w:color w:val="111111"/>
          <w:sz w:val="28"/>
          <w:sz w:val="28"/>
          <w:szCs w:val="28"/>
          <w:rtl w:val="true"/>
          <w:lang w:bidi="fa-IR"/>
        </w:rPr>
        <w:t xml:space="preserve">مثل الورد من أثر الحنّا </w:t>
      </w:r>
      <w:r>
        <w:rPr>
          <w:rFonts w:eastAsia="IRNazanin" w:cs="IRNazanin"/>
          <w:color w:val="111111"/>
          <w:sz w:val="28"/>
          <w:szCs w:val="28"/>
          <w:rtl w:val="true"/>
          <w:lang w:bidi="fa-IR"/>
        </w:rPr>
        <w:t xml:space="preserve">»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عن رسول اللّه صلى‌اللّه‌عليه‌وآله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أطلى واختضب بالحنّاء آمنه اللّه تعالى من ثلاث خصال ، الجذام والبرص والأكلة إلى طلية مثلها </w:t>
      </w:r>
      <w:r>
        <w:rPr>
          <w:rFonts w:eastAsia="Amiri" w:cs="Amiri" w:ascii="Amiri" w:hAnsi="Amiri"/>
          <w:color w:val="111111"/>
          <w:sz w:val="28"/>
          <w:szCs w:val="28"/>
          <w:rtl w:val="true"/>
          <w:lang w:bidi="ar-SA"/>
        </w:rPr>
        <w:t xml:space="preserve">»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على أثر النورة أمان من الجذام والبرص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0" w:name="__RefHeading___Toc3141049_653776707"/>
      <w:bookmarkStart w:id="1621" w:name="_Toc599"/>
      <w:bookmarkEnd w:id="1620"/>
      <w:r>
        <w:rPr>
          <w:rtl w:val="true"/>
        </w:rPr>
        <w:t xml:space="preserve">فصل </w:t>
      </w:r>
      <w:r>
        <w:rPr>
          <w:rtl w:val="true"/>
        </w:rPr>
        <w:t>:</w:t>
      </w:r>
      <w:bookmarkEnd w:id="1621"/>
    </w:p>
    <w:p>
      <w:pPr>
        <w:pStyle w:val="BookText"/>
        <w:rPr/>
      </w:pPr>
      <w:r>
        <w:rPr>
          <w:rFonts w:ascii="Amiri" w:hAnsi="Amiri" w:eastAsia="Amiri" w:cs="Amiri"/>
          <w:color w:val="111111"/>
          <w:sz w:val="28"/>
          <w:sz w:val="28"/>
          <w:szCs w:val="28"/>
          <w:rtl w:val="true"/>
          <w:lang w:bidi="ar-SA"/>
        </w:rPr>
        <w:t xml:space="preserve">وروى الشيخ عن عبد الرحمن بن الحجّاج في الصحيح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يطلي بالنورة فيجعل الدقيق بالزيت يلتّه به ، يتمسّح به بعد النورة ليقطع ريحها؟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أبو جعفر الكليني بإسناد حسن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متنه قليل تغيير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يطلي بالنورة فيجعل الدقيق بالزيت يلت به فيمسح به بعد النورة ليقطع ريحها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لعبد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عليه‌السلام وقد تدلّك بدقيق ملتوت بالزيت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يكرهون ذلك ، قال </w:t>
      </w:r>
      <w:r>
        <w:rPr>
          <w:rFonts w:eastAsia="Amiri" w:cs="Amiri" w:ascii="Amiri" w:hAnsi="Amiri"/>
          <w:color w:val="111111"/>
          <w:sz w:val="28"/>
          <w:szCs w:val="28"/>
          <w:rtl w:val="true"/>
          <w:lang w:bidi="ar-SA"/>
        </w:rPr>
        <w:t xml:space="preserve">: </w:t>
      </w:r>
      <w:bookmarkStart w:id="1622" w:name="pg8731_78177"/>
    </w:p>
    <w:p>
      <w:pPr>
        <w:pStyle w:val="BookText"/>
        <w:rPr/>
      </w:pPr>
      <w:bookmarkEnd w:id="1622"/>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أبان بن تغلب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إنّا لنسافر ولا يكون معنا نخالة فنتدلّك بالدقيق؟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الفساد فيما أضرّ بالبدن وأتلف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أصلح البدن فإنّه ليس بفساد إنّي ربّما أمرت غلامي فلتّ لي النقيّ بالزيت فأتدلّك به </w:t>
      </w:r>
      <w:r>
        <w:rPr>
          <w:rFonts w:eastAsia="Amiri" w:cs="Amiri" w:ascii="Amiri" w:hAnsi="Amiri"/>
          <w:color w:val="111111"/>
          <w:sz w:val="28"/>
          <w:szCs w:val="28"/>
          <w:rtl w:val="true"/>
          <w:lang w:bidi="ar-SA"/>
        </w:rPr>
        <w:t xml:space="preserve">»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مخّ العظم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عن إسحاق بن عبد العزيز عن رجل ذكره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نكون في طريق مكّة ، نريد الإحرام ولا يكون معنا نخالة نتدلّك به من النورة ، فنتدلك بالدقيق فيدخلني من ذلك ما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الإسراف؟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ربّما أمرت بالنقيّ يلتّ بالزيت فأتدلّك به ، وإنّما الإسراف فيما أتلف المال وأضرّ بالبدن </w:t>
      </w:r>
      <w:r>
        <w:rPr>
          <w:rFonts w:eastAsia="Amiri" w:cs="Amiri" w:ascii="Amiri" w:hAnsi="Amiri"/>
          <w:color w:val="111111"/>
          <w:sz w:val="28"/>
          <w:szCs w:val="28"/>
          <w:rtl w:val="true"/>
          <w:lang w:bidi="ar-SA"/>
        </w:rPr>
        <w:t xml:space="preserve">»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3" w:name="__RefHeading___Toc3141051_653776707"/>
      <w:bookmarkStart w:id="1624" w:name="_Toc600"/>
      <w:bookmarkEnd w:id="1623"/>
      <w:r>
        <w:rPr>
          <w:rtl w:val="true"/>
        </w:rPr>
        <w:t xml:space="preserve">فصل </w:t>
      </w:r>
      <w:r>
        <w:rPr>
          <w:rtl w:val="true"/>
        </w:rPr>
        <w:t>:</w:t>
      </w:r>
      <w:bookmarkEnd w:id="1624"/>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من لا يحضره الفقيه عن الصادق عليه‌السلام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يتوقّى النورة يوم الأربعاء فإنّه يوم نحس مستمرّ </w:t>
      </w:r>
      <w:r>
        <w:rPr>
          <w:rFonts w:eastAsia="Amiri" w:cs="Amiri" w:ascii="Amiri" w:hAnsi="Amiri"/>
          <w:color w:val="111111"/>
          <w:sz w:val="28"/>
          <w:szCs w:val="28"/>
          <w:rtl w:val="true"/>
          <w:lang w:bidi="ar-SA"/>
        </w:rPr>
        <w:t xml:space="preserve">»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bookmarkStart w:id="1625" w:name="pg8731_78178"/>
    </w:p>
    <w:p>
      <w:pPr>
        <w:pStyle w:val="BookText"/>
        <w:rPr/>
      </w:pPr>
      <w:bookmarkEnd w:id="1625"/>
      <w:r>
        <w:rPr>
          <w:rFonts w:ascii="Amiri" w:hAnsi="Amiri" w:eastAsia="Amiri" w:cs="Amiri"/>
          <w:color w:val="111111"/>
          <w:sz w:val="28"/>
          <w:sz w:val="28"/>
          <w:szCs w:val="28"/>
          <w:rtl w:val="true"/>
          <w:lang w:bidi="ar-SA"/>
        </w:rPr>
        <w:t xml:space="preserve">ثمّ 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النورة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في يوم الجمعة تورث البرص </w:t>
      </w:r>
      <w:r>
        <w:rPr>
          <w:rStyle w:val="FootnoteAnchor"/>
          <w:rtl w:val="true"/>
        </w:rPr>
        <w:footnoteReference w:id="2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ذلك حديثا بإسناد حسن عن الريّان ابن الصلت عمّن أخبره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تنوّر يوم الجمعة فأصابه البرص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أبو جعفر الكليني عن عليّ بن إبراهيم عن أحمد بن أبي عبد اللّه رفعه إلى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يزعم بعض الناس أنّ النورة يوم الجمعة مكروهة؟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ذهبت أيّ طهور أطهر من النورة يوم الجمعة؟ </w:t>
      </w:r>
      <w:r>
        <w:rPr>
          <w:rFonts w:eastAsia="Amiri" w:cs="Amiri" w:ascii="Amiri" w:hAnsi="Amiri"/>
          <w:color w:val="111111"/>
          <w:sz w:val="28"/>
          <w:szCs w:val="28"/>
          <w:rtl w:val="true"/>
          <w:lang w:bidi="ar-SA"/>
        </w:rPr>
        <w:t xml:space="preserve">»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حذيفة بن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يطلي العانة وما تحت الأليين </w:t>
      </w:r>
      <w:r>
        <w:rPr>
          <w:rStyle w:val="FootnoteAnchor"/>
          <w:rtl w:val="true"/>
        </w:rPr>
        <w:footnoteReference w:id="2747"/>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 xml:space="preserve">»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6" w:name="__RefHeading___Toc3141053_653776707"/>
      <w:bookmarkStart w:id="1627" w:name="_Toc601"/>
      <w:bookmarkEnd w:id="1626"/>
      <w:r>
        <w:rPr>
          <w:rtl w:val="true"/>
        </w:rPr>
        <w:t xml:space="preserve">فصل </w:t>
      </w:r>
      <w:r>
        <w:rPr>
          <w:rtl w:val="true"/>
        </w:rPr>
        <w:t>:</w:t>
      </w:r>
      <w:bookmarkEnd w:id="1627"/>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عن الصادق عليه‌السلام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يتنوّر فليأخذ من النورة ويجعله على طرف أنفه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سليمان بن داود عليه‌السلام كما أمرنا بالنورة ، فإنّه لا تحرقه النورة إن شاء اللّه </w:t>
      </w:r>
      <w:r>
        <w:rPr>
          <w:rFonts w:eastAsia="Amiri" w:cs="Amiri" w:ascii="Amiri" w:hAnsi="Amiri"/>
          <w:color w:val="111111"/>
          <w:sz w:val="28"/>
          <w:szCs w:val="28"/>
          <w:rtl w:val="true"/>
          <w:lang w:bidi="ar-SA"/>
        </w:rPr>
        <w:t xml:space="preserve">»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 xml:space="preserve">. </w:t>
      </w:r>
      <w:bookmarkStart w:id="1628" w:name="pg8731_78179"/>
    </w:p>
    <w:p>
      <w:pPr>
        <w:pStyle w:val="BookText"/>
        <w:rPr/>
      </w:pPr>
      <w:bookmarkEnd w:id="16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من جلس وهو متنوّر خيف عليه الفتق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السيّاري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الإطلاء بالنورة فأخذ من النورة بإصبعه فشمّه وجعل على طرف أنفه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سليمان بن داود عليه‌السلام كما أمرنا بالنورة لم تحرقه النورة </w:t>
      </w:r>
      <w:r>
        <w:rPr>
          <w:rFonts w:eastAsia="Amiri" w:cs="Amiri" w:ascii="Amiri" w:hAnsi="Amiri"/>
          <w:color w:val="111111"/>
          <w:sz w:val="28"/>
          <w:szCs w:val="28"/>
          <w:rtl w:val="true"/>
          <w:lang w:bidi="ar-SA"/>
        </w:rPr>
        <w:t xml:space="preserve">»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طلية في الصيف خير من عشر في الشتاء </w:t>
      </w:r>
      <w:r>
        <w:rPr>
          <w:rFonts w:eastAsia="Amiri" w:cs="Amiri" w:ascii="Amiri" w:hAnsi="Amiri"/>
          <w:color w:val="111111"/>
          <w:sz w:val="28"/>
          <w:szCs w:val="28"/>
          <w:rtl w:val="true"/>
          <w:lang w:bidi="ar-SA"/>
        </w:rPr>
        <w:t xml:space="preserve">»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9" w:name="__RefHeading___Toc3141055_653776707"/>
      <w:bookmarkStart w:id="1630" w:name="_Toc602"/>
      <w:bookmarkEnd w:id="1629"/>
      <w:r>
        <w:rPr>
          <w:rtl w:val="true"/>
        </w:rPr>
        <w:t xml:space="preserve">فصل </w:t>
      </w:r>
      <w:r>
        <w:rPr>
          <w:rtl w:val="true"/>
        </w:rPr>
        <w:t>:</w:t>
      </w:r>
      <w:bookmarkEnd w:id="1630"/>
    </w:p>
    <w:p>
      <w:pPr>
        <w:pStyle w:val="BookText"/>
        <w:rPr/>
      </w:pPr>
      <w:r>
        <w:rPr>
          <w:rFonts w:ascii="Amiri" w:hAnsi="Amiri" w:eastAsia="Amiri" w:cs="Amiri"/>
          <w:color w:val="111111"/>
          <w:sz w:val="28"/>
          <w:sz w:val="28"/>
          <w:szCs w:val="28"/>
          <w:rtl w:val="true"/>
          <w:lang w:bidi="ar-SA"/>
        </w:rPr>
        <w:t xml:space="preserve">وروى الكليني عن محمّد بن يحيى عن أحمد بن محمّد بن عيسى عن عليّ ابن الحكم عن سيف بن عميرة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أبو عبد اللّه عليه‌السلام من الحمّام فتلبّس وتعمّم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الحمّام فتعمّم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العمامة عند خروجي من الحمّام في شتاء ولا صيف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إبراهيم عن أبيه عن ابن أبي عمير عن مرازم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مع أبي الحسن عليه‌السلام إلى الحمّام فلمّا خرج إلى المسلخ دعا بمجمرة فتجمّر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جمّروا مرازم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يأخذ نصيبه يأخذ؟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 xml:space="preserve">. </w:t>
      </w:r>
      <w:bookmarkStart w:id="1631" w:name="pg8731_78180"/>
    </w:p>
    <w:p>
      <w:pPr>
        <w:pStyle w:val="Heading6"/>
        <w:numPr>
          <w:ilvl w:val="5"/>
          <w:numId w:val="1"/>
        </w:numPr>
        <w:rPr/>
      </w:pPr>
      <w:bookmarkStart w:id="1632" w:name="__RefHeading___Toc3141057_653776707"/>
      <w:bookmarkStart w:id="1633" w:name="_Toc603"/>
      <w:bookmarkEnd w:id="1631"/>
      <w:bookmarkEnd w:id="1632"/>
      <w:r>
        <w:rPr>
          <w:rtl w:val="true"/>
        </w:rPr>
        <w:t xml:space="preserve">فصل </w:t>
      </w:r>
      <w:r>
        <w:rPr>
          <w:rtl w:val="true"/>
        </w:rPr>
        <w:t>:</w:t>
      </w:r>
      <w:bookmarkEnd w:id="1633"/>
    </w:p>
    <w:p>
      <w:pPr>
        <w:pStyle w:val="BookText"/>
        <w:rPr/>
      </w:pPr>
      <w:r>
        <w:rPr>
          <w:rFonts w:ascii="Amiri" w:hAnsi="Amiri" w:eastAsia="Amiri" w:cs="Amiri"/>
          <w:color w:val="111111"/>
          <w:sz w:val="28"/>
          <w:sz w:val="28"/>
          <w:szCs w:val="28"/>
          <w:rtl w:val="true"/>
          <w:lang w:bidi="ar-SA"/>
        </w:rPr>
        <w:t xml:space="preserve">وروى الصدوق في من لا يحضره الفقيه مرسلا عن الحسن بن علي عليهما‌السلام أنّه خرج من الحمّام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تصنع بالاست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الحمّام فما راحة البدن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علمت أنّ الحميم العرق؟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ما طهر منك ، وطهر ما طاب منك </w:t>
      </w:r>
      <w:r>
        <w:rPr>
          <w:rFonts w:eastAsia="Amiri" w:cs="Amiri" w:ascii="Amiri" w:hAnsi="Amiri"/>
          <w:color w:val="111111"/>
          <w:sz w:val="28"/>
          <w:szCs w:val="28"/>
          <w:rtl w:val="true"/>
          <w:lang w:bidi="ar-SA"/>
        </w:rPr>
        <w:t xml:space="preserve">»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لك أخوك وقد خرجت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بالك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أبي مريم الأنصاري رفعه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ابن عليّ عليهما‌السلام خرج من الحمّام فلقيه إنسان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استحمامك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تصنع بالاست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الحميم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طاب حمّامي فأيّ شي‌ء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ما طاب منك وطاب ما طهر منك </w:t>
      </w:r>
      <w:r>
        <w:rPr>
          <w:rFonts w:eastAsia="Amiri" w:cs="Amiri" w:ascii="Amiri" w:hAnsi="Amiri"/>
          <w:color w:val="111111"/>
          <w:sz w:val="28"/>
          <w:szCs w:val="28"/>
          <w:rtl w:val="true"/>
          <w:lang w:bidi="ar-SA"/>
        </w:rPr>
        <w:t xml:space="preserve">»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محمّد بن يحيى رفعه عن عبد 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من أصحابنا دخلنا الحمّام فلمّا خرجنا لقينا أبو عبد اللّه عليه‌السلام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أقبلتم؟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أنقى اللّه غسلكم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 وإنّا جئنا معه حتّى دخل الحمّام فجلسنا حتّى خرج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أنقى اللّه غسلك ، </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طهّركم اللّه </w:t>
      </w:r>
      <w:r>
        <w:rPr>
          <w:rFonts w:eastAsia="Amiri" w:cs="Amiri" w:ascii="Amiri" w:hAnsi="Amiri"/>
          <w:color w:val="111111"/>
          <w:sz w:val="28"/>
          <w:szCs w:val="28"/>
          <w:rtl w:val="true"/>
          <w:lang w:bidi="ar-SA"/>
        </w:rPr>
        <w:t xml:space="preserve">»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 xml:space="preserve">. </w:t>
      </w:r>
      <w:bookmarkStart w:id="1634" w:name="pg8731_78182"/>
    </w:p>
    <w:p>
      <w:pPr>
        <w:pStyle w:val="Heading5"/>
        <w:numPr>
          <w:ilvl w:val="4"/>
          <w:numId w:val="1"/>
        </w:numPr>
        <w:rPr/>
      </w:pPr>
      <w:bookmarkStart w:id="1635" w:name="__RefHeading___Toc3141059_653776707"/>
      <w:bookmarkStart w:id="1636" w:name="_Toc604"/>
      <w:bookmarkEnd w:id="1634"/>
      <w:bookmarkEnd w:id="1635"/>
      <w:r>
        <w:rPr>
          <w:rtl w:val="true"/>
        </w:rPr>
        <w:t xml:space="preserve">النظر الثالث </w:t>
      </w:r>
      <w:r>
        <w:rPr>
          <w:rtl w:val="true"/>
        </w:rPr>
        <w:t xml:space="preserve">: </w:t>
      </w:r>
      <w:r>
        <w:rPr>
          <w:rtl w:val="true"/>
        </w:rPr>
        <w:t>في باقي أنواع الاستطابة</w:t>
      </w:r>
      <w:bookmarkEnd w:id="1636"/>
    </w:p>
    <w:p>
      <w:pPr>
        <w:pStyle w:val="Heading6"/>
        <w:numPr>
          <w:ilvl w:val="5"/>
          <w:numId w:val="1"/>
        </w:numPr>
        <w:rPr/>
      </w:pPr>
      <w:bookmarkStart w:id="1637" w:name="__RefHeading___Toc3141061_653776707"/>
      <w:bookmarkStart w:id="1638" w:name="_Toc605"/>
      <w:bookmarkEnd w:id="1637"/>
      <w:r>
        <w:rPr>
          <w:rtl w:val="true"/>
        </w:rPr>
        <w:t>اشارة</w:t>
      </w:r>
      <w:bookmarkEnd w:id="1638"/>
    </w:p>
    <w:p>
      <w:pPr>
        <w:pStyle w:val="BookText"/>
        <w:rPr/>
      </w:pPr>
      <w:r>
        <w:rPr>
          <w:rFonts w:ascii="Amiri" w:hAnsi="Amiri" w:eastAsia="Amiri" w:cs="Amiri"/>
          <w:color w:val="111111"/>
          <w:sz w:val="28"/>
          <w:sz w:val="28"/>
          <w:szCs w:val="28"/>
          <w:rtl w:val="true"/>
          <w:lang w:bidi="ar-SA"/>
        </w:rPr>
        <w:t>وآكدها استحبابا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الشيخ أبو جعفر الكليني عن محمّد ابن مسلم في الصحيح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بالسواك حتّى خفت أن أحفي أو أدرد </w:t>
      </w:r>
      <w:r>
        <w:rPr>
          <w:rFonts w:eastAsia="Amiri" w:cs="Amiri" w:ascii="Amiri" w:hAnsi="Amiri"/>
          <w:color w:val="111111"/>
          <w:sz w:val="28"/>
          <w:szCs w:val="28"/>
          <w:rtl w:val="true"/>
          <w:lang w:bidi="ar-SA"/>
        </w:rPr>
        <w:t xml:space="preserve">»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حديث السواك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كدت أحفي فمي أي استقصي على أسناني فاذهبها بالتسوّك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السواك حتّى خشيت أن يدردني أي يذهب بأسناني </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الموثّق عن حمّاد بن عيسى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جبرئيل بالسواك حتّى خفت على أسناني </w:t>
      </w:r>
      <w:r>
        <w:rPr>
          <w:rFonts w:eastAsia="Amiri" w:cs="Amiri" w:ascii="Amiri" w:hAnsi="Amiri"/>
          <w:color w:val="111111"/>
          <w:sz w:val="28"/>
          <w:szCs w:val="28"/>
          <w:rtl w:val="true"/>
          <w:lang w:bidi="ar-SA"/>
        </w:rPr>
        <w:t xml:space="preserve">»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عن أبي عبد اللّه عليه‌السلام في حديث وصيّة </w:t>
      </w:r>
    </w:p>
    <w:p>
      <w:pPr>
        <w:pStyle w:val="BookText"/>
        <w:rPr/>
      </w:pPr>
      <w:r>
        <w:rPr>
          <w:rFonts w:ascii="Amiri" w:hAnsi="Amiri" w:eastAsia="Amiri" w:cs="Amiri"/>
          <w:color w:val="111111"/>
          <w:sz w:val="28"/>
          <w:sz w:val="28"/>
          <w:szCs w:val="28"/>
          <w:rtl w:val="true"/>
          <w:lang w:bidi="ar-SA"/>
        </w:rPr>
        <w:t xml:space="preserve">النبيّ صلى‌اللّه‌عليه‌وآله لعليّ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بالسواك عند كلّ وضوء </w:t>
      </w:r>
      <w:r>
        <w:rPr>
          <w:rFonts w:eastAsia="Amiri" w:cs="Amiri" w:ascii="Amiri" w:hAnsi="Amiri"/>
          <w:color w:val="111111"/>
          <w:sz w:val="28"/>
          <w:szCs w:val="28"/>
          <w:rtl w:val="true"/>
          <w:lang w:bidi="ar-SA"/>
        </w:rPr>
        <w:t xml:space="preserve">»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ابن أبي عمير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من أخلاق الأنبياء السواك </w:t>
      </w:r>
      <w:r>
        <w:rPr>
          <w:rFonts w:eastAsia="Amiri" w:cs="Amiri" w:ascii="Amiri" w:hAnsi="Amiri"/>
          <w:color w:val="111111"/>
          <w:sz w:val="28"/>
          <w:szCs w:val="28"/>
          <w:rtl w:val="true"/>
          <w:lang w:bidi="ar-SA"/>
        </w:rPr>
        <w:t xml:space="preserve">»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الأشعري عن عبد اللّه بن ميمون القدّاح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لو لا أن أشقّ على أمّتي لأمرتهم بالسواك مع كلّ صلاة </w:t>
      </w:r>
      <w:r>
        <w:rPr>
          <w:rFonts w:eastAsia="Amiri" w:cs="Amiri" w:ascii="Amiri" w:hAnsi="Amiri"/>
          <w:color w:val="111111"/>
          <w:sz w:val="28"/>
          <w:szCs w:val="28"/>
          <w:rtl w:val="true"/>
          <w:lang w:bidi="ar-SA"/>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محبوب عن يونس بن يعقوب عن أبي اسامة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سنن المرسلين السواك </w:t>
      </w:r>
      <w:r>
        <w:rPr>
          <w:rFonts w:eastAsia="Amiri" w:cs="Amiri" w:ascii="Amiri" w:hAnsi="Amiri"/>
          <w:color w:val="111111"/>
          <w:sz w:val="28"/>
          <w:szCs w:val="28"/>
          <w:rtl w:val="true"/>
          <w:lang w:bidi="ar-SA"/>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ابن سنان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السواك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 ومطهرة للفم ، ومجلاة للبصر ، ويرضي الربّ ، ويذهب بالبلغم ، ويزيد في الحفظ ، ويبيّض الأسنان ، ويضاعف الحسنات ، ويذهب بالحفر ، ويشدّ اللثّة ، ويشهّي الطعام ، وتفرح به الملائكة </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مع جملة ممّا قبله الصدوق في من لا يحضره الفقيه مرسل عنهم عليهم‌السلام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أسنانه حفر وقد حفرت ، يحفر حفرا ، مثال كسر يكسر كسرا إذا فسدت اصولها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أسد تقول في أسنانه حفر وقد حفرت بالتحريك وهي أردأ اللغتين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إذا صلّى العشاء الآخرة أمر بوضوئه وسواكه فيوضع عند رأسه مخمّرا فيرقد ما شاء اللّه ثمّ يقوم فيستاك ويتوضّأ ويصلّي أربع ركعات ثمّ يرقد ثمّ يقوم فيستاك ويتوضّأ ويصلّي أربع ركعات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صلى‌اللّه‌عليه‌وآله اسوة حسنة </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بالليل فاستك فإنّ الملك يأتيك فيضع فاه على فيك فليس من حرف تتلوه وتنطق به إلّا صعد به إلى السماء فليكن فوك طيّب الريح </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الحسن عن ابن أبي عمير عن ابن بكير عمّن ذكره عن أبي جعفر عليه‌السلام في السواك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تدعه في كلّ ثلاث ولو أن تمرّه مرّة </w:t>
      </w:r>
      <w:r>
        <w:rPr>
          <w:rFonts w:eastAsia="Amiri" w:cs="Amiri" w:ascii="Amiri" w:hAnsi="Amiri"/>
          <w:color w:val="111111"/>
          <w:sz w:val="28"/>
          <w:szCs w:val="28"/>
          <w:rtl w:val="true"/>
          <w:lang w:bidi="ar-SA"/>
        </w:rPr>
        <w:t xml:space="preserve">»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السواك أن تدلك بإصبعك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بإسناده الصحيح عن محمّد بن الحسن الصفّار عن إبراهيم ابن هاشم عن النوفلي عن السكوني عن جعفر عن أبيه عن آبائه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التسويك بالإبهام والمسحة عند الوضوء مسواك </w:t>
      </w:r>
      <w:r>
        <w:rPr>
          <w:rFonts w:eastAsia="Amiri" w:cs="Amiri" w:ascii="Amiri" w:hAnsi="Amiri"/>
          <w:color w:val="111111"/>
          <w:sz w:val="28"/>
          <w:szCs w:val="28"/>
          <w:rtl w:val="true"/>
          <w:lang w:bidi="ar-SA"/>
        </w:rPr>
        <w:t xml:space="preserve">»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عن عليّ بن جعفر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أخاه موسى بن جعفر عليهما‌السلام عن الرجل يستاك مرّة بيده إذا قام إلى صلاة الليل وهو يقدر على السواك؟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الصبح فلا بأس به </w:t>
      </w:r>
      <w:r>
        <w:rPr>
          <w:rFonts w:eastAsia="Amiri" w:cs="Amiri" w:ascii="Amiri" w:hAnsi="Amiri"/>
          <w:color w:val="111111"/>
          <w:sz w:val="28"/>
          <w:szCs w:val="28"/>
          <w:rtl w:val="true"/>
          <w:lang w:bidi="ar-SA"/>
        </w:rPr>
        <w:t xml:space="preserve">»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مرسلا عن النبيّ صلى‌اللّه‌عليه‌وآله أنّه قال في وصيّته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عليك بالسواك عند وضوء كلّ صلاة </w:t>
      </w:r>
      <w:r>
        <w:rPr>
          <w:rFonts w:eastAsia="Amiri" w:cs="Amiri" w:ascii="Amiri" w:hAnsi="Amiri"/>
          <w:color w:val="111111"/>
          <w:sz w:val="28"/>
          <w:szCs w:val="28"/>
          <w:rtl w:val="true"/>
          <w:lang w:bidi="ar-SA"/>
        </w:rPr>
        <w:t xml:space="preserve">»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أمّتي لأمرتهم بالسواك عند وضوء كلّ صلاة </w:t>
      </w:r>
      <w:r>
        <w:rPr>
          <w:rFonts w:eastAsia="Amiri" w:cs="Amiri" w:ascii="Amiri" w:hAnsi="Amiri"/>
          <w:color w:val="111111"/>
          <w:sz w:val="28"/>
          <w:szCs w:val="28"/>
          <w:rtl w:val="true"/>
          <w:lang w:bidi="ar-SA"/>
        </w:rPr>
        <w:t xml:space="preserve">»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الناس ما في السواك لأباتوه معهم في لحاف </w:t>
      </w:r>
      <w:r>
        <w:rPr>
          <w:rFonts w:eastAsia="Amiri" w:cs="Amiri" w:ascii="Amiri" w:hAnsi="Amiri"/>
          <w:color w:val="111111"/>
          <w:sz w:val="28"/>
          <w:szCs w:val="28"/>
          <w:rtl w:val="true"/>
          <w:lang w:bidi="ar-SA"/>
        </w:rPr>
        <w:t xml:space="preserve">»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الكعبة شكت إلى اللّه عزوجل ما تلقى من أنفاس المشركين ، فأوحى اللّه تبارك وتعالى إليها قرّي كعبة فإنّي مبدلك بهم قوما يتنظّفون بقضبان الشجر ، فلمّا بعث اللّه عزوجل نبيّه محمّدا صلى‌اللّه‌عليه‌وآله نزل عليه الروح الأمين جبرئيل عليه‌السلام بالسواك </w:t>
      </w:r>
      <w:r>
        <w:rPr>
          <w:rFonts w:eastAsia="Amiri" w:cs="Amiri" w:ascii="Amiri" w:hAnsi="Amiri"/>
          <w:color w:val="111111"/>
          <w:sz w:val="28"/>
          <w:szCs w:val="28"/>
          <w:rtl w:val="true"/>
          <w:lang w:bidi="ar-SA"/>
        </w:rPr>
        <w:t xml:space="preserve">»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العلل بإسناد حسن عن عبد اللّه بن ميمون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أشقّ على أمّتي لأمرتهم بالسواك مع </w:t>
      </w:r>
      <w:bookmarkStart w:id="1639" w:name="pg8731_78186"/>
    </w:p>
    <w:p>
      <w:pPr>
        <w:pStyle w:val="BookText"/>
        <w:rPr/>
      </w:pPr>
      <w:bookmarkEnd w:id="1639"/>
      <w:r>
        <w:rPr>
          <w:rFonts w:ascii="Amiri" w:hAnsi="Amiri" w:eastAsia="Amiri" w:cs="Amiri"/>
          <w:color w:val="111111"/>
          <w:sz w:val="28"/>
          <w:sz w:val="28"/>
          <w:szCs w:val="28"/>
          <w:rtl w:val="true"/>
          <w:lang w:bidi="ar-SA"/>
        </w:rPr>
        <w:t xml:space="preserve">كلّ صلاة </w:t>
      </w:r>
      <w:r>
        <w:rPr>
          <w:rFonts w:eastAsia="Amiri" w:cs="Amiri" w:ascii="Amiri" w:hAnsi="Amiri"/>
          <w:color w:val="111111"/>
          <w:sz w:val="28"/>
          <w:szCs w:val="28"/>
          <w:rtl w:val="true"/>
          <w:lang w:bidi="ar-SA"/>
        </w:rPr>
        <w:t xml:space="preserve">»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الصادق عليه‌السلام ترك السواك قبل أن يقبض بسنتين وذلك أنّ أسنانه ضعفت </w:t>
      </w:r>
      <w:r>
        <w:rPr>
          <w:rFonts w:eastAsia="Amiri" w:cs="Amiri" w:ascii="Amiri" w:hAnsi="Amiri"/>
          <w:color w:val="111111"/>
          <w:sz w:val="28"/>
          <w:szCs w:val="28"/>
          <w:rtl w:val="true"/>
          <w:lang w:bidi="ar-SA"/>
        </w:rPr>
        <w:t xml:space="preserve">»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0" w:name="__RefHeading___Toc3141063_653776707"/>
      <w:bookmarkStart w:id="1641" w:name="_Toc606"/>
      <w:bookmarkEnd w:id="1640"/>
      <w:r>
        <w:rPr>
          <w:rtl w:val="true"/>
        </w:rPr>
        <w:t xml:space="preserve">فصل </w:t>
      </w:r>
      <w:r>
        <w:rPr>
          <w:rtl w:val="true"/>
        </w:rPr>
        <w:t>:</w:t>
      </w:r>
      <w:bookmarkEnd w:id="1641"/>
    </w:p>
    <w:p>
      <w:pPr>
        <w:pStyle w:val="BookText"/>
        <w:rPr/>
      </w:pPr>
      <w:r>
        <w:rPr>
          <w:rFonts w:ascii="Amiri" w:hAnsi="Amiri" w:eastAsia="Amiri" w:cs="Amiri"/>
          <w:color w:val="111111"/>
          <w:sz w:val="28"/>
          <w:sz w:val="28"/>
          <w:szCs w:val="28"/>
          <w:rtl w:val="true"/>
          <w:lang w:bidi="ar-SA"/>
        </w:rPr>
        <w:t xml:space="preserve">وروى الكليني في الصحيح عن معمر بن خلّاد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للرجل أن يدع الطيب في كلّ يوم ، فإن لم يقدر عليه فيوم ويوم ، فإن لم يقدر ففي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 </w:t>
      </w:r>
      <w:r>
        <w:rPr>
          <w:rFonts w:eastAsia="Amiri" w:cs="Amiri" w:ascii="Amiri" w:hAnsi="Amiri"/>
          <w:color w:val="111111"/>
          <w:sz w:val="28"/>
          <w:szCs w:val="28"/>
          <w:rtl w:val="true"/>
          <w:lang w:bidi="ar-SA"/>
        </w:rPr>
        <w:t xml:space="preserve">»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لرسول اللّه صلى‌اللّه‌عليه‌وآله ممسكة إذا هو توضّأ أخذها بيده وهي رطبة فكان إذا خرج عرفوا أنّه رسول اللّه صلى‌اللّه‌عليه‌وآله برائحته </w:t>
      </w:r>
      <w:r>
        <w:rPr>
          <w:rFonts w:eastAsia="Amiri" w:cs="Amiri" w:ascii="Amiri" w:hAnsi="Amiri"/>
          <w:color w:val="111111"/>
          <w:sz w:val="28"/>
          <w:szCs w:val="28"/>
          <w:rtl w:val="true"/>
          <w:lang w:bidi="ar-SA"/>
        </w:rPr>
        <w:t xml:space="preserve">»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يونس بن يعقوب عن أبي اسامة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علي بن إبراهيم عن أبيه عن محمّد بن يحيى عن طلحة بن 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اعطيهنّ الأنبياء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والأزواج والسواك </w:t>
      </w:r>
      <w:r>
        <w:rPr>
          <w:rFonts w:eastAsia="Amiri" w:cs="Amiri" w:ascii="Amiri" w:hAnsi="Amiri"/>
          <w:color w:val="111111"/>
          <w:sz w:val="28"/>
          <w:szCs w:val="28"/>
          <w:rtl w:val="true"/>
          <w:lang w:bidi="ar-SA"/>
        </w:rPr>
        <w:t xml:space="preserve">»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 xml:space="preserve">. </w:t>
      </w:r>
      <w:bookmarkStart w:id="1642" w:name="pg8731_78187"/>
    </w:p>
    <w:p>
      <w:pPr>
        <w:pStyle w:val="BookText"/>
        <w:rPr/>
      </w:pPr>
      <w:bookmarkEnd w:id="1642"/>
      <w:r>
        <w:rPr>
          <w:rFonts w:ascii="Amiri" w:hAnsi="Amiri" w:eastAsia="Amiri" w:cs="Amiri"/>
          <w:color w:val="111111"/>
          <w:sz w:val="28"/>
          <w:sz w:val="28"/>
          <w:szCs w:val="28"/>
          <w:rtl w:val="true"/>
          <w:lang w:bidi="ar-SA"/>
        </w:rPr>
        <w:t xml:space="preserve">وعن عليّ بن إبراهيم رفعه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تطيّب أوّل النهار لم يزل عقله معه إلى الليل </w:t>
      </w:r>
      <w:r>
        <w:rPr>
          <w:rFonts w:eastAsia="Amiri" w:cs="Amiri" w:ascii="Amiri" w:hAnsi="Amiri"/>
          <w:color w:val="111111"/>
          <w:sz w:val="28"/>
          <w:szCs w:val="28"/>
          <w:rtl w:val="true"/>
          <w:lang w:bidi="ar-SA"/>
        </w:rPr>
        <w:t xml:space="preserve">»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يعقوب بن يزيد رفعه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عثمان بن مظعون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أدع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وأشياء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الطيب فإنّ الملائكة تستنشق ريح الطيب من المؤمن فلا تدع الطيب في كلّ جمعة </w:t>
      </w:r>
      <w:r>
        <w:rPr>
          <w:rFonts w:eastAsia="Amiri" w:cs="Amiri" w:ascii="Amiri" w:hAnsi="Amiri"/>
          <w:color w:val="111111"/>
          <w:sz w:val="28"/>
          <w:szCs w:val="28"/>
          <w:rtl w:val="true"/>
          <w:lang w:bidi="ar-SA"/>
        </w:rPr>
        <w:t xml:space="preserve">»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3" w:name="__RefHeading___Toc3141065_653776707"/>
      <w:bookmarkStart w:id="1644" w:name="_Toc607"/>
      <w:bookmarkEnd w:id="1643"/>
      <w:r>
        <w:rPr>
          <w:rtl w:val="true"/>
        </w:rPr>
        <w:t xml:space="preserve">فصل </w:t>
      </w:r>
      <w:r>
        <w:rPr>
          <w:rtl w:val="true"/>
        </w:rPr>
        <w:t>:</w:t>
      </w:r>
      <w:bookmarkEnd w:id="1644"/>
    </w:p>
    <w:p>
      <w:pPr>
        <w:pStyle w:val="BookText"/>
        <w:rPr/>
      </w:pPr>
      <w:r>
        <w:rPr>
          <w:rFonts w:ascii="Amiri" w:hAnsi="Amiri" w:eastAsia="Amiri" w:cs="Amiri"/>
          <w:color w:val="111111"/>
          <w:sz w:val="28"/>
          <w:sz w:val="28"/>
          <w:szCs w:val="28"/>
          <w:rtl w:val="true"/>
          <w:lang w:bidi="ar-SA"/>
        </w:rPr>
        <w:t xml:space="preserve">وروى في الصحيح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الكحل بالليل ينفع البدن وهو بالنهار زينة </w:t>
      </w:r>
      <w:r>
        <w:rPr>
          <w:rFonts w:eastAsia="Amiri" w:cs="Amiri" w:ascii="Amiri" w:hAnsi="Amiri"/>
          <w:color w:val="111111"/>
          <w:sz w:val="28"/>
          <w:szCs w:val="28"/>
          <w:rtl w:val="true"/>
          <w:lang w:bidi="ar-SA"/>
        </w:rPr>
        <w:t xml:space="preserve">»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حمّاد بن عيسى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الكحل يعذب الفم </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عدّة عن أحمد بن أبي عبد اللّه عن أبيه عن عبد اللّه بن الفضل الهاشمي عن أبيه وعمّه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بالإثمد يطيّب النكهة ، ويشدّ أشفار العين </w:t>
      </w:r>
      <w:r>
        <w:rPr>
          <w:rFonts w:eastAsia="Amiri" w:cs="Amiri" w:ascii="Amiri" w:hAnsi="Amiri"/>
          <w:color w:val="111111"/>
          <w:sz w:val="28"/>
          <w:szCs w:val="28"/>
          <w:rtl w:val="true"/>
          <w:lang w:bidi="ar-SA"/>
        </w:rPr>
        <w:t xml:space="preserve">»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حمّاد بن عثمان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الكحل ينبت الشعر ويخفّف الدمعة ويعذب الريق ويجلو البصر </w:t>
      </w:r>
      <w:r>
        <w:rPr>
          <w:rFonts w:eastAsia="Amiri" w:cs="Amiri" w:ascii="Amiri" w:hAnsi="Amiri"/>
          <w:color w:val="111111"/>
          <w:sz w:val="28"/>
          <w:szCs w:val="28"/>
          <w:rtl w:val="true"/>
          <w:lang w:bidi="ar-SA"/>
        </w:rPr>
        <w:t xml:space="preserve">»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 xml:space="preserve">. </w:t>
      </w:r>
      <w:bookmarkStart w:id="1645" w:name="pg8731_78188"/>
    </w:p>
    <w:p>
      <w:pPr>
        <w:pStyle w:val="BookText"/>
        <w:rPr/>
      </w:pPr>
      <w:bookmarkEnd w:id="1645"/>
      <w:r>
        <w:rPr>
          <w:rFonts w:ascii="Amiri" w:hAnsi="Amiri" w:eastAsia="Amiri" w:cs="Amiri"/>
          <w:color w:val="111111"/>
          <w:sz w:val="28"/>
          <w:sz w:val="28"/>
          <w:szCs w:val="28"/>
          <w:rtl w:val="true"/>
          <w:lang w:bidi="ar-SA"/>
        </w:rPr>
        <w:t xml:space="preserve">وروى في الموثّق عن الحسن بن الجهم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أراني أبو الحسن عليه‌السلام ميلا من حديد ومكحلة من عظام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الحسن عليه‌السلام فاكتحل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فاكتحلت </w:t>
      </w:r>
      <w:r>
        <w:rPr>
          <w:rFonts w:eastAsia="Amiri" w:cs="Amiri" w:ascii="Amiri" w:hAnsi="Amiri"/>
          <w:color w:val="111111"/>
          <w:sz w:val="28"/>
          <w:szCs w:val="28"/>
          <w:rtl w:val="true"/>
          <w:lang w:bidi="ar-SA"/>
        </w:rPr>
        <w:t xml:space="preserve">»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صلى‌اللّه‌عليه‌وآله كان يكتحل قبل أن ينام أربعا في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وثلاثا في اليسرى </w:t>
      </w:r>
      <w:r>
        <w:rPr>
          <w:rFonts w:eastAsia="Amiri" w:cs="Amiri" w:ascii="Amiri" w:hAnsi="Amiri"/>
          <w:color w:val="111111"/>
          <w:sz w:val="28"/>
          <w:szCs w:val="28"/>
          <w:rtl w:val="true"/>
          <w:lang w:bidi="ar-SA"/>
        </w:rPr>
        <w:t xml:space="preserve">»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سليم الفراري عن رجل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يكتحل بالإثمد إذا آوى إلى فراشه وترا وترا </w:t>
      </w:r>
      <w:r>
        <w:rPr>
          <w:rFonts w:eastAsia="Amiri" w:cs="Amiri" w:ascii="Amiri" w:hAnsi="Amiri"/>
          <w:color w:val="111111"/>
          <w:sz w:val="28"/>
          <w:szCs w:val="28"/>
          <w:rtl w:val="true"/>
          <w:lang w:bidi="ar-SA"/>
        </w:rPr>
        <w:t xml:space="preserve">»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6" w:name="__RefHeading___Toc3141067_653776707"/>
      <w:bookmarkStart w:id="1647" w:name="_Toc608"/>
      <w:bookmarkEnd w:id="1646"/>
      <w:r>
        <w:rPr>
          <w:rtl w:val="true"/>
        </w:rPr>
        <w:t xml:space="preserve">فصل </w:t>
      </w:r>
      <w:r>
        <w:rPr>
          <w:rtl w:val="true"/>
        </w:rPr>
        <w:t>:</w:t>
      </w:r>
      <w:bookmarkEnd w:id="1647"/>
    </w:p>
    <w:p>
      <w:pPr>
        <w:pStyle w:val="BookText"/>
        <w:rPr/>
      </w:pPr>
      <w:r>
        <w:rPr>
          <w:rFonts w:ascii="Amiri" w:hAnsi="Amiri" w:eastAsia="Amiri" w:cs="Amiri"/>
          <w:color w:val="111111"/>
          <w:sz w:val="28"/>
          <w:sz w:val="28"/>
          <w:szCs w:val="28"/>
          <w:rtl w:val="true"/>
          <w:lang w:bidi="ar-SA"/>
        </w:rPr>
        <w:t xml:space="preserve">وروى في الحسن عن عبد اللّه بن المغيرة عن أبي الحسن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27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التمشّط عند كلّ صلاة </w:t>
      </w:r>
      <w:r>
        <w:rPr>
          <w:rFonts w:eastAsia="Amiri" w:cs="Amiri" w:ascii="Amiri" w:hAnsi="Amiri"/>
          <w:color w:val="111111"/>
          <w:sz w:val="28"/>
          <w:szCs w:val="28"/>
          <w:rtl w:val="true"/>
          <w:lang w:bidi="ar-SA"/>
        </w:rPr>
        <w:t xml:space="preserve">»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سفيان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النقيّ يكبت العدوّ ، والدهن يذهب بالبؤس والمشط للرأس يذهب بالوباء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 والمشط للّحية يشدّ الأضراس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هذا الحديث مرسلا عن الصادق عليه‌السلام ، وذكر أنّ في رواية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الضعف واستشهد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تضعفا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عن عمّار النوفلي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يذهب بالوباء وكان لأبي عبد اللّه عليه‌السلام مشط في المسجد يتمشّط به إذا فرغ من صلاته </w:t>
      </w:r>
      <w:r>
        <w:rPr>
          <w:rFonts w:eastAsia="Amiri" w:cs="Amiri" w:ascii="Amiri" w:hAnsi="Amiri"/>
          <w:color w:val="111111"/>
          <w:sz w:val="28"/>
          <w:szCs w:val="28"/>
          <w:rtl w:val="true"/>
          <w:lang w:bidi="ar-SA"/>
        </w:rPr>
        <w:t xml:space="preserve">»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جابر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سبعين مرّة وعدّها مرّة مرّة لم يقربه الشيطان أربعين يوما </w:t>
      </w:r>
      <w:r>
        <w:rPr>
          <w:rFonts w:eastAsia="Amiri" w:cs="Amiri" w:ascii="Amiri" w:hAnsi="Amiri"/>
          <w:color w:val="111111"/>
          <w:sz w:val="28"/>
          <w:szCs w:val="28"/>
          <w:rtl w:val="true"/>
          <w:lang w:bidi="ar-SA"/>
        </w:rPr>
        <w:t xml:space="preserve">»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عمّن أخبره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سرّحت رأسك ولحيتك فأمرّ المشط على صدرك فإنّه يذهب بالهمّ ، والوباء </w:t>
      </w:r>
      <w:r>
        <w:rPr>
          <w:rFonts w:eastAsia="Amiri" w:cs="Amiri" w:ascii="Amiri" w:hAnsi="Amiri"/>
          <w:color w:val="111111"/>
          <w:sz w:val="28"/>
          <w:szCs w:val="28"/>
          <w:rtl w:val="true"/>
          <w:lang w:bidi="ar-SA"/>
        </w:rPr>
        <w:t xml:space="preserve">»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هذين الحديثين الصدوق أيضا في من لا يحضره الفقيه مرسلين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أبوه رضي‌اللّه‌عنه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أخذ المشط فخذه بيدك اليمنى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وضعه على أمّ رأسك ثمّ سرّح مقدّم رأسك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حسّن شعري وبشري وطيّبهما واصرف عنّي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 مؤخّر رأسك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تردّني على عقبي واصرف عنّي كيد الشيطان ولا تمكّنه من قيادي فيردّني على 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سرّح حاجبيك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زيّنّي بزينة أهل </w:t>
      </w:r>
      <w:bookmarkStart w:id="1648" w:name="pg8731_78190"/>
    </w:p>
    <w:p>
      <w:pPr>
        <w:pStyle w:val="BookText"/>
        <w:rPr/>
      </w:pPr>
      <w:bookmarkEnd w:id="1648"/>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 لحيتك من فوق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سرّح عنّي الغموم والهموم ووسوسة الصدور ووسوسة الشيطان ، ثمّ أمرّ المشط على صدرك ثمّ امسح وجهك بماء الورد ، فإنّه روي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في حاجة ومسح وجهه بماء الورد لم يرهق وجهه قتر ولا ذلّة </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3141069_653776707"/>
      <w:bookmarkStart w:id="1650" w:name="_Toc609"/>
      <w:bookmarkEnd w:id="1649"/>
      <w:r>
        <w:rPr>
          <w:rtl w:val="true"/>
        </w:rPr>
        <w:t xml:space="preserve">فصل </w:t>
      </w:r>
      <w:r>
        <w:rPr>
          <w:rtl w:val="true"/>
        </w:rPr>
        <w:t>:</w:t>
      </w:r>
      <w:bookmarkEnd w:id="1650"/>
    </w:p>
    <w:p>
      <w:pPr>
        <w:pStyle w:val="BookText"/>
        <w:rPr/>
      </w:pPr>
      <w:r>
        <w:rPr>
          <w:rFonts w:ascii="Amiri" w:hAnsi="Amiri" w:eastAsia="Amiri" w:cs="Amiri"/>
          <w:color w:val="111111"/>
          <w:sz w:val="28"/>
          <w:sz w:val="28"/>
          <w:szCs w:val="28"/>
          <w:rtl w:val="true"/>
          <w:lang w:bidi="ar-SA"/>
        </w:rPr>
        <w:t xml:space="preserve">وروى الشيخ أبو جعفر الكليني في الحسن عن ابن أبي عمير عن هشام ابن المثنّى عن سدير الصيرفي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يأخذ عارضيه ويبطن لحيته </w:t>
      </w:r>
      <w:r>
        <w:rPr>
          <w:rFonts w:eastAsia="Amiri" w:cs="Amiri" w:ascii="Amiri" w:hAnsi="Amiri"/>
          <w:color w:val="111111"/>
          <w:sz w:val="28"/>
          <w:szCs w:val="28"/>
          <w:rtl w:val="true"/>
          <w:lang w:bidi="ar-SA"/>
        </w:rPr>
        <w:t xml:space="preserve">»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محمّد بن أبي حمزة عمّن أخبره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زاد على القبضة ففي النار يعني اللحية </w:t>
      </w:r>
      <w:r>
        <w:rPr>
          <w:rFonts w:eastAsia="Amiri" w:cs="Amiri" w:ascii="Amiri" w:hAnsi="Amiri"/>
          <w:color w:val="111111"/>
          <w:sz w:val="28"/>
          <w:szCs w:val="28"/>
          <w:rtl w:val="true"/>
          <w:lang w:bidi="ar-SA"/>
        </w:rPr>
        <w:t xml:space="preserve">»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الحسن الزيّات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قد خفّف لحيته </w:t>
      </w:r>
      <w:r>
        <w:rPr>
          <w:rFonts w:eastAsia="Amiri" w:cs="Amiri" w:ascii="Amiri" w:hAnsi="Amiri"/>
          <w:color w:val="111111"/>
          <w:sz w:val="28"/>
          <w:szCs w:val="28"/>
          <w:rtl w:val="true"/>
          <w:lang w:bidi="ar-SA"/>
        </w:rPr>
        <w:t xml:space="preserve">»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والحجّام يأخذ من لحيته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w:t>
      </w:r>
      <w:r>
        <w:rPr>
          <w:rFonts w:eastAsia="Amiri" w:cs="Amiri" w:ascii="Amiri" w:hAnsi="Amiri"/>
          <w:color w:val="111111"/>
          <w:sz w:val="28"/>
          <w:szCs w:val="28"/>
          <w:rtl w:val="true"/>
          <w:lang w:bidi="ar-SA"/>
        </w:rPr>
        <w:t xml:space="preserve">»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عن بعض أصحابه عن أبي عبد اللّه عليه‌السلام في قدر اللحية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تقبض بيدك على اللحية وتجزّ ما فضل </w:t>
      </w:r>
      <w:r>
        <w:rPr>
          <w:rFonts w:eastAsia="Amiri" w:cs="Amiri" w:ascii="Amiri" w:hAnsi="Amiri"/>
          <w:color w:val="111111"/>
          <w:sz w:val="28"/>
          <w:szCs w:val="28"/>
          <w:rtl w:val="true"/>
          <w:lang w:bidi="ar-SA"/>
        </w:rPr>
        <w:t xml:space="preserve">»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 xml:space="preserve">. </w:t>
      </w:r>
      <w:bookmarkStart w:id="1651" w:name="pg8731_78191"/>
    </w:p>
    <w:p>
      <w:pPr>
        <w:pStyle w:val="BookText"/>
        <w:rPr/>
      </w:pPr>
      <w:bookmarkEnd w:id="1651"/>
      <w:r>
        <w:rPr>
          <w:rFonts w:ascii="Amiri" w:hAnsi="Amiri" w:eastAsia="Amiri" w:cs="Amiri"/>
          <w:color w:val="111111"/>
          <w:sz w:val="28"/>
          <w:sz w:val="28"/>
          <w:szCs w:val="28"/>
          <w:rtl w:val="true"/>
          <w:lang w:bidi="ar-SA"/>
        </w:rPr>
        <w:t xml:space="preserve">وعن درست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بالنبيّ صلى‌اللّه‌عليه‌وآله رجل طويل اللحية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هيأ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الرجل ، فهيأ بلحيته بين اللحيتين ثمّ دخل على النبيّ صلى‌اللّه‌عليه‌وآله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فافعلوا </w:t>
      </w:r>
      <w:r>
        <w:rPr>
          <w:rFonts w:eastAsia="Amiri" w:cs="Amiri" w:ascii="Amiri" w:hAnsi="Amiri"/>
          <w:color w:val="111111"/>
          <w:sz w:val="28"/>
          <w:szCs w:val="28"/>
          <w:rtl w:val="true"/>
          <w:lang w:bidi="ar-SA"/>
        </w:rPr>
        <w:t xml:space="preserve">»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عن النبيّ صلى‌اللّه‌عليه‌وآله مرسلا أنّه نظر إلى رجل طويل اللحية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الحديث الذي رواه الكليني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مرسلا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زاد من اللحية عن قبضة فهو في النار </w:t>
      </w:r>
      <w:r>
        <w:rPr>
          <w:rFonts w:eastAsia="Amiri" w:cs="Amiri" w:ascii="Amiri" w:hAnsi="Amiri"/>
          <w:color w:val="111111"/>
          <w:sz w:val="28"/>
          <w:szCs w:val="28"/>
          <w:rtl w:val="true"/>
          <w:lang w:bidi="ar-SA"/>
        </w:rPr>
        <w:t xml:space="preserve">»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محمّد بن مسلم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يأخذ من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w:t>
      </w:r>
      <w:r>
        <w:rPr>
          <w:rFonts w:eastAsia="Amiri" w:cs="Amiri" w:ascii="Amiri" w:hAnsi="Amiri"/>
          <w:color w:val="111111"/>
          <w:sz w:val="28"/>
          <w:szCs w:val="28"/>
          <w:rtl w:val="true"/>
          <w:lang w:bidi="ar-SA"/>
        </w:rPr>
        <w:t xml:space="preserve">»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2" w:name="__RefHeading___Toc3141071_653776707"/>
      <w:bookmarkStart w:id="1653" w:name="_Toc610"/>
      <w:bookmarkEnd w:id="1652"/>
      <w:r>
        <w:rPr>
          <w:rtl w:val="true"/>
        </w:rPr>
        <w:t xml:space="preserve">فصل </w:t>
      </w:r>
      <w:r>
        <w:rPr>
          <w:rtl w:val="true"/>
        </w:rPr>
        <w:t>:</w:t>
      </w:r>
      <w:bookmarkEnd w:id="1653"/>
    </w:p>
    <w:p>
      <w:pPr>
        <w:pStyle w:val="BookText"/>
        <w:rPr/>
      </w:pPr>
      <w:r>
        <w:rPr>
          <w:rFonts w:ascii="Amiri" w:hAnsi="Amiri" w:eastAsia="Amiri" w:cs="Amiri"/>
          <w:color w:val="111111"/>
          <w:sz w:val="28"/>
          <w:sz w:val="28"/>
          <w:szCs w:val="28"/>
          <w:rtl w:val="true"/>
          <w:lang w:bidi="ar-SA"/>
        </w:rPr>
        <w:t xml:space="preserve">وروى في الكافي عن علي بن جعفر في الصحيح عن أخيه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قصّ الشارب أمن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الحسن عن النوفلي عن السكوني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يأخذ الشارب حتّى يبلغ الإطار </w:t>
      </w:r>
      <w:r>
        <w:rPr>
          <w:rFonts w:eastAsia="Amiri" w:cs="Amiri" w:ascii="Amiri" w:hAnsi="Amiri"/>
          <w:color w:val="111111"/>
          <w:sz w:val="28"/>
          <w:szCs w:val="28"/>
          <w:rtl w:val="true"/>
          <w:lang w:bidi="ar-SA"/>
        </w:rPr>
        <w:t xml:space="preserve">»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ككتاب ما يفصل بين الشفة وبين شعر الشارب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النوفلي عن السكوني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لا يطولنّ أحدكم شاربه فإنّ الشيطان يتّخذه مخبأ يستتر به </w:t>
      </w:r>
      <w:r>
        <w:rPr>
          <w:rFonts w:eastAsia="Amiri" w:cs="Amiri" w:ascii="Amiri" w:hAnsi="Amiri"/>
          <w:color w:val="111111"/>
          <w:sz w:val="28"/>
          <w:szCs w:val="28"/>
          <w:rtl w:val="true"/>
          <w:lang w:bidi="ar-SA"/>
        </w:rPr>
        <w:t xml:space="preserve">»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ابن فضّال عمّن ذكره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الأخذ من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 وهو من السنّة </w:t>
      </w:r>
      <w:r>
        <w:rPr>
          <w:rFonts w:eastAsia="Amiri" w:cs="Amiri" w:ascii="Amiri" w:hAnsi="Amiri"/>
          <w:color w:val="111111"/>
          <w:sz w:val="28"/>
          <w:szCs w:val="28"/>
          <w:rtl w:val="true"/>
          <w:lang w:bidi="ar-SA"/>
        </w:rPr>
        <w:t xml:space="preserve">»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أيضا عن ابن أبي </w:t>
      </w:r>
      <w:r>
        <w:rPr>
          <w:rStyle w:val="FootnoteAnchor"/>
          <w:rtl w:val="true"/>
        </w:rPr>
        <w:footnoteReference w:id="2816"/>
      </w:r>
      <w:r>
        <w:rPr>
          <w:rFonts w:ascii="Amiri" w:hAnsi="Amiri" w:eastAsia="Amiri" w:cs="Amiri"/>
          <w:color w:val="111111"/>
          <w:sz w:val="28"/>
          <w:sz w:val="28"/>
          <w:szCs w:val="28"/>
          <w:rtl w:val="true"/>
          <w:lang w:bidi="ar-SA"/>
        </w:rPr>
        <w:t xml:space="preserve">بكير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وأخذ الشارب في كلّ جمعة أمان من البرص والجنون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عقبة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اللّه بن الحسن </w:t>
      </w:r>
      <w:r>
        <w:rPr>
          <w:rStyle w:val="FootnoteAnchor"/>
          <w:rtl w:val="true"/>
        </w:rPr>
        <w:footnoteReference w:id="281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تولّ أمري ولا تولّ أمري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على أبي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 على ما هو أنفع من هذا في الرزق؟ تقصّ أظافرك وشاربك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بحكّها </w:t>
      </w:r>
      <w:r>
        <w:rPr>
          <w:rFonts w:eastAsia="Amiri" w:cs="Amiri" w:ascii="Amiri" w:hAnsi="Amiri"/>
          <w:color w:val="111111"/>
          <w:sz w:val="28"/>
          <w:szCs w:val="28"/>
          <w:rtl w:val="true"/>
          <w:lang w:bidi="ar-SA"/>
        </w:rPr>
        <w:t xml:space="preserve">»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الحسن عن ابن أبي عمير عن محمّد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وقصّ الشارب وغسل الرأس بالخطمي كلّ جمعة ينفي الفقر ويزيد في الرزق </w:t>
      </w:r>
      <w:r>
        <w:rPr>
          <w:rFonts w:eastAsia="Amiri" w:cs="Amiri" w:ascii="Amiri" w:hAnsi="Amiri"/>
          <w:color w:val="111111"/>
          <w:sz w:val="28"/>
          <w:szCs w:val="28"/>
          <w:rtl w:val="true"/>
          <w:lang w:bidi="ar-SA"/>
        </w:rPr>
        <w:t xml:space="preserve">»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سفيان ابن السمط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والأخذ من الشارب وغسل الرأس بالخطمي ينفي الفقر ، ويزيد في الرزق </w:t>
      </w:r>
      <w:r>
        <w:rPr>
          <w:rFonts w:eastAsia="Amiri" w:cs="Amiri" w:ascii="Amiri" w:hAnsi="Amiri"/>
          <w:color w:val="111111"/>
          <w:sz w:val="28"/>
          <w:szCs w:val="28"/>
          <w:rtl w:val="true"/>
          <w:lang w:bidi="ar-SA"/>
        </w:rPr>
        <w:t xml:space="preserve">»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عبد اللّه بن سنان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شاربه وقلّم أظفاره وغسل رأسه بالخطمي يوم الجمعة كان كمن أعتق نسمة </w:t>
      </w:r>
      <w:r>
        <w:rPr>
          <w:rFonts w:eastAsia="Amiri" w:cs="Amiri" w:ascii="Amiri" w:hAnsi="Amiri"/>
          <w:color w:val="111111"/>
          <w:sz w:val="28"/>
          <w:szCs w:val="28"/>
          <w:rtl w:val="true"/>
          <w:lang w:bidi="ar-SA"/>
        </w:rPr>
        <w:t xml:space="preserve">»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حفص بن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الشارب والأظفار من الجمعة إلى الجمعة أمان من الجذام </w:t>
      </w:r>
      <w:r>
        <w:rPr>
          <w:rFonts w:eastAsia="Amiri" w:cs="Amiri" w:ascii="Amiri" w:hAnsi="Amiri"/>
          <w:color w:val="111111"/>
          <w:sz w:val="28"/>
          <w:szCs w:val="28"/>
          <w:rtl w:val="true"/>
          <w:lang w:bidi="ar-SA"/>
        </w:rPr>
        <w:t xml:space="preserve">»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عن عبد اللّه بن أبي يعفور أنّه قال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استنزل الرزق بشي‌ء مثل التعقيب فيما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 ولكن اخبرك بخير من ذلك ، أخذ الشارب وتقليم الأظفار يوم الجمعة </w:t>
      </w:r>
      <w:r>
        <w:rPr>
          <w:rFonts w:eastAsia="Amiri" w:cs="Amiri" w:ascii="Amiri" w:hAnsi="Amiri"/>
          <w:color w:val="111111"/>
          <w:sz w:val="28"/>
          <w:szCs w:val="28"/>
          <w:rtl w:val="true"/>
          <w:lang w:bidi="ar-SA"/>
        </w:rPr>
        <w:t xml:space="preserve">»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أبي العلاء أنّه قال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ثواب من أخذ من </w:t>
      </w:r>
      <w:bookmarkStart w:id="1654" w:name="pg8731_78194"/>
    </w:p>
    <w:p>
      <w:pPr>
        <w:pStyle w:val="BookText"/>
        <w:rPr/>
      </w:pPr>
      <w:bookmarkEnd w:id="1654"/>
      <w:r>
        <w:rPr>
          <w:rFonts w:ascii="Amiri" w:hAnsi="Amiri" w:eastAsia="Amiri" w:cs="Amiri"/>
          <w:color w:val="111111"/>
          <w:sz w:val="28"/>
          <w:sz w:val="28"/>
          <w:szCs w:val="28"/>
          <w:rtl w:val="true"/>
          <w:lang w:bidi="ar-SA"/>
        </w:rPr>
        <w:t xml:space="preserve">شاربه وقلّم أظفاره في كلّ 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مطهّرا إلى الجمعة الاخرى </w:t>
      </w:r>
      <w:r>
        <w:rPr>
          <w:rFonts w:eastAsia="Amiri" w:cs="Amiri" w:ascii="Amiri" w:hAnsi="Amiri"/>
          <w:color w:val="111111"/>
          <w:sz w:val="28"/>
          <w:szCs w:val="28"/>
          <w:rtl w:val="true"/>
          <w:lang w:bidi="ar-SA"/>
        </w:rPr>
        <w:t xml:space="preserve">»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الثلاثة في الكافي ومن لا يحضره الفقيه والتهذيب عن عبد الرحيم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أظفاره وشاربه كلّ جمعة وقال حين 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سنّة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منه قلامة ولا جزازة إلّا كتب اللّه له بها عتق نسمة ولا يمرض إلّا مرضه الذي يموت فيه </w:t>
      </w:r>
      <w:r>
        <w:rPr>
          <w:rFonts w:eastAsia="Amiri" w:cs="Amiri" w:ascii="Amiri" w:hAnsi="Amiri"/>
          <w:color w:val="111111"/>
          <w:sz w:val="28"/>
          <w:szCs w:val="28"/>
          <w:rtl w:val="true"/>
          <w:lang w:bidi="ar-SA"/>
        </w:rPr>
        <w:t xml:space="preserve">»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5" w:name="__RefHeading___Toc3141073_653776707"/>
      <w:bookmarkStart w:id="1656" w:name="_Toc611"/>
      <w:bookmarkEnd w:id="1655"/>
      <w:r>
        <w:rPr>
          <w:rtl w:val="true"/>
        </w:rPr>
        <w:t xml:space="preserve">فصل </w:t>
      </w:r>
      <w:r>
        <w:rPr>
          <w:rtl w:val="true"/>
        </w:rPr>
        <w:t>:</w:t>
      </w:r>
      <w:bookmarkEnd w:id="1656"/>
    </w:p>
    <w:p>
      <w:pPr>
        <w:pStyle w:val="BookText"/>
        <w:rPr/>
      </w:pPr>
      <w:r>
        <w:rPr>
          <w:rFonts w:ascii="Amiri" w:hAnsi="Amiri" w:eastAsia="Amiri" w:cs="Amiri"/>
          <w:color w:val="111111"/>
          <w:sz w:val="28"/>
          <w:sz w:val="28"/>
          <w:szCs w:val="28"/>
          <w:rtl w:val="true"/>
          <w:lang w:bidi="ar-SA"/>
        </w:rPr>
        <w:t xml:space="preserve">وروى الشيخان في الكافي ومن لا يحضره الفقيه عن هشام بن سالم بإسنادين حسن وصحيح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يوم الجمعة يؤمن من الجذام والبرص والعمى وإن لم يحتج فحكّها </w:t>
      </w:r>
      <w:r>
        <w:rPr>
          <w:rFonts w:eastAsia="Amiri" w:cs="Amiri" w:ascii="Amiri" w:hAnsi="Amiri"/>
          <w:color w:val="111111"/>
          <w:sz w:val="28"/>
          <w:szCs w:val="28"/>
          <w:rtl w:val="true"/>
          <w:lang w:bidi="ar-SA"/>
        </w:rPr>
        <w:t xml:space="preserve">»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الموثّق عن خلف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رآني أبو الحسن عليه‌السلام بخراسان وأنا أشتكي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شي‌ء إن فعلته لم تشتك عينك؟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اشتكت عيني </w:t>
      </w:r>
    </w:p>
    <w:p>
      <w:pPr>
        <w:pStyle w:val="BookText"/>
        <w:rPr/>
      </w:pPr>
      <w:r>
        <w:rPr>
          <w:rFonts w:ascii="Amiri" w:hAnsi="Amiri" w:eastAsia="Amiri" w:cs="Amiri"/>
          <w:color w:val="111111"/>
          <w:sz w:val="28"/>
          <w:sz w:val="28"/>
          <w:szCs w:val="28"/>
          <w:rtl w:val="true"/>
          <w:lang w:bidi="ar-SA"/>
        </w:rPr>
        <w:t xml:space="preserve">إلى يوم أخبرتك </w:t>
      </w:r>
      <w:r>
        <w:rPr>
          <w:rFonts w:eastAsia="Amiri" w:cs="Amiri" w:ascii="Amiri" w:hAnsi="Amiri"/>
          <w:color w:val="111111"/>
          <w:sz w:val="28"/>
          <w:szCs w:val="28"/>
          <w:rtl w:val="true"/>
          <w:lang w:bidi="ar-SA"/>
        </w:rPr>
        <w:t xml:space="preserve">»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حمزة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قصّ الأظفار لأنّها مقيل الشيطان ، ومنه يكون النسيان </w:t>
      </w:r>
      <w:r>
        <w:rPr>
          <w:rFonts w:eastAsia="Amiri" w:cs="Amiri" w:ascii="Amiri" w:hAnsi="Amiri"/>
          <w:color w:val="111111"/>
          <w:sz w:val="28"/>
          <w:szCs w:val="28"/>
          <w:rtl w:val="true"/>
          <w:lang w:bidi="ar-SA"/>
        </w:rPr>
        <w:t xml:space="preserve">»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منصور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أستر وأخفى ما يسلّط الشيطان من ابن آدم أن صار يسكن تحت الأظافير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القدّاح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احتبس الوحي على النبيّ صلى‌اللّه‌عليه‌وآله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يحتبس وأنتم لا تقلمون أظفاركم ولا تنقّون رواجبكم </w:t>
      </w:r>
      <w:r>
        <w:rPr>
          <w:rFonts w:eastAsia="Amiri" w:cs="Amiri" w:ascii="Amiri" w:hAnsi="Amiri"/>
          <w:color w:val="111111"/>
          <w:sz w:val="28"/>
          <w:szCs w:val="28"/>
          <w:rtl w:val="true"/>
          <w:lang w:bidi="ar-SA"/>
        </w:rPr>
        <w:t xml:space="preserve">»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الرواجب ما بين عقد الأصابع من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وأحدها الراجبة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ابن أبي عمير رفعه في قصّ الأظافير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بخنصرك الأيسر ثمّ تختم باليمين </w:t>
      </w:r>
      <w:r>
        <w:rPr>
          <w:rFonts w:eastAsia="Amiri" w:cs="Amiri" w:ascii="Amiri" w:hAnsi="Amiri"/>
          <w:color w:val="111111"/>
          <w:sz w:val="28"/>
          <w:szCs w:val="28"/>
          <w:rtl w:val="true"/>
          <w:lang w:bidi="ar-SA"/>
        </w:rPr>
        <w:t xml:space="preserve">»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عن رسول اللّه صلى‌اللّه‌عليه‌وآله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قصّر أظفاره يوم الخميس وترك واحدا ليوم الجمعة نفى اللّه عنه الفقر </w:t>
      </w:r>
      <w:r>
        <w:rPr>
          <w:rFonts w:eastAsia="Amiri" w:cs="Amiri" w:ascii="Amiri" w:hAnsi="Amiri"/>
          <w:color w:val="111111"/>
          <w:sz w:val="28"/>
          <w:szCs w:val="28"/>
          <w:rtl w:val="true"/>
          <w:lang w:bidi="ar-SA"/>
        </w:rPr>
        <w:t xml:space="preserve">»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 xml:space="preserve">. </w:t>
      </w:r>
      <w:bookmarkStart w:id="1657" w:name="pg8731_78196"/>
    </w:p>
    <w:p>
      <w:pPr>
        <w:pStyle w:val="BookText"/>
        <w:rPr/>
      </w:pPr>
      <w:bookmarkEnd w:id="1657"/>
      <w:r>
        <w:rPr>
          <w:rFonts w:ascii="Amiri" w:hAnsi="Amiri" w:eastAsia="Amiri" w:cs="Amiri"/>
          <w:color w:val="111111"/>
          <w:sz w:val="28"/>
          <w:sz w:val="28"/>
          <w:szCs w:val="28"/>
          <w:rtl w:val="true"/>
          <w:lang w:bidi="ar-SA"/>
        </w:rPr>
        <w:t xml:space="preserve">وعنه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قلّم أظفاره يوم السبت ويوم الخميس وأخذ من شاربه عوفي من وجع الضرس ووجع العين </w:t>
      </w:r>
      <w:r>
        <w:rPr>
          <w:rFonts w:eastAsia="Amiri" w:cs="Amiri" w:ascii="Amiri" w:hAnsi="Amiri"/>
          <w:color w:val="111111"/>
          <w:sz w:val="28"/>
          <w:szCs w:val="28"/>
          <w:rtl w:val="true"/>
          <w:lang w:bidi="ar-SA"/>
        </w:rPr>
        <w:t xml:space="preserve">»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للرجال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قصّوا أظافيركم ، وللنساء اتركن من أظفاركنّ فإنّه أزين لكنّ </w:t>
      </w:r>
      <w:r>
        <w:rPr>
          <w:rFonts w:eastAsia="Amiri" w:cs="Amiri" w:ascii="Amiri" w:hAnsi="Amiri"/>
          <w:color w:val="111111"/>
          <w:sz w:val="28"/>
          <w:szCs w:val="28"/>
          <w:rtl w:val="true"/>
          <w:lang w:bidi="ar-SA"/>
        </w:rPr>
        <w:t xml:space="preserve">»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مرسلا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أظفاره كلّ خميس لم يرمد ولده </w:t>
      </w:r>
      <w:r>
        <w:rPr>
          <w:rFonts w:eastAsia="Amiri" w:cs="Amiri" w:ascii="Amiri" w:hAnsi="Amiri"/>
          <w:color w:val="111111"/>
          <w:sz w:val="28"/>
          <w:szCs w:val="28"/>
          <w:rtl w:val="true"/>
          <w:lang w:bidi="ar-SA"/>
        </w:rPr>
        <w:t xml:space="preserve">»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من يقلّم أظفاره يوم الجمعة يبدأ بخنصره من اليد اليسرى ويختم بخنصره من اليد اليمنى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8" w:name="__RefHeading___Toc3141075_653776707"/>
      <w:bookmarkStart w:id="1659" w:name="_Toc612"/>
      <w:bookmarkEnd w:id="1658"/>
      <w:r>
        <w:rPr>
          <w:rtl w:val="true"/>
        </w:rPr>
        <w:t xml:space="preserve">فصل </w:t>
      </w:r>
      <w:r>
        <w:rPr>
          <w:rtl w:val="true"/>
        </w:rPr>
        <w:t>:</w:t>
      </w:r>
      <w:bookmarkEnd w:id="1659"/>
    </w:p>
    <w:p>
      <w:pPr>
        <w:pStyle w:val="BookText"/>
        <w:rPr/>
      </w:pPr>
      <w:r>
        <w:rPr>
          <w:rFonts w:ascii="Amiri" w:hAnsi="Amiri" w:eastAsia="Amiri" w:cs="Amiri"/>
          <w:color w:val="111111"/>
          <w:sz w:val="28"/>
          <w:sz w:val="28"/>
          <w:szCs w:val="28"/>
          <w:rtl w:val="true"/>
          <w:lang w:bidi="ar-SA"/>
        </w:rPr>
        <w:t xml:space="preserve">وروى في الكافي عن أبي كهمش عن أبي عبد 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كِفاتاً أَحْياءً وَأَمْواتاً </w:t>
      </w:r>
      <w:r>
        <w:rPr>
          <w:rFonts w:eastAsia="Amiri" w:cs="Amiri" w:ascii="Amiri" w:hAnsi="Amiri"/>
          <w:color w:val="111111"/>
          <w:sz w:val="28"/>
          <w:szCs w:val="28"/>
          <w:rtl w:val="true"/>
          <w:lang w:bidi="ar-SA"/>
        </w:rPr>
        <w:t xml:space="preserve">) </w:t>
      </w:r>
      <w:r>
        <w:rPr>
          <w:rStyle w:val="FootnoteAnchor"/>
          <w:rtl w:val="true"/>
        </w:rPr>
        <w:footnoteReference w:id="28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الشعر والظفر </w:t>
      </w:r>
      <w:r>
        <w:rPr>
          <w:rFonts w:eastAsia="IRNazanin" w:cs="IRNazanin"/>
          <w:color w:val="111111"/>
          <w:sz w:val="28"/>
          <w:szCs w:val="28"/>
          <w:rtl w:val="true"/>
          <w:lang w:bidi="fa-IR"/>
        </w:rPr>
        <w:t xml:space="preserve">»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من لا يحضره الفقيه مرسلا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الرجل أظفاره وشعره إذا أخذ منها وهي سنّة </w:t>
      </w:r>
      <w:r>
        <w:rPr>
          <w:rFonts w:eastAsia="Amiri" w:cs="Amiri" w:ascii="Amiri" w:hAnsi="Amiri"/>
          <w:color w:val="111111"/>
          <w:sz w:val="28"/>
          <w:szCs w:val="28"/>
          <w:rtl w:val="true"/>
          <w:lang w:bidi="ar-SA"/>
        </w:rPr>
        <w:t xml:space="preserve">» </w:t>
      </w:r>
      <w:r>
        <w:rPr>
          <w:rStyle w:val="FootnoteAnchor"/>
          <w:rtl w:val="true"/>
        </w:rPr>
        <w:footnoteReference w:id="2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السنّة </w:t>
      </w:r>
      <w:bookmarkStart w:id="1660" w:name="pg8731_78197"/>
    </w:p>
    <w:p>
      <w:pPr>
        <w:pStyle w:val="BookText"/>
        <w:rPr/>
      </w:pPr>
      <w:bookmarkEnd w:id="1660"/>
      <w:r>
        <w:rPr>
          <w:rFonts w:ascii="IRNazanin" w:hAnsi="IRNazanin" w:eastAsia="IRNazanin"/>
          <w:color w:val="111111"/>
          <w:sz w:val="28"/>
          <w:sz w:val="28"/>
          <w:szCs w:val="28"/>
          <w:rtl w:val="true"/>
          <w:lang w:bidi="fa-IR"/>
        </w:rPr>
        <w:t xml:space="preserve">دفن الشعر والظفر والدم </w:t>
      </w:r>
      <w:r>
        <w:rPr>
          <w:rFonts w:eastAsia="IRNazanin" w:cs="IRNazanin"/>
          <w:color w:val="111111"/>
          <w:sz w:val="28"/>
          <w:szCs w:val="28"/>
          <w:rtl w:val="true"/>
          <w:lang w:bidi="fa-IR"/>
        </w:rPr>
        <w:t xml:space="preserve">»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1" w:name="__RefHeading___Toc3141077_653776707"/>
      <w:bookmarkStart w:id="1662" w:name="_Toc613"/>
      <w:bookmarkEnd w:id="1661"/>
      <w:r>
        <w:rPr>
          <w:rtl w:val="true"/>
        </w:rPr>
        <w:t xml:space="preserve">فصل </w:t>
      </w:r>
      <w:r>
        <w:rPr>
          <w:rtl w:val="true"/>
        </w:rPr>
        <w:t>:</w:t>
      </w:r>
      <w:bookmarkEnd w:id="1662"/>
    </w:p>
    <w:p>
      <w:pPr>
        <w:pStyle w:val="BookText"/>
        <w:rPr/>
      </w:pPr>
      <w:r>
        <w:rPr>
          <w:rFonts w:ascii="Amiri" w:hAnsi="Amiri" w:eastAsia="Amiri" w:cs="Amiri"/>
          <w:color w:val="111111"/>
          <w:sz w:val="28"/>
          <w:sz w:val="28"/>
          <w:szCs w:val="28"/>
          <w:rtl w:val="true"/>
          <w:lang w:bidi="ar-SA"/>
        </w:rPr>
        <w:t xml:space="preserve">وروى في من لا يحضره الفقيه مرسلا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يطولنّ أحدكم شعر إبطه فإنّ الشيطان يتّخذه مخبأ يستتر به </w:t>
      </w:r>
      <w:r>
        <w:rPr>
          <w:rFonts w:eastAsia="Amiri" w:cs="Amiri" w:ascii="Amiri" w:hAnsi="Amiri"/>
          <w:color w:val="111111"/>
          <w:sz w:val="28"/>
          <w:szCs w:val="28"/>
          <w:rtl w:val="true"/>
          <w:lang w:bidi="ar-SA"/>
        </w:rPr>
        <w:t xml:space="preserve">»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نتف الإبط ينفي الرائحة الكريهة وهو طهور وسنّة ممّا أمر به الطيّب عليه وآله السلام </w:t>
      </w:r>
      <w:r>
        <w:rPr>
          <w:rFonts w:eastAsia="Amiri" w:cs="Amiri" w:ascii="Amiri" w:hAnsi="Amiri"/>
          <w:color w:val="111111"/>
          <w:sz w:val="28"/>
          <w:szCs w:val="28"/>
          <w:rtl w:val="true"/>
          <w:lang w:bidi="ar-SA"/>
        </w:rPr>
        <w:t xml:space="preserve">»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يطلي إبطيه في الحمّام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يضعف المنكبين ويوهي ويضعّف البصر </w:t>
      </w:r>
      <w:r>
        <w:rPr>
          <w:rFonts w:eastAsia="Amiri" w:cs="Amiri" w:ascii="Amiri" w:hAnsi="Amiri"/>
          <w:color w:val="111111"/>
          <w:sz w:val="28"/>
          <w:szCs w:val="28"/>
          <w:rtl w:val="true"/>
          <w:lang w:bidi="ar-SA"/>
        </w:rPr>
        <w:t xml:space="preserve">»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حلقه أفضل من نتفه ، وطليه أفضل من حلقه </w:t>
      </w:r>
      <w:r>
        <w:rPr>
          <w:rFonts w:eastAsia="Amiri" w:cs="Amiri" w:ascii="Amiri" w:hAnsi="Amiri"/>
          <w:color w:val="111111"/>
          <w:sz w:val="28"/>
          <w:szCs w:val="28"/>
          <w:rtl w:val="true"/>
          <w:lang w:bidi="ar-SA"/>
        </w:rPr>
        <w:t xml:space="preserve">»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عليّ بن إبراهيم عن أبيه عن النوفلي عن السكوني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يطولنّ أحدكم شعر إبطيه فإنّ الشيطان يتّخذه مخبأ يستتر به </w:t>
      </w:r>
      <w:r>
        <w:rPr>
          <w:rFonts w:eastAsia="Amiri" w:cs="Amiri" w:ascii="Amiri" w:hAnsi="Amiri"/>
          <w:color w:val="111111"/>
          <w:sz w:val="28"/>
          <w:szCs w:val="28"/>
          <w:rtl w:val="true"/>
          <w:lang w:bidi="ar-SA"/>
        </w:rPr>
        <w:t xml:space="preserve">»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الموثّق عن عليّ بن عقبة عن أبي كهمش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يضعف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عليه‌السلام يطلي إبطه </w:t>
      </w:r>
      <w:r>
        <w:rPr>
          <w:rFonts w:eastAsia="Amiri" w:cs="Amiri" w:ascii="Amiri" w:hAnsi="Amiri"/>
          <w:color w:val="111111"/>
          <w:sz w:val="28"/>
          <w:szCs w:val="28"/>
          <w:rtl w:val="true"/>
          <w:lang w:bidi="ar-SA"/>
        </w:rPr>
        <w:t xml:space="preserve">»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حفص بن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عبد اللّه عليه‌السلام كان يطلي إبطه بالنورة في الحمّام </w:t>
      </w:r>
      <w:r>
        <w:rPr>
          <w:rFonts w:eastAsia="Amiri" w:cs="Amiri" w:ascii="Amiri" w:hAnsi="Amiri"/>
          <w:color w:val="111111"/>
          <w:sz w:val="28"/>
          <w:szCs w:val="28"/>
          <w:rtl w:val="true"/>
          <w:lang w:bidi="ar-SA"/>
        </w:rPr>
        <w:t xml:space="preserve">»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سعدان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في الحمّام فرأيت أبا عبد اللّه عليه‌السلام يطلي إبطه فأخبرت بذلك أبا بصير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أيّما أفضل نتف الإبط أو حلقه؟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إنّ نتف الإبط يوهي أو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احلقه </w:t>
      </w:r>
      <w:r>
        <w:rPr>
          <w:rFonts w:eastAsia="Amiri" w:cs="Amiri" w:ascii="Amiri" w:hAnsi="Amiri"/>
          <w:color w:val="111111"/>
          <w:sz w:val="28"/>
          <w:szCs w:val="28"/>
          <w:rtl w:val="true"/>
          <w:lang w:bidi="ar-SA"/>
        </w:rPr>
        <w:t xml:space="preserve">»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محبوب عن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عبد اللّه عليه‌السلام كان يدخل الحمّام فيطلي إبطه وحده إذا احتاج إلى ذلك وحده </w:t>
      </w:r>
      <w:r>
        <w:rPr>
          <w:rFonts w:eastAsia="Amiri" w:cs="Amiri" w:ascii="Amiri" w:hAnsi="Amiri"/>
          <w:color w:val="111111"/>
          <w:sz w:val="28"/>
          <w:szCs w:val="28"/>
          <w:rtl w:val="true"/>
          <w:lang w:bidi="ar-SA"/>
        </w:rPr>
        <w:t xml:space="preserve">»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العلل عن عبد اللّه بن أبي يعفور في الموثّق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لاحاني زرارة بن أعين في نتف الإبط وحلقه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من حلقه وطليه أفضل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باب أبي عبد اللّه عليه‌السلام فطلب الإذن عليه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الحمّام ، فذهبنا إلى الحمّام فخرج عليه‌السلام علينا وقد طلي 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لعلّه إنّما فعله لعلّة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أتيتما؟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لاحاني زرارة في نتف الإبط وحلقه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من حلقه ، وطليه 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أصبت السنّة وأخطأها زرارة ، أمّا إنّ أفضل من نتفه حلقه وطليه أفضل منهما جميعا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1663" w:name="pg8731_78199"/>
    </w:p>
    <w:p>
      <w:pPr>
        <w:pStyle w:val="BookText"/>
        <w:rPr/>
      </w:pPr>
      <w:bookmarkEnd w:id="1663"/>
      <w:r>
        <w:rPr>
          <w:rFonts w:ascii="Amiri" w:hAnsi="Amiri" w:eastAsia="Amiri" w:cs="Amiri"/>
          <w:color w:val="111111"/>
          <w:sz w:val="28"/>
          <w:sz w:val="28"/>
          <w:szCs w:val="28"/>
          <w:rtl w:val="true"/>
          <w:lang w:bidi="ar-SA"/>
        </w:rPr>
        <w:t xml:space="preserve">أعيدا فإنّ الإطلاء طهور ، ففعلنا </w:t>
      </w:r>
      <w:r>
        <w:rPr>
          <w:rFonts w:eastAsia="Amiri" w:cs="Amiri" w:ascii="Amiri" w:hAnsi="Amiri"/>
          <w:color w:val="111111"/>
          <w:sz w:val="28"/>
          <w:szCs w:val="28"/>
          <w:rtl w:val="true"/>
          <w:lang w:bidi="ar-SA"/>
        </w:rPr>
        <w:t xml:space="preserve">»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المنتهى بعد أن ذكر جملة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إنّما هو الإزالة فمهما حصلت ، حصلت الأفضليّة ، ومع ذلك فينبغي الإزالة بالنورة لما ورد فيها من الفضل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النتف والحلق محصّل لأصل المقصود </w:t>
      </w:r>
      <w:r>
        <w:rPr>
          <w:rStyle w:val="FootnoteAnchor"/>
          <w:rtl w:val="true"/>
        </w:rPr>
        <w:footnoteReference w:id="2854"/>
      </w:r>
      <w:r>
        <w:rPr>
          <w:rFonts w:ascii="Amiri" w:hAnsi="Amiri" w:eastAsia="Amiri" w:cs="Amiri"/>
          <w:color w:val="111111"/>
          <w:sz w:val="28"/>
          <w:sz w:val="28"/>
          <w:szCs w:val="28"/>
          <w:rtl w:val="true"/>
          <w:lang w:bidi="ar-SA"/>
        </w:rPr>
        <w:t>وهو الإزالة ولكنّ الأفضليّة في النورة للأخبار الواردة بذلك وقد ذكرنا أكثرها</w:t>
      </w:r>
      <w:r>
        <w:rPr>
          <w:rFonts w:eastAsia="Amiri" w:cs="Amiri" w:ascii="Amiri" w:hAnsi="Amiri"/>
          <w:color w:val="111111"/>
          <w:sz w:val="28"/>
          <w:szCs w:val="28"/>
          <w:rtl w:val="true"/>
          <w:lang w:bidi="ar-SA"/>
        </w:rPr>
        <w:t>.</w:t>
      </w:r>
    </w:p>
    <w:p>
      <w:pPr>
        <w:pStyle w:val="Heading6"/>
        <w:numPr>
          <w:ilvl w:val="5"/>
          <w:numId w:val="1"/>
        </w:numPr>
        <w:rPr/>
      </w:pPr>
      <w:bookmarkStart w:id="1664" w:name="__RefHeading___Toc3141079_653776707"/>
      <w:bookmarkStart w:id="1665" w:name="_Toc614"/>
      <w:bookmarkEnd w:id="1664"/>
      <w:r>
        <w:rPr>
          <w:rtl w:val="true"/>
        </w:rPr>
        <w:t xml:space="preserve">فصل </w:t>
      </w:r>
      <w:r>
        <w:rPr>
          <w:rtl w:val="true"/>
        </w:rPr>
        <w:t>:</w:t>
      </w:r>
      <w:bookmarkEnd w:id="1665"/>
    </w:p>
    <w:p>
      <w:pPr>
        <w:pStyle w:val="BookText"/>
        <w:rPr/>
      </w:pPr>
      <w:r>
        <w:rPr>
          <w:rFonts w:ascii="Amiri" w:hAnsi="Amiri" w:eastAsia="Amiri" w:cs="Amiri"/>
          <w:color w:val="111111"/>
          <w:sz w:val="28"/>
          <w:sz w:val="28"/>
          <w:szCs w:val="28"/>
          <w:rtl w:val="true"/>
          <w:lang w:bidi="ar-SA"/>
        </w:rPr>
        <w:t xml:space="preserve">وروى الصدوق في من لا يحضره الفقيه عن رسول اللّه صلى‌اللّه‌عليه‌وآله مرسلا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يترك عانته فوق الأربعين يوما ولا يحلّ لامرأة تؤمن باللّه واليوم الآخر أن تدع ذلك منها فوق عشرين يوما </w:t>
      </w:r>
      <w:r>
        <w:rPr>
          <w:rFonts w:eastAsia="Amiri" w:cs="Amiri" w:ascii="Amiri" w:hAnsi="Amiri"/>
          <w:color w:val="111111"/>
          <w:sz w:val="28"/>
          <w:szCs w:val="28"/>
          <w:rtl w:val="true"/>
          <w:lang w:bidi="ar-SA"/>
        </w:rPr>
        <w:t xml:space="preserve">»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احلقوا شعر البطن للذكر والانثى </w:t>
      </w:r>
      <w:r>
        <w:rPr>
          <w:rFonts w:eastAsia="Amiri" w:cs="Amiri" w:ascii="Amiri" w:hAnsi="Amiri"/>
          <w:color w:val="111111"/>
          <w:sz w:val="28"/>
          <w:szCs w:val="28"/>
          <w:rtl w:val="true"/>
          <w:lang w:bidi="ar-SA"/>
        </w:rPr>
        <w:t xml:space="preserve">»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 الشعر عنكم فإنّه يحسن </w:t>
      </w:r>
      <w:r>
        <w:rPr>
          <w:rFonts w:eastAsia="Amiri" w:cs="Amiri" w:ascii="Amiri" w:hAnsi="Amiri"/>
          <w:color w:val="111111"/>
          <w:sz w:val="28"/>
          <w:szCs w:val="28"/>
          <w:rtl w:val="true"/>
          <w:lang w:bidi="ar-SA"/>
        </w:rPr>
        <w:t xml:space="preserve">»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عليّ بن إبراهيم عن أبيه عن النوفلي عن السكوني </w:t>
      </w:r>
      <w:bookmarkStart w:id="1666" w:name="pg8731_78200"/>
    </w:p>
    <w:p>
      <w:pPr>
        <w:pStyle w:val="BookText"/>
        <w:rPr/>
      </w:pPr>
      <w:bookmarkEnd w:id="1666"/>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يترك عانته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السابق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بإسناد صحيح 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 عنكم الشعر فإنّه يحسن </w:t>
      </w:r>
      <w:r>
        <w:rPr>
          <w:rFonts w:eastAsia="Amiri" w:cs="Amiri" w:ascii="Amiri" w:hAnsi="Amiri"/>
          <w:color w:val="111111"/>
          <w:sz w:val="28"/>
          <w:szCs w:val="28"/>
          <w:rtl w:val="true"/>
          <w:lang w:bidi="ar-SA"/>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محمّد بن يحيى عن أحمد بن محمّد بن عيسى عن محمّد بن حمزة الأشعري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الشعر من الأنف يحسن الوجه </w:t>
      </w:r>
      <w:r>
        <w:rPr>
          <w:rFonts w:eastAsia="Amiri" w:cs="Amiri" w:ascii="Amiri" w:hAnsi="Amiri"/>
          <w:color w:val="111111"/>
          <w:sz w:val="28"/>
          <w:szCs w:val="28"/>
          <w:rtl w:val="true"/>
          <w:lang w:bidi="ar-SA"/>
        </w:rPr>
        <w:t xml:space="preserve">» </w:t>
      </w:r>
      <w:r>
        <w:rPr>
          <w:rStyle w:val="FootnoteAnchor"/>
          <w:rtl w:val="true"/>
        </w:rPr>
        <w:footnoteReference w:id="2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من لا يحضره الفقيه مرسلا عن الصادق عليه‌السلام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7" w:name="__RefHeading___Toc3141081_653776707"/>
      <w:bookmarkStart w:id="1668" w:name="_Toc615"/>
      <w:bookmarkEnd w:id="1667"/>
      <w:r>
        <w:rPr>
          <w:rtl w:val="true"/>
        </w:rPr>
        <w:t xml:space="preserve">فصل </w:t>
      </w:r>
      <w:r>
        <w:rPr>
          <w:rtl w:val="true"/>
        </w:rPr>
        <w:t>:</w:t>
      </w:r>
      <w:bookmarkEnd w:id="1668"/>
    </w:p>
    <w:p>
      <w:pPr>
        <w:pStyle w:val="BookText"/>
        <w:rPr/>
      </w:pPr>
      <w:r>
        <w:rPr>
          <w:rFonts w:ascii="Amiri" w:hAnsi="Amiri" w:eastAsia="Amiri" w:cs="Amiri"/>
          <w:color w:val="111111"/>
          <w:sz w:val="28"/>
          <w:sz w:val="28"/>
          <w:szCs w:val="28"/>
          <w:rtl w:val="true"/>
          <w:lang w:bidi="ar-SA"/>
        </w:rPr>
        <w:t xml:space="preserve">قال العلّامة في 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الشعر يعني شعر الرأس أفضل من إزالته </w:t>
      </w:r>
      <w:r>
        <w:rPr>
          <w:rStyle w:val="FootnoteAnchor"/>
          <w:rtl w:val="true"/>
        </w:rPr>
        <w:footnoteReference w:id="2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للاحتجاج على ذلك ولكنّه أورد حديثين بعد ذكره للحكم وهما </w:t>
      </w:r>
      <w:r>
        <w:rPr>
          <w:rFonts w:eastAsia="Amiri" w:cs="Amiri" w:ascii="Amiri" w:hAnsi="Amiri"/>
          <w:color w:val="111111"/>
          <w:sz w:val="28"/>
          <w:szCs w:val="28"/>
          <w:rtl w:val="true"/>
          <w:lang w:bidi="ar-SA"/>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الحسن من كسوة اللّه فأكرموه </w:t>
      </w:r>
      <w:r>
        <w:rPr>
          <w:rFonts w:eastAsia="Amiri" w:cs="Amiri" w:ascii="Amiri" w:hAnsi="Amiri"/>
          <w:color w:val="111111"/>
          <w:sz w:val="28"/>
          <w:szCs w:val="28"/>
          <w:rtl w:val="true"/>
          <w:lang w:bidi="ar-SA"/>
        </w:rPr>
        <w:t xml:space="preserve">» </w:t>
      </w:r>
      <w:r>
        <w:rPr>
          <w:rStyle w:val="FootnoteAnchor"/>
          <w:rtl w:val="true"/>
        </w:rPr>
        <w:footnoteReference w:id="2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فليحسن ولايته أو ليجزه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كان غرضه من إيرادهما الاحتجاج بهما ؛ لأنّه قال بعد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 فإنّه يزيد في جمالك </w:t>
      </w:r>
      <w:r>
        <w:rPr>
          <w:rFonts w:eastAsia="Amiri" w:cs="Amiri" w:ascii="Amiri" w:hAnsi="Amiri"/>
          <w:color w:val="111111"/>
          <w:sz w:val="28"/>
          <w:szCs w:val="28"/>
          <w:rtl w:val="true"/>
          <w:lang w:bidi="ar-SA"/>
        </w:rPr>
        <w:t xml:space="preserve">»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أنّه يحتمل كون الأمر بالحلق مخصوصا بذلك المخاطب لمعرفته بأنّ الحلق يزيد في جماله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 هذا الحكم نظر ؛ لانتفاء الدليل الواضح عليه ، وورود عدّة روايات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الصدوق عن أحمد بن محمّد بن أبي نصر البزنطي في الصحيح عن أبي الحسن </w:t>
      </w:r>
      <w:r>
        <w:rPr>
          <w:rStyle w:val="FootnoteAnchor"/>
          <w:rtl w:val="true"/>
        </w:rPr>
        <w:footnoteReference w:id="2867"/>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حلق الرأس في غير حجّ ولا عمرة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الحسن عليه‌السلام إذا قضى نسكه عدل إلى قرية يقال لها ساية فحلق </w:t>
      </w:r>
      <w:r>
        <w:rPr>
          <w:rFonts w:eastAsia="Amiri" w:cs="Amiri" w:ascii="Amiri" w:hAnsi="Amiri"/>
          <w:color w:val="111111"/>
          <w:sz w:val="28"/>
          <w:szCs w:val="28"/>
          <w:rtl w:val="true"/>
          <w:lang w:bidi="ar-SA"/>
        </w:rPr>
        <w:t xml:space="preserve">»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رحمه‌اللّه بعد إيراده لهذا الخبر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الرأس في غير حجّ ولا عمرة مثلة لأعدائكم وجمال لكم </w:t>
      </w:r>
      <w:r>
        <w:rPr>
          <w:rFonts w:eastAsia="Amiri" w:cs="Amiri" w:ascii="Amiri" w:hAnsi="Amiri"/>
          <w:color w:val="111111"/>
          <w:sz w:val="28"/>
          <w:szCs w:val="28"/>
          <w:rtl w:val="true"/>
          <w:lang w:bidi="ar-SA"/>
        </w:rPr>
        <w:t xml:space="preserve">»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الرأس في </w:t>
      </w:r>
    </w:p>
    <w:p>
      <w:pPr>
        <w:pStyle w:val="BookText"/>
        <w:rPr/>
      </w:pPr>
      <w:r>
        <w:rPr>
          <w:rFonts w:ascii="Amiri" w:hAnsi="Amiri" w:eastAsia="Amiri" w:cs="Amiri"/>
          <w:color w:val="111111"/>
          <w:sz w:val="28"/>
          <w:sz w:val="28"/>
          <w:szCs w:val="28"/>
          <w:rtl w:val="true"/>
          <w:lang w:bidi="ar-SA"/>
        </w:rPr>
        <w:t xml:space="preserve">غير حجّ ولا عمرة مثلة لأعدائكم وجمال لكم </w:t>
      </w:r>
      <w:r>
        <w:rPr>
          <w:rFonts w:eastAsia="Amiri" w:cs="Amiri" w:ascii="Amiri" w:hAnsi="Amiri"/>
          <w:color w:val="111111"/>
          <w:sz w:val="28"/>
          <w:szCs w:val="28"/>
          <w:rtl w:val="true"/>
          <w:lang w:bidi="ar-SA"/>
        </w:rPr>
        <w:t xml:space="preserve">» </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في قول النبيّ صلى‌اللّه‌عليه‌وآله حين وصف الخوارج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يمرقون كما يمرق السهم من الرمية وعلامتهم التسبيب وهو الحلق وترك التدهّن </w:t>
      </w:r>
      <w:r>
        <w:rPr>
          <w:rFonts w:eastAsia="Amiri" w:cs="Amiri" w:ascii="Amiri" w:hAnsi="Amiri"/>
          <w:color w:val="111111"/>
          <w:sz w:val="28"/>
          <w:szCs w:val="28"/>
          <w:rtl w:val="true"/>
          <w:lang w:bidi="ar-SA"/>
        </w:rPr>
        <w:t xml:space="preserve">»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عن ابن أبي عمير عن محمّد بن أبي حمزة عن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شعرك يقلّ درنه ودوابّه ووسخه وتغلظ رقبتك ويجلو بصرك </w:t>
      </w:r>
      <w:r>
        <w:rPr>
          <w:rFonts w:eastAsia="Amiri" w:cs="Amiri" w:ascii="Amiri" w:hAnsi="Amiri"/>
          <w:color w:val="111111"/>
          <w:sz w:val="28"/>
          <w:szCs w:val="28"/>
          <w:rtl w:val="true"/>
          <w:lang w:bidi="ar-SA"/>
        </w:rPr>
        <w:t xml:space="preserve">»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ويستريح بدنك </w:t>
      </w:r>
      <w:r>
        <w:rPr>
          <w:rFonts w:eastAsia="Amiri" w:cs="Amiri" w:ascii="Amiri" w:hAnsi="Amiri"/>
          <w:color w:val="111111"/>
          <w:sz w:val="28"/>
          <w:szCs w:val="28"/>
          <w:rtl w:val="true"/>
          <w:lang w:bidi="ar-SA"/>
        </w:rPr>
        <w:t xml:space="preserve">»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استأصل شعرك يقلّ درنه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لأحلق في كلّ جمعة فيما بين الطلية إلى الطلية </w:t>
      </w:r>
      <w:r>
        <w:rPr>
          <w:rFonts w:eastAsia="Amiri" w:cs="Amiri" w:ascii="Amiri" w:hAnsi="Amiri"/>
          <w:color w:val="111111"/>
          <w:sz w:val="28"/>
          <w:szCs w:val="28"/>
          <w:rtl w:val="true"/>
          <w:lang w:bidi="ar-SA"/>
        </w:rPr>
        <w:t xml:space="preserve">»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الخبر في الكافي عن عدّة عن أحمد بن محمّد عن عليّ بن </w:t>
      </w:r>
      <w:bookmarkStart w:id="1669" w:name="pg8731_78203"/>
    </w:p>
    <w:p>
      <w:pPr>
        <w:pStyle w:val="BookText"/>
        <w:rPr/>
      </w:pPr>
      <w:bookmarkEnd w:id="1669"/>
      <w:r>
        <w:rPr>
          <w:rFonts w:ascii="Amiri" w:hAnsi="Amiri" w:eastAsia="Amiri" w:cs="Amiri"/>
          <w:color w:val="111111"/>
          <w:sz w:val="28"/>
          <w:sz w:val="28"/>
          <w:szCs w:val="28"/>
          <w:rtl w:val="true"/>
          <w:lang w:bidi="ar-SA"/>
        </w:rPr>
        <w:t xml:space="preserve">الحكم عن سعدان عن أبي بصير عن أبي عبد اللّه عليه‌السلام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الكليني عن أبي علي الأشعري عن محمّد بن عبد الجبّار عن صفوان عن ابن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إطالة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محمّد صلى‌اللّه‌عليه‌وآله مشعرين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الطم </w:t>
      </w:r>
      <w:r>
        <w:rPr>
          <w:rFonts w:eastAsia="Amiri" w:cs="Amiri" w:ascii="Amiri" w:hAnsi="Amiri"/>
          <w:color w:val="111111"/>
          <w:sz w:val="28"/>
          <w:szCs w:val="28"/>
          <w:rtl w:val="true"/>
          <w:lang w:bidi="ar-SA"/>
        </w:rPr>
        <w:t xml:space="preserve">- » </w:t>
      </w:r>
      <w:r>
        <w:rPr>
          <w:rStyle w:val="FootnoteAnchor"/>
          <w:rtl w:val="true"/>
        </w:rPr>
        <w:footnoteReference w:id="2877"/>
      </w:r>
      <w:r>
        <w:rPr>
          <w:rFonts w:ascii="Amiri" w:hAnsi="Amiri" w:eastAsia="Amiri" w:cs="Amiri"/>
          <w:color w:val="111111"/>
          <w:sz w:val="28"/>
          <w:sz w:val="28"/>
          <w:szCs w:val="28"/>
          <w:rtl w:val="true"/>
          <w:lang w:bidi="ar-SA"/>
        </w:rPr>
        <w:t xml:space="preserve">، فليس فيه دلالة على الأفضليّة كما هو مدّعى العلّامة </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عدم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شعره أي 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 شعره أيضا طموما إذا عقصه </w:t>
      </w:r>
      <w:r>
        <w:rPr>
          <w:rStyle w:val="FootnoteAnchor"/>
          <w:rtl w:val="true"/>
        </w:rPr>
        <w:footnoteReference w:id="2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فخبر الحلق أقوى إسنادا وأكثر اعتضادا كما قد عرفت</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3141083_653776707"/>
      <w:bookmarkStart w:id="1671" w:name="_Toc616"/>
      <w:bookmarkEnd w:id="1670"/>
      <w:r>
        <w:rPr>
          <w:rtl w:val="true"/>
        </w:rPr>
        <w:t xml:space="preserve">فصل </w:t>
      </w:r>
      <w:r>
        <w:rPr>
          <w:rtl w:val="true"/>
        </w:rPr>
        <w:t>:</w:t>
      </w:r>
      <w:bookmarkEnd w:id="1671"/>
    </w:p>
    <w:p>
      <w:pPr>
        <w:pStyle w:val="BookText"/>
        <w:rPr/>
      </w:pPr>
      <w:r>
        <w:rPr>
          <w:rFonts w:ascii="Amiri" w:hAnsi="Amiri" w:eastAsia="Amiri" w:cs="Amiri"/>
          <w:color w:val="111111"/>
          <w:sz w:val="28"/>
          <w:sz w:val="28"/>
          <w:szCs w:val="28"/>
          <w:rtl w:val="true"/>
          <w:lang w:bidi="ar-SA"/>
        </w:rPr>
        <w:t xml:space="preserve">وذكر العلّامة في المنتهى والتحرير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الفطرة فرق الرأس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الفطرة أي من السنّة يعني سنن </w:t>
      </w:r>
    </w:p>
    <w:p>
      <w:pPr>
        <w:pStyle w:val="BookText"/>
        <w:rPr/>
      </w:pPr>
      <w:r>
        <w:rPr>
          <w:rFonts w:ascii="Amiri" w:hAnsi="Amiri" w:eastAsia="Amiri" w:cs="Amiri"/>
          <w:color w:val="111111"/>
          <w:sz w:val="28"/>
          <w:sz w:val="28"/>
          <w:szCs w:val="28"/>
          <w:rtl w:val="true"/>
          <w:lang w:bidi="ar-SA"/>
        </w:rPr>
        <w:t xml:space="preserve">الأنبياء عليهم‌السلام التي امرنا أن نقتدي بهم فيها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صفة النبيّ صلى‌اللّه‌عليه‌وآله أن انفرقت عقيصته فرق </w:t>
      </w:r>
      <w:r>
        <w:rPr>
          <w:rStyle w:val="FootnoteAnchor"/>
          <w:rtl w:val="true"/>
        </w:rPr>
        <w:footnoteReference w:id="2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صار شعره فرقتين بنفسه في مفرقه تركه وإن لم ينفرق لم يفرقه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كالذي قبله لم يذكر له حجّة ، وإنّما نقل معه خبرا مرسلا رواه الصدوقان في الرسالة ومن لا يحضره الفقيه ، عن الصادق عليه‌السلام بغير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اتّخذ شعرا ولم يفرّقه فرّقه اللّه بمنشار من نار </w:t>
      </w:r>
      <w:r>
        <w:rPr>
          <w:rFonts w:eastAsia="Amiri" w:cs="Amiri" w:ascii="Amiri" w:hAnsi="Amiri"/>
          <w:color w:val="111111"/>
          <w:sz w:val="28"/>
          <w:szCs w:val="28"/>
          <w:rtl w:val="true"/>
          <w:lang w:bidi="ar-SA"/>
        </w:rPr>
        <w:t xml:space="preserve">»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حديثا في معناه بإسناد ضعيف عن أبي العبّاس البقباق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له وفرة يفرّقها أو يدعها؟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يفرّقها </w:t>
      </w:r>
      <w:r>
        <w:rPr>
          <w:rFonts w:eastAsia="Amiri" w:cs="Amiri" w:ascii="Amiri" w:hAnsi="Amiri"/>
          <w:color w:val="111111"/>
          <w:sz w:val="28"/>
          <w:szCs w:val="28"/>
          <w:rtl w:val="true"/>
          <w:lang w:bidi="ar-SA"/>
        </w:rPr>
        <w:t xml:space="preserve">»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الصدوقين في الكتابين موافق لما قاله العلّامة ، فإنّهما ذكرا أنّ السنن الحنيفيّة عشر سنن ، خمس في الرأس وخمس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في الرأس فالمضمضة والاستنشاق والسواك </w:t>
      </w:r>
      <w:r>
        <w:rPr>
          <w:rStyle w:val="FootnoteAnchor"/>
          <w:rtl w:val="true"/>
        </w:rPr>
        <w:footnoteReference w:id="2886"/>
      </w:r>
      <w:r>
        <w:rPr>
          <w:rFonts w:ascii="IRNazanin" w:hAnsi="IRNazanin" w:eastAsia="IRNazanin"/>
          <w:color w:val="111111"/>
          <w:sz w:val="28"/>
          <w:sz w:val="28"/>
          <w:szCs w:val="28"/>
          <w:rtl w:val="true"/>
          <w:lang w:bidi="fa-IR"/>
        </w:rPr>
        <w:t>وقصّ الشارب ، والفرق لمن طوّل شعر رأسه</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تدع الفرق إن كان لك شعر طويل فقد روي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يفرّق شعره فرّقه اللّه يوم القيامة بمنشار </w:t>
      </w:r>
    </w:p>
    <w:p>
      <w:pPr>
        <w:pStyle w:val="BookText"/>
        <w:rPr/>
      </w:pP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التي في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فالاستنجاء والختان وحلق العانة وقصّ الأظفار ونتف الإبطين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جعفر الكليني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فرّق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فرّق رسول اللّه صلى‌اللّه‌عليه‌وآله وليس من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ما أصاب رسول اللّه صلى‌اللّه‌عليه‌وآله يفرّق كما فرّق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لمّا صدّ عن البيت وقد كان ساق الهدي وأحرم أراه اللّه الرؤيا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رُؤُسَكُمْ وَمُقَصِّرِينَ لا تَخافُونَ </w:t>
      </w:r>
      <w:r>
        <w:rPr>
          <w:rFonts w:eastAsia="Amiri" w:cs="Amiri" w:ascii="Amiri" w:hAnsi="Amiri"/>
          <w:color w:val="111111"/>
          <w:sz w:val="28"/>
          <w:szCs w:val="28"/>
          <w:rtl w:val="true"/>
          <w:lang w:bidi="ar-SA"/>
        </w:rPr>
        <w:t xml:space="preserve">) </w:t>
      </w:r>
      <w:r>
        <w:rPr>
          <w:rStyle w:val="FootnoteAnchor"/>
          <w:rtl w:val="true"/>
        </w:rPr>
        <w:footnoteReference w:id="2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صلى‌اللّه‌عليه‌وآله أنّه سيفي له بما أراه فمن ثمّ وفّر ذلك الشعر الذي كان على رأسه حين أحرم انتظارا لحلقه في الحرم حيث وعده اللّه عزوجل فلمّا حلقه لم يعد في توفير الشعر ولا كان ذلك من قبله صلى‌اللّه‌عليه‌وآله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ثابت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أنّ الفرق من السنّة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النبيّ صلى‌اللّه‌عليه‌وآله فرّق؟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النبيّ صلى‌اللّه‌عليه‌وآله ولا كانت الأنبياء تمسك الشعر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أيّوب بن هارون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صلى‌اللّه‌عليه‌وآله يفرّق 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إذا طال شعره كان إلى شحمة أذنه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 xml:space="preserve">. </w:t>
      </w:r>
      <w:bookmarkStart w:id="1672" w:name="pg8731_78206"/>
    </w:p>
    <w:p>
      <w:pPr>
        <w:pStyle w:val="Heading6"/>
        <w:numPr>
          <w:ilvl w:val="5"/>
          <w:numId w:val="1"/>
        </w:numPr>
        <w:rPr/>
      </w:pPr>
      <w:bookmarkStart w:id="1673" w:name="__RefHeading___Toc3141085_653776707"/>
      <w:bookmarkStart w:id="1674" w:name="_Toc617"/>
      <w:bookmarkEnd w:id="1672"/>
      <w:bookmarkEnd w:id="1673"/>
      <w:r>
        <w:rPr>
          <w:rtl w:val="true"/>
        </w:rPr>
        <w:t xml:space="preserve">فصل </w:t>
      </w:r>
      <w:r>
        <w:rPr>
          <w:rtl w:val="true"/>
        </w:rPr>
        <w:t>:</w:t>
      </w:r>
      <w:bookmarkEnd w:id="1674"/>
    </w:p>
    <w:p>
      <w:pPr>
        <w:pStyle w:val="BookText"/>
        <w:rPr/>
      </w:pPr>
      <w:r>
        <w:rPr>
          <w:rFonts w:ascii="Amiri" w:hAnsi="Amiri" w:eastAsia="Amiri" w:cs="Amiri"/>
          <w:color w:val="111111"/>
          <w:sz w:val="28"/>
          <w:sz w:val="28"/>
          <w:szCs w:val="28"/>
          <w:rtl w:val="true"/>
          <w:lang w:bidi="ar-SA"/>
        </w:rPr>
        <w:t xml:space="preserve">وروى الشيخ أبو جعفر الكليني في الحسن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خضاب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النبيّ صلى‌اللّه‌عليه‌وآله والحسين بن عليّ وأبو جعفر عليهم‌السلام بالكتم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النبيّ صلى‌اللّه‌عليه‌وآله ولم يمنع عليّا إلّا قول رسول اللّه صلى‌اللّه‌عليه‌وآله وقد خضّب الحسين وأبو جعفر عليه‌السلام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الحسن بن 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عليه‌السلام وقد اختضب بالسواد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اختضبت بالسواد </w:t>
      </w:r>
      <w:r>
        <w:rPr>
          <w:rStyle w:val="FootnoteAnchor"/>
          <w:rtl w:val="true"/>
        </w:rPr>
        <w:footnoteReference w:id="289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والخضاب والتهيئة ممّا يزيد اللّه عزوجل في عفّة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 نساء العفّة بترك أزواجهنّ لهنّ 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الحنّاء يزيد في الشيب؟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يزيد في الشيب؟ الشيب يزيد في كلّ يوم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العبّاس بن موسى بن الورّاق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أبي جعفر صلوات اللّه عليه فرأوه مختضبا 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أحبّ النساء فأنا أتصبّغ لهنّ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الحسن عن ابن أبي عمير </w:t>
      </w:r>
      <w:r>
        <w:rPr>
          <w:rFonts w:eastAsia="Amiri" w:cs="Amiri" w:ascii="Amiri" w:hAnsi="Amiri"/>
          <w:color w:val="111111"/>
          <w:sz w:val="28"/>
          <w:szCs w:val="28"/>
          <w:rtl w:val="true"/>
          <w:lang w:bidi="ar-SA"/>
        </w:rPr>
        <w:t xml:space="preserve">.. </w:t>
      </w:r>
      <w:r>
        <w:rPr>
          <w:rStyle w:val="FootnoteAnchor"/>
          <w:rtl w:val="true"/>
        </w:rPr>
        <w:footnoteReference w:id="2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حفص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خضاب اللحية والرأس أمن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لم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منعه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ستخضب من هذه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إبراهيم بن عبد الحميد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الخضاب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مهيبة في الحرب ، ومحبّة إلى النساء ويزيد في الباه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الوسمة؟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للشيخ الكبير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أيضا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عليه‌السلام يمضغ علكا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نقضت الوسمة أضراسي فمضغت هذا العلك لأشدّها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استرخت فشدّها بالذهب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هشام بن الحكم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يزيد في ماء الوجه ويكثر الشيب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الحسن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عليه‌السلام مخضوبا </w:t>
      </w:r>
    </w:p>
    <w:p>
      <w:pPr>
        <w:pStyle w:val="BookText"/>
        <w:rPr/>
      </w:pPr>
      <w:r>
        <w:rPr>
          <w:rFonts w:ascii="Amiri" w:hAnsi="Amiri" w:eastAsia="Amiri" w:cs="Amiri"/>
          <w:color w:val="111111"/>
          <w:sz w:val="28"/>
          <w:sz w:val="28"/>
          <w:szCs w:val="28"/>
          <w:rtl w:val="true"/>
          <w:lang w:bidi="ar-SA"/>
        </w:rPr>
        <w:t xml:space="preserve">بالحنّاء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من لا يحضره الفقيه مرسلا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اخضبوا بالحناء فإنّه يجلو البصر وينبت الشعر ويطيب الريح ويسكن الزوجة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دخل عليه رجل وقد صفّر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بعد هذا وقد أقنى بالحناء فتبسّم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بعد ذلك وقد خضب بالسواد فضحك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ذاك وذاك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درهم في الخضاب أفضل من ألف درهم في غيره في سبيل اللّه عزوجل ، وفيه أربع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الريح من الاذنين ويجلو البصر ويلين الخياشيم ويطيب النكهة ويشدّ اللثّة ويذهب بالضنى ويقلّ وسوسة الشيطان وتفرح به الملائكة ويستبشر به المؤمن ويغيظ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وهو زينة وطيب ويستحي منه منكر ونكير وهو براءة له في قبره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محمد بن مسلم أنّه سأل أبا جعفر عليه‌السلام عن الخضاب؟ فقال </w:t>
      </w:r>
      <w:r>
        <w:rPr>
          <w:rFonts w:eastAsia="Amiri" w:cs="Amiri" w:ascii="Amiri" w:hAnsi="Amiri"/>
          <w:color w:val="111111"/>
          <w:sz w:val="28"/>
          <w:szCs w:val="28"/>
          <w:rtl w:val="true"/>
          <w:lang w:bidi="ar-SA"/>
        </w:rPr>
        <w:t xml:space="preserve">: </w:t>
      </w:r>
      <w:bookmarkStart w:id="1675" w:name="pg8731_78209"/>
    </w:p>
    <w:p>
      <w:pPr>
        <w:pStyle w:val="BookText"/>
        <w:rPr/>
      </w:pPr>
      <w:bookmarkEnd w:id="1675"/>
      <w:r>
        <w:rPr>
          <w:rFonts w:ascii="Amiri" w:hAnsi="Amiri" w:eastAsia="Amiri" w:cs="Amiri"/>
          <w:color w:val="111111"/>
          <w:sz w:val="28"/>
          <w:sz w:val="28"/>
          <w:szCs w:val="28"/>
          <w:rtl w:val="true"/>
          <w:lang w:bidi="ar-SA"/>
        </w:rPr>
        <w:t xml:space="preserve">كان رسول اللّه صلى‌اللّه‌عليه‌وآله يختضب وهذا شعره عندنا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في رأسه ولحيته سبع عشرة شيبة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6" w:name="__RefHeading___Toc3141087_653776707"/>
      <w:bookmarkStart w:id="1677" w:name="_Toc618"/>
      <w:bookmarkEnd w:id="1676"/>
      <w:r>
        <w:rPr>
          <w:rtl w:val="true"/>
        </w:rPr>
        <w:t xml:space="preserve">فصل </w:t>
      </w:r>
      <w:r>
        <w:rPr>
          <w:rtl w:val="true"/>
        </w:rPr>
        <w:t>:</w:t>
      </w:r>
      <w:bookmarkEnd w:id="1677"/>
    </w:p>
    <w:p>
      <w:pPr>
        <w:pStyle w:val="BookText"/>
        <w:rPr/>
      </w:pPr>
      <w:r>
        <w:rPr>
          <w:rFonts w:ascii="Amiri" w:hAnsi="Amiri" w:eastAsia="Amiri" w:cs="Amiri"/>
          <w:color w:val="111111"/>
          <w:sz w:val="28"/>
          <w:sz w:val="28"/>
          <w:szCs w:val="28"/>
          <w:rtl w:val="true"/>
          <w:lang w:bidi="ar-SA"/>
        </w:rPr>
        <w:t xml:space="preserve">وروى في من لا يحضره الفقيه مرسلا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نور فلا تنتفوه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نتف الشيب نهي كراهية لا نهي تحريم ؛ لأنّ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بجزّ الشمط ونتفه وجزّه أحبّ إليّ من 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وأخبارهم عليهم‌السلام لا تختلف في حالة واحدة لأنّ مخرجها من عند اللّه تعالى ذكره ، وإنّما تختلف بحسب اختلاف الأحوال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الصادق عليه‌السلام مرسلا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شاب إبراهيم الخليل عليه‌السلام وأنّه ثنى لحيته فرأى طاقه بيضا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وقارا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أبو جعفر الكليني الحديث المتضمّن لنفي البأس عن نتف الشيب بإسناد حسن عن عبد اللّه 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 xml:space="preserve">بجزّ الشمط ونتفه وجزّه أحبّ إليّ من نتفه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رحمه‌اللّه في العلل حديث شيب إبراهيم عليه‌السلام بإسناد صحيح عن حفص بن البختري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لا يشيبون فأبصر إبراهيم عليه‌السلام شيبا في لحيته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وقارا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 آخر صحيح عن عليّ بن مهزيار عن الحسين بن عمّار عن نعيم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إبراهيم عليه‌السلام فرأى في لحيته شيبا شعرة 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بلّغني هذا المبلغ ولم أعص اللّه طرفة عين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نقطع الكلام في الجزء الأوّل من كتاب معالم الدين وملاذ المجتهدين ويتلوه الجزء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في الطهارة من الأحداث وما في معناها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وغسل وتيمّم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أحمد اللّه تعالى على جزيل نواله وأتوسّل إليه بنبيّه وحبيبه محمّد وآله أن يمدّني من جوده وإفضاله بالتوفيق لإكماله ، وأن يجعل جدّي في تحقيق مقاصده واجتهادي في تنقيح فوائده وسيلة إلى رضوانه وذريعة إلى عفوه وغفرانه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واتّفق الفراغ من تسويده سحر ليلة الأحد الثانية من ربيع الثاني ولي من أوّل الربيع سنة أربع وتسعين وتسعمائة وكتب مؤلفه العبد الفقير إلى رحمة ربّه الغنيّ حسن بن زين الدين بن علي الشامي العاملي عامله اللّه بلطفه وحلمه وعفى عن إساءته وجرمه وغفر له ولوالديه ولجميع المؤمنين والمؤمنات والحمد لله ربّ العالمين وصلواته على نبيّه محمّد المصطفى وعترته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صورة خطّ مؤلفه أدام اللّه أيّامه وختم بالصالحات أعماله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الفراغ من كتابته ضحى يوم الإثنين الثامن والعشرون من شهر رمضان المبارك سنة ألف وواحد من الهجرة النبوية على مشرّفها أفضل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بيده الفانية أقلّ العباد وأحوجهم إلى رحمة ربّه يوم التناد حسن بن أحمد بن محمد بن علي بن سنبغ العاملي عامله اللّه بلطفه الخفي وغفر اللّه له ولهم ولجميع المؤمنين والمؤمنات ولمن دعا لهم بالمغفرة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فرغت من تصحيحه وتحقيقه عصر يوم السبت الرابع والعشرون من شهر شوّال المكرّم للسنة الخامسة عشر بعد الألف والأربعمائة من الهجرة النبوية المباركة وأنا أقلّ طلبة حوزتي النجف الأشرف وقم المقدّسة السيّد منذر بن السيّد محسن الحسيني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678" w:name="pg8731_78212"/>
    </w:p>
    <w:p>
      <w:pPr>
        <w:pStyle w:val="Heading3"/>
        <w:numPr>
          <w:ilvl w:val="2"/>
          <w:numId w:val="1"/>
        </w:numPr>
        <w:rPr/>
      </w:pPr>
      <w:bookmarkStart w:id="1679" w:name="__RefHeading___Toc3141089_653776707"/>
      <w:bookmarkStart w:id="1680" w:name="_Toc619"/>
      <w:bookmarkEnd w:id="1678"/>
      <w:bookmarkEnd w:id="1679"/>
      <w:r>
        <w:rPr>
          <w:rtl w:val="true"/>
        </w:rPr>
        <w:t>مصادر الكتاب ومراجع التحقيق</w:t>
      </w:r>
      <w:bookmarkEnd w:id="1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 تحقيق الشيخ حسن المصطفوي ، طبعة جامعة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الشيخ فارس الحسّون ، نشر مؤسسة النشر الإسلامي ، قم ، الطبعة المحقّقة الاُولى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السيد حسن الموسوي الخراسان ، طبعة دار الكتب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المطبعة الحيدرية ، النجف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في شرح إشكالات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محمد بن الحسن ابن يوسف بن علي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نشر بنياد كوشانپور ، طهران ، الطبعة المحققة الثانية بالاُفست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جمال الدين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 ، اُفست محمع الذخائر الإسلامية ، قم</w:t>
      </w:r>
      <w:r>
        <w:rPr>
          <w:rFonts w:eastAsia="Amiri" w:cs="Amiri" w:ascii="Amiri" w:hAnsi="Amiri"/>
          <w:color w:val="111111"/>
          <w:sz w:val="28"/>
          <w:szCs w:val="28"/>
          <w:rtl w:val="true"/>
          <w:lang w:bidi="ar-SA"/>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في شرح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مرتضى الحسيني الواسطي الزبيدي ، الطبعة الاُولى ، دار إحياء التراث العربي ،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 ، اُفست مؤسسة آل البيت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آل البيت عليهم السّلام لإحياء التراث ، الطبعة المحقّقة الاُولى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 نشر مكتب الإعلام الإسلامي ،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المامقاني ، فرغ منه في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وتعليق اسيد حسن الخراسان ، نشر دار الكتب الإسلامية ، طهران ، الطبعة الثالثة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سيد الشهداء ، قم ، الطبعة المحققة الاُولى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بن محمد بن عبد العالي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المحققة الاُولى ، مؤسسة آل البيت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الآقا حسين الطباطبائي البروجردي ، المطبعة العلمية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طبعت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النشر الإسلامية ، قم</w:t>
      </w:r>
      <w:r>
        <w:rPr>
          <w:rFonts w:eastAsia="Amiri" w:cs="Amiri" w:ascii="Amiri" w:hAnsi="Amiri"/>
          <w:color w:val="111111"/>
          <w:sz w:val="28"/>
          <w:szCs w:val="28"/>
          <w:rtl w:val="true"/>
          <w:lang w:bidi="ar-SA"/>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الحسن الأزدي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في أربعة أجزاء ، طبعة كلية الثقافة الدينية بالاُفست على الطبعة القديمة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إبراهيم بهادري ، نشر مؤسسة النشر الإسلامي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يوسف بن علي ابن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مؤسسة النشر الإسلامي ، الطبعة المحققة الاُولى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مكي العاملي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النشر الإسلامي ، الطبعة المحققة الاُولى ، قم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 ، اُفست مكتبة بصيرتي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المكتبة الحيدرية ، النجف الأشرف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السيد موسى الشبيري الزنجاني ، نشر مؤسسة النشر الإسلامي ،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الحسين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آية اللّه النجفي المرعشي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لم نحصل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الحجرية ، اُفست آل البيت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المحققة الاُولى ، جامعة النجف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المحققة الأولى ، مؤسسة النشر الإسلامي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شعيب بن علي بن بحر النسائي بشرح الحافظ جلال الدين السيوطي ، طبعة 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عبد الحسين محمد علي ، مطبعة الآداب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في شرح نكت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مكي العاملي ، تحقيق رضا مختاري ، نشر مركز الأبحاث والدراسات الإسلامية ، قم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الجوهري ، تحقيق أحمد عبد الغفور عطّار ، طبعة دار العلم للملايين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إبراهيم بن المغيرة البخاري الجعفي ، طبعة دار الجيل ، بيروت</w:t>
      </w:r>
      <w:r>
        <w:rPr>
          <w:rFonts w:eastAsia="Amiri" w:cs="Amiri" w:ascii="Amiri" w:hAnsi="Amiri"/>
          <w:color w:val="111111"/>
          <w:sz w:val="28"/>
          <w:szCs w:val="28"/>
          <w:rtl w:val="true"/>
          <w:lang w:bidi="ar-SA"/>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بن بابوية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منشورات المكتبة الحيدرية ، النجف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علي بن زهرة الحسيني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مطبوع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آية اللّه النجفي المرعشي ، قم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تصحيح وتعليق السيد محمد صادق آل بحر العلوم ، نشر المكتبة المرتضوية ،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إحياء التراث العربي ، بيروت ،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النشر الإسلامي ، قم ، الطبعة المحقّقة الاُولى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تصحيح وتعليق علي أكبر الغفاري ، نشر دار الكتب الإسلامية ، طهران ، الطبعة الثالثة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رضا الاُستادي ، نشر مكتبة أمير المؤمنين العامة ،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جار اللّه محمود بن عمر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بن علي بن أحمد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المطبوع مع الروضة البهية ، طبعة جامعة النجف الدينية</w:t>
      </w:r>
      <w:r>
        <w:rPr>
          <w:rFonts w:eastAsia="Amiri" w:cs="Amiri" w:ascii="Amiri" w:hAnsi="Amiri"/>
          <w:color w:val="111111"/>
          <w:sz w:val="28"/>
          <w:szCs w:val="28"/>
          <w:rtl w:val="true"/>
          <w:lang w:bidi="ar-SA"/>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أبو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المكتبة المرتضوية ،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السيد أحمد الحسيني ، الطبعة الاُولى ، المكتبة المرتضوية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آية اللّه المرعشي النجفي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مؤسسة النشر الإسلامي ، قم ، الطبعة المحققة الاُولى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المهذّب للشيرازي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الإمام أبو زكريا محيي الدين ابن شرف النووي ، طبعة مكتبة الإرشاد ،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بن عبد القادر الرازي ، نشر المكتبة التجارية الكبرى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الكتاب العربي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النشر الإسلامي ، قم ، الطبعة المحقّقة الاُولى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في الأحكام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السيد محسن الحسيني الأميني ، نشر المجمع العالمي لأهل البيت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يعلى حمزة بن عبد العزيز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الدكتور محمود البستاني ، منشورات الحرمين ، قم ، الطبعة الثانية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المغري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الاُفست ، منشورات دار الهجرة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أبو القاسم جعفر بن الحسن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محمد حسين الرضوي ، نشر مؤسسة آل البيت عليهم السّلام ، قم ، الطبعة المحقّقة الاُولى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سيد الشهداء ، قم ، الطبعة المحقّقة الاُولى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قواعد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مؤسسة آل البيت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بن بابويه القمي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الإمام الهادي عليه السّلام ، الطبعة المحقّقة الاُولى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ونشر مؤسسة النشر الإسلامي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منتقي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علي أكبر الغفاري ، طبعة مؤسسة النشر الإسلامي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مجمع البحوث الإسلامية ، مشهد ، الطبعة المحققة الاُولى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بن بابويه القمي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تصحيح وتعليق علي أكبر الغفاري ، نشر مكتبة الصدوق ، طهران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مؤسسة سيد الشهداء ، قم ، نشر مؤسسة النشر الإسلامي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المرتضى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ونكتها ، شيخ الطائفة محمد بن الحسن الطوسي ، تعليق نجم الدين جعفر بن الحسن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ونشر مؤسسة النشر الإسلامي ، قم ، الطبعة المحقّقة الاُولى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المطهّر العلّامة الحلّي ، تحقيق السيد مهدي الرجائي ، نشر مؤسسة إسماعيليان ، قم ، الطبعة المحقّقة الاُولى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تحقيق طاهر أحمد الزاوي ومحمود محمد الطناحي ، طبعة المكتبة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الطبعة المحقّقة الاُولى ، تحقيق الشيخ عبد الرحيم الربّاني الشيرازي ، طبعة دار إحياء التراث العربي ، بيروت ،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الثانية ، تحقيق مؤسسة آل البيت عليهم السّلام لإحياء التراث ، قم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81" w:name="pg8731_78220"/>
    </w:p>
    <w:p>
      <w:pPr>
        <w:pStyle w:val="Heading3"/>
        <w:numPr>
          <w:ilvl w:val="2"/>
          <w:numId w:val="1"/>
        </w:numPr>
        <w:rPr/>
      </w:pPr>
      <w:bookmarkStart w:id="1682" w:name="__RefHeading___Toc3141091_653776707"/>
      <w:bookmarkStart w:id="1683" w:name="_Toc620"/>
      <w:bookmarkEnd w:id="1681"/>
      <w:bookmarkEnd w:id="1682"/>
      <w:r>
        <w:rPr>
          <w:rtl w:val="true"/>
        </w:rPr>
        <w:t>الفهرس التفصيلي</w:t>
      </w:r>
      <w:bookmarkEnd w:id="1683"/>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من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بول الآدمي وغائطه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بول وغايط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المأكول بالأصالة وبالعارض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يفرّق بين الخفّاش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رجيع مالا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بول وروث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أبوال الدوابّ الثلاث وأرواثها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ذرق 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المنيّ من الآدمي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مني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المذي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فرج المرأة ورطوبة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الدم من كلّ حيوان ذي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أقسام الدم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المسفوح</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غير السك ممّا لا نفسه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المتخلّف بعد الذبح في حيوان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المتخلّف في غير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الأقسام المذكورة من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الصديد والقيح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الميتة ممّا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أبعاض الميتة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ينفصل من بدن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تذنيب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تحلّه الحياة من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من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الميتة من ذي النفس وإن كان مائياً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عدم نجاسة ما لا نفس له سائلة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الأنبذة المسكرة من حيث التنجيس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العصير إذا غلا واشتدّ ولم يذهب ثلثاه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عموم الحكم بالتنجيس لجميع أجزاء 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المتولّد من 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المتولّد من طاهر ونجس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ولد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ما تحلّه وما لا تحلّه الحياة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المجبّرة والمجسّمة من فرق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يعتقد الحقّ من حيث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يصيبه الثعلب أو الأرنب أو الفأرة أو الوزغة من الثوب والبدن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عدم التفرقة في الحكم بين أنواع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عرق الجنابة من الاحتلام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عرق الحائض والنفساء والمستحاضة والجنب من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لبن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يتولّد في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معه التنجيس وما يجب إزالته وما يُعفى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ملاقي النجاسات مع الرطوبة وبدونها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الرطوبة التي يتوقّف تأثير النجاسة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حكم بنجاسة شرعاً هل يؤثّر التنجيس في غيره مع الرطوبة؟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ميت الآدمي رطباً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ملاقي ملاقي جسد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يحكم بالتنجيس عند الظنّ بالملاقاة مع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ثوب الكافر ما لم تعلم مباشرته له برطوبة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إخبار الغير بنجاسة ثوبه؟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علمت الملاقاة بالنجس واشتبه محلّها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إزالة النجاسات كلها عن البدن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أقسام الدم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إزالة قليله وكثيره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يعفى عن قليله وكثيره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لصاحب القروح غسل ثوبه كل يوم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تعدّى الدم عن محلّ الضرورة فهل يرخّص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العفو للجسم الملاقي لدم القروح برطوبة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الأقسام السابقة من ساير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الذي جعل مقداره مناطاً لحكم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الرطب الطاهر لو نجس بالدم ثمّ أصاب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أصاب الدم وجهي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حمل الدم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غير 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اشتبه الدم المعفوّ عنه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العفو عن كل ما لا تتمّ الصلاة فيه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حمل حيواناً طاهراً غير مأكول هل تبطل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حمل قارورة مسدودة وفيها 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أفضلية إزالة النجاسة عمّا لا تتمّ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العفو عن نجاسة ثوب المربّية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يلحق المربّي بالمربية؟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الولد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للمربية أكثر من ثوب وتحتاج إلى لبس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يُعفى عن نجاسة بدن المربية؟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يكفي الصبّ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استحباب غسل الثوب آخر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يُعفى عن نجاسة ثوب الخصي؟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يُعفى عن ما يتعذّر إزالته؟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البدن والثوب بالنظر إلى تعذّر 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تعذّر غسل البول عن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ثوبه أو جسده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طهارة ملبوس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شدّ طرفه بحبل والطرف الآخر في نجاسة وصلّى؟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نجساً هل يجب إخراجه؟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المحتقن تحت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جبر عظمه بعظم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تزول به النجاسات وكيفية الإزالة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توقّف زوال حكم النجاسة على ذهاب عينها أو استحالتها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يعتبر في زوال نجاسة البول عن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يعتبر في إزالة نجاسة البول عن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العصر في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الثوب من غير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الدلك في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الحكم بالمرتين من نجاسة البول هل يطّرد في غير الثوب والبدن؟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يناط العصر بعدم انفصال الغسالة عن محل المغسول؟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الدقّ والتغميز؟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يطهر ما لم يمكن إخراج الغسالة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البول من النجاسات إذا أصابت غير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كيفية تطهير الإناء إذا ولغ فيه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حقيقة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حصل اللعاب بغير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الغسل ثلاثاً من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يكتفى بالتراب في التعفير؟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الماء الممزوج بالتراب لو صار مضافاً؟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يشترط طهارة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يخيّر بين التراب وما في معناه؟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يوجد التراب ووجد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يجزي الماء وجده عند عدم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يجفف الإناء بعد غسله من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خيف فساد المحل باستعمال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ولغ كلبان أو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انضمّ الولوغ إلى نجاسة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العدد إذا أصاب ماء الولوغ الثوب أو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الماء الذي يغسل به الولوغ هل يجب غسله بالتراب؟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الإناء مما يفتقر إلى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ولغ في إناء فيه طعام جامد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الإناء ممّا لا يُدلك بالتراب في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ولوغ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مرّة يغسل الإناء من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الخمر من المسكرات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يلحق الفقّاع بالخمر في وجوب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هل تستحبّ السبع مرّات؟</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مرّة يغسل الإناء من موت الفأرة؟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مرّة يغسل الإناء من باقي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الغسل من نجاسة بول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الغسل من كلب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رشّ الثوب في ملاقاة الكلب باليبوسة؟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رشّ الثوب في ملاقاة الخنزير باليبوسة؟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يعتبر رشّ الثوب في ملاقاة الكافر باليبوسة؟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يجب مسح البدن بالتراب إذا أصابه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الشكّ في نجاسة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النزح في خمسة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يستحبّ مسح موضع قصّ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كيفية إزالة النجاسة بالماء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إيراد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 المتنجّس في الماء الكثير هل يسقط اعتبار تعدّد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يختصّ الماء الكثير بالصلاحية لتطهير ما لا ينفصل عنه الغسالة؟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العجين النجس إذا مزج بالماء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انتفع السمسم في 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الثوب المصبوغ بالمتنجّس 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الحديد المشرّب بالنجس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الاستجمار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كيفية إزالة النجاسة عن أسفل النعل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تشترط طهارة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يشترط الجفاف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دلك النعل والقدم بالأجسام الصلبة؟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يجعل وقاية للرِجل حال المشي هل يكون حكمه حكم النعل؟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أصابت الأرض نجاسة برطوبة مؤثّرة؟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الجفاف الحاصل بغير الشمس هل يفيد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تطهّر الشمس الثمرة على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يطهر بالشمس ظاهر الأرض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مطهّرية النار لما يستحيل بها رماداً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الدخان المستحيل من الأعيان النجسة طاهر كالرماد؟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يلحق الفحم بالرماد؟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البخار المتصاعد من الماء النجس إذا اجتمع منه نداوة على جسم صقيل وتقاطر ، هل يكون نجساً؟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الطين النجس هل يطهر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الخبز من العجين بالماء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تطهر الأعيان النجسة باستحالتها؟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النجاسة رطبة ومازجت التراب ثمّ استحالت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يطهر الخنزير إذا وقع في الملحة واستحال ملحاً؟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مصاديق باب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يطهر العصير على تقدير نجاسته باستحالته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الدباغ مطهر لجلد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حصول الطهارة بالدباغ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الانتفاع بجلود الميتة في اليابس؟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مطهرية زوال عين النجاسة من البواطن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يكفي زوال عين النجاسة في الحيوان غير الآدمي؟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طارت الذبابة عن النجاسة إلى الثوب أو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الجسم الصقيل إذا أصابته 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إزالة عين الدن من الثوب بالبصاق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 مسائل متفرقة من أحكام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يفرق في النجاسات بين القليل منها والكثير؟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موضع النجاسة من الثوب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غسل نصف الثوب المنجس فهل تتعدّى النجاسة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أواني الخمر هل تقبل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يستحبّ تثنية الغسل وتثليثه في النجاسات التي لم يثبت وجوب أحد الأمرين فيها؟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يستحبّ الحتّ والقرص في كلّ نجاسة يابسة؟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غسل الشيء بالماء الكائن في الفم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تستحب إزالة طين المطر بعد مضي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بنجاسة الماء الواقع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متى يحكم بطهارة ما حكم بنجاسته؟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الخلوة وآداب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p>
    <w:p>
      <w:pPr>
        <w:pStyle w:val="BookText"/>
        <w:rPr/>
      </w:pPr>
      <w:r>
        <w:rPr>
          <w:rFonts w:ascii="Amiri" w:hAnsi="Amiri" w:eastAsia="Amiri" w:cs="Amiri"/>
          <w:color w:val="111111"/>
          <w:sz w:val="28"/>
          <w:sz w:val="28"/>
          <w:szCs w:val="28"/>
          <w:rtl w:val="true"/>
          <w:lang w:bidi="ar-SA"/>
        </w:rPr>
        <w:t xml:space="preserve">النظر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ستر العورة عن الناظر المحترم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حرمة استقبال القبلة واستدبارها بالبول أو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الموضع مبنيّاً على الاستقبال أو الاستدبار؟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استقبال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تختصّ كراهة الاستدبار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استقبال قرص الشمس والقمر بالفرج في 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الجلوس للحدث في المشارع والشوارع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يكره الجلوس في أفنية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البول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قضاء الحاجة في الماء المعدّ في بيوت الخلاء؟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يستحبّ عند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ارتياد الموضع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تغطية الرأس عند دخول الخلاء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تقديم الرجل اليسرى في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التسمية عند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تأخير كشف العورة حتى يدنو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استصحاب ما عليه 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استصحاب دراهم بيض غير مصرورة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الكلام على الخلاء إلّا بذكر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الحمد عند العطاس</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فلسفة النظر إلى الحدث حال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استحباب الاستبراء بالذكر أو يشمل 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البلل المتجدّد بعد الاستبراء وقبله؟</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الاستنجاء من البول والغايط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خرج الحدث من أحد المخرجين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الواجب في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الأغلف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عدم وجوب غسل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الابتداء في الاستنجاء من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تعيّن الماء في الاستنجاء من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الماء لغسل مخرج البول أو تعذّر استعماله 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التخيير بين الماء والاستجمار بالأحجار إذا لم يتعدّ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تعيّن الماء إذا تعدّى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الإنقاء حدّ الاستنجاء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 الاستنجاء بالاستجمار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يعتبر في أداء الاستجمار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استجمر بالنجس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استجمر بحجر ثم غسله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استعمل ما مُنع استعماله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استجمر بما يتفتّت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كيفية الاستجمار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يشترط عدم قيام المتغوّط عن المحلّ عند الاستجمار؟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يكون الاستجمار في خروج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يكره في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يستحبّ عند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الدعاء عند الخروج من الخلا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الحمّام كل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إرسال الحليلة إلى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يجب الحليلة إلى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النظر إلى عورة غير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يكره دخول الولد مع أبيه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كراهة الحمّام مع خلوّ الجوف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آداب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قراءة القرآن والنكاح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الاضطجاع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التنوّر وغسل الرأس بالخطمي والسدر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الإطلاء والحنّاء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 الدقيق بالزيت بعد الاطلاء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متى تكره 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آداب الاطلاء بالنورة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التعمم عند الخروج من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أن يقوله للذي يخرج من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p>
    <w:p>
      <w:pPr>
        <w:pStyle w:val="BookText"/>
        <w:rPr/>
      </w:pPr>
      <w:r>
        <w:rPr>
          <w:rFonts w:ascii="Amiri" w:hAnsi="Amiri" w:eastAsia="Amiri" w:cs="Amiri"/>
          <w:color w:val="111111"/>
          <w:sz w:val="28"/>
          <w:sz w:val="28"/>
          <w:szCs w:val="28"/>
          <w:rtl w:val="true"/>
          <w:lang w:bidi="ar-SA"/>
        </w:rPr>
        <w:t xml:space="preserve">النظر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أنواع الاستطابة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استحباب السواك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الكحل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التمشّط وأوقاته</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الأخذ من 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قصّ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تقليم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دفن الشعر والظفر؟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تطويل شعر الإبط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ترك العانة فوق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اتّخاذ شعر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فوق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خضاب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الشيب وفلسفته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p>
    <w:p>
      <w:pPr>
        <w:pStyle w:val="BookText"/>
        <w:rPr/>
      </w:pPr>
      <w:r>
        <w:rPr>
          <w:rFonts w:ascii="Amiri" w:hAnsi="Amiri" w:eastAsia="Amiri" w:cs="Amiri"/>
          <w:color w:val="111111"/>
          <w:sz w:val="28"/>
          <w:sz w:val="28"/>
          <w:szCs w:val="28"/>
          <w:rtl w:val="true"/>
          <w:lang w:bidi="ar-SA"/>
        </w:rPr>
        <w:t>تأريخ انتهاء التأليف والاستنساخ والتحقيق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الكتاب ومراجع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فقه أهل البيت عليهم‌السلام ، محمد مهدي الآصفي ، مدرسة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مقدمة رياض المسائل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التشريع الإسلامي ، الدكتور عبد الهادي الفضلي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فقه أهل البيت عليهم‌السلام ، محمد مهدي 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بغداد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الآصفي ، مقدمة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الإسلام ، للشيخ علي دواني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السيد الجزائري رحمه‌اللّه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صاحب الكلمة وهو حفيد صاحب المعالم الشيخ علي بن محمد بن الحسن بن زين الدين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عن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 للسيد علي خان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للمولى عبد اللّه أفندي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للخوانساري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للسيد محسن الأمين العاملي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منتقى الجمان عن حدائق المقرّبين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المطلب السادس من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نقلها الاستاذ البقال عن نسخة أحمد شاهمير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التسعون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المستأكل بعلمه والمباهي به ، الحديث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العالم ،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استعمال العلم ، الحديث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الحديث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العلماء ، الحديث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 سورة فاطر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العلم وفضله وفضل العلماء ، الحديث 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فقه العلماء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فقه العلماء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فقه العلماء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العلم ، 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العلم ، 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العلم ، 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العلم ، 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العلم ،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في نسخة التهذيب ، طبعة دار الكتب الإسلاميّة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الحقيقة الشرعيّة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الطاء مع الهاء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الراء ، فصل الطاء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وَيُنَزِّلُ عَلَيْكُمْ مِنَ السَّماءِ ماءً لِيُطَهِّرَكُمْ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مؤسّسة النشر الإسلامي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التمسّك بها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وحجّته ما رواه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الاولى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جعفر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قبل أن تطوى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البئر العاديّة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أبو الفتح الكراجكي في كتاب تهذيب المشرقين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 قدره ألف ومأتا رطل بالعراقيّ هو اثنان وسبعون رطلا بالشاميّ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فتطابق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تكسيره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 عبد اللّه بن المغيرة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الحديثين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رجحان الظاهر منهما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 ماؤه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الرابع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ولأنّ الضرورة تمسّ إليه ، والاختصاص عسر فيلزم الترخيص دفعا للحرج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الاكتفاء بتزكية الواحد العالم بها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ينقل نجاسة بالملاقاة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لمؤسّسة النشر الإسلامي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حكمه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كلام التذكرة يقتضي الاكتفاء في عدم انفعال السافل ببلوغ المجموع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نقل كلامه في مادّة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يقتضي اشتراط كون المادّة وحدها كرّا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ببيانه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مبحوث 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الانفعال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الزائد فيها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يجعل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 عليهم‌السلام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اشتراطه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يتوقّف العلّامة في إلحاق ما ليس في الحمّام به مع حكمه بعدم انفعال الغدير ، 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المجموع كرّا فالحكمان الموجودان في التذكرة على غاية من التفاوت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الكرّية الرافعة للنجاسة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بعد في ذلك فإنّه بعد استواء سطحها بمنزلة المتّصل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 مقتضى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فليتأمّل هنا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مشايخنا المتأخّرين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الحوضين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تزيد على ما ادّعاه المدّعي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ينهض 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بطاهر آخر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الطبعه الحجريّة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إسماعيليان المحقّقة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أوصاف المتوسّط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محتمل لا حيث لا يكون الماء على الوصف القويّ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فممّن خرّج اشتراط الامتزاج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كلانتر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ويلزمه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أر موافقا من الأصحاب على الاحتجاج بهذا الطريق حال 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وجدت الشيخ رحمه‌اللّه احتجّ بمثله في الخلاف ، وقد حكيت عبارته في ذلك لغرض اقتضاء الحال في بحث الجاري فإن شئت فقف عليها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يتميّز فيه تنجيسات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تغيّره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مستهلكة 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حصول النجاسة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مع التغيير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سلّار في رسالته الماء النجس إلى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حكم نجاسته بإخراج بعضه وهو مياه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حكم النجاسة عنه بزيادته وهو الماء القليل الراكد في أرض أو غدير أو قليب فإنّه إذا زاد بتبليغه الكرّ أو أكثر طهر ، وكذلك الجاري القليل إذا استولت عليه النجاسة ثمّ كثر حتّى زال الاستيلاء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نعتبر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فتنفعل الأجزاء التي يصيبها النجس والوحدة حينئذ غير صادقة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نهمل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فشرط الامتزاج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نفرّق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بتكثّر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العبارة دقيقة وهي أنّ أدلّة انفعال الماء بالملاقاة إنّما تدلّ على انفعاله بملاقاة النجاسة له بمعنى ورودها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عليها فليس في الأدلّة ما يقتضي نجاسته ، فلذلك أسندت الإصابة إلى الماء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الزيادة فيه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حكى والدي رحمه‌اللّه في بعض فوائده عن بعض الأصحاب أنّه فسّر الدفعة بالمتواصل المتواتر من غير فتور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يتّحد الماء ان بسرعة ، وناظر إلى ما ذكرناه من أنّ الاكتفاء تدريجيّا يخرج عن الوحدة ولو في بعض الأجزاء ، وهو يقتضي انفعالهما فينقص الطاهر عن الكرّ فلا يصلح لإفادة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الجاري على مادّة كثيرة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والاكتفاء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ومبنى اشتراط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 الماء النجس بالجاري وماء المطر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ينفعل فيه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غلبته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زال تغيّره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تمزيجه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يتدافع ما في الكوز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تشترط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بدلا لاشتراط الممازجة عليه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يكن هناك متغيّرا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غالبا عليه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باجراء مادّة عليه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قال تقريبا لأنّ بعض الأجزاء التي لا يعلوها النجس في تنجيسها إشكال كما سبق إليه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فربّما يستغنى عن بعض ما ذكر في قدر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تنفصل في الحكم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منفصل في الحكم عنها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مساوية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بإنعام النظر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ابن الجنيد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وذكرى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غير محتاج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فثبت مدّعانا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بالفصل منه ومن غيره قائل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بالفصل بينه وبين غيره قابل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ازيد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متغيرا بالنجاسة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لسنا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نقوّي الثلاثة والأربعة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ودعوى الإجماع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رأينا ما ذكرناه وهو قول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المحقّق حيث أجاب عن هذا الاحتجاج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ضعيف على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ضعف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لتنجيس الكرّ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يحصل تغيّر المطهّر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 قويت كانت آكد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قربت كان آكد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اتّصل بالثلج الكثير ماء قليل ووقع فيه نجاسة ففي نجاسته إشكال من حيث إنّه متّصل بالكرّ ، وإنّه متّصل بالجامد اتّصال مماسة لا ممازجة واتحاد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يوهم غير المتأمّل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رواه عن معاوية بن عمّار عن أبي عبد اللّه عليه‌السلام قال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مأخوذ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تقريره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الحمامة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البئر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الركوة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الظاهر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خبر ابن اسماعيل بن بزيع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نزح منها الماء كله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العلم للملايين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نقل عن صاحب الصحاح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اقترانه مع البعير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باستحبابه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مجملا فيها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باستحبابه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الماء المطلق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الاولى ، مجمع البحوث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والأخبار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لأبي الصلاح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من زعم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الاولى لمجمع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وألحق أبو الصلاح رحمه‌اللّه بول وروث غير المأكول إلّا بول الرجل والصبي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المقصد الأوّل ، البحث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البئر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أحكام البئر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حصول التعارض في أحد الثلاثة لا يسقط استعمالها في الباقي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وأحكامها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ابن هلال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الروايتين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آخر ضعيف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والمستند رواية عمرو بن سعيد عن أبي جعفر عليه‌السلام ، وإن ضعف سندها فالشهرة تؤيّدها ، فإني لم أعرف من الأصحاب رادّا لها في هذا الحكم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يدّعي ورودها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الجمل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كلانتر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فأكثره الإنسان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حظ الاختلاف في النقل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اقتضاء الرطبة شيوع الأجزاء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حمدويه بن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حمدويه بن نصر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نجاسة عذرة الكافر بمجاورته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القاسم بن علي ، قال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الوقفة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تنفسخ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الرواية المرقّمة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سبعة أدلاء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دلوان أو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فتسعة أو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المبخّرة التي يشمّ منها الرائحة الكريهة كالجيفة ونحوها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عبد الغفّار بن القاسم بن قيس بن قيس بن فهد أبو مريم الأنصاري روى عن أبي جعفر وأبي عبد اللّه عليهما‌السلام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لمجمع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الحاكي لذلك هو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 عليهم‌السلام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حيث الطيب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التطيّب مطلوب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 مع الحديث الصحيح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ما يتضمّن ذلك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يشرب منه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والنمل وما أشبه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يوفيه حقّ أخذه 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مقطوع الإسناد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في شرح القاموس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يعرف منهم القول بذلك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الفقهيّة ، الطبعة الحجريّة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 للجوامع الفقهية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السادس من العارض الثالث من باب الطهارة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العاشر من العارض الثالث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 فوق البئر يمنح بالدلو والآخر فيها يمنح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الثالث من العارض الثالث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الفقهيّة ،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اسامة الشحّام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أنتن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نزح الجميع في صحيحة معاوية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ونحمله على نزح الأكثر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ليتوقّف زوال التغيّر عليه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نقول بإخراجه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يخصّص هو دليل الجميع بحالة توقّف زوال التغيّر عليه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وجه لو كان لم يحصل معه الطهارة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قلنا بالانفعال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التكثّر في المماثل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الإطلاق إنّما يجري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نزح مقدّر له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فالحكم المعلّق أحدهما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استثناء مثله من الحكم بعدم التداخل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استثناء مثله في الحكم لعدم التداخل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ولأنّه لم يرد النجاسة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 منها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مقدار النجاسة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وتناوله حكمها حتّى وإن كان عين نجاسة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لمثل مقدار النجاسة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نعلم كون العائد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جريت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معلّق بماء البئر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تمعّط الشعر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خوص وخشب يستقى به بحبال يشدّ في جذع طويل ، والسائية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ساة القوس أي طرفها المعطوف المعقرب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الدلو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وحمئت البئر فهي حمئة إذا صارت فيها الحمأة وكثرت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الأولى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بالدلو النجرية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الرابع من العارض الثالث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مزيل التأثير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وينزّ الماء عليها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التنجيس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التطهير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يكون فيها منها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بئر يكون بين النجاسة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الواقف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سيّد الشهداء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 أي يقطر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المصدرين السابقين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كلّها ضعيفة لا تنفه عن علّة الحكم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الشريف الرضي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 ونحوها لغسل الثياب وسوى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ويتمسّك في تنزيل الايصال الحاصل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إزالة الخبث لا في التناول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يستنجي به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بين سبق الماء إليه وسبقها إيّاه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اتّفق لغرض آخر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أجزاء من النجاسة متميّزة فكالخارجة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الحكمة في العفو عن هذا الماء في رفع العسر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 الأصحاب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يتحقّق بانفصاله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أجزأ غسلها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إجزاء غسلها من ذلك الماء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 في كون الأوامر الواردة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صريح في تأثير عود ما ينفصل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محذوره بيّن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غير كلام باقي الجماعة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معتدّة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العزيّة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 نعرف منهم الخلاف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عن بعض الأصحاب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لا تنفكّ عنها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واللمعة الدمشقية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ويغتسلان جميعا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غير موجودة ،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لكانت دليلا في الجميع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إخبار بنجاسة الغير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 أيضا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للشهيد الثاني ، مطبوع مع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مجمع الذخائر الإسلاميّة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الثامن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لا ينافي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السابع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الصيد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الآنية منطبقة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روايتي ابن عبد الحميد وابن أبي زياد المتقدّمتين في أوّل المسألة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العارض الثاني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العارض الثاني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قول الأصحاب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تسخّن للميّت الماء ، لا تعجّل له بالنار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المسخّن بالنار في غسل الأموات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كراهيّة التسخين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المنهيّ عنها ،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المقتضي للتغيّر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أنسب بحال التطهير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الثانية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الخامسة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هذا فيفيد الدخول به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مكتبة دار الحياة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قائل هنا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النجس حكم شرعي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ويبقى مرتكبه في محلّها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كلامهم في الحالين مجالا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فتغيّره بغيره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حدّوه مشكل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يشار إليها بمقتضى التنجيس</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البحث الرابع في المستعمل ، الفرع الرابع من المسألة الأولى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برواية الكوفي عن جعفر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تقصر عن تخصيصها وهذا إن ثبت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ميّته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كعصارة الثياب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يخرج في حكمه عن الأصل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الأصحاب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 بنا حمار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وقربنا حمار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أجلّ الجماعة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بخرء الدجاج</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ولذلك لم نجعلها حجّة بل نجعلها مؤيّدة للأصل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أجنب في نومه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 في ذلك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 خلاف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يغسل منه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تغسله ولا تتوضّأ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إبراهيم بن أبي محبوب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إزارها يصيبه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أيصلّى فيه؟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الرعاف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وللأخبار دلالة عليه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تقسيم سلّار له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والأمر كما ذكره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أعلم تصريحا عليه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 كتاب الصلاة ، فصل الطهارة ، أحكام الدماء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الصلاة والطهر أفضل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فيها كثرة وانصباب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إثبات اعتبار التقييد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بإيهام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الإيهام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الإجماع المدّعى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التي ذكروها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والاعتباران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زرارة عن أبي عبد اللّه عليه‌السلام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كرش الحمل أو الجدي ما لم يأكل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إحياء التراث العربي ، بيروت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 كتاب الصيد ، الفصل الرابع ، المسألة الثانية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عدم الوقوف على غير كلام الشيخ</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يثبت قوّة ما يدّعيه الأصحاب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ونكتها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وإيّاك أن تصلّي في ثوب أصابه خمر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خيران الخادم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يؤتدم به ،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وخصّه بعضهم بالمخلّلات التي تستعمل لتشتهي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المنجد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سارة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سارة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 التنجيس منه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 التنجيس معه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 ، منشورات البلاغة ، الطبعة الاولى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 ، منشورات مكتبة آية اللّه المرعشي النجفي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ليطابق الضمير المذكور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المضاف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عدم الصحة هنا على مبناه في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عرض عليه الجمود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جعفر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غليانه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ففتح صاحب الفقّاع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العرف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مناط الحكم هنا نقصان المائيّة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الشهيد رحمه‌اللّه ممّا علم حاله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نجاسة المسكر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تجد غيره فتنزّه عنه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أجزاء الحيوان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 كتاب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الدالّ على عدم وجوب غسل الثوب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وحصل فيه تأثير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الروايتين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الفرض</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الخلاف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وتبعيّته الاسم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الأسآر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 الأطعمة المحظورة والمباحة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 الأطعمة المحظورة والمباحة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ومؤاكلته اليابس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الأطعمة المحظورة والمباحة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الأسآر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كثرت معانيها في الذوات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النجس هو العذاب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الراء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الراء مع الجيم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السين ، فصل الراء</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تهذيب الأحكام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المراد به أنّ اجتماع المسلم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الاستثناء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نجاسة أسآر أصناف الكفار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الكليني والشيخ</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نجاسة أسآر أصناف الكفار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الكليني والشيخ</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من النجاسات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من النجاسات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نجاسة الكفّار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التهذيب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باب نجاسة الكافر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تغسل يديها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 ، كتاب الصيد والذباحة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مؤاكلة اليهودي والنصراني والمجوسي؟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طعامك فتوضّأ فلا بأس به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الأطعمة المحظورة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أحكام أهل الذمة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فمن ذاك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أبواب الأسآر ، باب نجاسة سؤر الكفّار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قال الشهيد الثاني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أخبار الحلّ أصحّ سندا وأوضح دلالة على 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في باب الطهارة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باقي الكلام هو من صاحب المعالم رحمه‌اللّه لا من الشهيد الثاني رحمه‌اللّه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من كتاب الصيد والذبائح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الذبائح ، باب ذبائح أهل الكتاب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باب ذبائح الكفّار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الذبائح ، باب ذبائح أهل الكتاب ،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طعام أهل الذمة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النجاسات ، الأعيان النجسة ،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أصناف النجاسات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الأسآر ، الفرع الثاني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 الأسآر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اقتصر بعضهم على تضعيفه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والرسل أخبروا بذلك</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الأسآر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النجاسات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الأسآر ، نهاية الفرع الثاني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الوضوء من سؤر الحائض والجنب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الأسآر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تشترى أو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ملكا زنا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فرقة من بني إسرائيل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الوسيقة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العويسقة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نقل ذلك عنه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للصدوق يؤذن بالقول بنجاسة 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العضاية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يمسّ الثعلب الأشياء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يجري</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وسائل الشيعة عن الذكرى أيضا ، راجع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مبحث نجاسة الكافر ، الفرع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الحلبي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يقين الطهارة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اقرضيه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الفرك والحكّ والقشر ، والقرص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بأطراف الأصابع وقيل هو القلع بالظفر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المنير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يبرأ أو ينقطع الدم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البحث الثامن عشر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الدكتور محمود البستاني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العفو عن الدرهم الناقص</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يتضمّن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الحديث ، وقد نقل المحقّق هذا النصّ في المعتبر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الإبهام العليا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القدر الأقلّ هو الأولى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العلم للملايين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النسخة المحققة من منتهى المطلب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أحببت مسّ شي‌ء منه فاغسله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من حزازة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ويحتاج إلى</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أصابت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والاخرى ، راجع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لدينا اليوم ، راجع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مختار الصحاح ، وفسّره في المصباح المنير بمطلق الشرب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وقع كلب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الجوامع الفقهية ،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توسيطه بينهما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اشتراطه المزج</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 مفهوم الغسل للمزج</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بكون متعلّقه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 والكسر لغة ،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يده بالأشنان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تغسل به الأيدي من الحمض وهو أنواع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غير موجود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بفقدان التراب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حكيناه آنفا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المقادير المعيّنة في النزح</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التأدية عنه اختلال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الأمر الإجمالي</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الجوهري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كلّ سبع عقور وغلب على هذا النابح</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واستدلاله بالاحتياط هيّن إنصافا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أمعن نظره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لجواز كون الماء في حال الإزالة طاهرا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وجه لإسناد التطهير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الحقيقة والمجاز من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الماء الممازج هو الذي يحلّ به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بال على موضع من الأرض فتطهيرها أن يصبّ الماء عليه حتى يكاثره ويغمزه ويقهره فيزيل طعمه ولونه وريحه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زال حكمنا بطهارة الموضع وطهارة الماء الوارد عليه ، ولا يحتاج إلى نقل التراب ولا قلع المكان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الكوز والإناء</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له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ومستند الشيخ في هذا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المعنى المتعارف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بن يحيى السندي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وتعاقبت عليه جريات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الكبير إذا وسع 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الكرّ إذا وسع قلّتين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أراد بقوله ما زاد على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أراد تقوية ما زاد على الغسل</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ليقة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صوفة الدواة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 والخزف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يغسل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 حجّة الآخرين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الموضعين الأخيرين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وطئ</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جميل بن درّاج</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أليس رواه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الأرض تطهّر بعضها بعضا ،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 من الجمع</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مطلقة بالجفاف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المعهود فيما ثبت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جهة الإسناد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يكن إثبات للحكم بغير دليل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بعده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بعد ذلك قطعا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يقبل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مختلفة على تأثيرها بالنجاسة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قبيل ما يثبت حكمه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يحلّ به</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يحوج إلى ارتكاب التأويل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يخرج على ارتكاب التأويل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أظنّه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إصابة النار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 النجاسة متعلّقة بالاسم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 كما في مختار الصحاح</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تعلّق الحكم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وحاجة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أقرب من الأول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الحسين عن زرارة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والخبران الآخران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 رواية الطهارة على التقيّة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 وقيل قشر البلوط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 مرّ الطعم يدبغ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مختار الصحاح</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تعريفه بعد أسطر</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بخرء الكلاب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تعريفه بعد أسطر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العلم للملايين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البراءة الذمّة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نقدّر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نقلا عن تنقيح المقال</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ينجس الثوب والجسد ، وفيه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أخي 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حكيم أبو خلّاد الصيرفي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تحقّق ،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لحق</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أبان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الخيثم </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اقرضيه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رواه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 الاولى</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التأنيث مثبت في جميع النسخ والظاهر أنّه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نفي كراهيّة البول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سليمان الجعفري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يورث 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يجري مجرى الظاهر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سنن المقدّمات </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فيجي‌ء منّي البلل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فيجي‌ء منيّ البلل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استبرائي </w:t>
      </w:r>
      <w:r>
        <w:rPr>
          <w:rFonts w:eastAsia="IRNazanin" w:cs="IRNazanin"/>
          <w:b w:val="false"/>
          <w:bCs w:val="false"/>
          <w:i w:val="false"/>
          <w:iCs w:val="false"/>
          <w:color w:val="333333"/>
          <w:sz w:val="20"/>
          <w:szCs w:val="20"/>
          <w:rtl w:val="true"/>
        </w:rPr>
        <w:t>)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صريح بالموافقة</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سريان التنجيس</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وربّما حدّ بالصرير وخشونة المحلّ حتى يصوّت وهو كما ترى</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يحصل الصرير</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لأنّ العرب كانوا يقضون حوائجهم في البساتين فلمّا اتّخذوا الكنف وجعلوها خلفا عنها أطلقوا عليها ذلك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قيل للمخرج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النبات</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إزالة النجاسة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يصلح لشي‌ء من ذلك</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 استنجاء ينهى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أنقى العين خاصّة</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مصدره</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في شرح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الصادق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البيت </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بعد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وإدمانه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الفرس ضمورا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وقلّ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مرّ في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عليّ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عبد اللّه بن علي الحلبي</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الإزار</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فيطفي المرارة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أمنت من كلّ داء </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علي بن يقطين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يذهب شحم الكليتين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يورث داء الوبيلة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بزرج ، أبو يحيى وقيل أبو سعيد ، كوفيّ ثقة روى عن أبي عبد اللّه وأبي الحسن عليهما‌السلام</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الحكّة والجرب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فيتمسّح به بعد النورة</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الأليتين</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أمر بالنورة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 من عشرين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ويجفّف الدمعة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ويجلي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سفيان بن الشمط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المشط يذهب بالونا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خفّف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 من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أصلحها ، راجع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عام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جعفر الباقر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من لحيته </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الشفة الأعلى الذي يحول بين منابت الشعر والشفة </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يعالج بها المجنون والمريض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بكير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أتيت أبا عبد اللّه بن الحسن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وعلى سنّة محمد وآل محمد صلوات اللّه عليهم ، والقلامة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من الظفر ، والجزازة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عتق رقبة</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تحتج فحكّها حكّا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تحتج فأمرّ عليها السكّين أو المقراض </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بخراسان أشتكي عيني</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قصوا الأظفار </w:t>
      </w:r>
      <w:r>
        <w:rPr>
          <w:rFonts w:eastAsia="IRNazanin" w:cs="IRNazanin"/>
          <w:b w:val="false"/>
          <w:bCs w:val="false"/>
          <w:i w:val="false"/>
          <w:iCs w:val="false"/>
          <w:color w:val="333333"/>
          <w:sz w:val="20"/>
          <w:szCs w:val="20"/>
          <w:rtl w:val="true"/>
        </w:rPr>
        <w:t>..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احتبس الوحي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صحح النصّ كما في المصدر</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يوم 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عليه المحقّق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أدمن أخذ أظفاره في كل خميس لم ترمد عينه </w:t>
      </w:r>
      <w:r>
        <w:rPr>
          <w:rFonts w:eastAsia="IRNazanin" w:cs="IRNazanin"/>
          <w:b w:val="false"/>
          <w:bCs w:val="false"/>
          <w:i w:val="false"/>
          <w:iCs w:val="false"/>
          <w:color w:val="333333"/>
          <w:sz w:val="20"/>
          <w:szCs w:val="20"/>
          <w:rtl w:val="true"/>
        </w:rPr>
        <w:t>»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بخنصر من اليد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وقى من السلاح ، والمخبأ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الاستتار</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عيينة عن أبي كهمش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احتاج إليه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فطلبنا الإذن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وطليه أفضل منهما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علينا وقد أطلى إبطه</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محصل للأصل المقصود</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راجع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سامه </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وعلامتهم التسبيد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التسبيد ترك 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ابن عباس مكة مسبّدا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باب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الراحة والدهر وحلق الرأس وضرب العنق ومنه يسمى يوم السبت لانقطاع الأيام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هامش النسخة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المحكي عن المعرب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القطع ومنه سبت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واتّخاذ الشعر أفضل من إزالته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في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على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يخلو هذا الخبر من إجمال ، والظاهر أنّ المراد من الطمّ فيه الجزّ ، فيدلّ على عدم مرجوحية الإطالة مع الجزّ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تنافي بينه وبين الخبر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البزنطي عن أبي الحسن ، الذي مرّ ذكره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يستفاد منهما التخيير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قوّة إسناد الأوّل واعتضاده بعدّة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عن ضعف في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من التسوية بين الحكمين مطلقا</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وصفه النبيّ أن تفرّقت عقيصته فرق</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وتركه وإن لم ينفرق لم يفرقه</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والسواك والاستنشاق</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أتصنّع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والهزال والضعف وسوء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ويذهب بالغشيان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ويذهب بالغثيان</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jpeg"/><Relationship Id="rId52" Type="http://schemas.openxmlformats.org/officeDocument/2006/relationships/image" Target="media/image3.jpeg"/><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image" Target="media/image5.jpeg"/><Relationship Id="rId58" Type="http://schemas.openxmlformats.org/officeDocument/2006/relationships/image" Target="media/image5.jpeg"/><Relationship Id="rId59" Type="http://schemas.openxmlformats.org/officeDocument/2006/relationships/footer" Target="footer48.xml"/><Relationship Id="rId60" Type="http://schemas.openxmlformats.org/officeDocument/2006/relationships/image" Target="media/image6.jpeg"/><Relationship Id="rId61" Type="http://schemas.openxmlformats.org/officeDocument/2006/relationships/image" Target="media/image6.jpeg"/><Relationship Id="rId62" Type="http://schemas.openxmlformats.org/officeDocument/2006/relationships/footer" Target="footer49.xml"/><Relationship Id="rId63" Type="http://schemas.openxmlformats.org/officeDocument/2006/relationships/image" Target="media/image7.jpeg"/><Relationship Id="rId64" Type="http://schemas.openxmlformats.org/officeDocument/2006/relationships/image" Target="media/image7.jpeg"/><Relationship Id="rId65" Type="http://schemas.openxmlformats.org/officeDocument/2006/relationships/footer" Target="footer50.xml"/><Relationship Id="rId66" Type="http://schemas.openxmlformats.org/officeDocument/2006/relationships/image" Target="media/image8.jpeg"/><Relationship Id="rId67" Type="http://schemas.openxmlformats.org/officeDocument/2006/relationships/image" Target="media/image8.jpeg"/><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footer" Target="footer593.xml"/><Relationship Id="rId611" Type="http://schemas.openxmlformats.org/officeDocument/2006/relationships/footer" Target="footer594.xml"/><Relationship Id="rId612" Type="http://schemas.openxmlformats.org/officeDocument/2006/relationships/footer" Target="footer595.xml"/><Relationship Id="rId613" Type="http://schemas.openxmlformats.org/officeDocument/2006/relationships/footer" Target="footer596.xml"/><Relationship Id="rId614" Type="http://schemas.openxmlformats.org/officeDocument/2006/relationships/footer" Target="footer597.xml"/><Relationship Id="rId615" Type="http://schemas.openxmlformats.org/officeDocument/2006/relationships/footer" Target="footer598.xml"/><Relationship Id="rId616" Type="http://schemas.openxmlformats.org/officeDocument/2006/relationships/footer" Target="footer599.xml"/><Relationship Id="rId617" Type="http://schemas.openxmlformats.org/officeDocument/2006/relationships/footer" Target="footer600.xml"/><Relationship Id="rId618" Type="http://schemas.openxmlformats.org/officeDocument/2006/relationships/footer" Target="footer601.xml"/><Relationship Id="rId619" Type="http://schemas.openxmlformats.org/officeDocument/2006/relationships/footer" Target="footer602.xml"/><Relationship Id="rId620" Type="http://schemas.openxmlformats.org/officeDocument/2006/relationships/footer" Target="footer603.xml"/><Relationship Id="rId621" Type="http://schemas.openxmlformats.org/officeDocument/2006/relationships/footer" Target="footer604.xml"/><Relationship Id="rId622" Type="http://schemas.openxmlformats.org/officeDocument/2006/relationships/footer" Target="footer605.xml"/><Relationship Id="rId623" Type="http://schemas.openxmlformats.org/officeDocument/2006/relationships/footer" Target="footer606.xml"/><Relationship Id="rId624" Type="http://schemas.openxmlformats.org/officeDocument/2006/relationships/footer" Target="footer607.xml"/><Relationship Id="rId625" Type="http://schemas.openxmlformats.org/officeDocument/2006/relationships/footer" Target="footer608.xml"/><Relationship Id="rId626" Type="http://schemas.openxmlformats.org/officeDocument/2006/relationships/footer" Target="footer609.xml"/><Relationship Id="rId627" Type="http://schemas.openxmlformats.org/officeDocument/2006/relationships/footer" Target="footer610.xml"/><Relationship Id="rId628" Type="http://schemas.openxmlformats.org/officeDocument/2006/relationships/footer" Target="footer611.xml"/><Relationship Id="rId629" Type="http://schemas.openxmlformats.org/officeDocument/2006/relationships/footer" Target="footer612.xml"/><Relationship Id="rId630" Type="http://schemas.openxmlformats.org/officeDocument/2006/relationships/footer" Target="footer613.xml"/><Relationship Id="rId631" Type="http://schemas.openxmlformats.org/officeDocument/2006/relationships/footer" Target="footer614.xml"/><Relationship Id="rId632" Type="http://schemas.openxmlformats.org/officeDocument/2006/relationships/footer" Target="footer615.xml"/><Relationship Id="rId633" Type="http://schemas.openxmlformats.org/officeDocument/2006/relationships/footer" Target="footer616.xml"/><Relationship Id="rId634" Type="http://schemas.openxmlformats.org/officeDocument/2006/relationships/footer" Target="footer617.xml"/><Relationship Id="rId635" Type="http://schemas.openxmlformats.org/officeDocument/2006/relationships/footer" Target="footer618.xml"/><Relationship Id="rId636" Type="http://schemas.openxmlformats.org/officeDocument/2006/relationships/footer" Target="footer619.xml"/><Relationship Id="rId637" Type="http://schemas.openxmlformats.org/officeDocument/2006/relationships/footer" Target="footer620.xml"/><Relationship Id="rId638" Type="http://schemas.openxmlformats.org/officeDocument/2006/relationships/footer" Target="footer621.xml"/><Relationship Id="rId639" Type="http://schemas.openxmlformats.org/officeDocument/2006/relationships/footer" Target="footer622.xml"/><Relationship Id="rId640" Type="http://schemas.openxmlformats.org/officeDocument/2006/relationships/footer" Target="footer623.xml"/><Relationship Id="rId641" Type="http://schemas.openxmlformats.org/officeDocument/2006/relationships/footer" Target="footer624.xml"/><Relationship Id="rId642" Type="http://schemas.openxmlformats.org/officeDocument/2006/relationships/footer" Target="footer625.xml"/><Relationship Id="rId643" Type="http://schemas.openxmlformats.org/officeDocument/2006/relationships/footer" Target="footer626.xml"/><Relationship Id="rId644" Type="http://schemas.openxmlformats.org/officeDocument/2006/relationships/footer" Target="footer627.xml"/><Relationship Id="rId645" Type="http://schemas.openxmlformats.org/officeDocument/2006/relationships/footer" Target="footer628.xml"/><Relationship Id="rId646" Type="http://schemas.openxmlformats.org/officeDocument/2006/relationships/footer" Target="footer629.xml"/><Relationship Id="rId647" Type="http://schemas.openxmlformats.org/officeDocument/2006/relationships/footer" Target="footer630.xml"/><Relationship Id="rId648" Type="http://schemas.openxmlformats.org/officeDocument/2006/relationships/footer" Target="footer631.xml"/><Relationship Id="rId649" Type="http://schemas.openxmlformats.org/officeDocument/2006/relationships/footer" Target="footer632.xml"/><Relationship Id="rId650" Type="http://schemas.openxmlformats.org/officeDocument/2006/relationships/footer" Target="footer633.xml"/><Relationship Id="rId651" Type="http://schemas.openxmlformats.org/officeDocument/2006/relationships/footer" Target="footer634.xml"/><Relationship Id="rId652" Type="http://schemas.openxmlformats.org/officeDocument/2006/relationships/footer" Target="footer635.xml"/><Relationship Id="rId653" Type="http://schemas.openxmlformats.org/officeDocument/2006/relationships/footer" Target="footer636.xml"/><Relationship Id="rId654" Type="http://schemas.openxmlformats.org/officeDocument/2006/relationships/footer" Target="footer637.xml"/><Relationship Id="rId655" Type="http://schemas.openxmlformats.org/officeDocument/2006/relationships/footer" Target="footer638.xml"/><Relationship Id="rId656" Type="http://schemas.openxmlformats.org/officeDocument/2006/relationships/footer" Target="footer639.xml"/><Relationship Id="rId657" Type="http://schemas.openxmlformats.org/officeDocument/2006/relationships/footer" Target="footer640.xml"/><Relationship Id="rId658" Type="http://schemas.openxmlformats.org/officeDocument/2006/relationships/footer" Target="footer641.xml"/><Relationship Id="rId659" Type="http://schemas.openxmlformats.org/officeDocument/2006/relationships/footer" Target="footer642.xml"/><Relationship Id="rId660" Type="http://schemas.openxmlformats.org/officeDocument/2006/relationships/footer" Target="footer643.xml"/><Relationship Id="rId661" Type="http://schemas.openxmlformats.org/officeDocument/2006/relationships/footer" Target="footer644.xml"/><Relationship Id="rId662" Type="http://schemas.openxmlformats.org/officeDocument/2006/relationships/footer" Target="footer645.xml"/><Relationship Id="rId663" Type="http://schemas.openxmlformats.org/officeDocument/2006/relationships/footer" Target="footer646.xml"/><Relationship Id="rId664" Type="http://schemas.openxmlformats.org/officeDocument/2006/relationships/footer" Target="footer647.xml"/><Relationship Id="rId665" Type="http://schemas.openxmlformats.org/officeDocument/2006/relationships/footer" Target="footer648.xml"/><Relationship Id="rId666" Type="http://schemas.openxmlformats.org/officeDocument/2006/relationships/footer" Target="footer649.xml"/><Relationship Id="rId667" Type="http://schemas.openxmlformats.org/officeDocument/2006/relationships/footer" Target="footer650.xml"/><Relationship Id="rId668" Type="http://schemas.openxmlformats.org/officeDocument/2006/relationships/footer" Target="footer651.xml"/><Relationship Id="rId669" Type="http://schemas.openxmlformats.org/officeDocument/2006/relationships/footer" Target="footer652.xml"/><Relationship Id="rId670" Type="http://schemas.openxmlformats.org/officeDocument/2006/relationships/footer" Target="footer653.xml"/><Relationship Id="rId671" Type="http://schemas.openxmlformats.org/officeDocument/2006/relationships/footer" Target="footer654.xml"/><Relationship Id="rId672" Type="http://schemas.openxmlformats.org/officeDocument/2006/relationships/footer" Target="footer655.xml"/><Relationship Id="rId673" Type="http://schemas.openxmlformats.org/officeDocument/2006/relationships/footer" Target="footer656.xml"/><Relationship Id="rId674" Type="http://schemas.openxmlformats.org/officeDocument/2006/relationships/footer" Target="footer657.xml"/><Relationship Id="rId675" Type="http://schemas.openxmlformats.org/officeDocument/2006/relationships/footer" Target="footer658.xml"/><Relationship Id="rId676" Type="http://schemas.openxmlformats.org/officeDocument/2006/relationships/footer" Target="footer659.xml"/><Relationship Id="rId677" Type="http://schemas.openxmlformats.org/officeDocument/2006/relationships/footer" Target="footer660.xml"/><Relationship Id="rId678" Type="http://schemas.openxmlformats.org/officeDocument/2006/relationships/footer" Target="footer661.xml"/><Relationship Id="rId679" Type="http://schemas.openxmlformats.org/officeDocument/2006/relationships/footer" Target="footer662.xml"/><Relationship Id="rId680" Type="http://schemas.openxmlformats.org/officeDocument/2006/relationships/footer" Target="footer663.xml"/><Relationship Id="rId681" Type="http://schemas.openxmlformats.org/officeDocument/2006/relationships/footer" Target="footer664.xml"/><Relationship Id="rId682" Type="http://schemas.openxmlformats.org/officeDocument/2006/relationships/footer" Target="footer665.xml"/><Relationship Id="rId683" Type="http://schemas.openxmlformats.org/officeDocument/2006/relationships/footer" Target="footer666.xml"/><Relationship Id="rId684" Type="http://schemas.openxmlformats.org/officeDocument/2006/relationships/footer" Target="footer667.xml"/><Relationship Id="rId685" Type="http://schemas.openxmlformats.org/officeDocument/2006/relationships/footer" Target="footer668.xml"/><Relationship Id="rId686" Type="http://schemas.openxmlformats.org/officeDocument/2006/relationships/footer" Target="footer669.xml"/><Relationship Id="rId687" Type="http://schemas.openxmlformats.org/officeDocument/2006/relationships/footer" Target="footer670.xml"/><Relationship Id="rId688" Type="http://schemas.openxmlformats.org/officeDocument/2006/relationships/footer" Target="footer671.xml"/><Relationship Id="rId689" Type="http://schemas.openxmlformats.org/officeDocument/2006/relationships/footer" Target="footer672.xml"/><Relationship Id="rId690" Type="http://schemas.openxmlformats.org/officeDocument/2006/relationships/footer" Target="footer673.xml"/><Relationship Id="rId691" Type="http://schemas.openxmlformats.org/officeDocument/2006/relationships/footer" Target="footer674.xml"/><Relationship Id="rId692" Type="http://schemas.openxmlformats.org/officeDocument/2006/relationships/footer" Target="footer675.xml"/><Relationship Id="rId693" Type="http://schemas.openxmlformats.org/officeDocument/2006/relationships/footer" Target="footer676.xml"/><Relationship Id="rId694" Type="http://schemas.openxmlformats.org/officeDocument/2006/relationships/footer" Target="footer677.xml"/><Relationship Id="rId695" Type="http://schemas.openxmlformats.org/officeDocument/2006/relationships/footer" Target="footer678.xml"/><Relationship Id="rId696" Type="http://schemas.openxmlformats.org/officeDocument/2006/relationships/footer" Target="footer679.xml"/><Relationship Id="rId697" Type="http://schemas.openxmlformats.org/officeDocument/2006/relationships/footer" Target="footer680.xml"/><Relationship Id="rId698" Type="http://schemas.openxmlformats.org/officeDocument/2006/relationships/footer" Target="footer681.xml"/><Relationship Id="rId699" Type="http://schemas.openxmlformats.org/officeDocument/2006/relationships/footer" Target="footer682.xml"/><Relationship Id="rId700" Type="http://schemas.openxmlformats.org/officeDocument/2006/relationships/footer" Target="footer683.xml"/><Relationship Id="rId701" Type="http://schemas.openxmlformats.org/officeDocument/2006/relationships/footer" Target="footer684.xml"/><Relationship Id="rId702" Type="http://schemas.openxmlformats.org/officeDocument/2006/relationships/footer" Target="footer685.xml"/><Relationship Id="rId703" Type="http://schemas.openxmlformats.org/officeDocument/2006/relationships/footer" Target="footer686.xml"/><Relationship Id="rId704" Type="http://schemas.openxmlformats.org/officeDocument/2006/relationships/footer" Target="footer687.xml"/><Relationship Id="rId705" Type="http://schemas.openxmlformats.org/officeDocument/2006/relationships/footer" Target="footer688.xml"/><Relationship Id="rId706" Type="http://schemas.openxmlformats.org/officeDocument/2006/relationships/footer" Target="footer689.xml"/><Relationship Id="rId707" Type="http://schemas.openxmlformats.org/officeDocument/2006/relationships/footer" Target="footer690.xml"/><Relationship Id="rId708" Type="http://schemas.openxmlformats.org/officeDocument/2006/relationships/footer" Target="footer691.xml"/><Relationship Id="rId709" Type="http://schemas.openxmlformats.org/officeDocument/2006/relationships/footer" Target="footer692.xml"/><Relationship Id="rId710" Type="http://schemas.openxmlformats.org/officeDocument/2006/relationships/footer" Target="footer693.xml"/><Relationship Id="rId711" Type="http://schemas.openxmlformats.org/officeDocument/2006/relationships/footer" Target="footer694.xml"/><Relationship Id="rId712" Type="http://schemas.openxmlformats.org/officeDocument/2006/relationships/footer" Target="footer695.xml"/><Relationship Id="rId713" Type="http://schemas.openxmlformats.org/officeDocument/2006/relationships/footer" Target="footer696.xml"/><Relationship Id="rId714" Type="http://schemas.openxmlformats.org/officeDocument/2006/relationships/footer" Target="footer697.xml"/><Relationship Id="rId715" Type="http://schemas.openxmlformats.org/officeDocument/2006/relationships/footer" Target="footer698.xml"/><Relationship Id="rId716" Type="http://schemas.openxmlformats.org/officeDocument/2006/relationships/footer" Target="footer699.xml"/><Relationship Id="rId717" Type="http://schemas.openxmlformats.org/officeDocument/2006/relationships/footer" Target="footer700.xml"/><Relationship Id="rId718" Type="http://schemas.openxmlformats.org/officeDocument/2006/relationships/footer" Target="footer701.xml"/><Relationship Id="rId719" Type="http://schemas.openxmlformats.org/officeDocument/2006/relationships/footer" Target="footer702.xml"/><Relationship Id="rId720" Type="http://schemas.openxmlformats.org/officeDocument/2006/relationships/footer" Target="footer703.xml"/><Relationship Id="rId721" Type="http://schemas.openxmlformats.org/officeDocument/2006/relationships/footer" Target="footer704.xml"/><Relationship Id="rId722" Type="http://schemas.openxmlformats.org/officeDocument/2006/relationships/footer" Target="footer705.xml"/><Relationship Id="rId723" Type="http://schemas.openxmlformats.org/officeDocument/2006/relationships/footer" Target="footer706.xml"/><Relationship Id="rId724" Type="http://schemas.openxmlformats.org/officeDocument/2006/relationships/footer" Target="footer707.xml"/><Relationship Id="rId725" Type="http://schemas.openxmlformats.org/officeDocument/2006/relationships/footer" Target="footer708.xml"/><Relationship Id="rId726" Type="http://schemas.openxmlformats.org/officeDocument/2006/relationships/footer" Target="footer709.xml"/><Relationship Id="rId727" Type="http://schemas.openxmlformats.org/officeDocument/2006/relationships/footer" Target="footer710.xml"/><Relationship Id="rId728" Type="http://schemas.openxmlformats.org/officeDocument/2006/relationships/footer" Target="footer711.xml"/><Relationship Id="rId729" Type="http://schemas.openxmlformats.org/officeDocument/2006/relationships/footer" Target="footer712.xml"/><Relationship Id="rId730" Type="http://schemas.openxmlformats.org/officeDocument/2006/relationships/footer" Target="footer713.xml"/><Relationship Id="rId731" Type="http://schemas.openxmlformats.org/officeDocument/2006/relationships/footer" Target="footer714.xml"/><Relationship Id="rId732" Type="http://schemas.openxmlformats.org/officeDocument/2006/relationships/footer" Target="footer715.xml"/><Relationship Id="rId733" Type="http://schemas.openxmlformats.org/officeDocument/2006/relationships/footer" Target="footer716.xml"/><Relationship Id="rId734" Type="http://schemas.openxmlformats.org/officeDocument/2006/relationships/footer" Target="footer717.xml"/><Relationship Id="rId735" Type="http://schemas.openxmlformats.org/officeDocument/2006/relationships/footer" Target="footer718.xml"/><Relationship Id="rId736" Type="http://schemas.openxmlformats.org/officeDocument/2006/relationships/footer" Target="footer719.xml"/><Relationship Id="rId737" Type="http://schemas.openxmlformats.org/officeDocument/2006/relationships/footer" Target="footer720.xml"/><Relationship Id="rId738" Type="http://schemas.openxmlformats.org/officeDocument/2006/relationships/footer" Target="footer721.xml"/><Relationship Id="rId739" Type="http://schemas.openxmlformats.org/officeDocument/2006/relationships/footer" Target="footer722.xml"/><Relationship Id="rId740" Type="http://schemas.openxmlformats.org/officeDocument/2006/relationships/footer" Target="footer723.xml"/><Relationship Id="rId741" Type="http://schemas.openxmlformats.org/officeDocument/2006/relationships/footer" Target="footer724.xml"/><Relationship Id="rId742" Type="http://schemas.openxmlformats.org/officeDocument/2006/relationships/footer" Target="footer725.xml"/><Relationship Id="rId743" Type="http://schemas.openxmlformats.org/officeDocument/2006/relationships/footer" Target="footer726.xml"/><Relationship Id="rId744" Type="http://schemas.openxmlformats.org/officeDocument/2006/relationships/footer" Target="footer727.xml"/><Relationship Id="rId745" Type="http://schemas.openxmlformats.org/officeDocument/2006/relationships/footer" Target="footer728.xml"/><Relationship Id="rId746" Type="http://schemas.openxmlformats.org/officeDocument/2006/relationships/footer" Target="footer729.xml"/><Relationship Id="rId747" Type="http://schemas.openxmlformats.org/officeDocument/2006/relationships/footer" Target="footer730.xml"/><Relationship Id="rId748" Type="http://schemas.openxmlformats.org/officeDocument/2006/relationships/footer" Target="footer731.xml"/><Relationship Id="rId749" Type="http://schemas.openxmlformats.org/officeDocument/2006/relationships/footer" Target="footer732.xml"/><Relationship Id="rId750" Type="http://schemas.openxmlformats.org/officeDocument/2006/relationships/footer" Target="footer733.xml"/><Relationship Id="rId751" Type="http://schemas.openxmlformats.org/officeDocument/2006/relationships/footer" Target="footer734.xml"/><Relationship Id="rId752" Type="http://schemas.openxmlformats.org/officeDocument/2006/relationships/footer" Target="footer735.xml"/><Relationship Id="rId753" Type="http://schemas.openxmlformats.org/officeDocument/2006/relationships/footer" Target="footer736.xml"/><Relationship Id="rId754" Type="http://schemas.openxmlformats.org/officeDocument/2006/relationships/footer" Target="footer737.xml"/><Relationship Id="rId755" Type="http://schemas.openxmlformats.org/officeDocument/2006/relationships/footer" Target="footer738.xml"/><Relationship Id="rId756" Type="http://schemas.openxmlformats.org/officeDocument/2006/relationships/footer" Target="footer739.xml"/><Relationship Id="rId757" Type="http://schemas.openxmlformats.org/officeDocument/2006/relationships/footer" Target="footer740.xml"/><Relationship Id="rId758" Type="http://schemas.openxmlformats.org/officeDocument/2006/relationships/footer" Target="footer741.xml"/><Relationship Id="rId759" Type="http://schemas.openxmlformats.org/officeDocument/2006/relationships/footer" Target="footer742.xml"/><Relationship Id="rId760" Type="http://schemas.openxmlformats.org/officeDocument/2006/relationships/footer" Target="footer743.xml"/><Relationship Id="rId761" Type="http://schemas.openxmlformats.org/officeDocument/2006/relationships/footer" Target="footer744.xml"/><Relationship Id="rId762" Type="http://schemas.openxmlformats.org/officeDocument/2006/relationships/footer" Target="footer745.xml"/><Relationship Id="rId763" Type="http://schemas.openxmlformats.org/officeDocument/2006/relationships/footer" Target="footer746.xml"/><Relationship Id="rId764" Type="http://schemas.openxmlformats.org/officeDocument/2006/relationships/footer" Target="footer747.xml"/><Relationship Id="rId765" Type="http://schemas.openxmlformats.org/officeDocument/2006/relationships/footer" Target="footer748.xml"/><Relationship Id="rId766" Type="http://schemas.openxmlformats.org/officeDocument/2006/relationships/footer" Target="footer749.xml"/><Relationship Id="rId767" Type="http://schemas.openxmlformats.org/officeDocument/2006/relationships/footer" Target="footer750.xml"/><Relationship Id="rId768" Type="http://schemas.openxmlformats.org/officeDocument/2006/relationships/footer" Target="footer751.xml"/><Relationship Id="rId769" Type="http://schemas.openxmlformats.org/officeDocument/2006/relationships/footer" Target="footer752.xml"/><Relationship Id="rId770" Type="http://schemas.openxmlformats.org/officeDocument/2006/relationships/footer" Target="footer753.xml"/><Relationship Id="rId771" Type="http://schemas.openxmlformats.org/officeDocument/2006/relationships/footer" Target="footer754.xml"/><Relationship Id="rId772" Type="http://schemas.openxmlformats.org/officeDocument/2006/relationships/footer" Target="footer755.xml"/><Relationship Id="rId773" Type="http://schemas.openxmlformats.org/officeDocument/2006/relationships/footer" Target="footer756.xml"/><Relationship Id="rId774" Type="http://schemas.openxmlformats.org/officeDocument/2006/relationships/footer" Target="footer757.xml"/><Relationship Id="rId775" Type="http://schemas.openxmlformats.org/officeDocument/2006/relationships/footer" Target="footer758.xml"/><Relationship Id="rId776" Type="http://schemas.openxmlformats.org/officeDocument/2006/relationships/footer" Target="footer759.xml"/><Relationship Id="rId777" Type="http://schemas.openxmlformats.org/officeDocument/2006/relationships/footer" Target="footer760.xml"/><Relationship Id="rId778" Type="http://schemas.openxmlformats.org/officeDocument/2006/relationships/footer" Target="footer761.xml"/><Relationship Id="rId779" Type="http://schemas.openxmlformats.org/officeDocument/2006/relationships/footer" Target="footer762.xml"/><Relationship Id="rId780" Type="http://schemas.openxmlformats.org/officeDocument/2006/relationships/footer" Target="footer763.xml"/><Relationship Id="rId781" Type="http://schemas.openxmlformats.org/officeDocument/2006/relationships/footer" Target="footer764.xml"/><Relationship Id="rId782" Type="http://schemas.openxmlformats.org/officeDocument/2006/relationships/footer" Target="footer765.xml"/><Relationship Id="rId783" Type="http://schemas.openxmlformats.org/officeDocument/2006/relationships/footer" Target="footer766.xml"/><Relationship Id="rId784" Type="http://schemas.openxmlformats.org/officeDocument/2006/relationships/footer" Target="footer767.xml"/><Relationship Id="rId785" Type="http://schemas.openxmlformats.org/officeDocument/2006/relationships/footer" Target="footer768.xml"/><Relationship Id="rId786" Type="http://schemas.openxmlformats.org/officeDocument/2006/relationships/footer" Target="footer769.xml"/><Relationship Id="rId787" Type="http://schemas.openxmlformats.org/officeDocument/2006/relationships/footer" Target="footer770.xml"/><Relationship Id="rId788" Type="http://schemas.openxmlformats.org/officeDocument/2006/relationships/footer" Target="footer771.xml"/><Relationship Id="rId789" Type="http://schemas.openxmlformats.org/officeDocument/2006/relationships/footer" Target="footer772.xml"/><Relationship Id="rId790" Type="http://schemas.openxmlformats.org/officeDocument/2006/relationships/footer" Target="footer773.xml"/><Relationship Id="rId791" Type="http://schemas.openxmlformats.org/officeDocument/2006/relationships/footer" Target="footer774.xml"/><Relationship Id="rId792" Type="http://schemas.openxmlformats.org/officeDocument/2006/relationships/footer" Target="footer775.xml"/><Relationship Id="rId793" Type="http://schemas.openxmlformats.org/officeDocument/2006/relationships/footer" Target="footer776.xml"/><Relationship Id="rId794" Type="http://schemas.openxmlformats.org/officeDocument/2006/relationships/footer" Target="footer777.xml"/><Relationship Id="rId795" Type="http://schemas.openxmlformats.org/officeDocument/2006/relationships/footer" Target="footer778.xml"/><Relationship Id="rId796" Type="http://schemas.openxmlformats.org/officeDocument/2006/relationships/footer" Target="footer779.xml"/><Relationship Id="rId797" Type="http://schemas.openxmlformats.org/officeDocument/2006/relationships/footer" Target="footer780.xml"/><Relationship Id="rId798" Type="http://schemas.openxmlformats.org/officeDocument/2006/relationships/footer" Target="footer781.xml"/><Relationship Id="rId799" Type="http://schemas.openxmlformats.org/officeDocument/2006/relationships/footer" Target="footer782.xml"/><Relationship Id="rId800" Type="http://schemas.openxmlformats.org/officeDocument/2006/relationships/footer" Target="footer783.xml"/><Relationship Id="rId801" Type="http://schemas.openxmlformats.org/officeDocument/2006/relationships/footer" Target="footer784.xml"/><Relationship Id="rId802" Type="http://schemas.openxmlformats.org/officeDocument/2006/relationships/footer" Target="footer785.xml"/><Relationship Id="rId803" Type="http://schemas.openxmlformats.org/officeDocument/2006/relationships/footer" Target="footer786.xml"/><Relationship Id="rId804" Type="http://schemas.openxmlformats.org/officeDocument/2006/relationships/footer" Target="footer787.xml"/><Relationship Id="rId805" Type="http://schemas.openxmlformats.org/officeDocument/2006/relationships/footer" Target="footer788.xml"/><Relationship Id="rId806" Type="http://schemas.openxmlformats.org/officeDocument/2006/relationships/footer" Target="footer789.xml"/><Relationship Id="rId807" Type="http://schemas.openxmlformats.org/officeDocument/2006/relationships/footer" Target="footer790.xml"/><Relationship Id="rId808" Type="http://schemas.openxmlformats.org/officeDocument/2006/relationships/footer" Target="footer791.xml"/><Relationship Id="rId809" Type="http://schemas.openxmlformats.org/officeDocument/2006/relationships/footer" Target="footer792.xml"/><Relationship Id="rId810" Type="http://schemas.openxmlformats.org/officeDocument/2006/relationships/footer" Target="footer793.xml"/><Relationship Id="rId811" Type="http://schemas.openxmlformats.org/officeDocument/2006/relationships/footer" Target="footer794.xml"/><Relationship Id="rId812" Type="http://schemas.openxmlformats.org/officeDocument/2006/relationships/footer" Target="footer795.xml"/><Relationship Id="rId813" Type="http://schemas.openxmlformats.org/officeDocument/2006/relationships/footer" Target="footer796.xml"/><Relationship Id="rId814" Type="http://schemas.openxmlformats.org/officeDocument/2006/relationships/footer" Target="footer797.xml"/><Relationship Id="rId815" Type="http://schemas.openxmlformats.org/officeDocument/2006/relationships/footer" Target="footer798.xml"/><Relationship Id="rId816" Type="http://schemas.openxmlformats.org/officeDocument/2006/relationships/footer" Target="footer799.xml"/><Relationship Id="rId817" Type="http://schemas.openxmlformats.org/officeDocument/2006/relationships/footer" Target="footer800.xml"/><Relationship Id="rId818" Type="http://schemas.openxmlformats.org/officeDocument/2006/relationships/footer" Target="footer801.xml"/><Relationship Id="rId819" Type="http://schemas.openxmlformats.org/officeDocument/2006/relationships/footer" Target="footer802.xml"/><Relationship Id="rId820" Type="http://schemas.openxmlformats.org/officeDocument/2006/relationships/footer" Target="footer803.xml"/><Relationship Id="rId821" Type="http://schemas.openxmlformats.org/officeDocument/2006/relationships/footer" Target="footer804.xml"/><Relationship Id="rId822" Type="http://schemas.openxmlformats.org/officeDocument/2006/relationships/footer" Target="footer805.xml"/><Relationship Id="rId823" Type="http://schemas.openxmlformats.org/officeDocument/2006/relationships/footer" Target="footer806.xml"/><Relationship Id="rId824" Type="http://schemas.openxmlformats.org/officeDocument/2006/relationships/footer" Target="footer807.xml"/><Relationship Id="rId825" Type="http://schemas.openxmlformats.org/officeDocument/2006/relationships/footer" Target="footer808.xml"/><Relationship Id="rId826" Type="http://schemas.openxmlformats.org/officeDocument/2006/relationships/footer" Target="footer809.xml"/><Relationship Id="rId827" Type="http://schemas.openxmlformats.org/officeDocument/2006/relationships/footer" Target="footer810.xml"/><Relationship Id="rId828" Type="http://schemas.openxmlformats.org/officeDocument/2006/relationships/footer" Target="footer811.xml"/><Relationship Id="rId829" Type="http://schemas.openxmlformats.org/officeDocument/2006/relationships/footer" Target="footer812.xml"/><Relationship Id="rId830" Type="http://schemas.openxmlformats.org/officeDocument/2006/relationships/footer" Target="footer813.xml"/><Relationship Id="rId831" Type="http://schemas.openxmlformats.org/officeDocument/2006/relationships/footer" Target="footer814.xml"/><Relationship Id="rId832" Type="http://schemas.openxmlformats.org/officeDocument/2006/relationships/footer" Target="footer815.xml"/><Relationship Id="rId833" Type="http://schemas.openxmlformats.org/officeDocument/2006/relationships/footer" Target="footer816.xml"/><Relationship Id="rId834" Type="http://schemas.openxmlformats.org/officeDocument/2006/relationships/footer" Target="footer817.xml"/><Relationship Id="rId835" Type="http://schemas.openxmlformats.org/officeDocument/2006/relationships/footer" Target="footer818.xml"/><Relationship Id="rId836" Type="http://schemas.openxmlformats.org/officeDocument/2006/relationships/footer" Target="footer819.xml"/><Relationship Id="rId837" Type="http://schemas.openxmlformats.org/officeDocument/2006/relationships/footer" Target="footer820.xml"/><Relationship Id="rId838" Type="http://schemas.openxmlformats.org/officeDocument/2006/relationships/footer" Target="footer821.xml"/><Relationship Id="rId839" Type="http://schemas.openxmlformats.org/officeDocument/2006/relationships/footer" Target="footer822.xml"/><Relationship Id="rId840" Type="http://schemas.openxmlformats.org/officeDocument/2006/relationships/footer" Target="footer823.xml"/><Relationship Id="rId841" Type="http://schemas.openxmlformats.org/officeDocument/2006/relationships/footer" Target="footer824.xml"/><Relationship Id="rId842" Type="http://schemas.openxmlformats.org/officeDocument/2006/relationships/footer" Target="footer825.xml"/><Relationship Id="rId843" Type="http://schemas.openxmlformats.org/officeDocument/2006/relationships/footer" Target="footer826.xml"/><Relationship Id="rId844" Type="http://schemas.openxmlformats.org/officeDocument/2006/relationships/footer" Target="footer827.xml"/><Relationship Id="rId845" Type="http://schemas.openxmlformats.org/officeDocument/2006/relationships/footer" Target="footer828.xml"/><Relationship Id="rId846" Type="http://schemas.openxmlformats.org/officeDocument/2006/relationships/footer" Target="footer829.xml"/><Relationship Id="rId847" Type="http://schemas.openxmlformats.org/officeDocument/2006/relationships/footer" Target="footer830.xml"/><Relationship Id="rId848" Type="http://schemas.openxmlformats.org/officeDocument/2006/relationships/footer" Target="footer831.xml"/><Relationship Id="rId849" Type="http://schemas.openxmlformats.org/officeDocument/2006/relationships/footer" Target="footer832.xml"/><Relationship Id="rId850" Type="http://schemas.openxmlformats.org/officeDocument/2006/relationships/footer" Target="footer833.xml"/><Relationship Id="rId851" Type="http://schemas.openxmlformats.org/officeDocument/2006/relationships/footer" Target="footer834.xml"/><Relationship Id="rId852" Type="http://schemas.openxmlformats.org/officeDocument/2006/relationships/footer" Target="footer835.xml"/><Relationship Id="rId853" Type="http://schemas.openxmlformats.org/officeDocument/2006/relationships/footer" Target="footer836.xml"/><Relationship Id="rId854" Type="http://schemas.openxmlformats.org/officeDocument/2006/relationships/footer" Target="footer837.xml"/><Relationship Id="rId855" Type="http://schemas.openxmlformats.org/officeDocument/2006/relationships/footer" Target="footer838.xml"/><Relationship Id="rId856" Type="http://schemas.openxmlformats.org/officeDocument/2006/relationships/footer" Target="footer839.xml"/><Relationship Id="rId857" Type="http://schemas.openxmlformats.org/officeDocument/2006/relationships/footer" Target="footer840.xml"/><Relationship Id="rId858" Type="http://schemas.openxmlformats.org/officeDocument/2006/relationships/footer" Target="footer841.xml"/><Relationship Id="rId859" Type="http://schemas.openxmlformats.org/officeDocument/2006/relationships/footer" Target="footer842.xml"/><Relationship Id="rId860" Type="http://schemas.openxmlformats.org/officeDocument/2006/relationships/footer" Target="footer843.xml"/><Relationship Id="rId861" Type="http://schemas.openxmlformats.org/officeDocument/2006/relationships/footer" Target="footer844.xml"/><Relationship Id="rId862" Type="http://schemas.openxmlformats.org/officeDocument/2006/relationships/footer" Target="footer845.xml"/><Relationship Id="rId863" Type="http://schemas.openxmlformats.org/officeDocument/2006/relationships/footer" Target="footer846.xml"/><Relationship Id="rId864" Type="http://schemas.openxmlformats.org/officeDocument/2006/relationships/footer" Target="footer847.xml"/><Relationship Id="rId865" Type="http://schemas.openxmlformats.org/officeDocument/2006/relationships/footer" Target="footer848.xml"/><Relationship Id="rId866" Type="http://schemas.openxmlformats.org/officeDocument/2006/relationships/footer" Target="footer849.xml"/><Relationship Id="rId867" Type="http://schemas.openxmlformats.org/officeDocument/2006/relationships/footer" Target="footer850.xml"/><Relationship Id="rId868" Type="http://schemas.openxmlformats.org/officeDocument/2006/relationships/footer" Target="footer851.xml"/><Relationship Id="rId869" Type="http://schemas.openxmlformats.org/officeDocument/2006/relationships/footer" Target="footer852.xml"/><Relationship Id="rId870" Type="http://schemas.openxmlformats.org/officeDocument/2006/relationships/footer" Target="footer853.xml"/><Relationship Id="rId871" Type="http://schemas.openxmlformats.org/officeDocument/2006/relationships/footer" Target="footer854.xml"/><Relationship Id="rId872" Type="http://schemas.openxmlformats.org/officeDocument/2006/relationships/footer" Target="footer855.xml"/><Relationship Id="rId873" Type="http://schemas.openxmlformats.org/officeDocument/2006/relationships/footer" Target="footer856.xml"/><Relationship Id="rId874" Type="http://schemas.openxmlformats.org/officeDocument/2006/relationships/footer" Target="footer857.xml"/><Relationship Id="rId875" Type="http://schemas.openxmlformats.org/officeDocument/2006/relationships/footer" Target="footer858.xml"/><Relationship Id="rId876" Type="http://schemas.openxmlformats.org/officeDocument/2006/relationships/footer" Target="footer859.xml"/><Relationship Id="rId877" Type="http://schemas.openxmlformats.org/officeDocument/2006/relationships/footer" Target="footer860.xml"/><Relationship Id="rId878" Type="http://schemas.openxmlformats.org/officeDocument/2006/relationships/footer" Target="footer861.xml"/><Relationship Id="rId879" Type="http://schemas.openxmlformats.org/officeDocument/2006/relationships/footer" Target="footer862.xml"/><Relationship Id="rId880" Type="http://schemas.openxmlformats.org/officeDocument/2006/relationships/footer" Target="footer863.xml"/><Relationship Id="rId881" Type="http://schemas.openxmlformats.org/officeDocument/2006/relationships/footer" Target="footer864.xml"/><Relationship Id="rId882" Type="http://schemas.openxmlformats.org/officeDocument/2006/relationships/footer" Target="footer865.xml"/><Relationship Id="rId883" Type="http://schemas.openxmlformats.org/officeDocument/2006/relationships/footer" Target="footer866.xml"/><Relationship Id="rId884" Type="http://schemas.openxmlformats.org/officeDocument/2006/relationships/footer" Target="footer867.xml"/><Relationship Id="rId885" Type="http://schemas.openxmlformats.org/officeDocument/2006/relationships/footer" Target="footer868.xml"/><Relationship Id="rId886" Type="http://schemas.openxmlformats.org/officeDocument/2006/relationships/footer" Target="footer869.xml"/><Relationship Id="rId887" Type="http://schemas.openxmlformats.org/officeDocument/2006/relationships/footer" Target="footer870.xml"/><Relationship Id="rId888" Type="http://schemas.openxmlformats.org/officeDocument/2006/relationships/footer" Target="footer871.xml"/><Relationship Id="rId889" Type="http://schemas.openxmlformats.org/officeDocument/2006/relationships/footer" Target="footer872.xml"/><Relationship Id="rId890" Type="http://schemas.openxmlformats.org/officeDocument/2006/relationships/footer" Target="footer873.xml"/><Relationship Id="rId891" Type="http://schemas.openxmlformats.org/officeDocument/2006/relationships/footer" Target="footer874.xml"/><Relationship Id="rId892" Type="http://schemas.openxmlformats.org/officeDocument/2006/relationships/footer" Target="footer875.xml"/><Relationship Id="rId893" Type="http://schemas.openxmlformats.org/officeDocument/2006/relationships/footer" Target="footer876.xml"/><Relationship Id="rId894" Type="http://schemas.openxmlformats.org/officeDocument/2006/relationships/footer" Target="footer877.xml"/><Relationship Id="rId895" Type="http://schemas.openxmlformats.org/officeDocument/2006/relationships/footer" Target="footer878.xml"/><Relationship Id="rId896" Type="http://schemas.openxmlformats.org/officeDocument/2006/relationships/footer" Target="footer879.xml"/><Relationship Id="rId897" Type="http://schemas.openxmlformats.org/officeDocument/2006/relationships/footer" Target="footer880.xml"/><Relationship Id="rId898" Type="http://schemas.openxmlformats.org/officeDocument/2006/relationships/footer" Target="footer881.xml"/><Relationship Id="rId899" Type="http://schemas.openxmlformats.org/officeDocument/2006/relationships/footer" Target="footer882.xml"/><Relationship Id="rId900" Type="http://schemas.openxmlformats.org/officeDocument/2006/relationships/footer" Target="footer883.xml"/><Relationship Id="rId901" Type="http://schemas.openxmlformats.org/officeDocument/2006/relationships/footer" Target="footer884.xml"/><Relationship Id="rId902" Type="http://schemas.openxmlformats.org/officeDocument/2006/relationships/footer" Target="footer885.xml"/><Relationship Id="rId903" Type="http://schemas.openxmlformats.org/officeDocument/2006/relationships/footer" Target="footer886.xml"/><Relationship Id="rId904" Type="http://schemas.openxmlformats.org/officeDocument/2006/relationships/footer" Target="footer887.xml"/><Relationship Id="rId905" Type="http://schemas.openxmlformats.org/officeDocument/2006/relationships/footer" Target="footer888.xml"/><Relationship Id="rId906" Type="http://schemas.openxmlformats.org/officeDocument/2006/relationships/footer" Target="footer889.xml"/><Relationship Id="rId907" Type="http://schemas.openxmlformats.org/officeDocument/2006/relationships/footer" Target="footer890.xml"/><Relationship Id="rId908" Type="http://schemas.openxmlformats.org/officeDocument/2006/relationships/footer" Target="footer891.xml"/><Relationship Id="rId909" Type="http://schemas.openxmlformats.org/officeDocument/2006/relationships/footer" Target="footer892.xml"/><Relationship Id="rId910" Type="http://schemas.openxmlformats.org/officeDocument/2006/relationships/footer" Target="footer893.xml"/><Relationship Id="rId911" Type="http://schemas.openxmlformats.org/officeDocument/2006/relationships/footer" Target="footer894.xml"/><Relationship Id="rId912" Type="http://schemas.openxmlformats.org/officeDocument/2006/relationships/footer" Target="footer895.xml"/><Relationship Id="rId913" Type="http://schemas.openxmlformats.org/officeDocument/2006/relationships/footer" Target="footer896.xml"/><Relationship Id="rId914" Type="http://schemas.openxmlformats.org/officeDocument/2006/relationships/footer" Target="footer897.xml"/><Relationship Id="rId915" Type="http://schemas.openxmlformats.org/officeDocument/2006/relationships/footer" Target="footer898.xml"/><Relationship Id="rId916" Type="http://schemas.openxmlformats.org/officeDocument/2006/relationships/footer" Target="footer899.xml"/><Relationship Id="rId917" Type="http://schemas.openxmlformats.org/officeDocument/2006/relationships/footer" Target="footer900.xml"/><Relationship Id="rId918" Type="http://schemas.openxmlformats.org/officeDocument/2006/relationships/footer" Target="footer901.xml"/><Relationship Id="rId919" Type="http://schemas.openxmlformats.org/officeDocument/2006/relationships/footer" Target="footer902.xml"/><Relationship Id="rId920" Type="http://schemas.openxmlformats.org/officeDocument/2006/relationships/footer" Target="footer903.xml"/><Relationship Id="rId921" Type="http://schemas.openxmlformats.org/officeDocument/2006/relationships/footer" Target="footer904.xml"/><Relationship Id="rId922" Type="http://schemas.openxmlformats.org/officeDocument/2006/relationships/footer" Target="footer905.xml"/><Relationship Id="rId923" Type="http://schemas.openxmlformats.org/officeDocument/2006/relationships/footer" Target="footer906.xml"/><Relationship Id="rId924" Type="http://schemas.openxmlformats.org/officeDocument/2006/relationships/footer" Target="footer907.xml"/><Relationship Id="rId925" Type="http://schemas.openxmlformats.org/officeDocument/2006/relationships/footer" Target="footer908.xml"/><Relationship Id="rId926" Type="http://schemas.openxmlformats.org/officeDocument/2006/relationships/footer" Target="footer909.xml"/><Relationship Id="rId927" Type="http://schemas.openxmlformats.org/officeDocument/2006/relationships/footer" Target="footer910.xml"/><Relationship Id="rId928" Type="http://schemas.openxmlformats.org/officeDocument/2006/relationships/footer" Target="footer911.xml"/><Relationship Id="rId929" Type="http://schemas.openxmlformats.org/officeDocument/2006/relationships/footer" Target="footer912.xml"/><Relationship Id="rId930" Type="http://schemas.openxmlformats.org/officeDocument/2006/relationships/footer" Target="footer913.xml"/><Relationship Id="rId931" Type="http://schemas.openxmlformats.org/officeDocument/2006/relationships/footer" Target="footer914.xml"/><Relationship Id="rId932" Type="http://schemas.openxmlformats.org/officeDocument/2006/relationships/footer" Target="footer915.xml"/><Relationship Id="rId933" Type="http://schemas.openxmlformats.org/officeDocument/2006/relationships/footer" Target="footer916.xml"/><Relationship Id="rId934" Type="http://schemas.openxmlformats.org/officeDocument/2006/relationships/footer" Target="footer917.xml"/><Relationship Id="rId935" Type="http://schemas.openxmlformats.org/officeDocument/2006/relationships/footer" Target="footer918.xml"/><Relationship Id="rId936" Type="http://schemas.openxmlformats.org/officeDocument/2006/relationships/footer" Target="footer919.xml"/><Relationship Id="rId937" Type="http://schemas.openxmlformats.org/officeDocument/2006/relationships/footer" Target="footer920.xml"/><Relationship Id="rId938" Type="http://schemas.openxmlformats.org/officeDocument/2006/relationships/footer" Target="footer921.xml"/><Relationship Id="rId939" Type="http://schemas.openxmlformats.org/officeDocument/2006/relationships/footer" Target="footer922.xml"/><Relationship Id="rId940" Type="http://schemas.openxmlformats.org/officeDocument/2006/relationships/footer" Target="footer923.xml"/><Relationship Id="rId941" Type="http://schemas.openxmlformats.org/officeDocument/2006/relationships/footer" Target="footer924.xml"/><Relationship Id="rId942" Type="http://schemas.openxmlformats.org/officeDocument/2006/relationships/footer" Target="footer925.xml"/><Relationship Id="rId943" Type="http://schemas.openxmlformats.org/officeDocument/2006/relationships/footer" Target="footer926.xml"/><Relationship Id="rId944" Type="http://schemas.openxmlformats.org/officeDocument/2006/relationships/footer" Target="footer927.xml"/><Relationship Id="rId945" Type="http://schemas.openxmlformats.org/officeDocument/2006/relationships/footer" Target="footer928.xml"/><Relationship Id="rId946" Type="http://schemas.openxmlformats.org/officeDocument/2006/relationships/footer" Target="footer929.xml"/><Relationship Id="rId947" Type="http://schemas.openxmlformats.org/officeDocument/2006/relationships/footer" Target="footer930.xml"/><Relationship Id="rId948" Type="http://schemas.openxmlformats.org/officeDocument/2006/relationships/footer" Target="footer931.xml"/><Relationship Id="rId949" Type="http://schemas.openxmlformats.org/officeDocument/2006/relationships/footer" Target="footer932.xml"/><Relationship Id="rId950" Type="http://schemas.openxmlformats.org/officeDocument/2006/relationships/footer" Target="footer933.xml"/><Relationship Id="rId951" Type="http://schemas.openxmlformats.org/officeDocument/2006/relationships/footer" Target="footer934.xml"/><Relationship Id="rId952" Type="http://schemas.openxmlformats.org/officeDocument/2006/relationships/footer" Target="footer935.xml"/><Relationship Id="rId953" Type="http://schemas.openxmlformats.org/officeDocument/2006/relationships/footer" Target="footer936.xml"/><Relationship Id="rId954" Type="http://schemas.openxmlformats.org/officeDocument/2006/relationships/footer" Target="footer937.xml"/><Relationship Id="rId955" Type="http://schemas.openxmlformats.org/officeDocument/2006/relationships/footer" Target="footer938.xml"/><Relationship Id="rId956" Type="http://schemas.openxmlformats.org/officeDocument/2006/relationships/footer" Target="footer939.xml"/><Relationship Id="rId957" Type="http://schemas.openxmlformats.org/officeDocument/2006/relationships/footer" Target="footer940.xml"/><Relationship Id="rId958" Type="http://schemas.openxmlformats.org/officeDocument/2006/relationships/footer" Target="footer941.xml"/><Relationship Id="rId959" Type="http://schemas.openxmlformats.org/officeDocument/2006/relationships/footer" Target="footer942.xml"/><Relationship Id="rId960" Type="http://schemas.openxmlformats.org/officeDocument/2006/relationships/footer" Target="footer943.xml"/><Relationship Id="rId961" Type="http://schemas.openxmlformats.org/officeDocument/2006/relationships/footer" Target="footer944.xml"/><Relationship Id="rId962" Type="http://schemas.openxmlformats.org/officeDocument/2006/relationships/footer" Target="footer945.xml"/><Relationship Id="rId963" Type="http://schemas.openxmlformats.org/officeDocument/2006/relationships/footer" Target="footer946.xml"/><Relationship Id="rId964" Type="http://schemas.openxmlformats.org/officeDocument/2006/relationships/footer" Target="footer947.xml"/><Relationship Id="rId965" Type="http://schemas.openxmlformats.org/officeDocument/2006/relationships/footer" Target="footer948.xml"/><Relationship Id="rId966" Type="http://schemas.openxmlformats.org/officeDocument/2006/relationships/footer" Target="footer949.xml"/><Relationship Id="rId967" Type="http://schemas.openxmlformats.org/officeDocument/2006/relationships/footer" Target="footer950.xml"/><Relationship Id="rId968" Type="http://schemas.openxmlformats.org/officeDocument/2006/relationships/image" Target="media/image2.jpeg"/><Relationship Id="rId969" Type="http://schemas.openxmlformats.org/officeDocument/2006/relationships/image" Target="media/image2.jpeg"/><Relationship Id="rId970" Type="http://schemas.openxmlformats.org/officeDocument/2006/relationships/footer" Target="footer951.xml"/><Relationship Id="rId971" Type="http://schemas.openxmlformats.org/officeDocument/2006/relationships/footnotes" Target="footnotes.xml"/><Relationship Id="rId972" Type="http://schemas.openxmlformats.org/officeDocument/2006/relationships/numbering" Target="numbering.xml"/><Relationship Id="rId973" Type="http://schemas.openxmlformats.org/officeDocument/2006/relationships/fontTable" Target="fontTable.xml"/><Relationship Id="rId974" Type="http://schemas.openxmlformats.org/officeDocument/2006/relationships/settings" Target="settings.xml"/><Relationship Id="rId9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966</Pages>
  <Words>109264</Words>
  <Characters>438116</Characters>
  <CharactersWithSpaces>543416</CharactersWithSpaces>
  <Paragraphs>4559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2026-08-20T04:10:27Z</dcterms:created>
  <dc:creator>ghaemiyeh.com</dc:creator>
  <dc:description/>
  <dc:language>en-US</dc:language>
  <cp:lastModifiedBy/>
  <dcterms:modified xsi:type="dcterms:W3CDTF">2026-08-20T07:41:11Z</dcterms:modified>
  <cp:revision>1</cp:revision>
  <dc:subject/>
  <dc:title>معالم الدین وملاذ المجتهدین</dc:title>
</cp:coreProperties>
</file>

<file path=docProps/custom.xml><?xml version="1.0" encoding="utf-8"?>
<Properties xmlns="http://schemas.openxmlformats.org/officeDocument/2006/custom-properties" xmlns:vt="http://schemas.openxmlformats.org/officeDocument/2006/docPropsVTypes"/>
</file>