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28</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7723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67725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67727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2967729_653776707">
            <w:r>
              <w:rPr>
                <w:webHidden/>
                <w:rStyle w:val="IndexLink"/>
                <w:rtl w:val="true"/>
              </w:rPr>
              <w:t xml:space="preserve">آمار نامه های کوفیان به امام حسین </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2967731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967733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967735_653776707">
            <w:r>
              <w:rPr>
                <w:webHidden/>
                <w:rStyle w:val="IndexLink"/>
                <w:rtl w:val="true"/>
              </w:rPr>
              <w:t xml:space="preserve">نگاهی به فرآیند دعوت مردم کوفه از امام حسین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2967737_653776707">
            <w:r>
              <w:rPr>
                <w:webHidden/>
                <w:rStyle w:val="IndexLink"/>
                <w:rtl w:val="true"/>
              </w:rPr>
              <w:t xml:space="preserve">بررسی آمار نامه های کوفیان به امام حسین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2967739_653776707">
            <w:r>
              <w:rPr>
                <w:webHidden/>
                <w:rStyle w:val="IndexLink"/>
                <w:rtl w:val="true"/>
              </w:rPr>
              <w:t>نقدی بر آمار نامه های کوفیان</w:t>
            </w:r>
            <w:r>
              <w:rPr>
                <w:rStyle w:val="IndexLink"/>
                <w:rtl w:val="true"/>
              </w:rPr>
              <w:tab/>
            </w:r>
            <w:r>
              <w:rPr>
                <w:rStyle w:val="IndexLink"/>
              </w:rPr>
              <w:t>16</w:t>
            </w:r>
          </w:hyperlink>
        </w:p>
        <w:p>
          <w:pPr>
            <w:pStyle w:val="Contents3"/>
            <w:tabs>
              <w:tab w:val="clear" w:pos="8459"/>
              <w:tab w:val="right" w:pos="9026" w:leader="dot"/>
            </w:tabs>
            <w:rPr/>
          </w:pPr>
          <w:hyperlink w:anchor="__RefHeading___Toc2967741_653776707">
            <w:r>
              <w:rPr>
                <w:webHidden/>
                <w:rStyle w:val="IndexLink"/>
                <w:rtl w:val="true"/>
              </w:rPr>
              <w:t>نتیجه</w:t>
            </w:r>
            <w:r>
              <w:rPr>
                <w:rStyle w:val="IndexLink"/>
                <w:rtl w:val="true"/>
              </w:rPr>
              <w:tab/>
            </w:r>
            <w:r>
              <w:rPr>
                <w:rStyle w:val="IndexLink"/>
              </w:rPr>
              <w:t>18</w:t>
            </w:r>
          </w:hyperlink>
        </w:p>
        <w:p>
          <w:pPr>
            <w:pStyle w:val="Contents3"/>
            <w:tabs>
              <w:tab w:val="clear" w:pos="8459"/>
              <w:tab w:val="right" w:pos="9026" w:leader="dot"/>
            </w:tabs>
            <w:rPr/>
          </w:pPr>
          <w:hyperlink w:anchor="__RefHeading___Toc2967743_653776707">
            <w:r>
              <w:rPr>
                <w:webHidden/>
                <w:rStyle w:val="IndexLink"/>
                <w:rtl w:val="true"/>
              </w:rPr>
              <w:t>منابع</w:t>
            </w:r>
            <w:r>
              <w:rPr>
                <w:rStyle w:val="IndexLink"/>
                <w:rtl w:val="true"/>
              </w:rPr>
              <w:tab/>
            </w:r>
            <w:r>
              <w:rPr>
                <w:rStyle w:val="IndexLink"/>
              </w:rPr>
              <w:t>19</w:t>
            </w:r>
          </w:hyperlink>
        </w:p>
        <w:p>
          <w:pPr>
            <w:pStyle w:val="Contents2"/>
            <w:tabs>
              <w:tab w:val="clear" w:pos="8743"/>
              <w:tab w:val="right" w:pos="9026" w:leader="dot"/>
            </w:tabs>
            <w:rPr/>
          </w:pPr>
          <w:hyperlink w:anchor="__RefHeading___Toc2967745_653776707">
            <w:r>
              <w:rPr>
                <w:webHidden/>
                <w:rStyle w:val="IndexLink"/>
                <w:rtl w:val="true"/>
              </w:rPr>
              <w:t>زمینه های اجتماعی وقوع حادثه عاشورا</w:t>
            </w:r>
            <w:r>
              <w:rPr>
                <w:rStyle w:val="IndexLink"/>
                <w:rtl w:val="true"/>
              </w:rPr>
              <w:tab/>
            </w:r>
            <w:r>
              <w:rPr>
                <w:rStyle w:val="IndexLink"/>
              </w:rPr>
              <w:t>22</w:t>
            </w:r>
          </w:hyperlink>
        </w:p>
        <w:p>
          <w:pPr>
            <w:pStyle w:val="Contents3"/>
            <w:tabs>
              <w:tab w:val="clear" w:pos="8459"/>
              <w:tab w:val="right" w:pos="9026" w:leader="dot"/>
            </w:tabs>
            <w:rPr/>
          </w:pPr>
          <w:hyperlink w:anchor="__RefHeading___Toc2967747_65377670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967749_653776707">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2967751_653776707">
            <w:r>
              <w:rPr>
                <w:webHidden/>
                <w:rStyle w:val="IndexLink"/>
                <w:rtl w:val="true"/>
              </w:rPr>
              <w:t>زمینه های اجتماعی وقوع حادثه عاشورا</w:t>
            </w:r>
            <w:r>
              <w:rPr>
                <w:rStyle w:val="IndexLink"/>
                <w:rtl w:val="true"/>
              </w:rPr>
              <w:tab/>
            </w:r>
            <w:r>
              <w:rPr>
                <w:rStyle w:val="IndexLink"/>
              </w:rPr>
              <w:t>23</w:t>
            </w:r>
          </w:hyperlink>
        </w:p>
        <w:p>
          <w:pPr>
            <w:pStyle w:val="Contents3"/>
            <w:tabs>
              <w:tab w:val="clear" w:pos="8459"/>
              <w:tab w:val="right" w:pos="9026" w:leader="dot"/>
            </w:tabs>
            <w:rPr/>
          </w:pPr>
          <w:hyperlink w:anchor="__RefHeading___Toc2967753_653776707">
            <w:r>
              <w:rPr>
                <w:webHidden/>
                <w:rStyle w:val="IndexLink"/>
                <w:rtl w:val="true"/>
              </w:rPr>
              <w:t>ساحت شخصیتی</w:t>
            </w:r>
            <w:r>
              <w:rPr>
                <w:rStyle w:val="IndexLink"/>
                <w:rtl w:val="true"/>
              </w:rPr>
              <w:tab/>
            </w:r>
            <w:r>
              <w:rPr>
                <w:rStyle w:val="IndexLink"/>
              </w:rPr>
              <w:t>24</w:t>
            </w:r>
          </w:hyperlink>
        </w:p>
        <w:p>
          <w:pPr>
            <w:pStyle w:val="Contents4"/>
            <w:tabs>
              <w:tab w:val="clear" w:pos="8176"/>
              <w:tab w:val="right" w:pos="9026" w:leader="dot"/>
            </w:tabs>
            <w:rPr/>
          </w:pPr>
          <w:hyperlink w:anchor="__RefHeading___Toc2967755_65377670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967757_653776707">
            <w:r>
              <w:rPr>
                <w:webHidden/>
                <w:rStyle w:val="IndexLink"/>
                <w:rtl w:val="true"/>
              </w:rPr>
              <w:t>الف</w:t>
            </w:r>
            <w:r>
              <w:rPr>
                <w:rStyle w:val="IndexLink"/>
                <w:rtl w:val="true"/>
              </w:rPr>
              <w:t xml:space="preserve">) </w:t>
            </w:r>
            <w:r>
              <w:rPr>
                <w:rStyle w:val="IndexLink"/>
                <w:rtl w:val="true"/>
              </w:rPr>
              <w:t>معاویه</w:t>
            </w:r>
            <w:r>
              <w:rPr>
                <w:rStyle w:val="IndexLink"/>
                <w:rtl w:val="true"/>
              </w:rPr>
              <w:tab/>
            </w:r>
            <w:r>
              <w:rPr>
                <w:rStyle w:val="IndexLink"/>
              </w:rPr>
              <w:t>24</w:t>
            </w:r>
          </w:hyperlink>
        </w:p>
        <w:p>
          <w:pPr>
            <w:pStyle w:val="Contents4"/>
            <w:tabs>
              <w:tab w:val="clear" w:pos="8176"/>
              <w:tab w:val="right" w:pos="9026" w:leader="dot"/>
            </w:tabs>
            <w:rPr/>
          </w:pPr>
          <w:hyperlink w:anchor="__RefHeading___Toc2967759_653776707">
            <w:r>
              <w:rPr>
                <w:webHidden/>
                <w:rStyle w:val="IndexLink"/>
                <w:rtl w:val="true"/>
              </w:rPr>
              <w:t>ب</w:t>
            </w:r>
            <w:r>
              <w:rPr>
                <w:rStyle w:val="IndexLink"/>
                <w:rtl w:val="true"/>
              </w:rPr>
              <w:t xml:space="preserve">) </w:t>
            </w:r>
            <w:r>
              <w:rPr>
                <w:rStyle w:val="IndexLink"/>
                <w:rtl w:val="true"/>
              </w:rPr>
              <w:t>یزید</w:t>
            </w:r>
            <w:r>
              <w:rPr>
                <w:rStyle w:val="IndexLink"/>
                <w:rtl w:val="true"/>
              </w:rPr>
              <w:tab/>
            </w:r>
            <w:r>
              <w:rPr>
                <w:rStyle w:val="IndexLink"/>
              </w:rPr>
              <w:t>25</w:t>
            </w:r>
          </w:hyperlink>
        </w:p>
        <w:p>
          <w:pPr>
            <w:pStyle w:val="Contents3"/>
            <w:tabs>
              <w:tab w:val="clear" w:pos="8459"/>
              <w:tab w:val="right" w:pos="9026" w:leader="dot"/>
            </w:tabs>
            <w:rPr/>
          </w:pPr>
          <w:hyperlink w:anchor="__RefHeading___Toc2967761_653776707">
            <w:r>
              <w:rPr>
                <w:webHidden/>
                <w:rStyle w:val="IndexLink"/>
                <w:rtl w:val="true"/>
              </w:rPr>
              <w:t>فاجعه حره</w:t>
            </w:r>
            <w:r>
              <w:rPr>
                <w:rStyle w:val="IndexLink"/>
                <w:rtl w:val="true"/>
              </w:rPr>
              <w:tab/>
            </w:r>
            <w:r>
              <w:rPr>
                <w:rStyle w:val="IndexLink"/>
              </w:rPr>
              <w:t>25</w:t>
            </w:r>
          </w:hyperlink>
        </w:p>
        <w:p>
          <w:pPr>
            <w:pStyle w:val="Contents3"/>
            <w:tabs>
              <w:tab w:val="clear" w:pos="8459"/>
              <w:tab w:val="right" w:pos="9026" w:leader="dot"/>
            </w:tabs>
            <w:rPr/>
          </w:pPr>
          <w:hyperlink w:anchor="__RefHeading___Toc2967763_653776707">
            <w:r>
              <w:rPr>
                <w:webHidden/>
                <w:rStyle w:val="IndexLink"/>
                <w:rtl w:val="true"/>
              </w:rPr>
              <w:t>راه برون رفت جامعه</w:t>
            </w:r>
            <w:r>
              <w:rPr>
                <w:rStyle w:val="IndexLink"/>
                <w:rtl w:val="true"/>
              </w:rPr>
              <w:tab/>
            </w:r>
            <w:r>
              <w:rPr>
                <w:rStyle w:val="IndexLink"/>
              </w:rPr>
              <w:t>27</w:t>
            </w:r>
          </w:hyperlink>
        </w:p>
        <w:p>
          <w:pPr>
            <w:pStyle w:val="Contents3"/>
            <w:tabs>
              <w:tab w:val="clear" w:pos="8459"/>
              <w:tab w:val="right" w:pos="9026" w:leader="dot"/>
            </w:tabs>
            <w:rPr/>
          </w:pPr>
          <w:hyperlink w:anchor="__RefHeading___Toc2967765_653776707">
            <w:r>
              <w:rPr>
                <w:webHidden/>
                <w:rStyle w:val="IndexLink"/>
                <w:rtl w:val="true"/>
              </w:rPr>
              <w:t>ساحت حاکمیتی</w:t>
            </w:r>
            <w:r>
              <w:rPr>
                <w:rStyle w:val="IndexLink"/>
                <w:rtl w:val="true"/>
              </w:rPr>
              <w:tab/>
            </w:r>
            <w:r>
              <w:rPr>
                <w:rStyle w:val="IndexLink"/>
              </w:rPr>
              <w:t>28</w:t>
            </w:r>
          </w:hyperlink>
        </w:p>
        <w:p>
          <w:pPr>
            <w:pStyle w:val="Contents4"/>
            <w:tabs>
              <w:tab w:val="clear" w:pos="8176"/>
              <w:tab w:val="right" w:pos="9026" w:leader="dot"/>
            </w:tabs>
            <w:rPr/>
          </w:pPr>
          <w:hyperlink w:anchor="__RefHeading___Toc2967767_65377670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967769_653776707">
            <w:r>
              <w:rPr>
                <w:webHidden/>
                <w:rStyle w:val="IndexLink"/>
                <w:rtl w:val="true"/>
              </w:rPr>
              <w:t>الف</w:t>
            </w:r>
            <w:r>
              <w:rPr>
                <w:rStyle w:val="IndexLink"/>
                <w:rtl w:val="true"/>
              </w:rPr>
              <w:t xml:space="preserve">) </w:t>
            </w:r>
            <w:r>
              <w:rPr>
                <w:rStyle w:val="IndexLink"/>
                <w:rtl w:val="true"/>
              </w:rPr>
              <w:t>حکومت معاویه</w:t>
            </w:r>
            <w:r>
              <w:rPr>
                <w:rStyle w:val="IndexLink"/>
                <w:rtl w:val="true"/>
              </w:rPr>
              <w:tab/>
            </w:r>
            <w:r>
              <w:rPr>
                <w:rStyle w:val="IndexLink"/>
              </w:rPr>
              <w:t>29</w:t>
            </w:r>
          </w:hyperlink>
        </w:p>
        <w:p>
          <w:pPr>
            <w:pStyle w:val="Contents5"/>
            <w:tabs>
              <w:tab w:val="clear" w:pos="7892"/>
              <w:tab w:val="right" w:pos="9026" w:leader="dot"/>
            </w:tabs>
            <w:rPr/>
          </w:pPr>
          <w:hyperlink w:anchor="__RefHeading___Toc2967771_653776707">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967773_653776707">
            <w:r>
              <w:rPr>
                <w:webHidden/>
                <w:rStyle w:val="IndexLink"/>
              </w:rPr>
              <w:t>1</w:t>
            </w:r>
            <w:r>
              <w:rPr>
                <w:rStyle w:val="IndexLink"/>
                <w:rtl w:val="true"/>
              </w:rPr>
              <w:t xml:space="preserve">. </w:t>
            </w:r>
            <w:r>
              <w:rPr>
                <w:rStyle w:val="IndexLink"/>
                <w:rtl w:val="true"/>
              </w:rPr>
              <w:t>یارگیری</w:t>
            </w:r>
            <w:r>
              <w:rPr>
                <w:rStyle w:val="IndexLink"/>
                <w:rtl w:val="true"/>
              </w:rPr>
              <w:tab/>
            </w:r>
            <w:r>
              <w:rPr>
                <w:rStyle w:val="IndexLink"/>
              </w:rPr>
              <w:t>29</w:t>
            </w:r>
          </w:hyperlink>
        </w:p>
        <w:p>
          <w:pPr>
            <w:pStyle w:val="Contents5"/>
            <w:tabs>
              <w:tab w:val="clear" w:pos="7892"/>
              <w:tab w:val="right" w:pos="9026" w:leader="dot"/>
            </w:tabs>
            <w:rPr/>
          </w:pPr>
          <w:hyperlink w:anchor="__RefHeading___Toc2967775_653776707">
            <w:r>
              <w:rPr>
                <w:webHidden/>
                <w:rStyle w:val="IndexLink"/>
              </w:rPr>
              <w:t>2</w:t>
            </w:r>
            <w:r>
              <w:rPr>
                <w:rStyle w:val="IndexLink"/>
                <w:rtl w:val="true"/>
              </w:rPr>
              <w:t xml:space="preserve">. </w:t>
            </w:r>
            <w:r>
              <w:rPr>
                <w:rStyle w:val="IndexLink"/>
                <w:rtl w:val="true"/>
              </w:rPr>
              <w:t>ولیعهدی یزید</w:t>
            </w:r>
            <w:r>
              <w:rPr>
                <w:rStyle w:val="IndexLink"/>
                <w:rtl w:val="true"/>
              </w:rPr>
              <w:tab/>
            </w:r>
            <w:r>
              <w:rPr>
                <w:rStyle w:val="IndexLink"/>
              </w:rPr>
              <w:t>30</w:t>
            </w:r>
          </w:hyperlink>
        </w:p>
        <w:p>
          <w:pPr>
            <w:pStyle w:val="Contents4"/>
            <w:tabs>
              <w:tab w:val="clear" w:pos="8176"/>
              <w:tab w:val="right" w:pos="9026" w:leader="dot"/>
            </w:tabs>
            <w:rPr/>
          </w:pPr>
          <w:hyperlink w:anchor="__RefHeading___Toc2967777_653776707">
            <w:r>
              <w:rPr>
                <w:webHidden/>
                <w:rStyle w:val="IndexLink"/>
                <w:rtl w:val="true"/>
              </w:rPr>
              <w:t>ب</w:t>
            </w:r>
            <w:r>
              <w:rPr>
                <w:rStyle w:val="IndexLink"/>
                <w:rtl w:val="true"/>
              </w:rPr>
              <w:t xml:space="preserve">) </w:t>
            </w:r>
            <w:r>
              <w:rPr>
                <w:rStyle w:val="IndexLink"/>
                <w:rtl w:val="true"/>
              </w:rPr>
              <w:t>حکومت یزید</w:t>
            </w:r>
            <w:r>
              <w:rPr>
                <w:rStyle w:val="IndexLink"/>
                <w:rtl w:val="true"/>
              </w:rPr>
              <w:tab/>
            </w:r>
            <w:r>
              <w:rPr>
                <w:rStyle w:val="IndexLink"/>
              </w:rPr>
              <w:t>31</w:t>
            </w:r>
          </w:hyperlink>
        </w:p>
        <w:p>
          <w:pPr>
            <w:pStyle w:val="Contents3"/>
            <w:tabs>
              <w:tab w:val="clear" w:pos="8459"/>
              <w:tab w:val="right" w:pos="9026" w:leader="dot"/>
            </w:tabs>
            <w:rPr/>
          </w:pPr>
          <w:hyperlink w:anchor="__RefHeading___Toc2967779_653776707">
            <w:r>
              <w:rPr>
                <w:webHidden/>
                <w:rStyle w:val="IndexLink"/>
                <w:rtl w:val="true"/>
              </w:rPr>
              <w:t>راه کارها</w:t>
            </w:r>
            <w:r>
              <w:rPr>
                <w:rStyle w:val="IndexLink"/>
                <w:rtl w:val="true"/>
              </w:rPr>
              <w:tab/>
            </w:r>
            <w:r>
              <w:rPr>
                <w:rStyle w:val="IndexLink"/>
              </w:rPr>
              <w:t>32</w:t>
            </w:r>
          </w:hyperlink>
        </w:p>
        <w:p>
          <w:pPr>
            <w:pStyle w:val="Contents4"/>
            <w:tabs>
              <w:tab w:val="clear" w:pos="8176"/>
              <w:tab w:val="right" w:pos="9026" w:leader="dot"/>
            </w:tabs>
            <w:rPr/>
          </w:pPr>
          <w:hyperlink w:anchor="__RefHeading___Toc2967781_65377670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967783_653776707">
            <w:r>
              <w:rPr>
                <w:webHidden/>
                <w:rStyle w:val="IndexLink"/>
              </w:rPr>
              <w:t>1</w:t>
            </w:r>
            <w:r>
              <w:rPr>
                <w:rStyle w:val="IndexLink"/>
                <w:rtl w:val="true"/>
              </w:rPr>
              <w:t xml:space="preserve">. </w:t>
            </w:r>
            <w:r>
              <w:rPr>
                <w:rStyle w:val="IndexLink"/>
                <w:rtl w:val="true"/>
              </w:rPr>
              <w:t>عدم سکوت و قیام</w:t>
            </w:r>
            <w:r>
              <w:rPr>
                <w:rStyle w:val="IndexLink"/>
                <w:rtl w:val="true"/>
              </w:rPr>
              <w:tab/>
            </w:r>
            <w:r>
              <w:rPr>
                <w:rStyle w:val="IndexLink"/>
              </w:rPr>
              <w:t>33</w:t>
            </w:r>
          </w:hyperlink>
        </w:p>
        <w:p>
          <w:pPr>
            <w:pStyle w:val="Contents4"/>
            <w:tabs>
              <w:tab w:val="clear" w:pos="8176"/>
              <w:tab w:val="right" w:pos="9026" w:leader="dot"/>
            </w:tabs>
            <w:rPr/>
          </w:pPr>
          <w:hyperlink w:anchor="__RefHeading___Toc2967785_653776707">
            <w:r>
              <w:rPr>
                <w:webHidden/>
                <w:rStyle w:val="IndexLink"/>
              </w:rPr>
              <w:t>2</w:t>
            </w:r>
            <w:r>
              <w:rPr>
                <w:rStyle w:val="IndexLink"/>
                <w:rtl w:val="true"/>
              </w:rPr>
              <w:t xml:space="preserve">. </w:t>
            </w:r>
            <w:r>
              <w:rPr>
                <w:rStyle w:val="IndexLink"/>
                <w:rtl w:val="true"/>
              </w:rPr>
              <w:t>تشکیل حکومت اسلامی</w:t>
            </w:r>
            <w:r>
              <w:rPr>
                <w:rStyle w:val="IndexLink"/>
                <w:rtl w:val="true"/>
              </w:rPr>
              <w:tab/>
            </w:r>
            <w:r>
              <w:rPr>
                <w:rStyle w:val="IndexLink"/>
              </w:rPr>
              <w:t>34</w:t>
            </w:r>
          </w:hyperlink>
        </w:p>
        <w:p>
          <w:pPr>
            <w:pStyle w:val="Contents5"/>
            <w:tabs>
              <w:tab w:val="clear" w:pos="7892"/>
              <w:tab w:val="right" w:pos="9026" w:leader="dot"/>
            </w:tabs>
            <w:rPr/>
          </w:pPr>
          <w:hyperlink w:anchor="__RefHeading___Toc2967787_653776707">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967789_653776707">
            <w:r>
              <w:rPr>
                <w:webHidden/>
                <w:rStyle w:val="IndexLink"/>
              </w:rPr>
              <w:t>2-1</w:t>
            </w:r>
            <w:r>
              <w:rPr>
                <w:rStyle w:val="IndexLink"/>
                <w:rtl w:val="true"/>
              </w:rPr>
              <w:t xml:space="preserve">. </w:t>
            </w:r>
            <w:r>
              <w:rPr>
                <w:rStyle w:val="IndexLink"/>
                <w:rtl w:val="true"/>
              </w:rPr>
              <w:t>سیره حاکمیتی یزید</w:t>
            </w:r>
            <w:r>
              <w:rPr>
                <w:rStyle w:val="IndexLink"/>
                <w:rtl w:val="true"/>
              </w:rPr>
              <w:tab/>
            </w:r>
            <w:r>
              <w:rPr>
                <w:rStyle w:val="IndexLink"/>
              </w:rPr>
              <w:t>34</w:t>
            </w:r>
          </w:hyperlink>
        </w:p>
        <w:p>
          <w:pPr>
            <w:pStyle w:val="Contents5"/>
            <w:tabs>
              <w:tab w:val="clear" w:pos="7892"/>
              <w:tab w:val="right" w:pos="9026" w:leader="dot"/>
            </w:tabs>
            <w:rPr/>
          </w:pPr>
          <w:hyperlink w:anchor="__RefHeading___Toc2967791_653776707">
            <w:r>
              <w:rPr>
                <w:webHidden/>
                <w:rStyle w:val="IndexLink"/>
              </w:rPr>
              <w:t>2-2</w:t>
            </w:r>
            <w:r>
              <w:rPr>
                <w:rStyle w:val="IndexLink"/>
                <w:rtl w:val="true"/>
              </w:rPr>
              <w:t xml:space="preserve">. </w:t>
            </w:r>
            <w:r>
              <w:rPr>
                <w:rStyle w:val="IndexLink"/>
                <w:rtl w:val="true"/>
              </w:rPr>
              <w:t>عمل بر سیره نبوی</w:t>
            </w:r>
            <w:r>
              <w:rPr>
                <w:rStyle w:val="IndexLink"/>
                <w:rtl w:val="true"/>
              </w:rPr>
              <w:tab/>
            </w:r>
            <w:r>
              <w:rPr>
                <w:rStyle w:val="IndexLink"/>
              </w:rPr>
              <w:t>34</w:t>
            </w:r>
          </w:hyperlink>
        </w:p>
        <w:p>
          <w:pPr>
            <w:pStyle w:val="Contents3"/>
            <w:tabs>
              <w:tab w:val="clear" w:pos="8459"/>
              <w:tab w:val="right" w:pos="9026" w:leader="dot"/>
            </w:tabs>
            <w:rPr/>
          </w:pPr>
          <w:hyperlink w:anchor="__RefHeading___Toc2967793_653776707">
            <w:r>
              <w:rPr>
                <w:webHidden/>
                <w:rStyle w:val="IndexLink"/>
                <w:rtl w:val="true"/>
              </w:rPr>
              <w:t>ساحت جامعه شناسی</w:t>
            </w:r>
            <w:r>
              <w:rPr>
                <w:rStyle w:val="IndexLink"/>
                <w:rtl w:val="true"/>
              </w:rPr>
              <w:tab/>
            </w:r>
            <w:r>
              <w:rPr>
                <w:rStyle w:val="IndexLink"/>
              </w:rPr>
              <w:t>35</w:t>
            </w:r>
          </w:hyperlink>
        </w:p>
        <w:p>
          <w:pPr>
            <w:pStyle w:val="Contents4"/>
            <w:tabs>
              <w:tab w:val="clear" w:pos="8176"/>
              <w:tab w:val="right" w:pos="9026" w:leader="dot"/>
            </w:tabs>
            <w:rPr/>
          </w:pPr>
          <w:hyperlink w:anchor="__RefHeading___Toc2967795_65377670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967797_653776707">
            <w:r>
              <w:rPr>
                <w:webHidden/>
                <w:rStyle w:val="IndexLink"/>
              </w:rPr>
              <w:t>1</w:t>
            </w:r>
            <w:r>
              <w:rPr>
                <w:rStyle w:val="IndexLink"/>
                <w:rtl w:val="true"/>
              </w:rPr>
              <w:t xml:space="preserve">. </w:t>
            </w:r>
            <w:r>
              <w:rPr>
                <w:rStyle w:val="IndexLink"/>
                <w:rtl w:val="true"/>
              </w:rPr>
              <w:t>رفتار اجتماعی حاکمان اموی</w:t>
            </w:r>
            <w:r>
              <w:rPr>
                <w:rStyle w:val="IndexLink"/>
                <w:rtl w:val="true"/>
              </w:rPr>
              <w:tab/>
            </w:r>
            <w:r>
              <w:rPr>
                <w:rStyle w:val="IndexLink"/>
              </w:rPr>
              <w:t>36</w:t>
            </w:r>
          </w:hyperlink>
        </w:p>
        <w:p>
          <w:pPr>
            <w:pStyle w:val="Contents4"/>
            <w:tabs>
              <w:tab w:val="clear" w:pos="8176"/>
              <w:tab w:val="right" w:pos="9026" w:leader="dot"/>
            </w:tabs>
            <w:rPr/>
          </w:pPr>
          <w:hyperlink w:anchor="__RefHeading___Toc2967799_653776707">
            <w:r>
              <w:rPr>
                <w:webHidden/>
                <w:rStyle w:val="IndexLink"/>
              </w:rPr>
              <w:t>2</w:t>
            </w:r>
            <w:r>
              <w:rPr>
                <w:rStyle w:val="IndexLink"/>
                <w:rtl w:val="true"/>
              </w:rPr>
              <w:t xml:space="preserve">. </w:t>
            </w:r>
            <w:r>
              <w:rPr>
                <w:rStyle w:val="IndexLink"/>
                <w:rtl w:val="true"/>
              </w:rPr>
              <w:t>دنیاطلبی</w:t>
            </w:r>
            <w:r>
              <w:rPr>
                <w:rStyle w:val="IndexLink"/>
                <w:rtl w:val="true"/>
              </w:rPr>
              <w:tab/>
            </w:r>
            <w:r>
              <w:rPr>
                <w:rStyle w:val="IndexLink"/>
              </w:rPr>
              <w:t>36</w:t>
            </w:r>
          </w:hyperlink>
        </w:p>
        <w:p>
          <w:pPr>
            <w:pStyle w:val="Contents4"/>
            <w:tabs>
              <w:tab w:val="clear" w:pos="8176"/>
              <w:tab w:val="right" w:pos="9026" w:leader="dot"/>
            </w:tabs>
            <w:rPr/>
          </w:pPr>
          <w:hyperlink w:anchor="__RefHeading___Toc2967801_653776707">
            <w:r>
              <w:rPr>
                <w:webHidden/>
                <w:rStyle w:val="IndexLink"/>
              </w:rPr>
              <w:t>3</w:t>
            </w:r>
            <w:r>
              <w:rPr>
                <w:rStyle w:val="IndexLink"/>
                <w:rtl w:val="true"/>
              </w:rPr>
              <w:t xml:space="preserve">. </w:t>
            </w:r>
            <w:r>
              <w:rPr>
                <w:rStyle w:val="IndexLink"/>
                <w:rtl w:val="true"/>
              </w:rPr>
              <w:t xml:space="preserve">عدم حمایت از امام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2967803_653776707">
            <w:r>
              <w:rPr>
                <w:webHidden/>
                <w:rStyle w:val="IndexLink"/>
                <w:rtl w:val="true"/>
              </w:rPr>
              <w:t>راه برون رفت جامعه</w:t>
            </w:r>
            <w:r>
              <w:rPr>
                <w:rStyle w:val="IndexLink"/>
                <w:rtl w:val="true"/>
              </w:rPr>
              <w:tab/>
            </w:r>
            <w:r>
              <w:rPr>
                <w:rStyle w:val="IndexLink"/>
              </w:rPr>
              <w:t>38</w:t>
            </w:r>
          </w:hyperlink>
        </w:p>
        <w:p>
          <w:pPr>
            <w:pStyle w:val="Contents4"/>
            <w:tabs>
              <w:tab w:val="clear" w:pos="8176"/>
              <w:tab w:val="right" w:pos="9026" w:leader="dot"/>
            </w:tabs>
            <w:rPr/>
          </w:pPr>
          <w:hyperlink w:anchor="__RefHeading___Toc2967805_653776707">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967807_653776707">
            <w:r>
              <w:rPr>
                <w:webHidden/>
                <w:rStyle w:val="IndexLink"/>
              </w:rPr>
              <w:t>1</w:t>
            </w:r>
            <w:r>
              <w:rPr>
                <w:rStyle w:val="IndexLink"/>
                <w:rtl w:val="true"/>
              </w:rPr>
              <w:t xml:space="preserve">. </w:t>
            </w:r>
            <w:r>
              <w:rPr>
                <w:rStyle w:val="IndexLink"/>
                <w:rtl w:val="true"/>
              </w:rPr>
              <w:t>بصیرت بخشی</w:t>
            </w:r>
            <w:r>
              <w:rPr>
                <w:rStyle w:val="IndexLink"/>
                <w:rtl w:val="true"/>
              </w:rPr>
              <w:tab/>
            </w:r>
            <w:r>
              <w:rPr>
                <w:rStyle w:val="IndexLink"/>
              </w:rPr>
              <w:t>38</w:t>
            </w:r>
          </w:hyperlink>
        </w:p>
        <w:p>
          <w:pPr>
            <w:pStyle w:val="Contents4"/>
            <w:tabs>
              <w:tab w:val="clear" w:pos="8176"/>
              <w:tab w:val="right" w:pos="9026" w:leader="dot"/>
            </w:tabs>
            <w:rPr/>
          </w:pPr>
          <w:hyperlink w:anchor="__RefHeading___Toc2967809_653776707">
            <w:r>
              <w:rPr>
                <w:webHidden/>
                <w:rStyle w:val="IndexLink"/>
              </w:rPr>
              <w:t>2</w:t>
            </w:r>
            <w:r>
              <w:rPr>
                <w:rStyle w:val="IndexLink"/>
                <w:rtl w:val="true"/>
              </w:rPr>
              <w:t xml:space="preserve">. </w:t>
            </w:r>
            <w:r>
              <w:rPr>
                <w:rStyle w:val="IndexLink"/>
                <w:rtl w:val="true"/>
              </w:rPr>
              <w:t>اصلاح امور امت</w:t>
            </w:r>
            <w:r>
              <w:rPr>
                <w:rStyle w:val="IndexLink"/>
                <w:rtl w:val="true"/>
              </w:rPr>
              <w:tab/>
            </w:r>
            <w:r>
              <w:rPr>
                <w:rStyle w:val="IndexLink"/>
              </w:rPr>
              <w:t>39</w:t>
            </w:r>
          </w:hyperlink>
        </w:p>
        <w:p>
          <w:pPr>
            <w:pStyle w:val="Contents3"/>
            <w:tabs>
              <w:tab w:val="clear" w:pos="8459"/>
              <w:tab w:val="right" w:pos="9026" w:leader="dot"/>
            </w:tabs>
            <w:rPr/>
          </w:pPr>
          <w:hyperlink w:anchor="__RefHeading___Toc2967811_653776707">
            <w:r>
              <w:rPr>
                <w:webHidden/>
                <w:rStyle w:val="IndexLink"/>
                <w:rtl w:val="true"/>
              </w:rPr>
              <w:t>نتیجه</w:t>
            </w:r>
            <w:r>
              <w:rPr>
                <w:rStyle w:val="IndexLink"/>
                <w:rtl w:val="true"/>
              </w:rPr>
              <w:tab/>
            </w:r>
            <w:r>
              <w:rPr>
                <w:rStyle w:val="IndexLink"/>
              </w:rPr>
              <w:t>39</w:t>
            </w:r>
          </w:hyperlink>
        </w:p>
        <w:p>
          <w:pPr>
            <w:pStyle w:val="Contents3"/>
            <w:tabs>
              <w:tab w:val="clear" w:pos="8459"/>
              <w:tab w:val="right" w:pos="9026" w:leader="dot"/>
            </w:tabs>
            <w:rPr/>
          </w:pPr>
          <w:hyperlink w:anchor="__RefHeading___Toc2967813_653776707">
            <w:r>
              <w:rPr>
                <w:webHidden/>
                <w:rStyle w:val="IndexLink"/>
                <w:rtl w:val="true"/>
              </w:rPr>
              <w:t>منابع</w:t>
            </w:r>
            <w:r>
              <w:rPr>
                <w:rStyle w:val="IndexLink"/>
                <w:rtl w:val="true"/>
              </w:rPr>
              <w:tab/>
            </w:r>
            <w:r>
              <w:rPr>
                <w:rStyle w:val="IndexLink"/>
              </w:rPr>
              <w:t>40</w:t>
            </w:r>
          </w:hyperlink>
        </w:p>
        <w:p>
          <w:pPr>
            <w:pStyle w:val="Contents2"/>
            <w:tabs>
              <w:tab w:val="clear" w:pos="8743"/>
              <w:tab w:val="right" w:pos="9026" w:leader="dot"/>
            </w:tabs>
            <w:rPr/>
          </w:pPr>
          <w:hyperlink w:anchor="__RefHeading___Toc2967815_653776707">
            <w:r>
              <w:rPr>
                <w:webHidden/>
                <w:rStyle w:val="IndexLink"/>
                <w:rtl w:val="true"/>
              </w:rPr>
              <w:t>کارکردهای شعائر حسینی در حوزه قدرت اجتماعی در عصر قاجار</w:t>
            </w:r>
            <w:r>
              <w:rPr>
                <w:rStyle w:val="IndexLink"/>
                <w:rtl w:val="true"/>
              </w:rPr>
              <w:tab/>
            </w:r>
            <w:r>
              <w:rPr>
                <w:rStyle w:val="IndexLink"/>
              </w:rPr>
              <w:t>44</w:t>
            </w:r>
          </w:hyperlink>
        </w:p>
        <w:p>
          <w:pPr>
            <w:pStyle w:val="Contents3"/>
            <w:tabs>
              <w:tab w:val="clear" w:pos="8459"/>
              <w:tab w:val="right" w:pos="9026" w:leader="dot"/>
            </w:tabs>
            <w:rPr/>
          </w:pPr>
          <w:hyperlink w:anchor="__RefHeading___Toc2967817_653776707">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967819_653776707">
            <w:r>
              <w:rPr>
                <w:webHidden/>
                <w:rStyle w:val="IndexLink"/>
                <w:rtl w:val="true"/>
              </w:rPr>
              <w:t>تعریف واژگان</w:t>
            </w:r>
            <w:r>
              <w:rPr>
                <w:rStyle w:val="IndexLink"/>
                <w:rtl w:val="true"/>
              </w:rPr>
              <w:tab/>
            </w:r>
            <w:r>
              <w:rPr>
                <w:rStyle w:val="IndexLink"/>
              </w:rPr>
              <w:t>45</w:t>
            </w:r>
          </w:hyperlink>
        </w:p>
        <w:p>
          <w:pPr>
            <w:pStyle w:val="Contents3"/>
            <w:tabs>
              <w:tab w:val="clear" w:pos="8459"/>
              <w:tab w:val="right" w:pos="9026" w:leader="dot"/>
            </w:tabs>
            <w:rPr/>
          </w:pPr>
          <w:hyperlink w:anchor="__RefHeading___Toc2967821_653776707">
            <w:r>
              <w:rPr>
                <w:webHidden/>
                <w:rStyle w:val="IndexLink"/>
                <w:rtl w:val="true"/>
              </w:rPr>
              <w:t>پیشینه پژوهش</w:t>
            </w:r>
            <w:r>
              <w:rPr>
                <w:rStyle w:val="IndexLink"/>
                <w:rtl w:val="true"/>
              </w:rPr>
              <w:tab/>
            </w:r>
            <w:r>
              <w:rPr>
                <w:rStyle w:val="IndexLink"/>
              </w:rPr>
              <w:t>47</w:t>
            </w:r>
          </w:hyperlink>
        </w:p>
        <w:p>
          <w:pPr>
            <w:pStyle w:val="Contents3"/>
            <w:tabs>
              <w:tab w:val="clear" w:pos="8459"/>
              <w:tab w:val="right" w:pos="9026" w:leader="dot"/>
            </w:tabs>
            <w:rPr/>
          </w:pPr>
          <w:hyperlink w:anchor="__RefHeading___Toc2967823_653776707">
            <w:r>
              <w:rPr>
                <w:webHidden/>
                <w:rStyle w:val="IndexLink"/>
                <w:rtl w:val="true"/>
              </w:rPr>
              <w:t>بُعد سیاسی و اجتماعی</w:t>
            </w:r>
            <w:r>
              <w:rPr>
                <w:rStyle w:val="IndexLink"/>
                <w:rtl w:val="true"/>
              </w:rPr>
              <w:tab/>
            </w:r>
            <w:r>
              <w:rPr>
                <w:rStyle w:val="IndexLink"/>
              </w:rPr>
              <w:t>47</w:t>
            </w:r>
          </w:hyperlink>
        </w:p>
        <w:p>
          <w:pPr>
            <w:pStyle w:val="Contents3"/>
            <w:tabs>
              <w:tab w:val="clear" w:pos="8459"/>
              <w:tab w:val="right" w:pos="9026" w:leader="dot"/>
            </w:tabs>
            <w:rPr/>
          </w:pPr>
          <w:hyperlink w:anchor="__RefHeading___Toc2967825_653776707">
            <w:r>
              <w:rPr>
                <w:webHidden/>
                <w:rStyle w:val="IndexLink"/>
                <w:rtl w:val="true"/>
              </w:rPr>
              <w:t>بُعد دین باوری و حوزه فردی</w:t>
            </w:r>
            <w:r>
              <w:rPr>
                <w:rStyle w:val="IndexLink"/>
                <w:rtl w:val="true"/>
              </w:rPr>
              <w:tab/>
            </w:r>
            <w:r>
              <w:rPr>
                <w:rStyle w:val="IndexLink"/>
              </w:rPr>
              <w:t>54</w:t>
            </w:r>
          </w:hyperlink>
        </w:p>
        <w:p>
          <w:pPr>
            <w:pStyle w:val="Contents3"/>
            <w:tabs>
              <w:tab w:val="clear" w:pos="8459"/>
              <w:tab w:val="right" w:pos="9026" w:leader="dot"/>
            </w:tabs>
            <w:rPr/>
          </w:pPr>
          <w:hyperlink w:anchor="__RefHeading___Toc2967827_653776707">
            <w:r>
              <w:rPr>
                <w:webHidden/>
                <w:rStyle w:val="IndexLink"/>
                <w:rtl w:val="true"/>
              </w:rPr>
              <w:t>نتیجه</w:t>
            </w:r>
            <w:r>
              <w:rPr>
                <w:rStyle w:val="IndexLink"/>
                <w:rtl w:val="true"/>
              </w:rPr>
              <w:tab/>
            </w:r>
            <w:r>
              <w:rPr>
                <w:rStyle w:val="IndexLink"/>
              </w:rPr>
              <w:t>60</w:t>
            </w:r>
          </w:hyperlink>
        </w:p>
        <w:p>
          <w:pPr>
            <w:pStyle w:val="Contents3"/>
            <w:tabs>
              <w:tab w:val="clear" w:pos="8459"/>
              <w:tab w:val="right" w:pos="9026" w:leader="dot"/>
            </w:tabs>
            <w:rPr/>
          </w:pPr>
          <w:hyperlink w:anchor="__RefHeading___Toc2967829_653776707">
            <w:r>
              <w:rPr>
                <w:webHidden/>
                <w:rStyle w:val="IndexLink"/>
                <w:rtl w:val="true"/>
              </w:rPr>
              <w:t>منابع</w:t>
            </w:r>
            <w:r>
              <w:rPr>
                <w:rStyle w:val="IndexLink"/>
                <w:rtl w:val="true"/>
              </w:rPr>
              <w:tab/>
            </w:r>
            <w:r>
              <w:rPr>
                <w:rStyle w:val="IndexLink"/>
              </w:rPr>
              <w:t>61</w:t>
            </w:r>
          </w:hyperlink>
        </w:p>
        <w:p>
          <w:pPr>
            <w:pStyle w:val="Contents2"/>
            <w:tabs>
              <w:tab w:val="clear" w:pos="8743"/>
              <w:tab w:val="right" w:pos="9026" w:leader="dot"/>
            </w:tabs>
            <w:rPr/>
          </w:pPr>
          <w:hyperlink w:anchor="__RefHeading___Toc2967831_653776707">
            <w:r>
              <w:rPr>
                <w:webHidden/>
                <w:rStyle w:val="IndexLink"/>
                <w:rtl w:val="true"/>
              </w:rPr>
              <w:t xml:space="preserve">مقتل نگاری اصحاب امام صادق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2967833_653776707">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967835_653776707">
            <w:r>
              <w:rPr>
                <w:webHidden/>
                <w:rStyle w:val="IndexLink"/>
                <w:rtl w:val="true"/>
              </w:rPr>
              <w:t>جابر بن یزید جعفی</w:t>
            </w:r>
            <w:r>
              <w:rPr>
                <w:rStyle w:val="IndexLink"/>
                <w:rtl w:val="true"/>
              </w:rPr>
              <w:tab/>
            </w:r>
            <w:r>
              <w:rPr>
                <w:rStyle w:val="IndexLink"/>
              </w:rPr>
              <w:t>67</w:t>
            </w:r>
          </w:hyperlink>
        </w:p>
        <w:p>
          <w:pPr>
            <w:pStyle w:val="Contents3"/>
            <w:tabs>
              <w:tab w:val="clear" w:pos="8459"/>
              <w:tab w:val="right" w:pos="9026" w:leader="dot"/>
            </w:tabs>
            <w:rPr/>
          </w:pPr>
          <w:hyperlink w:anchor="__RefHeading___Toc2967837_653776707">
            <w:r>
              <w:rPr>
                <w:webHidden/>
                <w:rStyle w:val="IndexLink"/>
                <w:rtl w:val="true"/>
              </w:rPr>
              <w:t>آراء و عقاید جابر</w:t>
            </w:r>
            <w:r>
              <w:rPr>
                <w:rStyle w:val="IndexLink"/>
                <w:rtl w:val="true"/>
              </w:rPr>
              <w:tab/>
            </w:r>
            <w:r>
              <w:rPr>
                <w:rStyle w:val="IndexLink"/>
              </w:rPr>
              <w:t>68</w:t>
            </w:r>
          </w:hyperlink>
        </w:p>
        <w:p>
          <w:pPr>
            <w:pStyle w:val="Contents3"/>
            <w:tabs>
              <w:tab w:val="clear" w:pos="8459"/>
              <w:tab w:val="right" w:pos="9026" w:leader="dot"/>
            </w:tabs>
            <w:rPr/>
          </w:pPr>
          <w:hyperlink w:anchor="__RefHeading___Toc2967839_653776707">
            <w:r>
              <w:rPr>
                <w:webHidden/>
                <w:rStyle w:val="IndexLink"/>
                <w:rtl w:val="true"/>
              </w:rPr>
              <w:t>تألیفات و شیوه نگارش</w:t>
            </w:r>
            <w:r>
              <w:rPr>
                <w:rStyle w:val="IndexLink"/>
                <w:rtl w:val="true"/>
              </w:rPr>
              <w:tab/>
            </w:r>
            <w:r>
              <w:rPr>
                <w:rStyle w:val="IndexLink"/>
              </w:rPr>
              <w:t>70</w:t>
            </w:r>
          </w:hyperlink>
        </w:p>
        <w:p>
          <w:pPr>
            <w:pStyle w:val="Contents3"/>
            <w:tabs>
              <w:tab w:val="clear" w:pos="8459"/>
              <w:tab w:val="right" w:pos="9026" w:leader="dot"/>
            </w:tabs>
            <w:rPr/>
          </w:pPr>
          <w:hyperlink w:anchor="__RefHeading___Toc2967841_653776707">
            <w:r>
              <w:rPr>
                <w:webHidden/>
                <w:rStyle w:val="IndexLink"/>
                <w:rtl w:val="true"/>
              </w:rPr>
              <w:t>ابومخنف، لوط بن یحیی</w:t>
            </w:r>
            <w:r>
              <w:rPr>
                <w:rStyle w:val="IndexLink"/>
                <w:rtl w:val="true"/>
              </w:rPr>
              <w:tab/>
            </w:r>
            <w:r>
              <w:rPr>
                <w:rStyle w:val="IndexLink"/>
              </w:rPr>
              <w:t>70</w:t>
            </w:r>
          </w:hyperlink>
        </w:p>
        <w:p>
          <w:pPr>
            <w:pStyle w:val="Contents3"/>
            <w:tabs>
              <w:tab w:val="clear" w:pos="8459"/>
              <w:tab w:val="right" w:pos="9026" w:leader="dot"/>
            </w:tabs>
            <w:rPr/>
          </w:pPr>
          <w:hyperlink w:anchor="__RefHeading___Toc2967843_653776707">
            <w:r>
              <w:rPr>
                <w:webHidden/>
                <w:rStyle w:val="IndexLink"/>
                <w:rtl w:val="true"/>
              </w:rPr>
              <w:t>مذهب ابومخنف از نگاه شیعه و اهل سنت</w:t>
            </w:r>
            <w:r>
              <w:rPr>
                <w:rStyle w:val="IndexLink"/>
                <w:rtl w:val="true"/>
              </w:rPr>
              <w:tab/>
            </w:r>
            <w:r>
              <w:rPr>
                <w:rStyle w:val="IndexLink"/>
              </w:rPr>
              <w:t>71</w:t>
            </w:r>
          </w:hyperlink>
        </w:p>
        <w:p>
          <w:pPr>
            <w:pStyle w:val="Contents3"/>
            <w:tabs>
              <w:tab w:val="clear" w:pos="8459"/>
              <w:tab w:val="right" w:pos="9026" w:leader="dot"/>
            </w:tabs>
            <w:rPr/>
          </w:pPr>
          <w:hyperlink w:anchor="__RefHeading___Toc2967845_653776707">
            <w:r>
              <w:rPr>
                <w:webHidden/>
                <w:rStyle w:val="IndexLink"/>
                <w:rtl w:val="true"/>
              </w:rPr>
              <w:t xml:space="preserve">شیوه نگارش مقتل ابومخنف </w:t>
            </w:r>
            <w:r>
              <w:rPr>
                <w:rStyle w:val="IndexLink"/>
                <w:rtl w:val="true"/>
              </w:rPr>
              <w:t>(</w:t>
            </w:r>
            <w:r>
              <w:rPr>
                <w:rStyle w:val="IndexLink"/>
                <w:rtl w:val="true"/>
              </w:rPr>
              <w:t xml:space="preserve">مقتل الحسین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2967847_653776707">
            <w:r>
              <w:rPr>
                <w:webHidden/>
                <w:rStyle w:val="IndexLink"/>
                <w:rtl w:val="true"/>
              </w:rPr>
              <w:t>ساختار کلی کتاب</w:t>
            </w:r>
            <w:r>
              <w:rPr>
                <w:rStyle w:val="IndexLink"/>
                <w:rtl w:val="true"/>
              </w:rPr>
              <w:tab/>
            </w:r>
            <w:r>
              <w:rPr>
                <w:rStyle w:val="IndexLink"/>
              </w:rPr>
              <w:t>77</w:t>
            </w:r>
          </w:hyperlink>
        </w:p>
        <w:p>
          <w:pPr>
            <w:pStyle w:val="Contents3"/>
            <w:tabs>
              <w:tab w:val="clear" w:pos="8459"/>
              <w:tab w:val="right" w:pos="9026" w:leader="dot"/>
            </w:tabs>
            <w:rPr/>
          </w:pPr>
          <w:hyperlink w:anchor="__RefHeading___Toc2967849_653776707">
            <w:r>
              <w:rPr>
                <w:webHidden/>
                <w:rStyle w:val="IndexLink"/>
                <w:rtl w:val="true"/>
              </w:rPr>
              <w:t>نسخه های مقتل ابومخنف</w:t>
            </w:r>
            <w:r>
              <w:rPr>
                <w:rStyle w:val="IndexLink"/>
                <w:rtl w:val="true"/>
              </w:rPr>
              <w:tab/>
            </w:r>
            <w:r>
              <w:rPr>
                <w:rStyle w:val="IndexLink"/>
              </w:rPr>
              <w:t>77</w:t>
            </w:r>
          </w:hyperlink>
        </w:p>
        <w:p>
          <w:pPr>
            <w:pStyle w:val="Contents3"/>
            <w:tabs>
              <w:tab w:val="clear" w:pos="8459"/>
              <w:tab w:val="right" w:pos="9026" w:leader="dot"/>
            </w:tabs>
            <w:rPr/>
          </w:pPr>
          <w:hyperlink w:anchor="__RefHeading___Toc2967851_653776707">
            <w:r>
              <w:rPr>
                <w:webHidden/>
                <w:rStyle w:val="IndexLink"/>
                <w:rtl w:val="true"/>
              </w:rPr>
              <w:t>منابع ابومخنف</w:t>
            </w:r>
            <w:r>
              <w:rPr>
                <w:rStyle w:val="IndexLink"/>
                <w:rtl w:val="true"/>
              </w:rPr>
              <w:tab/>
            </w:r>
            <w:r>
              <w:rPr>
                <w:rStyle w:val="IndexLink"/>
              </w:rPr>
              <w:t>78</w:t>
            </w:r>
          </w:hyperlink>
        </w:p>
        <w:p>
          <w:pPr>
            <w:pStyle w:val="Contents3"/>
            <w:tabs>
              <w:tab w:val="clear" w:pos="8459"/>
              <w:tab w:val="right" w:pos="9026" w:leader="dot"/>
            </w:tabs>
            <w:rPr/>
          </w:pPr>
          <w:hyperlink w:anchor="__RefHeading___Toc2967853_653776707">
            <w:r>
              <w:rPr>
                <w:webHidden/>
                <w:rStyle w:val="IndexLink"/>
                <w:rtl w:val="true"/>
              </w:rPr>
              <w:t>هشام بن محمد بن سائب کلبی</w:t>
            </w:r>
            <w:r>
              <w:rPr>
                <w:rStyle w:val="IndexLink"/>
                <w:rtl w:val="true"/>
              </w:rPr>
              <w:tab/>
            </w:r>
            <w:r>
              <w:rPr>
                <w:rStyle w:val="IndexLink"/>
              </w:rPr>
              <w:t>79</w:t>
            </w:r>
          </w:hyperlink>
        </w:p>
        <w:p>
          <w:pPr>
            <w:pStyle w:val="Contents3"/>
            <w:tabs>
              <w:tab w:val="clear" w:pos="8459"/>
              <w:tab w:val="right" w:pos="9026" w:leader="dot"/>
            </w:tabs>
            <w:rPr/>
          </w:pPr>
          <w:hyperlink w:anchor="__RefHeading___Toc2967855_653776707">
            <w:r>
              <w:rPr>
                <w:webHidden/>
                <w:rStyle w:val="IndexLink"/>
                <w:rtl w:val="true"/>
              </w:rPr>
              <w:t>مذهب هشام بن سائب کلبی</w:t>
            </w:r>
            <w:r>
              <w:rPr>
                <w:rStyle w:val="IndexLink"/>
                <w:rtl w:val="true"/>
              </w:rPr>
              <w:tab/>
            </w:r>
            <w:r>
              <w:rPr>
                <w:rStyle w:val="IndexLink"/>
              </w:rPr>
              <w:t>80</w:t>
            </w:r>
          </w:hyperlink>
        </w:p>
        <w:p>
          <w:pPr>
            <w:pStyle w:val="Contents3"/>
            <w:tabs>
              <w:tab w:val="clear" w:pos="8459"/>
              <w:tab w:val="right" w:pos="9026" w:leader="dot"/>
            </w:tabs>
            <w:rPr/>
          </w:pPr>
          <w:hyperlink w:anchor="__RefHeading___Toc2967857_653776707">
            <w:r>
              <w:rPr>
                <w:webHidden/>
                <w:rStyle w:val="IndexLink"/>
                <w:rtl w:val="true"/>
              </w:rPr>
              <w:t>آثار هشام</w:t>
            </w:r>
            <w:r>
              <w:rPr>
                <w:rStyle w:val="IndexLink"/>
                <w:rtl w:val="true"/>
              </w:rPr>
              <w:tab/>
            </w:r>
            <w:r>
              <w:rPr>
                <w:rStyle w:val="IndexLink"/>
              </w:rPr>
              <w:t>80</w:t>
            </w:r>
          </w:hyperlink>
        </w:p>
        <w:p>
          <w:pPr>
            <w:pStyle w:val="Contents3"/>
            <w:tabs>
              <w:tab w:val="clear" w:pos="8459"/>
              <w:tab w:val="right" w:pos="9026" w:leader="dot"/>
            </w:tabs>
            <w:rPr/>
          </w:pPr>
          <w:hyperlink w:anchor="__RefHeading___Toc2967859_653776707">
            <w:r>
              <w:rPr>
                <w:webHidden/>
                <w:rStyle w:val="IndexLink"/>
                <w:rtl w:val="true"/>
              </w:rPr>
              <w:t>ابن هلال ثقفی کوفی</w:t>
            </w:r>
            <w:r>
              <w:rPr>
                <w:rStyle w:val="IndexLink"/>
                <w:rtl w:val="true"/>
              </w:rPr>
              <w:tab/>
            </w:r>
            <w:r>
              <w:rPr>
                <w:rStyle w:val="IndexLink"/>
              </w:rPr>
              <w:t>82</w:t>
            </w:r>
          </w:hyperlink>
        </w:p>
        <w:p>
          <w:pPr>
            <w:pStyle w:val="Contents3"/>
            <w:tabs>
              <w:tab w:val="clear" w:pos="8459"/>
              <w:tab w:val="right" w:pos="9026" w:leader="dot"/>
            </w:tabs>
            <w:rPr/>
          </w:pPr>
          <w:hyperlink w:anchor="__RefHeading___Toc2967861_653776707">
            <w:r>
              <w:rPr>
                <w:webHidden/>
                <w:rStyle w:val="IndexLink"/>
                <w:rtl w:val="true"/>
              </w:rPr>
              <w:t>مذهب ابو اسحاق</w:t>
            </w:r>
            <w:r>
              <w:rPr>
                <w:rStyle w:val="IndexLink"/>
                <w:rtl w:val="true"/>
              </w:rPr>
              <w:tab/>
            </w:r>
            <w:r>
              <w:rPr>
                <w:rStyle w:val="IndexLink"/>
              </w:rPr>
              <w:t>82</w:t>
            </w:r>
          </w:hyperlink>
        </w:p>
        <w:p>
          <w:pPr>
            <w:pStyle w:val="Contents3"/>
            <w:tabs>
              <w:tab w:val="clear" w:pos="8459"/>
              <w:tab w:val="right" w:pos="9026" w:leader="dot"/>
            </w:tabs>
            <w:rPr/>
          </w:pPr>
          <w:hyperlink w:anchor="__RefHeading___Toc2967863_653776707">
            <w:r>
              <w:rPr>
                <w:webHidden/>
                <w:rStyle w:val="IndexLink"/>
                <w:rtl w:val="true"/>
              </w:rPr>
              <w:t>آثار و شیوه نگارش</w:t>
            </w:r>
            <w:r>
              <w:rPr>
                <w:rStyle w:val="IndexLink"/>
                <w:rtl w:val="true"/>
              </w:rPr>
              <w:tab/>
            </w:r>
            <w:r>
              <w:rPr>
                <w:rStyle w:val="IndexLink"/>
              </w:rPr>
              <w:t>83</w:t>
            </w:r>
          </w:hyperlink>
        </w:p>
        <w:p>
          <w:pPr>
            <w:pStyle w:val="Contents3"/>
            <w:tabs>
              <w:tab w:val="clear" w:pos="8459"/>
              <w:tab w:val="right" w:pos="9026" w:leader="dot"/>
            </w:tabs>
            <w:rPr/>
          </w:pPr>
          <w:hyperlink w:anchor="__RefHeading___Toc2967865_653776707">
            <w:r>
              <w:rPr>
                <w:webHidden/>
                <w:rStyle w:val="IndexLink"/>
                <w:rtl w:val="true"/>
              </w:rPr>
              <w:t>نتیجه</w:t>
            </w:r>
            <w:r>
              <w:rPr>
                <w:rStyle w:val="IndexLink"/>
                <w:rtl w:val="true"/>
              </w:rPr>
              <w:tab/>
            </w:r>
            <w:r>
              <w:rPr>
                <w:rStyle w:val="IndexLink"/>
              </w:rPr>
              <w:t>83</w:t>
            </w:r>
          </w:hyperlink>
        </w:p>
        <w:p>
          <w:pPr>
            <w:pStyle w:val="Contents3"/>
            <w:tabs>
              <w:tab w:val="clear" w:pos="8459"/>
              <w:tab w:val="right" w:pos="9026" w:leader="dot"/>
            </w:tabs>
            <w:rPr/>
          </w:pPr>
          <w:hyperlink w:anchor="__RefHeading___Toc2967867_653776707">
            <w:r>
              <w:rPr>
                <w:webHidden/>
                <w:rStyle w:val="IndexLink"/>
                <w:rtl w:val="true"/>
              </w:rPr>
              <w:t>منابع</w:t>
            </w:r>
            <w:r>
              <w:rPr>
                <w:rStyle w:val="IndexLink"/>
                <w:rtl w:val="true"/>
              </w:rPr>
              <w:tab/>
            </w:r>
            <w:r>
              <w:rPr>
                <w:rStyle w:val="IndexLink"/>
              </w:rPr>
              <w:t>84</w:t>
            </w:r>
          </w:hyperlink>
        </w:p>
        <w:p>
          <w:pPr>
            <w:pStyle w:val="Contents2"/>
            <w:tabs>
              <w:tab w:val="clear" w:pos="8743"/>
              <w:tab w:val="right" w:pos="9026" w:leader="dot"/>
            </w:tabs>
            <w:rPr/>
          </w:pPr>
          <w:hyperlink w:anchor="__RefHeading___Toc2967869_653776707">
            <w:r>
              <w:rPr>
                <w:webHidden/>
                <w:rStyle w:val="IndexLink"/>
                <w:rtl w:val="true"/>
              </w:rPr>
              <w:t xml:space="preserve">شخصیت دالی و مدلولی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 اساس الگوی نشانه شناسی هامون</w:t>
            </w:r>
            <w:r>
              <w:rPr>
                <w:rStyle w:val="IndexLink"/>
                <w:rtl w:val="true"/>
              </w:rPr>
              <w:tab/>
            </w:r>
            <w:r>
              <w:rPr>
                <w:rStyle w:val="IndexLink"/>
              </w:rPr>
              <w:t>90</w:t>
            </w:r>
          </w:hyperlink>
        </w:p>
        <w:p>
          <w:pPr>
            <w:pStyle w:val="Contents3"/>
            <w:tabs>
              <w:tab w:val="clear" w:pos="8459"/>
              <w:tab w:val="right" w:pos="9026" w:leader="dot"/>
            </w:tabs>
            <w:rPr/>
          </w:pPr>
          <w:hyperlink w:anchor="__RefHeading___Toc2967871_65377670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967873_653776707">
            <w:r>
              <w:rPr>
                <w:webHidden/>
                <w:rStyle w:val="IndexLink"/>
                <w:rtl w:val="true"/>
              </w:rPr>
              <w:t>مقدمه</w:t>
            </w:r>
            <w:r>
              <w:rPr>
                <w:rStyle w:val="IndexLink"/>
                <w:rtl w:val="true"/>
              </w:rPr>
              <w:tab/>
            </w:r>
            <w:r>
              <w:rPr>
                <w:rStyle w:val="IndexLink"/>
              </w:rPr>
              <w:t>91</w:t>
            </w:r>
          </w:hyperlink>
        </w:p>
        <w:p>
          <w:pPr>
            <w:pStyle w:val="Contents3"/>
            <w:tabs>
              <w:tab w:val="clear" w:pos="8459"/>
              <w:tab w:val="right" w:pos="9026" w:leader="dot"/>
            </w:tabs>
            <w:rPr/>
          </w:pPr>
          <w:hyperlink w:anchor="__RefHeading___Toc2967875_653776707">
            <w:r>
              <w:rPr>
                <w:webHidden/>
                <w:rStyle w:val="IndexLink"/>
                <w:rtl w:val="true"/>
              </w:rPr>
              <w:t>پیشینه پژوهش</w:t>
            </w:r>
            <w:r>
              <w:rPr>
                <w:rStyle w:val="IndexLink"/>
                <w:rtl w:val="true"/>
              </w:rPr>
              <w:tab/>
            </w:r>
            <w:r>
              <w:rPr>
                <w:rStyle w:val="IndexLink"/>
              </w:rPr>
              <w:t>92</w:t>
            </w:r>
          </w:hyperlink>
        </w:p>
        <w:p>
          <w:pPr>
            <w:pStyle w:val="Contents3"/>
            <w:tabs>
              <w:tab w:val="clear" w:pos="8459"/>
              <w:tab w:val="right" w:pos="9026" w:leader="dot"/>
            </w:tabs>
            <w:rPr/>
          </w:pPr>
          <w:hyperlink w:anchor="__RefHeading___Toc2967877_653776707">
            <w:r>
              <w:rPr>
                <w:webHidden/>
                <w:rStyle w:val="IndexLink"/>
                <w:rtl w:val="true"/>
              </w:rPr>
              <w:t>نشانه شناسی</w:t>
            </w:r>
            <w:r>
              <w:rPr>
                <w:rStyle w:val="IndexLink"/>
                <w:rtl w:val="true"/>
              </w:rPr>
              <w:tab/>
            </w:r>
            <w:r>
              <w:rPr>
                <w:rStyle w:val="IndexLink"/>
              </w:rPr>
              <w:t>93</w:t>
            </w:r>
          </w:hyperlink>
        </w:p>
        <w:p>
          <w:pPr>
            <w:pStyle w:val="Contents3"/>
            <w:tabs>
              <w:tab w:val="clear" w:pos="8459"/>
              <w:tab w:val="right" w:pos="9026" w:leader="dot"/>
            </w:tabs>
            <w:rPr/>
          </w:pPr>
          <w:hyperlink w:anchor="__RefHeading___Toc2967879_653776707">
            <w:r>
              <w:rPr>
                <w:webHidden/>
                <w:rStyle w:val="IndexLink"/>
                <w:rtl w:val="true"/>
              </w:rPr>
              <w:t>رابطه بین دال و مدلول در نشانه شناسی</w:t>
            </w:r>
            <w:r>
              <w:rPr>
                <w:rStyle w:val="IndexLink"/>
                <w:rtl w:val="true"/>
              </w:rPr>
              <w:tab/>
            </w:r>
            <w:r>
              <w:rPr>
                <w:rStyle w:val="IndexLink"/>
              </w:rPr>
              <w:t>93</w:t>
            </w:r>
          </w:hyperlink>
        </w:p>
        <w:p>
          <w:pPr>
            <w:pStyle w:val="Contents3"/>
            <w:tabs>
              <w:tab w:val="clear" w:pos="8459"/>
              <w:tab w:val="right" w:pos="9026" w:leader="dot"/>
            </w:tabs>
            <w:rPr/>
          </w:pPr>
          <w:hyperlink w:anchor="__RefHeading___Toc2967881_653776707">
            <w:r>
              <w:rPr>
                <w:webHidden/>
                <w:rStyle w:val="IndexLink"/>
                <w:rtl w:val="true"/>
              </w:rPr>
              <w:t>نشانه شناسی شخصیت</w:t>
            </w:r>
            <w:r>
              <w:rPr>
                <w:rStyle w:val="IndexLink"/>
                <w:rtl w:val="true"/>
              </w:rPr>
              <w:tab/>
            </w:r>
            <w:r>
              <w:rPr>
                <w:rStyle w:val="IndexLink"/>
              </w:rPr>
              <w:t>94</w:t>
            </w:r>
          </w:hyperlink>
        </w:p>
        <w:p>
          <w:pPr>
            <w:pStyle w:val="Contents3"/>
            <w:tabs>
              <w:tab w:val="clear" w:pos="8459"/>
              <w:tab w:val="right" w:pos="9026" w:leader="dot"/>
            </w:tabs>
            <w:rPr/>
          </w:pPr>
          <w:hyperlink w:anchor="__RefHeading___Toc2967883_653776707">
            <w:r>
              <w:rPr>
                <w:webHidden/>
                <w:rStyle w:val="IndexLink"/>
                <w:rtl w:val="true"/>
              </w:rPr>
              <w:t xml:space="preserve">شخصیت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عنوان دال</w:t>
            </w:r>
            <w:r>
              <w:rPr>
                <w:rStyle w:val="IndexLink"/>
                <w:rtl w:val="true"/>
              </w:rPr>
              <w:tab/>
            </w:r>
            <w:r>
              <w:rPr>
                <w:rStyle w:val="IndexLink"/>
              </w:rPr>
              <w:t>95</w:t>
            </w:r>
          </w:hyperlink>
        </w:p>
        <w:p>
          <w:pPr>
            <w:pStyle w:val="Contents3"/>
            <w:tabs>
              <w:tab w:val="clear" w:pos="8459"/>
              <w:tab w:val="right" w:pos="9026" w:leader="dot"/>
            </w:tabs>
            <w:rPr/>
          </w:pPr>
          <w:hyperlink w:anchor="__RefHeading___Toc2967885_653776707">
            <w:r>
              <w:rPr>
                <w:webHidden/>
                <w:rStyle w:val="IndexLink"/>
                <w:rtl w:val="true"/>
              </w:rPr>
              <w:t xml:space="preserve">نام شناسی شخصیت امام حسین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2967887_653776707">
            <w:r>
              <w:rPr>
                <w:webHidden/>
                <w:rStyle w:val="IndexLink"/>
                <w:rtl w:val="true"/>
              </w:rPr>
              <w:t xml:space="preserve">شخصیت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عنوان مدلول</w:t>
            </w:r>
            <w:r>
              <w:rPr>
                <w:rStyle w:val="IndexLink"/>
                <w:rtl w:val="true"/>
              </w:rPr>
              <w:tab/>
            </w:r>
            <w:r>
              <w:rPr>
                <w:rStyle w:val="IndexLink"/>
              </w:rPr>
              <w:t>97</w:t>
            </w:r>
          </w:hyperlink>
        </w:p>
        <w:p>
          <w:pPr>
            <w:pStyle w:val="Contents4"/>
            <w:tabs>
              <w:tab w:val="clear" w:pos="8176"/>
              <w:tab w:val="right" w:pos="9026" w:leader="dot"/>
            </w:tabs>
            <w:rPr/>
          </w:pPr>
          <w:hyperlink w:anchor="__RefHeading___Toc2967889_653776707">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967891_653776707">
            <w:r>
              <w:rPr>
                <w:webHidden/>
                <w:rStyle w:val="IndexLink"/>
              </w:rPr>
              <w:t>1</w:t>
            </w:r>
            <w:r>
              <w:rPr>
                <w:rStyle w:val="IndexLink"/>
                <w:rtl w:val="true"/>
              </w:rPr>
              <w:t xml:space="preserve">) </w:t>
            </w:r>
            <w:r>
              <w:rPr>
                <w:rStyle w:val="IndexLink"/>
                <w:rtl w:val="true"/>
              </w:rPr>
              <w:t xml:space="preserve">دلاوری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یارانش</w:t>
            </w:r>
            <w:r>
              <w:rPr>
                <w:rStyle w:val="IndexLink"/>
                <w:rtl w:val="true"/>
              </w:rPr>
              <w:tab/>
            </w:r>
            <w:r>
              <w:rPr>
                <w:rStyle w:val="IndexLink"/>
              </w:rPr>
              <w:t>97</w:t>
            </w:r>
          </w:hyperlink>
        </w:p>
        <w:p>
          <w:pPr>
            <w:pStyle w:val="Contents4"/>
            <w:tabs>
              <w:tab w:val="clear" w:pos="8176"/>
              <w:tab w:val="right" w:pos="9026" w:leader="dot"/>
            </w:tabs>
            <w:rPr/>
          </w:pPr>
          <w:hyperlink w:anchor="__RefHeading___Toc2967893_653776707">
            <w:r>
              <w:rPr>
                <w:webHidden/>
                <w:rStyle w:val="IndexLink"/>
              </w:rPr>
              <w:t>2</w:t>
            </w:r>
            <w:r>
              <w:rPr>
                <w:rStyle w:val="IndexLink"/>
                <w:rtl w:val="true"/>
              </w:rPr>
              <w:t xml:space="preserve">) </w:t>
            </w:r>
            <w:r>
              <w:rPr>
                <w:rStyle w:val="IndexLink"/>
                <w:rtl w:val="true"/>
              </w:rPr>
              <w:t xml:space="preserve">فتوت و گذشت امام حسین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2967895_653776707">
            <w:r>
              <w:rPr>
                <w:webHidden/>
                <w:rStyle w:val="IndexLink"/>
              </w:rPr>
              <w:t>3</w:t>
            </w:r>
            <w:r>
              <w:rPr>
                <w:rStyle w:val="IndexLink"/>
                <w:rtl w:val="true"/>
              </w:rPr>
              <w:t xml:space="preserve">) </w:t>
            </w:r>
            <w:r>
              <w:rPr>
                <w:rStyle w:val="IndexLink"/>
                <w:rtl w:val="true"/>
              </w:rPr>
              <w:t xml:space="preserve">فروتنی و تقوای امام حسین </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4"/>
            <w:tabs>
              <w:tab w:val="clear" w:pos="8176"/>
              <w:tab w:val="right" w:pos="9026" w:leader="dot"/>
            </w:tabs>
            <w:rPr/>
          </w:pPr>
          <w:hyperlink w:anchor="__RefHeading___Toc2967897_653776707">
            <w:r>
              <w:rPr>
                <w:webHidden/>
                <w:rStyle w:val="IndexLink"/>
              </w:rPr>
              <w:t>4</w:t>
            </w:r>
            <w:r>
              <w:rPr>
                <w:rStyle w:val="IndexLink"/>
                <w:rtl w:val="true"/>
              </w:rPr>
              <w:t xml:space="preserve">) </w:t>
            </w:r>
            <w:r>
              <w:rPr>
                <w:rStyle w:val="IndexLink"/>
                <w:rtl w:val="true"/>
              </w:rPr>
              <w:t xml:space="preserve">بخشندگی و سخاوت امام حسین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2967899_653776707">
            <w:r>
              <w:rPr>
                <w:webHidden/>
                <w:rStyle w:val="IndexLink"/>
              </w:rPr>
              <w:t>5</w:t>
            </w:r>
            <w:r>
              <w:rPr>
                <w:rStyle w:val="IndexLink"/>
                <w:rtl w:val="true"/>
              </w:rPr>
              <w:t xml:space="preserve">) </w:t>
            </w:r>
            <w:r>
              <w:rPr>
                <w:rStyle w:val="IndexLink"/>
                <w:rtl w:val="true"/>
              </w:rPr>
              <w:t xml:space="preserve">شکیبایی امام حسین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2967901_653776707">
            <w:r>
              <w:rPr>
                <w:webHidden/>
                <w:rStyle w:val="IndexLink"/>
              </w:rPr>
              <w:t>6</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عنوان چراغ هدایت و کشتی نجات</w:t>
            </w:r>
            <w:r>
              <w:rPr>
                <w:rStyle w:val="IndexLink"/>
                <w:rtl w:val="true"/>
              </w:rPr>
              <w:tab/>
            </w:r>
            <w:r>
              <w:rPr>
                <w:rStyle w:val="IndexLink"/>
              </w:rPr>
              <w:t>103</w:t>
            </w:r>
          </w:hyperlink>
        </w:p>
        <w:p>
          <w:pPr>
            <w:pStyle w:val="Contents3"/>
            <w:tabs>
              <w:tab w:val="clear" w:pos="8459"/>
              <w:tab w:val="right" w:pos="9026" w:leader="dot"/>
            </w:tabs>
            <w:rPr/>
          </w:pPr>
          <w:hyperlink w:anchor="__RefHeading___Toc2967903_653776707">
            <w:r>
              <w:rPr>
                <w:webHidden/>
                <w:rStyle w:val="IndexLink"/>
                <w:rtl w:val="true"/>
              </w:rPr>
              <w:t>نتیجه</w:t>
            </w:r>
            <w:r>
              <w:rPr>
                <w:rStyle w:val="IndexLink"/>
                <w:rtl w:val="true"/>
              </w:rPr>
              <w:tab/>
            </w:r>
            <w:r>
              <w:rPr>
                <w:rStyle w:val="IndexLink"/>
              </w:rPr>
              <w:t>104</w:t>
            </w:r>
          </w:hyperlink>
        </w:p>
        <w:p>
          <w:pPr>
            <w:pStyle w:val="Contents3"/>
            <w:tabs>
              <w:tab w:val="clear" w:pos="8459"/>
              <w:tab w:val="right" w:pos="9026" w:leader="dot"/>
            </w:tabs>
            <w:rPr/>
          </w:pPr>
          <w:hyperlink w:anchor="__RefHeading___Toc2967905_653776707">
            <w:r>
              <w:rPr>
                <w:webHidden/>
                <w:rStyle w:val="IndexLink"/>
                <w:rtl w:val="true"/>
              </w:rPr>
              <w:t>منابع</w:t>
            </w:r>
            <w:r>
              <w:rPr>
                <w:rStyle w:val="IndexLink"/>
                <w:rtl w:val="true"/>
              </w:rPr>
              <w:tab/>
            </w:r>
            <w:r>
              <w:rPr>
                <w:rStyle w:val="IndexLink"/>
              </w:rPr>
              <w:t>105</w:t>
            </w:r>
          </w:hyperlink>
        </w:p>
        <w:p>
          <w:pPr>
            <w:pStyle w:val="Contents2"/>
            <w:tabs>
              <w:tab w:val="clear" w:pos="8743"/>
              <w:tab w:val="right" w:pos="9026" w:leader="dot"/>
            </w:tabs>
            <w:rPr/>
          </w:pPr>
          <w:hyperlink w:anchor="__RefHeading___Toc2967907_653776707">
            <w:r>
              <w:rPr>
                <w:webHidden/>
                <w:rStyle w:val="IndexLink"/>
                <w:rtl w:val="true"/>
              </w:rPr>
              <w:t>الگوی پردازش روایات در المنتخب طریحی</w:t>
            </w:r>
            <w:r>
              <w:rPr>
                <w:rStyle w:val="IndexLink"/>
                <w:rtl w:val="true"/>
              </w:rPr>
              <w:tab/>
            </w:r>
            <w:r>
              <w:rPr>
                <w:rStyle w:val="IndexLink"/>
              </w:rPr>
              <w:t>110</w:t>
            </w:r>
          </w:hyperlink>
        </w:p>
        <w:p>
          <w:pPr>
            <w:pStyle w:val="Contents3"/>
            <w:tabs>
              <w:tab w:val="clear" w:pos="8459"/>
              <w:tab w:val="right" w:pos="9026" w:leader="dot"/>
            </w:tabs>
            <w:rPr/>
          </w:pPr>
          <w:hyperlink w:anchor="__RefHeading___Toc2967909_653776707">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967911_653776707">
            <w:r>
              <w:rPr>
                <w:webHidden/>
                <w:rStyle w:val="IndexLink"/>
                <w:rtl w:val="true"/>
              </w:rPr>
              <w:t>درآمد</w:t>
            </w:r>
            <w:r>
              <w:rPr>
                <w:rStyle w:val="IndexLink"/>
                <w:rtl w:val="true"/>
              </w:rPr>
              <w:tab/>
            </w:r>
            <w:r>
              <w:rPr>
                <w:rStyle w:val="IndexLink"/>
              </w:rPr>
              <w:t>111</w:t>
            </w:r>
          </w:hyperlink>
        </w:p>
        <w:p>
          <w:pPr>
            <w:pStyle w:val="Contents3"/>
            <w:tabs>
              <w:tab w:val="clear" w:pos="8459"/>
              <w:tab w:val="right" w:pos="9026" w:leader="dot"/>
            </w:tabs>
            <w:rPr/>
          </w:pPr>
          <w:hyperlink w:anchor="__RefHeading___Toc2967913_653776707">
            <w:r>
              <w:rPr>
                <w:webHidden/>
                <w:rStyle w:val="IndexLink"/>
                <w:rtl w:val="true"/>
              </w:rPr>
              <w:t>پیشینه پژوهش</w:t>
            </w:r>
            <w:r>
              <w:rPr>
                <w:rStyle w:val="IndexLink"/>
                <w:rtl w:val="true"/>
              </w:rPr>
              <w:tab/>
            </w:r>
            <w:r>
              <w:rPr>
                <w:rStyle w:val="IndexLink"/>
              </w:rPr>
              <w:t>111</w:t>
            </w:r>
          </w:hyperlink>
        </w:p>
        <w:p>
          <w:pPr>
            <w:pStyle w:val="Contents4"/>
            <w:tabs>
              <w:tab w:val="clear" w:pos="8176"/>
              <w:tab w:val="right" w:pos="9026" w:leader="dot"/>
            </w:tabs>
            <w:rPr/>
          </w:pPr>
          <w:hyperlink w:anchor="__RefHeading___Toc2967915_653776707">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967917_653776707">
            <w:r>
              <w:rPr>
                <w:webHidden/>
                <w:rStyle w:val="IndexLink"/>
              </w:rPr>
              <w:t>1</w:t>
            </w:r>
            <w:r>
              <w:rPr>
                <w:rStyle w:val="IndexLink"/>
                <w:rtl w:val="true"/>
              </w:rPr>
              <w:t xml:space="preserve">. </w:t>
            </w:r>
            <w:r>
              <w:rPr>
                <w:rStyle w:val="IndexLink"/>
                <w:rtl w:val="true"/>
              </w:rPr>
              <w:t>تلفیق و ترکیب روایات</w:t>
            </w:r>
            <w:r>
              <w:rPr>
                <w:rStyle w:val="IndexLink"/>
                <w:rtl w:val="true"/>
              </w:rPr>
              <w:tab/>
            </w:r>
            <w:r>
              <w:rPr>
                <w:rStyle w:val="IndexLink"/>
              </w:rPr>
              <w:t>113</w:t>
            </w:r>
          </w:hyperlink>
        </w:p>
        <w:p>
          <w:pPr>
            <w:pStyle w:val="Contents5"/>
            <w:tabs>
              <w:tab w:val="clear" w:pos="7892"/>
              <w:tab w:val="right" w:pos="9026" w:leader="dot"/>
            </w:tabs>
            <w:rPr/>
          </w:pPr>
          <w:hyperlink w:anchor="__RefHeading___Toc2967919_65377670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967921_653776707">
            <w:r>
              <w:rPr>
                <w:webHidden/>
                <w:rStyle w:val="IndexLink"/>
                <w:rtl w:val="true"/>
              </w:rPr>
              <w:t>الف</w:t>
            </w:r>
            <w:r>
              <w:rPr>
                <w:rStyle w:val="IndexLink"/>
                <w:rtl w:val="true"/>
              </w:rPr>
              <w:t xml:space="preserve">) </w:t>
            </w:r>
            <w:r>
              <w:rPr>
                <w:rStyle w:val="IndexLink"/>
                <w:rtl w:val="true"/>
              </w:rPr>
              <w:t>تلفیق روایات پراکنده از منابعِ گوناگون</w:t>
            </w:r>
            <w:r>
              <w:rPr>
                <w:rStyle w:val="IndexLink"/>
                <w:rtl w:val="true"/>
              </w:rPr>
              <w:tab/>
            </w:r>
            <w:r>
              <w:rPr>
                <w:rStyle w:val="IndexLink"/>
              </w:rPr>
              <w:t>113</w:t>
            </w:r>
          </w:hyperlink>
        </w:p>
        <w:p>
          <w:pPr>
            <w:pStyle w:val="Contents5"/>
            <w:tabs>
              <w:tab w:val="clear" w:pos="7892"/>
              <w:tab w:val="right" w:pos="9026" w:leader="dot"/>
            </w:tabs>
            <w:rPr/>
          </w:pPr>
          <w:hyperlink w:anchor="__RefHeading___Toc2967923_653776707">
            <w:r>
              <w:rPr>
                <w:webHidden/>
                <w:rStyle w:val="IndexLink"/>
                <w:rtl w:val="true"/>
              </w:rPr>
              <w:t>ب</w:t>
            </w:r>
            <w:r>
              <w:rPr>
                <w:rStyle w:val="IndexLink"/>
                <w:rtl w:val="true"/>
              </w:rPr>
              <w:t xml:space="preserve">) </w:t>
            </w:r>
            <w:r>
              <w:rPr>
                <w:rStyle w:val="IndexLink"/>
                <w:rtl w:val="true"/>
              </w:rPr>
              <w:t>تلفیق روایات از یک منبع مشترک</w:t>
            </w:r>
            <w:r>
              <w:rPr>
                <w:rStyle w:val="IndexLink"/>
                <w:rtl w:val="true"/>
              </w:rPr>
              <w:tab/>
            </w:r>
            <w:r>
              <w:rPr>
                <w:rStyle w:val="IndexLink"/>
              </w:rPr>
              <w:t>116</w:t>
            </w:r>
          </w:hyperlink>
        </w:p>
        <w:p>
          <w:pPr>
            <w:pStyle w:val="Contents4"/>
            <w:tabs>
              <w:tab w:val="clear" w:pos="8176"/>
              <w:tab w:val="right" w:pos="9026" w:leader="dot"/>
            </w:tabs>
            <w:rPr/>
          </w:pPr>
          <w:hyperlink w:anchor="__RefHeading___Toc2967925_653776707">
            <w:r>
              <w:rPr>
                <w:webHidden/>
                <w:rStyle w:val="IndexLink"/>
              </w:rPr>
              <w:t>2</w:t>
            </w:r>
            <w:r>
              <w:rPr>
                <w:rStyle w:val="IndexLink"/>
                <w:rtl w:val="true"/>
              </w:rPr>
              <w:t xml:space="preserve">. </w:t>
            </w:r>
            <w:r>
              <w:rPr>
                <w:rStyle w:val="IndexLink"/>
                <w:rtl w:val="true"/>
              </w:rPr>
              <w:t>تحریف متن روایات</w:t>
            </w:r>
            <w:r>
              <w:rPr>
                <w:rStyle w:val="IndexLink"/>
                <w:rtl w:val="true"/>
              </w:rPr>
              <w:tab/>
            </w:r>
            <w:r>
              <w:rPr>
                <w:rStyle w:val="IndexLink"/>
              </w:rPr>
              <w:t>121</w:t>
            </w:r>
          </w:hyperlink>
        </w:p>
        <w:p>
          <w:pPr>
            <w:pStyle w:val="Contents5"/>
            <w:tabs>
              <w:tab w:val="clear" w:pos="7892"/>
              <w:tab w:val="right" w:pos="9026" w:leader="dot"/>
            </w:tabs>
            <w:rPr/>
          </w:pPr>
          <w:hyperlink w:anchor="__RefHeading___Toc2967927_653776707">
            <w:r>
              <w:rPr>
                <w:webHidden/>
                <w:rStyle w:val="IndexLink"/>
                <w:rtl w:val="true"/>
              </w:rPr>
              <w:t>الف</w:t>
            </w:r>
            <w:r>
              <w:rPr>
                <w:rStyle w:val="IndexLink"/>
                <w:rtl w:val="true"/>
              </w:rPr>
              <w:t xml:space="preserve">) </w:t>
            </w:r>
            <w:r>
              <w:rPr>
                <w:rStyle w:val="IndexLink"/>
                <w:rtl w:val="true"/>
              </w:rPr>
              <w:t>افزودن مقدمه و مؤخره به متن روایات</w:t>
            </w:r>
            <w:r>
              <w:rPr>
                <w:rStyle w:val="IndexLink"/>
                <w:rtl w:val="true"/>
              </w:rPr>
              <w:tab/>
            </w:r>
            <w:r>
              <w:rPr>
                <w:rStyle w:val="IndexLink"/>
              </w:rPr>
              <w:t>121</w:t>
            </w:r>
          </w:hyperlink>
        </w:p>
        <w:p>
          <w:pPr>
            <w:pStyle w:val="Contents5"/>
            <w:tabs>
              <w:tab w:val="clear" w:pos="7892"/>
              <w:tab w:val="right" w:pos="9026" w:leader="dot"/>
            </w:tabs>
            <w:rPr/>
          </w:pPr>
          <w:hyperlink w:anchor="__RefHeading___Toc2967929_653776707">
            <w:r>
              <w:rPr>
                <w:webHidden/>
                <w:rStyle w:val="IndexLink"/>
                <w:rtl w:val="true"/>
              </w:rPr>
              <w:t>ب</w:t>
            </w:r>
            <w:r>
              <w:rPr>
                <w:rStyle w:val="IndexLink"/>
                <w:rtl w:val="true"/>
              </w:rPr>
              <w:t xml:space="preserve">) </w:t>
            </w:r>
            <w:r>
              <w:rPr>
                <w:rStyle w:val="IndexLink"/>
                <w:rtl w:val="true"/>
              </w:rPr>
              <w:t>نقل به معنا، اضافات توضیحی و پرورش متون</w:t>
            </w:r>
            <w:r>
              <w:rPr>
                <w:rStyle w:val="IndexLink"/>
                <w:rtl w:val="true"/>
              </w:rPr>
              <w:tab/>
            </w:r>
            <w:r>
              <w:rPr>
                <w:rStyle w:val="IndexLink"/>
              </w:rPr>
              <w:t>123</w:t>
            </w:r>
          </w:hyperlink>
        </w:p>
        <w:p>
          <w:pPr>
            <w:pStyle w:val="Contents5"/>
            <w:tabs>
              <w:tab w:val="clear" w:pos="7892"/>
              <w:tab w:val="right" w:pos="9026" w:leader="dot"/>
            </w:tabs>
            <w:rPr/>
          </w:pPr>
          <w:hyperlink w:anchor="__RefHeading___Toc2967931_653776707">
            <w:r>
              <w:rPr>
                <w:webHidden/>
                <w:rStyle w:val="IndexLink"/>
                <w:rtl w:val="true"/>
              </w:rPr>
              <w:t>ج</w:t>
            </w:r>
            <w:r>
              <w:rPr>
                <w:rStyle w:val="IndexLink"/>
                <w:rtl w:val="true"/>
              </w:rPr>
              <w:t xml:space="preserve">) </w:t>
            </w:r>
            <w:r>
              <w:rPr>
                <w:rStyle w:val="IndexLink"/>
                <w:rtl w:val="true"/>
              </w:rPr>
              <w:t>اضافات و تغییرات جهت دار</w:t>
            </w:r>
            <w:r>
              <w:rPr>
                <w:rStyle w:val="IndexLink"/>
                <w:rtl w:val="true"/>
              </w:rPr>
              <w:tab/>
            </w:r>
            <w:r>
              <w:rPr>
                <w:rStyle w:val="IndexLink"/>
              </w:rPr>
              <w:t>125</w:t>
            </w:r>
          </w:hyperlink>
        </w:p>
        <w:p>
          <w:pPr>
            <w:pStyle w:val="Contents4"/>
            <w:tabs>
              <w:tab w:val="clear" w:pos="8176"/>
              <w:tab w:val="right" w:pos="9026" w:leader="dot"/>
            </w:tabs>
            <w:rPr/>
          </w:pPr>
          <w:hyperlink w:anchor="__RefHeading___Toc2967933_653776707">
            <w:r>
              <w:rPr>
                <w:webHidden/>
                <w:rStyle w:val="IndexLink"/>
              </w:rPr>
              <w:t>3</w:t>
            </w:r>
            <w:r>
              <w:rPr>
                <w:rStyle w:val="IndexLink"/>
                <w:rtl w:val="true"/>
              </w:rPr>
              <w:t xml:space="preserve">. </w:t>
            </w:r>
            <w:r>
              <w:rPr>
                <w:rStyle w:val="IndexLink"/>
                <w:rtl w:val="true"/>
              </w:rPr>
              <w:t>تحریف اسناد روایات</w:t>
            </w:r>
            <w:r>
              <w:rPr>
                <w:rStyle w:val="IndexLink"/>
                <w:rtl w:val="true"/>
              </w:rPr>
              <w:tab/>
            </w:r>
            <w:r>
              <w:rPr>
                <w:rStyle w:val="IndexLink"/>
              </w:rPr>
              <w:t>127</w:t>
            </w:r>
          </w:hyperlink>
        </w:p>
        <w:p>
          <w:pPr>
            <w:pStyle w:val="Contents3"/>
            <w:tabs>
              <w:tab w:val="clear" w:pos="8459"/>
              <w:tab w:val="right" w:pos="9026" w:leader="dot"/>
            </w:tabs>
            <w:rPr/>
          </w:pPr>
          <w:hyperlink w:anchor="__RefHeading___Toc2967935_653776707">
            <w:r>
              <w:rPr>
                <w:webHidden/>
                <w:rStyle w:val="IndexLink"/>
                <w:rtl w:val="true"/>
              </w:rPr>
              <w:t>نتیجه</w:t>
            </w:r>
            <w:r>
              <w:rPr>
                <w:rStyle w:val="IndexLink"/>
                <w:rtl w:val="true"/>
              </w:rPr>
              <w:tab/>
            </w:r>
            <w:r>
              <w:rPr>
                <w:rStyle w:val="IndexLink"/>
              </w:rPr>
              <w:t>129</w:t>
            </w:r>
          </w:hyperlink>
        </w:p>
        <w:p>
          <w:pPr>
            <w:pStyle w:val="Contents3"/>
            <w:tabs>
              <w:tab w:val="clear" w:pos="8459"/>
              <w:tab w:val="right" w:pos="9026" w:leader="dot"/>
            </w:tabs>
            <w:rPr/>
          </w:pPr>
          <w:hyperlink w:anchor="__RefHeading___Toc2967937_653776707">
            <w:r>
              <w:rPr>
                <w:webHidden/>
                <w:rStyle w:val="IndexLink"/>
                <w:rtl w:val="true"/>
              </w:rPr>
              <w:t>منابع</w:t>
            </w:r>
            <w:r>
              <w:rPr>
                <w:rStyle w:val="IndexLink"/>
                <w:rtl w:val="true"/>
              </w:rPr>
              <w:tab/>
            </w:r>
            <w:r>
              <w:rPr>
                <w:rStyle w:val="IndexLink"/>
              </w:rPr>
              <w:t>130</w:t>
            </w:r>
          </w:hyperlink>
        </w:p>
        <w:p>
          <w:pPr>
            <w:pStyle w:val="Contents2"/>
            <w:tabs>
              <w:tab w:val="clear" w:pos="8743"/>
              <w:tab w:val="right" w:pos="9026" w:leader="dot"/>
            </w:tabs>
            <w:rPr/>
          </w:pPr>
          <w:hyperlink w:anchor="__RefHeading___Toc2967939_653776707">
            <w:r>
              <w:rPr>
                <w:webHidden/>
                <w:rStyle w:val="IndexLink"/>
                <w:rtl w:val="true"/>
              </w:rPr>
              <w:t>نکته هایی از معارف حسینی</w:t>
            </w:r>
            <w:r>
              <w:rPr>
                <w:rStyle w:val="IndexLink"/>
                <w:rtl w:val="true"/>
              </w:rPr>
              <w:tab/>
            </w:r>
            <w:r>
              <w:rPr>
                <w:rStyle w:val="IndexLink"/>
              </w:rPr>
              <w:t>134</w:t>
            </w:r>
          </w:hyperlink>
        </w:p>
        <w:p>
          <w:pPr>
            <w:pStyle w:val="Contents3"/>
            <w:tabs>
              <w:tab w:val="clear" w:pos="8459"/>
              <w:tab w:val="right" w:pos="9026" w:leader="dot"/>
            </w:tabs>
            <w:rPr/>
          </w:pPr>
          <w:hyperlink w:anchor="__RefHeading___Toc2967941_653776707">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967943_653776707">
            <w:r>
              <w:rPr>
                <w:webHidden/>
                <w:rStyle w:val="IndexLink"/>
                <w:rtl w:val="true"/>
              </w:rPr>
              <w:t>غریب کیست؟</w:t>
            </w:r>
            <w:r>
              <w:rPr>
                <w:rStyle w:val="IndexLink"/>
                <w:rtl w:val="true"/>
              </w:rPr>
              <w:tab/>
            </w:r>
            <w:r>
              <w:rPr>
                <w:rStyle w:val="IndexLink"/>
              </w:rPr>
              <w:t>134</w:t>
            </w:r>
          </w:hyperlink>
        </w:p>
        <w:p>
          <w:pPr>
            <w:pStyle w:val="Contents3"/>
            <w:tabs>
              <w:tab w:val="clear" w:pos="8459"/>
              <w:tab w:val="right" w:pos="9026" w:leader="dot"/>
            </w:tabs>
            <w:rPr/>
          </w:pPr>
          <w:hyperlink w:anchor="__RefHeading___Toc2967945_653776707">
            <w:r>
              <w:rPr>
                <w:webHidden/>
                <w:rStyle w:val="IndexLink"/>
                <w:rtl w:val="true"/>
              </w:rPr>
              <w:t>سفارش علامه امینی</w:t>
            </w:r>
            <w:r>
              <w:rPr>
                <w:rStyle w:val="IndexLink"/>
                <w:rtl w:val="true"/>
              </w:rPr>
              <w:tab/>
            </w:r>
            <w:r>
              <w:rPr>
                <w:rStyle w:val="IndexLink"/>
              </w:rPr>
              <w:t>134</w:t>
            </w:r>
          </w:hyperlink>
        </w:p>
        <w:p>
          <w:pPr>
            <w:pStyle w:val="Contents3"/>
            <w:tabs>
              <w:tab w:val="clear" w:pos="8459"/>
              <w:tab w:val="right" w:pos="9026" w:leader="dot"/>
            </w:tabs>
            <w:rPr/>
          </w:pPr>
          <w:hyperlink w:anchor="__RefHeading___Toc2967947_653776707">
            <w:r>
              <w:rPr>
                <w:webHidden/>
                <w:rStyle w:val="IndexLink"/>
                <w:rtl w:val="true"/>
              </w:rPr>
              <w:t>مردم را نترسان</w:t>
            </w:r>
            <w:r>
              <w:rPr>
                <w:rStyle w:val="IndexLink"/>
                <w:rtl w:val="true"/>
              </w:rPr>
              <w:tab/>
            </w:r>
            <w:r>
              <w:rPr>
                <w:rStyle w:val="IndexLink"/>
              </w:rPr>
              <w:t>136</w:t>
            </w:r>
          </w:hyperlink>
        </w:p>
        <w:p>
          <w:pPr>
            <w:pStyle w:val="Contents3"/>
            <w:tabs>
              <w:tab w:val="clear" w:pos="8459"/>
              <w:tab w:val="right" w:pos="9026" w:leader="dot"/>
            </w:tabs>
            <w:rPr/>
          </w:pPr>
          <w:hyperlink w:anchor="__RefHeading___Toc2967949_653776707">
            <w:r>
              <w:rPr>
                <w:webHidden/>
                <w:rStyle w:val="IndexLink"/>
                <w:rtl w:val="true"/>
              </w:rPr>
              <w:t>غبار کربلا مانع آتش</w:t>
            </w:r>
            <w:r>
              <w:rPr>
                <w:rStyle w:val="IndexLink"/>
                <w:rtl w:val="true"/>
              </w:rPr>
              <w:tab/>
            </w:r>
            <w:r>
              <w:rPr>
                <w:rStyle w:val="IndexLink"/>
              </w:rPr>
              <w:t>136</w:t>
            </w:r>
          </w:hyperlink>
        </w:p>
        <w:p>
          <w:pPr>
            <w:pStyle w:val="Contents2"/>
            <w:tabs>
              <w:tab w:val="clear" w:pos="8743"/>
              <w:tab w:val="right" w:pos="9026" w:leader="dot"/>
            </w:tabs>
            <w:rPr/>
          </w:pPr>
          <w:hyperlink w:anchor="__RefHeading___Toc2967951_653776707">
            <w:r>
              <w:rPr>
                <w:webHidden/>
                <w:rStyle w:val="IndexLink"/>
                <w:rtl w:val="true"/>
              </w:rPr>
              <w:t>معرفی کتاب</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02_73841"/>
      <w:bookmarkStart w:id="1" w:name="pg8702_73841"/>
      <w:bookmarkEnd w:id="1"/>
    </w:p>
    <w:p>
      <w:pPr>
        <w:pStyle w:val="Heading2"/>
        <w:numPr>
          <w:ilvl w:val="1"/>
          <w:numId w:val="1"/>
        </w:numPr>
        <w:rPr/>
      </w:pPr>
      <w:bookmarkStart w:id="2" w:name="pg8702_73841"/>
      <w:bookmarkStart w:id="3" w:name="__RefHeading___Toc296772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هفتم،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سعیدی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 فر</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سمانه خلیلی فر</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 خنیفر استاد دانشگاه تهران</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منتظری استادیار دانشگاه علوم کشاورزی و منابع طبیعی</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محمد رنجبرحسینی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7725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702_73845"/>
    </w:p>
    <w:p>
      <w:pPr>
        <w:pStyle w:val="Heading2"/>
        <w:numPr>
          <w:ilvl w:val="1"/>
          <w:numId w:val="1"/>
        </w:numPr>
        <w:rPr/>
      </w:pPr>
      <w:bookmarkStart w:id="8" w:name="__RefHeading___Toc2967727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 xml:space="preserve">آمار نامه های کوفیان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محمدسالم محسنی</w:t>
      </w:r>
    </w:p>
    <w:p>
      <w:pPr>
        <w:pStyle w:val="BookText"/>
        <w:rPr/>
      </w:pPr>
      <w:r>
        <w:rPr>
          <w:rFonts w:ascii="IRNazanin" w:hAnsi="IRNazanin" w:eastAsia="IRNazanin"/>
          <w:color w:val="111111"/>
          <w:sz w:val="28"/>
          <w:sz w:val="28"/>
          <w:szCs w:val="28"/>
          <w:rtl w:val="true"/>
          <w:lang w:bidi="fa-IR"/>
        </w:rPr>
        <w:t>زمینه های اجتماعی وقوع حادثه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دکتر علی فارسی مدان</w:t>
      </w:r>
    </w:p>
    <w:p>
      <w:pPr>
        <w:pStyle w:val="BookText"/>
        <w:rPr/>
      </w:pPr>
      <w:r>
        <w:rPr>
          <w:rFonts w:ascii="IRNazanin" w:hAnsi="IRNazanin" w:eastAsia="IRNazanin"/>
          <w:color w:val="111111"/>
          <w:sz w:val="28"/>
          <w:sz w:val="28"/>
          <w:szCs w:val="28"/>
          <w:rtl w:val="true"/>
          <w:lang w:bidi="fa-IR"/>
        </w:rPr>
        <w:t>کارکردهای شعائر حسینی در حوزه قدرت اجتماعی در عصر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دکتر حسین حمزه</w:t>
      </w:r>
    </w:p>
    <w:p>
      <w:pPr>
        <w:pStyle w:val="BookText"/>
        <w:rPr/>
      </w:pPr>
      <w:r>
        <w:rPr>
          <w:rFonts w:ascii="IRNazanin" w:hAnsi="IRNazanin" w:eastAsia="IRNazanin"/>
          <w:color w:val="111111"/>
          <w:sz w:val="28"/>
          <w:sz w:val="28"/>
          <w:szCs w:val="28"/>
          <w:rtl w:val="true"/>
          <w:lang w:bidi="fa-IR"/>
        </w:rPr>
        <w:t xml:space="preserve">مقتل نگاری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دکترسیدقاسم رزاقی موسوی، سید شاکر حسین</w:t>
      </w:r>
    </w:p>
    <w:p>
      <w:pPr>
        <w:pStyle w:val="BookText"/>
        <w:rPr/>
      </w:pPr>
      <w:r>
        <w:rPr>
          <w:rFonts w:ascii="IRNazanin" w:hAnsi="IRNazanin" w:eastAsia="IRNazanin"/>
          <w:color w:val="111111"/>
          <w:sz w:val="28"/>
          <w:sz w:val="28"/>
          <w:szCs w:val="28"/>
          <w:rtl w:val="true"/>
          <w:lang w:bidi="fa-IR"/>
        </w:rPr>
        <w:t xml:space="preserve">شخصیت دالی و مدلولی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الگوی نشانه شناسی هامون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دکتر سید مهدی نوری کیذقانی، مسعود سلمانی حقیقی</w:t>
      </w:r>
    </w:p>
    <w:p>
      <w:pPr>
        <w:pStyle w:val="BookText"/>
        <w:rPr/>
      </w:pPr>
      <w:r>
        <w:rPr>
          <w:rFonts w:ascii="IRNazanin" w:hAnsi="IRNazanin" w:eastAsia="IRNazanin"/>
          <w:color w:val="111111"/>
          <w:sz w:val="28"/>
          <w:sz w:val="28"/>
          <w:szCs w:val="28"/>
          <w:rtl w:val="true"/>
          <w:lang w:bidi="fa-IR"/>
        </w:rPr>
        <w:t>الگوی پردازش روایات در المنتخب 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علی عادل زاده</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02_73847"/>
      <w:bookmarkStart w:id="11" w:name="pg8702_73847"/>
      <w:bookmarkEnd w:id="11"/>
    </w:p>
    <w:p>
      <w:pPr>
        <w:pStyle w:val="Heading2"/>
        <w:numPr>
          <w:ilvl w:val="1"/>
          <w:numId w:val="1"/>
        </w:numPr>
        <w:rPr/>
      </w:pPr>
      <w:bookmarkStart w:id="12" w:name="pg8702_73847"/>
      <w:bookmarkStart w:id="13" w:name="__RefHeading___Toc2967729_653776707"/>
      <w:bookmarkStart w:id="14" w:name="_Toc4"/>
      <w:bookmarkEnd w:id="12"/>
      <w:bookmarkEnd w:id="13"/>
      <w:r>
        <w:rPr>
          <w:rtl w:val="true"/>
        </w:rPr>
        <w:t xml:space="preserve">آمار نامه های کوفیان به امام حسین </w:t>
      </w:r>
      <w:r>
        <w:rPr>
          <w:rtl w:val="true"/>
        </w:rPr>
        <w:t>(</w:t>
      </w:r>
      <w:r>
        <w:rPr>
          <w:rtl w:val="true"/>
        </w:rPr>
        <w:t>علیه السلام</w:t>
      </w:r>
      <w:r>
        <w:rPr>
          <w:rtl w:val="true"/>
        </w:rPr>
        <w:t>)</w:t>
      </w:r>
      <w:bookmarkEnd w:id="14"/>
    </w:p>
    <w:p>
      <w:pPr>
        <w:pStyle w:val="Heading3"/>
        <w:numPr>
          <w:ilvl w:val="2"/>
          <w:numId w:val="1"/>
        </w:numPr>
        <w:rPr/>
      </w:pPr>
      <w:bookmarkStart w:id="15" w:name="__RefHeading___Toc2967731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محمدسالم محسنی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11/03/1401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19/06/1401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کوفه پس از آنکه مطلع شدند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یزید امتناع و به مکه هجرت کرده است، بارها نامه های بسیاری را برای آن حضرت فرستادند و او را به کوفه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آمار این نامه ها در منابع متأخر اشتباهاتی صورت گرفته و مبالغه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با رویکرد تاریخی و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به بررسی این پرسش پرداخته که شمار نامه های کوفیان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تعداد بوده است؟ یافته های تحقیق بیانگر آن است که شمار نامه ها بر اساس منابع متقدم تا قرن ششم هجری،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یا کمی بیشتر از آن بوده است؛ اما در قرن هفتم هجری، ابن نمای حلی و سید بن طاووس آمار نامه ها را به دوازده هزار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 برخی نویسندگان رقم نامه ها را به هجده هزار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آمار دوازده هزار و هجده هزارنامه و آمار بیعت کنندگان کوفه با حضرت مسلم که دوازده هزار و یا هجده هزار نفر بودند، این احتمال را تقویت </w:t>
      </w:r>
      <w:bookmarkStart w:id="17" w:name="pg8702_73848"/>
    </w:p>
    <w:p>
      <w:pPr>
        <w:pStyle w:val="BookText"/>
        <w:rPr/>
      </w:pPr>
      <w:bookmarkEnd w:id="17"/>
      <w:r>
        <w:rPr>
          <w:rFonts w:ascii="IRNazanin" w:hAnsi="IRNazanin" w:eastAsia="IRNazanin"/>
          <w:color w:val="111111"/>
          <w:sz w:val="28"/>
          <w:sz w:val="28"/>
          <w:szCs w:val="28"/>
          <w:rtl w:val="true"/>
          <w:lang w:bidi="fa-IR"/>
        </w:rPr>
        <w:t>می کند که بین این دو خلط و اشتباه صورت گرفته است؛ چرا که فرستادن این حجم از نامه، معقول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کنندگان کوفه، قیام عاشورا، کوفه، نامه های کوفیان</w:t>
      </w:r>
      <w:r>
        <w:rPr>
          <w:rFonts w:eastAsia="IRNazanin" w:cs="IRNazanin"/>
          <w:color w:val="111111"/>
          <w:sz w:val="28"/>
          <w:szCs w:val="28"/>
          <w:rtl w:val="true"/>
          <w:lang w:bidi="fa-IR"/>
        </w:rPr>
        <w:t>.</w:t>
      </w:r>
    </w:p>
    <w:p>
      <w:pPr>
        <w:pStyle w:val="Heading3"/>
        <w:numPr>
          <w:ilvl w:val="2"/>
          <w:numId w:val="1"/>
        </w:numPr>
        <w:rPr/>
      </w:pPr>
      <w:bookmarkStart w:id="18" w:name="__RefHeading___Toc2967733_653776707"/>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یکی از عوامل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آن حضرت به کربلا، دعوت مردم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پس از آنکه مطلع شدند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امتناع از بیعت با یزید، از مدینه به مکه هجرت کرده است، آن حضرت را به کوفه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در آمدن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تأثیرگذار بود و در شکل گیری این حرکت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دعوت کوفیان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نامه نگاری و در مراحل مختلف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قابل توجه در فرآیند دعوت مردم کوفه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اصرار کوفیان و تکثر پیک ها و نامه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سیاسی پیش آمده، شیعیان کوفه را به تغییر اساسی در ساختار سیاسی امیدوار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علاقه شدید به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برای آن حضرت نامه های زیادی را در دفعات متناوب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شمار نامه های کوفیان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آمار و ارقام متفاوت نقل شده و میان گزارش های منابع متقدم با آنچه در منابع متأخر آمده، تفاوت 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متقدم از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یاد شده است، درحالی که منابع متأخر این آمار را به دوازده یا هجده هزاررسانده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منابع در این باره خلط و اشتباه یا مبالغه کرده 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حاضر این مسئله را مورد جست و جو قرار داده که شمار نامه های کوفیان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تعداد بوده است؟ برای حل مسئله، نخست چگونگی دعوت مردم کوفه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شود و سپس آمار نامه های کوفیان به آن حضرت در منابع متقدم و متأخر مورد بررسی قرار می گیرد و در نهایت نقد و ارزیابی می شود</w:t>
      </w:r>
      <w:r>
        <w:rPr>
          <w:rFonts w:eastAsia="IRNazanin" w:cs="IRNazanin"/>
          <w:color w:val="111111"/>
          <w:sz w:val="28"/>
          <w:szCs w:val="28"/>
          <w:rtl w:val="true"/>
          <w:lang w:bidi="fa-IR"/>
        </w:rPr>
        <w:t xml:space="preserve">. </w:t>
      </w:r>
      <w:bookmarkStart w:id="20" w:name="pg8702_73849"/>
    </w:p>
    <w:p>
      <w:pPr>
        <w:pStyle w:val="Heading3"/>
        <w:numPr>
          <w:ilvl w:val="2"/>
          <w:numId w:val="1"/>
        </w:numPr>
        <w:rPr/>
      </w:pPr>
      <w:bookmarkStart w:id="21" w:name="__RefHeading___Toc2967735_653776707"/>
      <w:bookmarkStart w:id="22" w:name="_Toc7"/>
      <w:bookmarkEnd w:id="20"/>
      <w:bookmarkEnd w:id="21"/>
      <w:r>
        <w:rPr>
          <w:rtl w:val="true"/>
        </w:rPr>
        <w:t xml:space="preserve">نگاهی به فرآیند دعوت مردم کوفه از امام حسین </w:t>
      </w:r>
      <w:r>
        <w:rPr>
          <w:rtl w:val="true"/>
        </w:rPr>
        <w:t>(</w:t>
      </w:r>
      <w:r>
        <w:rPr>
          <w:rtl w:val="true"/>
        </w:rPr>
        <w:t>علیه السلام</w:t>
      </w:r>
      <w:r>
        <w:rPr>
          <w:rtl w:val="true"/>
        </w:rPr>
        <w:t>)</w:t>
      </w:r>
      <w:bookmarkEnd w:id="22"/>
    </w:p>
    <w:p>
      <w:pPr>
        <w:pStyle w:val="BookText"/>
        <w:rPr/>
      </w:pPr>
      <w:r>
        <w:rPr>
          <w:rFonts w:ascii="IRNazanin" w:hAnsi="IRNazanin" w:eastAsia="IRNazanin"/>
          <w:color w:val="111111"/>
          <w:sz w:val="28"/>
          <w:sz w:val="28"/>
          <w:szCs w:val="28"/>
          <w:rtl w:val="true"/>
          <w:lang w:bidi="fa-IR"/>
        </w:rPr>
        <w:t xml:space="preserve">بزرگان و شیعیان کوفه وقتی از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امتناع آن حضرت از بیعت با یزید اطلاع یافتند، از طریق نامه های فراوان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گرفتند و آن حضرت را به کوفه دعوت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بزرگان و شیعیان کوفه از جمله مُسیّب بن نَجَبَه، رُفاعة بن شدّاد و حبیب بن مُظاهر در منزل سلیمان بن صُرَد خُزاعی اجتماع و نسبت به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تعهد بر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توافق بر دعوت از آن حضرت،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آن را توسط عبدالله بن مِسْمَع هَمْدانی و عبدالله بن وال تمیمی به سوی مکه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خداوندی را که دشمن جبّار و معاندت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 نداریم، نزد ما بیا تا شاید خداوند ما را به واسطه شما بر محور حق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در قصر حکومتی لانه زده و ما اگر بدانیم که شما می آیید، او را از کوفه بیرون رانده و به شام می 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مفید،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دو روز بعد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دیگر را توسط قَیس بن مُسهِر صَیداوی و عبدالرحمان بن عبدالله اَرحبی و عُماره بن عُبید سَلولی به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دو روز دیگر، نامه ای را با این مضمون نوشته و توسط هانی بن هانی سُبیعی و سعید بن عبدالله حنفی به مکه فرستادند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بخشنده مهربان، از شیعیان مؤمن و مسلمان حسین بن علی،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عجله کن چون مردم منتظر شما هستند و جز شما به کسی دیگر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 و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5/353</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23" w:name="pg8702_73850"/>
    </w:p>
    <w:p>
      <w:pPr>
        <w:pStyle w:val="BookText"/>
        <w:rPr/>
      </w:pPr>
      <w:bookmarkEnd w:id="23"/>
      <w:r>
        <w:rPr>
          <w:rFonts w:ascii="IRNazanin" w:hAnsi="IRNazanin" w:eastAsia="IRNazanin"/>
          <w:color w:val="111111"/>
          <w:sz w:val="28"/>
          <w:sz w:val="28"/>
          <w:szCs w:val="28"/>
          <w:rtl w:val="true"/>
          <w:lang w:bidi="fa-IR"/>
        </w:rPr>
        <w:t>برخی افراد سرشناس مانند شَبث رِبْعی، حجّار بن اَبْجر، یزید بن حارث، عَزْرة بن قَیس، عَمرو بن حَجّاج زُبیدی، محمد بن عمر تمیمی و قَیس بن اَشعث در نامه دیگر،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بُستان ها سبز شده و میوه ها رسیده و نهرها پر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 به سپاهی که برای شما آمادهشده اند،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دعوت کوفیان، نامه ای را نوشت و توسط آخرین فرستادگان آنان که هانی بن هانی سُبیعی و سعید بن عبدالله حنفی بودند، به سوی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سوی گروه مسلمانان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هانی و سعید آخرین فرستادگان شما بودند که نامه هایتان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آنچه را مطرح کردید،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بیشتر شما این بود که امام و پیشوا نداریم پس به سوی ما بیا تا خداوند ما را به وسیله تو در مسیر هدایت و حق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برادرم و پسر عمویم و شخص مورد اعتماد از اهل بیتم؛ مسلم بن عقیل را به سوی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برایم نوشت که رأی شما و خردمندان و دانایانتان همان چیزی است که فرستادگان شما آورده اند و در نامه هایتان خواندم، به زودی انشاء الله به سوی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 که امام کسی نیست جز آن که به کتاب خدا حکم کند و عدالت را بپا دارد و به دین حق ملتزم باشد و خود را در راه خدا وقف کند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5/353</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24" w:name="__RefHeading___Toc2967737_653776707"/>
      <w:bookmarkStart w:id="25" w:name="_Toc8"/>
      <w:bookmarkEnd w:id="24"/>
      <w:r>
        <w:rPr>
          <w:rtl w:val="true"/>
        </w:rPr>
        <w:t xml:space="preserve">بررسی آمار نامه های کوفیان به امام حسین </w:t>
      </w:r>
      <w:r>
        <w:rPr>
          <w:rtl w:val="true"/>
        </w:rPr>
        <w:t>(</w:t>
      </w:r>
      <w:r>
        <w:rPr>
          <w:rtl w:val="true"/>
        </w:rPr>
        <w:t>علیه السلام</w:t>
      </w:r>
      <w:r>
        <w:rPr>
          <w:rtl w:val="true"/>
        </w:rPr>
        <w:t>)</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شمار نامه های کوفیان به صورت دقیق نمی توان سخن گفت؛ چرا که منابع تاریخی در بیان آمار و ارقام آن بسیار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تا قرن ششم هجری نگارش یافته اند، تعداد نامه ها را با ارقام متفاوت ولی پایین تر ذکرمی کنند در حالی که منابع و مقتل های متأخر از ارقام بسیار بالایی حکایت دارند</w:t>
      </w:r>
      <w:r>
        <w:rPr>
          <w:rFonts w:eastAsia="IRNazanin" w:cs="IRNazanin"/>
          <w:color w:val="111111"/>
          <w:sz w:val="28"/>
          <w:szCs w:val="28"/>
          <w:rtl w:val="true"/>
          <w:lang w:bidi="fa-IR"/>
        </w:rPr>
        <w:t xml:space="preserve">. </w:t>
      </w:r>
      <w:bookmarkStart w:id="26" w:name="pg8702_73851"/>
    </w:p>
    <w:p>
      <w:pPr>
        <w:pStyle w:val="BookText"/>
        <w:rPr/>
      </w:pPr>
      <w:bookmarkEnd w:id="26"/>
      <w:r>
        <w:rPr>
          <w:rFonts w:ascii="IRNazanin" w:hAnsi="IRNazanin" w:eastAsia="IRNazanin"/>
          <w:color w:val="111111"/>
          <w:sz w:val="28"/>
          <w:sz w:val="28"/>
          <w:szCs w:val="28"/>
          <w:rtl w:val="true"/>
          <w:lang w:bidi="fa-IR"/>
        </w:rPr>
        <w:t xml:space="preserve">بررسی منابع متقدم بیانگر آن است که نامه های کوفیان در چند مرحله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است، اما آمار آن را صریح بیان نکرده اند، جز در یک مرحله که نامه های زیادی توسط چند نفر فرستاده شد و تعداد آنها را بَلاذُری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طبری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سه</w:t>
      </w:r>
      <w:r>
        <w:rPr>
          <w:rStyle w:val="FootnoteAnchor"/>
          <w:rtl w:val="true"/>
        </w:rPr>
        <w:footnoteReference w:id="3"/>
      </w:r>
      <w:r>
        <w:rPr>
          <w:rFonts w:ascii="IRNazanin" w:hAnsi="IRNazanin" w:eastAsia="IRNazanin"/>
          <w:color w:val="111111"/>
          <w:sz w:val="28"/>
          <w:sz w:val="28"/>
          <w:szCs w:val="28"/>
          <w:rtl w:val="true"/>
          <w:lang w:bidi="fa-IR"/>
        </w:rPr>
        <w:t xml:space="preserve">و دینوری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جوزی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تعداد نامه ها در این مرحله، به رقم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قرن هفتم، سید ابن طاووس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نمای حلی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نامه های کوفیان را دوازده هزار دانسته و به این صورت حکایت کرده اند که این نامه ها در نوبت های مختلف فرستاده شده و این روند ادامه داشت تا روی هم رفته به دوازده هزار نامه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متأخر نیز برخی علما مانند جزائری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مقرم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 عاملی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بحرالعلوم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نامه های کوفیان، رقم دوازده هزار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کتاب های معاصر، رقم نامه های کوفیان تا هجده هزار افزایشیافته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امینی گلستانی،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حسینی قمی،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این تعداد بر زبان مبلغان جاری و در میان مردم مشهور شده است، در حالی که چنین آماری حتی در منابع متأخر تا قرن سیزدهم نیز به چشم نمی خورد</w:t>
      </w:r>
      <w:r>
        <w:rPr>
          <w:rFonts w:eastAsia="IRNazanin" w:cs="IRNazanin"/>
          <w:color w:val="111111"/>
          <w:sz w:val="28"/>
          <w:szCs w:val="28"/>
          <w:rtl w:val="true"/>
          <w:lang w:bidi="fa-IR"/>
        </w:rPr>
        <w:t>.</w:t>
      </w:r>
    </w:p>
    <w:p>
      <w:pPr>
        <w:pStyle w:val="Heading3"/>
        <w:numPr>
          <w:ilvl w:val="2"/>
          <w:numId w:val="1"/>
        </w:numPr>
        <w:rPr/>
      </w:pPr>
      <w:bookmarkStart w:id="27" w:name="__RefHeading___Toc2967739_653776707"/>
      <w:bookmarkStart w:id="28" w:name="_Toc9"/>
      <w:bookmarkEnd w:id="27"/>
      <w:r>
        <w:rPr>
          <w:rtl w:val="true"/>
        </w:rPr>
        <w:t>نقدی بر آمار نامه های کوفیان</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ارزیابی آمار و ارقام ذکر شده، باید گفت اگرچه نامه های زیادی از سوی مردم کوفه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چنان که در بعضی منابع آمده که حضرت خورجینی از نامه های کوفیان را با خود حمل می کرد و در مسیر راه وقتی با سپاه حُرّ بن یزید ریاحی مواجه شد، آن را بازکرده، به آنان نشان داد و آمدنش را به این نامه ها استناد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آمار دوازده هزار و هجده هزار نامه، شاید نوعی مبالغه برای تأکید دعوت کوفیان و کثرت نامه های آنان است و یا در بیان آمار آن اشتباهی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آمار نامه ها به دلایل زیر تردید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هجده هزار نامه، مستندی ندارد و تنها در دوره معاصر بر زبان برخی مبلغان جاری بوده و در بعضی کتاب ها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دوازده هزار نامه نیز به لهوف سید ابن طاووس و مُثیر الأحزان ابن نما می رسد و در منابع پیش از آن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این آمار را به پیروی از سید ابن طاووس نقل کرده اند، چون در آثارشان دقیقا همان تعبیر وی را به کاربرده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درکوفه تمام کسانی که با مسلم بن عقیل بیعت کردند، حدود دوازده هزار تا هجده هزار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دینوری،</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اگر هر نفری از بیعت کنندگان به طور مستقل یک نامه نوشته و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باشد، تازه می توان چنین آمار و ارقام بالایی از نامه ها را تکمیل کرد که این احتمال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کتابت و نامه نگاری در آن روزگار محدودیت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نامه ها را معمولا بر پوست آهو و مانند آن می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دوازده هزار یا هجده هزار نامه، حجم زیادی را تشکیل می داد و حمل ونقل آن در مسیر طولانی بین کوفه و مکه در آن شرایط، کار دشواری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دوازده هزار یا هجده هزار نامه، به حدی زیاد است که هیچ گونه توجیه عقلی برای آن متصور نیست؛ چگونه عاقلانه است که مردم کوفه برای انتقال پیامشان چندین بار شتر نامه را از کوفه با آن فاصله طولانی به مکه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کثرت نامه ها، اهمیت موضوع و تأکید و اصرار بر دعوت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مسئله در متن نامه و از </w:t>
      </w:r>
      <w:bookmarkStart w:id="29" w:name="pg8702_73853"/>
    </w:p>
    <w:p>
      <w:pPr>
        <w:pStyle w:val="BookText"/>
        <w:rPr/>
      </w:pPr>
      <w:bookmarkEnd w:id="29"/>
      <w:r>
        <w:rPr>
          <w:rFonts w:ascii="IRNazanin" w:hAnsi="IRNazanin" w:eastAsia="IRNazanin"/>
          <w:color w:val="111111"/>
          <w:sz w:val="28"/>
          <w:sz w:val="28"/>
          <w:szCs w:val="28"/>
          <w:rtl w:val="true"/>
          <w:lang w:bidi="fa-IR"/>
        </w:rPr>
        <w:t>طریق محتوای آن قابل انتقال بود و لازم نبود برای نشان دادن آن، به حجم کثیری از نامه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فرستادن همان تعداد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یا کمی کم تر و بیشتر از آن توسط قاصدهای مختلف در نوبت های متعدد که در منابع قدیمی ذکر شده است نیز از نظر آماری، حجم بالایی به شمار می رود و به خوبی اهمیت و ضرورت موضوع را نشان داده و تأکید مردم کوفه 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آنجاکه در بسیاری از منابع، شمار بیعت کنندگان با مسلم در کوفهدوازده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هجده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به احتمال آمار بیعت کنندگان با آمار نامه ها خلط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قیام،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قاضی خانی،</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منابع متقدم که آمار پایین تری را مانند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ذکر می کنند، به دلیل قدمت و پربسامد بودن آنها، موجه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آمار نامه ها به طور دقیق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منابع متقدم و معتبر، تعداد نامه ها زیاد بوده و در چند نوبت توسط پیک های مختلف فرستاده شده است؛ اما بالاترین آماری که در این منابع ذکر شده، در یک مرحله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است که با درنظر گرفتن چندین نامه ای که قبل و بعد از این مرحله ارسال شده، مجموع نامه ها حداکثر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است</w:t>
      </w:r>
      <w:r>
        <w:rPr>
          <w:rFonts w:eastAsia="IRNazanin" w:cs="IRNazanin"/>
          <w:color w:val="111111"/>
          <w:sz w:val="28"/>
          <w:szCs w:val="28"/>
          <w:rtl w:val="true"/>
          <w:lang w:bidi="fa-IR"/>
        </w:rPr>
        <w:t>.</w:t>
      </w:r>
    </w:p>
    <w:p>
      <w:pPr>
        <w:pStyle w:val="Heading3"/>
        <w:numPr>
          <w:ilvl w:val="2"/>
          <w:numId w:val="1"/>
        </w:numPr>
        <w:rPr/>
      </w:pPr>
      <w:bookmarkStart w:id="30" w:name="__RefHeading___Toc2967741_653776707"/>
      <w:bookmarkStart w:id="31" w:name="_Toc10"/>
      <w:bookmarkEnd w:id="30"/>
      <w:r>
        <w:rPr>
          <w:rtl w:val="true"/>
        </w:rPr>
        <w:t>نتیجه</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گزارش هایی که درباره دعوت مردم کوفه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 نامه های ایشان به آن حضرت بررسی و ارزیابی شد، می توان گفت که مردم کوفه به خصوص شیعیان به تحول سیاسی در کوفه بسیار امیدوار بودند و با تأکید فراوان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کردند؛ کوفیان نامه های زیادی را توسط پیک های متعدد و در دفعات متناوب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فرستادند؛ درباره شمار نامه های کوفیان در منابع متقدم، آمار دقیقی را نمی 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بررسی و ارزیابی گزارش ها به دست می آید که مجموع </w:t>
      </w:r>
      <w:bookmarkStart w:id="32" w:name="pg8702_73854"/>
    </w:p>
    <w:p>
      <w:pPr>
        <w:pStyle w:val="BookText"/>
        <w:rPr/>
      </w:pPr>
      <w:bookmarkEnd w:id="32"/>
      <w:r>
        <w:rPr>
          <w:rFonts w:ascii="IRNazanin" w:hAnsi="IRNazanin" w:eastAsia="IRNazanin"/>
          <w:color w:val="111111"/>
          <w:sz w:val="28"/>
          <w:sz w:val="28"/>
          <w:szCs w:val="28"/>
          <w:rtl w:val="true"/>
          <w:lang w:bidi="fa-IR"/>
        </w:rPr>
        <w:t xml:space="preserve">نامه ها حداکثر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 بیشتر از آن بوده است و همین مقدار نیز رقم زیادی به شمار می آید و حکایتگر تأکید و اصرار مردم کوفه است؛ آمار دوازده هزارنامه که در کتاب لهوف سید ابن طاووس و مُثیر الاحزان ابن نمای حلی در قرن هفتم هجری ذکر شده و سپس در منابع متأخر بازتاب یافته است، به احتمال زیاد با آمار بیعت کنندگان با مسلم بن عقیل خلط شده و یا در آن تصحیف صورت گرفته است؛ آنچه امروز در برخی کتاب های معاصر از آمار هجده هزار نامه یاد می شود، هیچ مستندی ندارد؛ به نظر می رسد این عدد با شمار بیعت کنندگان کوفه خلط شده است و یا از باب مبالغه در سخنان برخی مبلغان مطرح شده و سپس به برخی آثار مکتوب راه یافته است</w:t>
      </w:r>
      <w:r>
        <w:rPr>
          <w:rFonts w:eastAsia="IRNazanin" w:cs="IRNazanin"/>
          <w:color w:val="111111"/>
          <w:sz w:val="28"/>
          <w:szCs w:val="28"/>
          <w:rtl w:val="true"/>
          <w:lang w:bidi="fa-IR"/>
        </w:rPr>
        <w:t>.</w:t>
      </w:r>
    </w:p>
    <w:p>
      <w:pPr>
        <w:pStyle w:val="Heading3"/>
        <w:numPr>
          <w:ilvl w:val="2"/>
          <w:numId w:val="1"/>
        </w:numPr>
        <w:rPr/>
      </w:pPr>
      <w:bookmarkStart w:id="33" w:name="__RefHeading___Toc2967743_653776707"/>
      <w:bookmarkStart w:id="34" w:name="_Toc11"/>
      <w:bookmarkEnd w:id="33"/>
      <w:r>
        <w:rPr>
          <w:rtl w:val="true"/>
        </w:rPr>
        <w:t>منابع</w:t>
      </w:r>
      <w:bookmarkEnd w:id="3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جزری، عزالدین علی بن ابی الکرم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محمد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علی شیری،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الطبقه الخامسه، تحقیق محمد بن صامل السلمی، طایف، مکتبه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هاشم رسولی و محمدحسین آشتیانی،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سید علی بن موسی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علیرضا رجالی تهرانی، قم، انتشارات نبوغ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نمای حلی،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قم، مدرسه امام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عاملی، سید محسن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الشیعه، بیروت، 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امینی گلستانی،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قیام و عدم قیام امامان، قم، مولف</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بحرالعلوم، سید محمدتقی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او واقعة الطّف، قم، المکتبه الحیدریه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أنساب الأشراف، تحقیق سهیل زکار و ریاض زرکلی،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قیام و مقتل جامع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تاریخ پژوهان، زیر نظر مهدی پیشوایی، قم، مؤسسه آموزشی و پژوهشی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جزائری، سید نعمت الله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الأبرار فی مناقب الأئمه الأطهار، بیروت، مؤسسه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قمی، سید حسین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باورهای آرام بخش؛ وعده های الهی به صابران، قم، نشر عطش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اخطب خوارزم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تحقیق محمد سماوی، قم،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احمد بن داود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تصحیح جمال الدین شیال، تحقیق محمد عبدالمنعم عامر،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سبط ابن جوزی، یوسف بن قزاوغلی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الخواص من الأمه بذکر خصائص الأئمه، تحقیق حسین تقی زاده، قم، المجمع العالمی لأهل البیت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ابوالفضل ابراهیم،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قاضی خانی، حسین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کاوشی در آمار نامه های کوفیان برای دعوت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 پژوهشی شیعه پژوهی، سال دوم، شماره هشتم، پاییز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تهران، مبین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الجامعة لدرر أخبار الأئمة الأطهار، تصحیح جمعی از محققان،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 یوسف اسعد داغر، قم، مؤسسه دارالهجره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صدرا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فی معرفة حجج الله علی العباد، تحقیق </w:t>
      </w:r>
    </w:p>
    <w:p>
      <w:pPr>
        <w:pStyle w:val="BookText"/>
        <w:rPr/>
      </w:pPr>
      <w:r>
        <w:rPr>
          <w:rFonts w:ascii="IRNazanin" w:hAnsi="IRNazanin" w:eastAsia="IRNazanin"/>
          <w:color w:val="111111"/>
          <w:sz w:val="28"/>
          <w:sz w:val="28"/>
          <w:szCs w:val="28"/>
          <w:rtl w:val="true"/>
          <w:lang w:bidi="fa-IR"/>
        </w:rPr>
        <w:t>مؤسسة آل البیت لإحیاء التراث، قم، المؤتمر العالمی لالفیة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بیروت، مؤسسه الخرسان للمطبوعات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یوسفی غروی، محمدهادی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گزارش مستند از نهضت عاشورا، ترجمه جواد سلیمانی، قم مؤسسه آموزشی و پژوهشی امام خمینی</w:t>
      </w:r>
      <w:r>
        <w:rPr>
          <w:rFonts w:eastAsia="IRNazanin" w:cs="IRNazanin"/>
          <w:color w:val="111111"/>
          <w:sz w:val="28"/>
          <w:szCs w:val="28"/>
          <w:rtl w:val="true"/>
          <w:lang w:bidi="fa-IR"/>
        </w:rPr>
        <w:t xml:space="preserve">. </w:t>
      </w:r>
      <w:bookmarkStart w:id="35" w:name="pg8702_73857"/>
    </w:p>
    <w:p>
      <w:pPr>
        <w:pStyle w:val="Heading2"/>
        <w:numPr>
          <w:ilvl w:val="1"/>
          <w:numId w:val="1"/>
        </w:numPr>
        <w:rPr/>
      </w:pPr>
      <w:bookmarkStart w:id="36" w:name="__RefHeading___Toc2967745_653776707"/>
      <w:bookmarkStart w:id="37" w:name="_Toc12"/>
      <w:bookmarkEnd w:id="35"/>
      <w:bookmarkEnd w:id="36"/>
      <w:r>
        <w:rPr>
          <w:rtl w:val="true"/>
        </w:rPr>
        <w:t>زمینه های اجتماعی وقوع حادثه عاشورا</w:t>
      </w:r>
      <w:bookmarkEnd w:id="37"/>
    </w:p>
    <w:p>
      <w:pPr>
        <w:pStyle w:val="Heading3"/>
        <w:numPr>
          <w:ilvl w:val="2"/>
          <w:numId w:val="1"/>
        </w:numPr>
        <w:rPr/>
      </w:pPr>
      <w:bookmarkStart w:id="38" w:name="__RefHeading___Toc2967747_653776707"/>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دکتر علی فارسی مدان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11/02/1401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14/06/1401</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زمینه های اجتماعی وقوع حادثه عاشورا در سه بُعد و ساحت شخصیتی، حاکمیتی و جامعه شناسی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شخصیتی، شخصیت معاویه و یزید در وقوع حادثه کربلا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مقابله با این رفتار شخصیتی،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حاکمیتی، معاویه به وسیله کادرسازی و تلاش برای ولیعهدی یزید در وقوع عاشورا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مقابله با آن تشکیل حکومت اسلامی، قیام و عدم سکوت در برابر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ساحت جامعه شناسی، به عوامل مهمی همچون رفتار اجتماعی حاکمان اموی، دنیاطلبی و عدم حمایت کوفیان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بصیرت بخشی واصلاح امور امت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امویان، عاشورا، معاویه، یزید</w:t>
      </w:r>
      <w:r>
        <w:rPr>
          <w:rFonts w:eastAsia="IRNazanin" w:cs="IRNazanin"/>
          <w:color w:val="111111"/>
          <w:sz w:val="28"/>
          <w:szCs w:val="28"/>
          <w:rtl w:val="true"/>
          <w:lang w:bidi="fa-IR"/>
        </w:rPr>
        <w:t xml:space="preserve">. </w:t>
      </w:r>
      <w:bookmarkStart w:id="40" w:name="pg8702_73858"/>
    </w:p>
    <w:p>
      <w:pPr>
        <w:pStyle w:val="Heading3"/>
        <w:numPr>
          <w:ilvl w:val="2"/>
          <w:numId w:val="1"/>
        </w:numPr>
        <w:rPr/>
      </w:pPr>
      <w:bookmarkStart w:id="41" w:name="__RefHeading___Toc2967749_653776707"/>
      <w:bookmarkStart w:id="42" w:name="_Toc14"/>
      <w:bookmarkEnd w:id="40"/>
      <w:bookmarkEnd w:id="41"/>
      <w:r>
        <w:rPr>
          <w:rtl w:val="true"/>
        </w:rPr>
        <w:t>مقدمه</w:t>
      </w:r>
      <w:bookmarkEnd w:id="42"/>
    </w:p>
    <w:p>
      <w:pPr>
        <w:pStyle w:val="BookText"/>
        <w:rPr/>
      </w:pPr>
      <w:r>
        <w:rPr>
          <w:rFonts w:ascii="IRNazanin" w:hAnsi="IRNazanin" w:eastAsia="IRNazanin"/>
          <w:color w:val="111111"/>
          <w:sz w:val="28"/>
          <w:sz w:val="28"/>
          <w:szCs w:val="28"/>
          <w:rtl w:val="true"/>
          <w:lang w:bidi="fa-IR"/>
        </w:rPr>
        <w:t>واقعه عاشورا یکی از مهم ترین اتفاقاتی است که نویسندگان و پژوهشگران ریشه ها و انگیزه های آن را از جنبه های مختلف مورد بررسی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وصیت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جریان سازی در کربلا اهداف و برنامه های خاصی را دنبال می کرد که با شهادت خود و یاران باوفایش به آن اهداف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حاکم اموی به ظاهر متفاوت هم عصر بود که هر کدام از آنها به نوعی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مشکلات فراوان سیاسی، فرهنگی و اجتماعی درگیر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دوران معاویه و حکومت یزید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خطر افتادن اسلام و مبارزه با ظلم و فساد و بیدادگری باعث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سکوت به قیام تغییر موضع دهد که نتیجه آن، واقعه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درصدد پاسخ به این سؤال اساسی است که زمینه های اجتماعی وقوع حادثه عاشورا چیست؟ و به سؤالات ذیل نیز پاسخ خواهد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دو خلیفه، دو رفتار متفاوت از خود نشان 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حره با شورشیان مدینه همکاری نکرد؟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ولایتعهدی یزید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نقشی داشت؟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حاکمیتی یزید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بوده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افتاد که حادثه کربلا رقم خورد؟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آسیب های اجتماعی چیست؟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وقوع فاجعه حره چیست؟</w:t>
      </w:r>
    </w:p>
    <w:p>
      <w:pPr>
        <w:pStyle w:val="Heading3"/>
        <w:numPr>
          <w:ilvl w:val="2"/>
          <w:numId w:val="1"/>
        </w:numPr>
        <w:rPr/>
      </w:pPr>
      <w:bookmarkStart w:id="43" w:name="__RefHeading___Toc2967751_653776707"/>
      <w:bookmarkStart w:id="44" w:name="_Toc15"/>
      <w:bookmarkEnd w:id="43"/>
      <w:r>
        <w:rPr>
          <w:rtl w:val="true"/>
        </w:rPr>
        <w:t>زمینه های اجتماعی وقوع حادثه عاشورا</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ها و ریشه های واقعه عاشورا دارای ابعاد مختلف اجتماعی، سیاسی، فرهنگی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درصدد است ریشه ها و زمینه های اجتماعی این واقعه مهم سال دهم هجری را مورد بررسی و تحلیل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ریشه ها و زمینه های اجتماعی را در سه ساحت تبیین خواهد کرد</w:t>
      </w:r>
      <w:r>
        <w:rPr>
          <w:rFonts w:eastAsia="IRNazanin" w:cs="IRNazanin"/>
          <w:color w:val="111111"/>
          <w:sz w:val="28"/>
          <w:szCs w:val="28"/>
          <w:rtl w:val="true"/>
          <w:lang w:bidi="fa-IR"/>
        </w:rPr>
        <w:t xml:space="preserve">. </w:t>
      </w:r>
      <w:bookmarkStart w:id="45" w:name="pg8702_73859"/>
    </w:p>
    <w:p>
      <w:pPr>
        <w:pStyle w:val="Heading3"/>
        <w:numPr>
          <w:ilvl w:val="2"/>
          <w:numId w:val="1"/>
        </w:numPr>
        <w:rPr/>
      </w:pPr>
      <w:bookmarkStart w:id="46" w:name="__RefHeading___Toc2967753_653776707"/>
      <w:bookmarkStart w:id="47" w:name="_Toc16"/>
      <w:bookmarkEnd w:id="45"/>
      <w:bookmarkEnd w:id="46"/>
      <w:r>
        <w:rPr>
          <w:rtl w:val="true"/>
        </w:rPr>
        <w:t>ساحت شخصیتی</w:t>
      </w:r>
      <w:bookmarkEnd w:id="47"/>
    </w:p>
    <w:p>
      <w:pPr>
        <w:pStyle w:val="Heading4"/>
        <w:numPr>
          <w:ilvl w:val="3"/>
          <w:numId w:val="1"/>
        </w:numPr>
        <w:rPr/>
      </w:pPr>
      <w:bookmarkStart w:id="48" w:name="__RefHeading___Toc2967755_653776707"/>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دوران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خلافت معاویه و یزید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مقتضیات زمان خویش به گونه ای متفاوت با آنها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علت های اجتماعی وقوع حادثه عاشورا را باید در رفتار شخصیتی و اخلاقی معاویه و یزید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نگاهی گذرا به ساحت شخصیتی آن دو خلیفه و چگونگی مواجهه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دارد</w:t>
      </w:r>
      <w:r>
        <w:rPr>
          <w:rFonts w:eastAsia="IRNazanin" w:cs="IRNazanin"/>
          <w:color w:val="111111"/>
          <w:sz w:val="28"/>
          <w:szCs w:val="28"/>
          <w:rtl w:val="true"/>
          <w:lang w:bidi="fa-IR"/>
        </w:rPr>
        <w:t>.</w:t>
      </w:r>
    </w:p>
    <w:p>
      <w:pPr>
        <w:pStyle w:val="Heading4"/>
        <w:numPr>
          <w:ilvl w:val="3"/>
          <w:numId w:val="1"/>
        </w:numPr>
        <w:rPr/>
      </w:pPr>
      <w:bookmarkStart w:id="50" w:name="__RefHeading___Toc2967757_653776707"/>
      <w:bookmarkStart w:id="51" w:name="_Toc18"/>
      <w:bookmarkEnd w:id="50"/>
      <w:r>
        <w:rPr>
          <w:rtl w:val="true"/>
        </w:rPr>
        <w:t>الف</w:t>
      </w:r>
      <w:r>
        <w:rPr>
          <w:rtl w:val="true"/>
        </w:rPr>
        <w:t xml:space="preserve">) </w:t>
      </w:r>
      <w:r>
        <w:rPr>
          <w:rtl w:val="true"/>
        </w:rPr>
        <w:t>معاویه</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عمل اسلام را تحریف و جامعه اسلامی را به جامعه غیر دینی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معاویه با حفظ ظاهر و به نام دین و خلافت اسلامی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مرتکب کارهایی نمی شد تا مردم آن کارها را مبارزه با دین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اعمال و رفتار خود، رنگ دینی می داد و از انجام کارهای نامشروع در ملأعام خودداری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خبیث ترین مردم بود و مستند آن، کلام مطرف بن مغیره بنشعبه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اربلى،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مغیره به دیدار معاویه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پدرم با معاویه جلسه ای داشت آنگاه که از جلسه بازگشت بسیار اندوهگین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جِئْتُ مِنْ عِنْدِ أَخْبَثِ النَّاسِ؛ پسرم امشب از پیش نابکارترین و خبیث ترین مردم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معاویه پیشنهاد دادم، اکنون که حکومت را به چنگ درآورده ای بهتر است با بنی هاشم به خوبی و عدالت رفتار کنی و بدرفتاری را کنار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عدالت رفتار کرد و عدالت را گسترانید و مُرد و نامش نیز با او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نیز چنین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أَخَا بَنِی هَاشِمٍ یُصَاحُ بِهِ فِی کُلِّ یَوْمٍ خَمْسَ مَرَّاتٍ أَشْهَدُ أَنَّ مُحَمَّداً رَسُولُ اللَّهِ فَأَیُّ عَمَلٍ یَبْقَى بَعْدَ هَذَا لَا أُمَّ لَکَ لَا وَ اللَّهِ إِلَّا دَفْناً دَفْناً؛ ولی برادر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حالی که هر روز پنج نوبت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چه کاری صورت پذیرفت؟ 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52" w:name="pg8702_73860"/>
    </w:p>
    <w:p>
      <w:pPr>
        <w:pStyle w:val="BookText"/>
        <w:rPr/>
      </w:pPr>
      <w:bookmarkEnd w:id="52"/>
      <w:r>
        <w:rPr>
          <w:rFonts w:ascii="IRNazanin" w:hAnsi="IRNazanin" w:eastAsia="IRNazanin"/>
          <w:color w:val="111111"/>
          <w:sz w:val="28"/>
          <w:sz w:val="28"/>
          <w:szCs w:val="28"/>
          <w:rtl w:val="true"/>
          <w:lang w:bidi="fa-IR"/>
        </w:rPr>
        <w:t xml:space="preserve">حال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حساس که معاویه ظواهر را مراعات می کرد، به قیام و مبارزه مسلحانه می پرداخت، مردم آن را اختلاف و جدال بر سر قدرت و حکومت می دانستند</w:t>
      </w:r>
      <w:r>
        <w:rPr>
          <w:rFonts w:eastAsia="IRNazanin" w:cs="IRNazanin"/>
          <w:color w:val="111111"/>
          <w:sz w:val="28"/>
          <w:szCs w:val="28"/>
          <w:rtl w:val="true"/>
          <w:lang w:bidi="fa-IR"/>
        </w:rPr>
        <w:t>.</w:t>
      </w:r>
    </w:p>
    <w:p>
      <w:pPr>
        <w:pStyle w:val="Heading4"/>
        <w:numPr>
          <w:ilvl w:val="3"/>
          <w:numId w:val="1"/>
        </w:numPr>
        <w:rPr/>
      </w:pPr>
      <w:bookmarkStart w:id="53" w:name="__RefHeading___Toc2967759_653776707"/>
      <w:bookmarkStart w:id="54" w:name="_Toc19"/>
      <w:bookmarkEnd w:id="53"/>
      <w:r>
        <w:rPr>
          <w:rtl w:val="true"/>
        </w:rPr>
        <w:t>ب</w:t>
      </w:r>
      <w:r>
        <w:rPr>
          <w:rtl w:val="true"/>
        </w:rPr>
        <w:t xml:space="preserve">) </w:t>
      </w:r>
      <w:r>
        <w:rPr>
          <w:rtl w:val="true"/>
        </w:rPr>
        <w:t>یزید</w:t>
      </w:r>
      <w:bookmarkEnd w:id="54"/>
    </w:p>
    <w:p>
      <w:p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درگذشت و فرزندش، یزید، بر مسند خلافت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بر خلاف معاویه به ظواهر اسلامی عمل نمی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ناپخته، شهوت پرست، خودسر، فاقد دوراندیشی و احتیاط، بی خرد،خوشگذران، عیاش و کوتاه فکر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علنی فساد می کرد و احکام اسلامی را زیر پا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کیان اسلام به خطر نیفتد، قیام را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شدت از ائمه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داشت و آن را به راحتی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اجتماعی یزید بر مردم دمشق اثرگذار بود، اما قیام و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متحول و از خواب غفلت بیدار کرد؛ تا جایی که در شام، وقتی میان یزید و اسراء به ویژه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گفتگو شد؛ بعد از مناظره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یزید به مؤذن فریاد زد که اقامه نماز بگو، میان مردم همهمه و زمزمه بزرگی به پا خاست و برخی با او نماز خواندند و برخی نخواندند تا 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Heading3"/>
        <w:numPr>
          <w:ilvl w:val="2"/>
          <w:numId w:val="1"/>
        </w:numPr>
        <w:rPr/>
      </w:pPr>
      <w:bookmarkStart w:id="55" w:name="__RefHeading___Toc2967761_653776707"/>
      <w:bookmarkStart w:id="56" w:name="_Toc20"/>
      <w:bookmarkEnd w:id="55"/>
      <w:r>
        <w:rPr>
          <w:rtl w:val="true"/>
        </w:rPr>
        <w:t>فاجعه حره</w:t>
      </w:r>
      <w:bookmarkEnd w:id="5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شخصیتی یزید از زمینه های اجتماعی وقوع حادثه عاشورا بود که فقط منجر به نهضت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بلکه فاجعه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با اشاره یزید، گروهی از بزرگان شهر را به نمایندگی از طرف مردم مدینه به دمشق فرستاد تا از نزدیک، خلیفه جوان را ببینند و از مراحم وی برخوردار شوند تا در بازگشت به مدینه، مردم را به اطاعت از وی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طرح، عثمان بن محمد بن ابی سفیان حاکم مدینه، هیئتی مرکب از منذر بن زبیر عوّام، عبیدالله بن ابی عمرو مخزولی، عبدالله بن حنظله غسیل الملائکه و چند تن دیگر از شخصیت های بزرگ </w:t>
      </w:r>
    </w:p>
    <w:p>
      <w:pPr>
        <w:pStyle w:val="BookText"/>
        <w:rPr/>
      </w:pPr>
      <w:r>
        <w:rPr>
          <w:rFonts w:ascii="IRNazanin" w:hAnsi="IRNazanin" w:eastAsia="IRNazanin"/>
          <w:color w:val="111111"/>
          <w:sz w:val="28"/>
          <w:sz w:val="28"/>
          <w:szCs w:val="28"/>
          <w:rtl w:val="true"/>
          <w:lang w:bidi="fa-IR"/>
        </w:rPr>
        <w:t>مدینه را جهت دیدار با یزید به دمشق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به مدینه برگشتند و در اجتماع مردم این شهر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شخصی برگشته ایمکه دین ندارد، شراب می خورد، تار و طنبور می نوازد، سگبازی می کند، خنیاگران و زنان خوش آواز در مجلس او دلربایی می کنند و با مشتی دزد و خرابکار به شب نشینی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شاهد می گیریم که او را از خلافت برکنار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مردم مدینه اواخر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قیام و حاکم وقت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نیز پس از این جریان، مسلم بن عقبه را مأمور سرکوبی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با لشگری خونخوار به مدینه حمله و پس از تصرف شهر، دستور قتل و غارت و تجاوز را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کشته شدگان اصحاب رسول خدا صلی الله علیه و آله و سلم و دیگران در مدینه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حرّه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اصحاب رسول خدا کشته شدند، چنان که پس از آن حادثه هیچ شرکت کننده در جنگ بدر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و انصار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سایر مردم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چرایی عدم همراهی و همکاری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شورشیان مدینه به موارد زیر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ارزیابی اوضاع و ملاحظه اختناق شدیدی که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بود،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نهضت مدینه را پیش بینی می کرد و متوجه بود اگر در آن شرکت کند نه تنها پیروز نمی شود بلکه خود و پیروانش کشته می شوند و باقی مانده نیروهای تشیع از بین می رود، بدون آنکه نتیجه ای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سوابق عبدالله بن زبیر و نفوذی که او در میان صفوف شورشیان یافته بود، این نهضت نمی توانست یک نهضت اصیل شیعی باشد 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امثال عبدالله بن زبیر قدرت طلب، او را پل پیروزی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شورشیان، عبدالله بن حنظله را به رهبری خود برگزیده بودند و هیچ گونه نظرخواهی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رهبران شورش، افرادی صالح و پاک بودند و انتقادها و اعتراض های آنان نسبت به حکومت یزید کاملاً به جا و درست بود، اما پیدا بود که این حرکت، یک حرکت خالص شیعی نیست و در صورت پیروزی معلوم نبود که به نفع </w:t>
      </w:r>
      <w:bookmarkStart w:id="57" w:name="pg8702_73862"/>
    </w:p>
    <w:p>
      <w:pPr>
        <w:pStyle w:val="BookText"/>
        <w:rPr/>
      </w:pPr>
      <w:bookmarkEnd w:id="57"/>
      <w:r>
        <w:rPr>
          <w:rFonts w:ascii="IRNazanin" w:hAnsi="IRNazanin" w:eastAsia="IRNazanin"/>
          <w:color w:val="111111"/>
          <w:sz w:val="28"/>
          <w:sz w:val="28"/>
          <w:szCs w:val="28"/>
          <w:rtl w:val="true"/>
          <w:lang w:bidi="fa-IR"/>
        </w:rPr>
        <w:t xml:space="preserve">شیعیان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58" w:name="__RefHeading___Toc2967763_653776707"/>
      <w:bookmarkStart w:id="59" w:name="_Toc21"/>
      <w:bookmarkEnd w:id="58"/>
      <w:r>
        <w:rPr>
          <w:rtl w:val="true"/>
        </w:rPr>
        <w:t>راه برون رفت جامعه</w:t>
      </w:r>
      <w:bookmarkEnd w:id="59"/>
    </w:p>
    <w:p>
      <w:pPr>
        <w:pStyle w:val="BookText"/>
        <w:rPr/>
      </w:pPr>
      <w:r>
        <w:rPr>
          <w:rFonts w:ascii="IRNazanin" w:hAnsi="IRNazanin" w:eastAsia="IRNazanin"/>
          <w:color w:val="111111"/>
          <w:sz w:val="28"/>
          <w:sz w:val="28"/>
          <w:szCs w:val="28"/>
          <w:rtl w:val="true"/>
          <w:lang w:bidi="fa-IR"/>
        </w:rPr>
        <w:t>جامعه اسلامی تحت تأثیر خلفای اموی بود و مردم از مبانی دینی تهی و به خوش گذرانی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عالمان درباری به بسط فکری شریعت حاکم 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بیداری امت اسلامی از روش دینی امر به معروف و نهی از منکر استفاده کرد تا به بُعد اجتماعی جامعه رنگ دینی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و جایگاه اجتماعی این فریضه الهی توجه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عَظِیمَةٌ، بِهَا تُقَامُ الْفَرَائِضُ، وَ تَأْمَنُ الْمَذَاهِبُ، وَ تَحِلُ الْمَکَاسِبُ، وَ تُرَدُّ الْمَظَالِمُ، وَ تُعْمَرُ الْأَرْضُ، وَ یُنْتَصَفُ مِنَ الْأَعْدَاءِ، وَ یَسْتَقِیمُ الْأَمْر؛ امربه معروف و نهی از منکر، فریضه بزرگ الهی است که بقیه فرائض با آنها برپا می شود و به وسیله آن؛ راه ها امن می گردد و کسب و کار حلال می شود و حقوق افراد تأمین می گردد و در سایه آن زمین آباد و از دشمنان انتقام گرفته و کارها سروسامان و رو به راه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معتبر اسلامى درباره اهمیت این وظیفه بزرگ اجتماعى و خطراتو عواقب شومى که بر اثر ترک این وظیفه در جامعه به وجود می آید،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دو وظیفه بزرگ، ضامن اجراى بقیه وظایف فردى و اجتماعى است و در حکم روح و جان آنها محسوب مى شود که با تعطیلی آنها تمام احکام و اصول اخلاقى ارزش خود را از دست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راه کار و درمان چنین مشکلاتی را در همه دوره ها احیاء فریضه امر به معروف و نهی از منکر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اهمیت و جایگاه این فریضه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اللَّهُ بِالْأَمْرِ بِالْمَعْرُوفِ وَ النَّهْیِ عَنِ الْمُنْکَرِ فَرِیضَةً مِنْهُ لِعِلْمِهِ بِأَنَّهَا إِذَا أُدِّیَتْ وَ أُقِیمَتِ اسْتَقَامَتِ الْفَرَائِضُ کُلُّهَا هَیِّنُهَا وَ صَعْبُهَا؛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امر به معروف و نهى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است، زیرا مى دانسته که چون این کار صورت پذیرد و این فریضه عملى گردد، همه کارهاى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آسان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خواهد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w:t>
      </w:r>
      <w:bookmarkStart w:id="60" w:name="pg8702_73863"/>
    </w:p>
    <w:p>
      <w:pPr>
        <w:pStyle w:val="BookText"/>
        <w:rPr/>
      </w:pPr>
      <w:bookmarkEnd w:id="60"/>
      <w:r>
        <w:rPr>
          <w:rFonts w:ascii="IRNazanin" w:hAnsi="IRNazanin" w:eastAsia="IRNazanin"/>
          <w:color w:val="111111"/>
          <w:sz w:val="28"/>
          <w:sz w:val="28"/>
          <w:szCs w:val="28"/>
          <w:rtl w:val="true"/>
          <w:lang w:bidi="fa-IR"/>
        </w:rPr>
        <w:t xml:space="preserve">حرانى،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 های اجتماعی و دینی خویش را برای آغاز نهضت حسینی، احیاء فریضه امر به معروف و نهی از منکر بیان داشته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أُرِیدُ آمُرُ بِالْمَعْرُوفِ وَ أَنْهَى عَنِ الْمُنْکَرِ أَسِیرُ بِسِیرَةِ جَدِّی وَ سِیرَةِ أَبِی عَلِیِّ بْنِ أَبِی طَالِبٍ؛ می خواهم امر به معروف و نهی از منکر کنم و به روش جدم و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عمل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کلام آن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وصیت به برادرش، محمد بن حنفیه بیان فرمود تا انگیزه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روشن شود تا کسی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قدرت طلبی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الهی و انگیزه اجتماعی بر زبان اصحاب و یارانآن حضرت بروز و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گفتگوی مسلم بن عقیل و عبیدالله بن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لذلک أتیت هذا البلد، و لکنکم أظهرتم المنکر، و دفنتم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فأتیناهم لنأمر فیهم بالمعروف، و ننهاهم عن المنکر؛ من به جهت متفرّق گردانیدن مردمان این شهر اینجا نیامده ام ولی چون شما قوانین بد نهادید و معروف و نیکی ها را دفن کردید،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بدینجا فرستاد تا مراسم امر معروف و نهى منکر را احیا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وظایف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کار مقابله با رفتارهای زشت، احیاء فریضه امر به معروف و نهی از منکر بود، لذا در فر ازی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قَدْ أَقَمْتَ الصَّلَاةَ، وَ آتَیْتَ الزَّکَاةَ، وَ أَمَرْتَ بِالْمَعْرُوفِ، وَ نَهَیْتَ عَنِ الْمُنْکَرِ؛ من شهادت می دهم که تو نماز را به پا داشتی و زکات را اداء کردی و امر به معروف و نهی از منکر را بجا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61" w:name="__RefHeading___Toc2967765_653776707"/>
      <w:bookmarkStart w:id="62" w:name="_Toc22"/>
      <w:bookmarkEnd w:id="61"/>
      <w:r>
        <w:rPr>
          <w:rtl w:val="true"/>
        </w:rPr>
        <w:t>ساحت حاکمیتی</w:t>
      </w:r>
      <w:bookmarkEnd w:id="62"/>
    </w:p>
    <w:p>
      <w:pPr>
        <w:pStyle w:val="Heading4"/>
        <w:numPr>
          <w:ilvl w:val="3"/>
          <w:numId w:val="1"/>
        </w:numPr>
        <w:rPr/>
      </w:pPr>
      <w:bookmarkStart w:id="63" w:name="__RefHeading___Toc2967767_653776707"/>
      <w:bookmarkStart w:id="64" w:name="_Toc23"/>
      <w:bookmarkEnd w:id="63"/>
      <w:r>
        <w:rPr>
          <w:rtl w:val="true"/>
        </w:rPr>
        <w:t>اشاره</w:t>
      </w:r>
      <w:bookmarkEnd w:id="6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ساحت ها و زمینه های اجتماعی وقوع حادثه کربلا، بُعد حاکمیتی معاویه و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معاویه به صورت غیر مستقیم و یزید به صورت روشن و واضح پایه گذار حادثه عاشورا بودند</w:t>
      </w:r>
      <w:r>
        <w:rPr>
          <w:rFonts w:eastAsia="IRNazanin" w:cs="IRNazanin"/>
          <w:color w:val="111111"/>
          <w:sz w:val="28"/>
          <w:szCs w:val="28"/>
          <w:rtl w:val="true"/>
          <w:lang w:bidi="fa-IR"/>
        </w:rPr>
        <w:t xml:space="preserve">. </w:t>
      </w:r>
      <w:bookmarkStart w:id="65" w:name="pg8702_73864"/>
    </w:p>
    <w:p>
      <w:pPr>
        <w:pStyle w:val="Heading4"/>
        <w:numPr>
          <w:ilvl w:val="3"/>
          <w:numId w:val="1"/>
        </w:numPr>
        <w:rPr/>
      </w:pPr>
      <w:bookmarkStart w:id="66" w:name="__RefHeading___Toc2967769_653776707"/>
      <w:bookmarkStart w:id="67" w:name="_Toc24"/>
      <w:bookmarkEnd w:id="65"/>
      <w:bookmarkEnd w:id="66"/>
      <w:r>
        <w:rPr>
          <w:rtl w:val="true"/>
        </w:rPr>
        <w:t>الف</w:t>
      </w:r>
      <w:r>
        <w:rPr>
          <w:rtl w:val="true"/>
        </w:rPr>
        <w:t xml:space="preserve">) </w:t>
      </w:r>
      <w:r>
        <w:rPr>
          <w:rtl w:val="true"/>
        </w:rPr>
        <w:t>حکومت معاویه</w:t>
      </w:r>
      <w:bookmarkEnd w:id="67"/>
    </w:p>
    <w:p>
      <w:pPr>
        <w:pStyle w:val="Heading5"/>
        <w:numPr>
          <w:ilvl w:val="4"/>
          <w:numId w:val="1"/>
        </w:numPr>
        <w:rPr/>
      </w:pPr>
      <w:bookmarkStart w:id="68" w:name="__RefHeading___Toc2967771_653776707"/>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اثرگذاری و نقش معاویه در وقوع حادثه عاشورا از دو جهت قابل بررسی است</w:t>
      </w:r>
      <w:r>
        <w:rPr>
          <w:rFonts w:eastAsia="IRNazanin" w:cs="IRNazanin"/>
          <w:color w:val="111111"/>
          <w:sz w:val="28"/>
          <w:szCs w:val="28"/>
          <w:rtl w:val="true"/>
          <w:lang w:bidi="fa-IR"/>
        </w:rPr>
        <w:t>:</w:t>
      </w:r>
    </w:p>
    <w:p>
      <w:pPr>
        <w:pStyle w:val="Heading5"/>
        <w:numPr>
          <w:ilvl w:val="4"/>
          <w:numId w:val="1"/>
        </w:numPr>
        <w:rPr/>
      </w:pPr>
      <w:bookmarkStart w:id="70" w:name="__RefHeading___Toc2967773_653776707"/>
      <w:bookmarkStart w:id="71" w:name="_Toc26"/>
      <w:bookmarkEnd w:id="70"/>
      <w:r>
        <w:rPr/>
        <w:t>1</w:t>
      </w:r>
      <w:r>
        <w:rPr>
          <w:rtl w:val="true"/>
        </w:rPr>
        <w:t xml:space="preserve">. </w:t>
      </w:r>
      <w:r>
        <w:rPr>
          <w:rtl w:val="true"/>
        </w:rPr>
        <w:t>یارگیری</w:t>
      </w:r>
      <w:bookmarkEnd w:id="71"/>
    </w:p>
    <w:p>
      <w:pPr>
        <w:pStyle w:val="BookText"/>
        <w:rPr/>
      </w:pPr>
      <w:r>
        <w:rPr>
          <w:rFonts w:ascii="IRNazanin" w:hAnsi="IRNazanin" w:eastAsia="IRNazanin"/>
          <w:color w:val="111111"/>
          <w:sz w:val="28"/>
          <w:sz w:val="28"/>
          <w:szCs w:val="28"/>
          <w:rtl w:val="true"/>
          <w:lang w:bidi="fa-IR"/>
        </w:rPr>
        <w:t>معاویه حکومت اموی را در دمشق پی ریزی و برای پیشبرد مقاصد نامشروع خود از هر ابزار نادرست استفاده کرد تا به هدف ظالمانه حکومتداری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منظور، برای حکومت خود یارگیری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را والی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هاشمى خویى،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 بن ابیه را والی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مغیره بن شعبه را حاکم کوفه</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 شعبه همان کسی است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معاویه و سران بنی امیه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الَّذِی ضَرَبْتَ فَاطِمَةَ بِنْتَ رَسُولِ اللَّهِ ص حَتَّى أَدْمَیْتَهَا وَ أَلْقَتْ مَا فِی بَطْنِهَا؛ تو همان کسى هستى که فاطمه دختر پیغمبر خدا را زدى و بدنش را خون آلود نمودى، او بدین جهت جنین خود را سقط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تبیین جامعه شناسی خویش به این ساحت حاکمیتی معاویه پرداخته و یکی از دلایل بروز رفتارهای اجتماعی غلط از سوی مدیران و حاکمان را سپردن کارها و مسئولیت ها به دست کم خردان، مرتجعان، غیر متخصّصان، ناواردان به برنامه ریزى و فاقدان امانت اجرایى می داند و در نامه خویش به مردم مصر، که همراه مالک اشتر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فرستاده شده،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لَکِنَّنِی آسَى أَنْ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هَذِهِ الْأُمَّةِ سُفَهَاؤُهَا وَ فُجَّارُهَا فَیَتَّخِذُوا مَالَ اللَّهِ دُوَلًا وَ عِبَادَهُ خَوَلًا وَ الصَّالِحِینَ حَرْباً وَ الْفَاسِقِینَ حِزْبا؛ لکن از این اندوهناکم که بى خردان، و تبهکاران این امّت، حکومت را به دست آورند، آنگاه مال خدا را دست به دست بگردانند، و بندگان او را به بردگى کشند، بانیکوکاران در جنگ و با فاسقان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آنان کسى در میان شماست که شراب نوشید و حد بر او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ولید بن عقبه است که فرماندار عثمان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شراب خورد و نماز صبح را چهار رکعت خواند و گفت </w:t>
      </w:r>
      <w:bookmarkStart w:id="72" w:name="pg8702_73865"/>
    </w:p>
    <w:p>
      <w:pPr>
        <w:pStyle w:val="BookText"/>
        <w:rPr/>
      </w:pPr>
      <w:bookmarkEnd w:id="72"/>
      <w:r>
        <w:rPr>
          <w:rFonts w:ascii="IRNazanin" w:hAnsi="IRNazanin" w:eastAsia="IRNazanin"/>
          <w:color w:val="111111"/>
          <w:sz w:val="28"/>
          <w:sz w:val="28"/>
          <w:szCs w:val="28"/>
          <w:rtl w:val="true"/>
          <w:lang w:bidi="fa-IR"/>
        </w:rPr>
        <w:t>اگر مى خواهید بیشتر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گواهى مالک اشتر و جمعى از بزرگان کوفه به مدینه احضار شد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وجودمخالفت عثمان، حد شراب را بر او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اسلام را نپذیرفت امّا بناحق بخشش هایى به او عطا شد، عمرو عاص است که براى اسلام آوردن، پول و عطایا مى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Heading5"/>
        <w:numPr>
          <w:ilvl w:val="4"/>
          <w:numId w:val="1"/>
        </w:numPr>
        <w:rPr/>
      </w:pPr>
      <w:bookmarkStart w:id="73" w:name="__RefHeading___Toc2967775_653776707"/>
      <w:bookmarkStart w:id="74" w:name="_Toc27"/>
      <w:bookmarkEnd w:id="73"/>
      <w:r>
        <w:rPr/>
        <w:t>2</w:t>
      </w:r>
      <w:r>
        <w:rPr>
          <w:rtl w:val="true"/>
        </w:rPr>
        <w:t xml:space="preserve">. </w:t>
      </w:r>
      <w:r>
        <w:rPr>
          <w:rtl w:val="true"/>
        </w:rPr>
        <w:t>ولیعهدی یزید</w:t>
      </w:r>
      <w:bookmarkEnd w:id="7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همواره درصدد بود تا زمینه را برای ولایتعهدی یزید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افرادى از مردم مدینه همچون عبدالله بن عباس، عبدالله بن جعفر، عبدالله بن عمر و عبدالله بن زبیر را جمع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سن کهولت رسیده ام و استخوان هایم سست شده و مرگ من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در هر زمان به سوى حق خوانده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ام براى پس از خود، یزید را به عنوان خلیفه معرفى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مى خواهم که به این کار رضایت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هایی انجام شد از این رو تصمیم گرفت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مانع بزرگی برای ولایتعهدی یزید بود، با همکاری همسر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عراق با ارسال نامه ای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تا با خلع معاویه با ایشان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آنها را از این کار برحذار داشت و فرمود به عهد و پیمان با معاویه وفادار است و بعد از مرگش اندیشه ای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تمام تلاش خود را برای بیعت و ولیعهدی یزید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شام بیعت گرفت و نامه هایى به شهرهاى اسلامى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نامه ای از مروان، فرماندار مدینه خواست تا مردم را گرد آورد و براى یزید از آنان بیعت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همچنین در نامه هایى براى عبدالله بن عباس، عبدالله بن زبیر، عبدالله بن جعفر و حسین بن على، نظر آنان را در مورد بیعت با یزید جویا شد و از سعید بن عاص درخواست کرد تا نامه ها را به آنان برساند و پاسخ آنها را هر چه زودتر به شام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تندی به نامه معاویه </w:t>
      </w:r>
      <w:bookmarkStart w:id="75" w:name="pg8702_73866"/>
    </w:p>
    <w:p>
      <w:pPr>
        <w:pStyle w:val="BookText"/>
        <w:rPr/>
      </w:pPr>
      <w:bookmarkEnd w:id="75"/>
      <w:r>
        <w:rPr>
          <w:rFonts w:ascii="IRNazanin" w:hAnsi="IRNazanin" w:eastAsia="IRNazanin"/>
          <w:color w:val="111111"/>
          <w:sz w:val="28"/>
          <w:sz w:val="28"/>
          <w:szCs w:val="28"/>
          <w:rtl w:val="true"/>
          <w:lang w:bidi="fa-IR"/>
        </w:rPr>
        <w:t>داد، در فراز آخر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خداوند هرگز کسانى را که تو به ظن و گمان خود آنان را کُشتى،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 تو را که مى خواهى کسى را که شراب مى نوشد و با سگ بازى مى کند، به عنوان خلیفه مسلمانان معین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سرانجام تو را به جز این که عذاب خداوند را در پى خواهد داشت نمى بینم، تو با این کار دنیاى خود را نابود و رعیت را نیز ضایع مى کنى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سعید بن عاص، فرماندار جدید مدینه، نامه نوشت و فرمان داد، تا با خشونت و شدت بسیار از مردم براى یزید بیعت بگیرد و هیچ یک از انصار و مهاجران و فرزندان آنان را بدون بیعت رها نکند و از طرف دیگر از وى خواست تا سرشناسان مدینه را تحریک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براى گرفتن بیعت از مردم مدینه به انواع تهدیدها و خشونت ها متوسل شد ولى با اینوجود کسى با یزید بیعت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ادامه پیدا کرد تا اینکه یزید با مرگ معاویه، خلیفه شد</w:t>
      </w:r>
      <w:r>
        <w:rPr>
          <w:rFonts w:eastAsia="IRNazanin" w:cs="IRNazanin"/>
          <w:color w:val="111111"/>
          <w:sz w:val="28"/>
          <w:szCs w:val="28"/>
          <w:rtl w:val="true"/>
          <w:lang w:bidi="fa-IR"/>
        </w:rPr>
        <w:t>.</w:t>
      </w:r>
    </w:p>
    <w:p>
      <w:pPr>
        <w:pStyle w:val="Heading4"/>
        <w:numPr>
          <w:ilvl w:val="3"/>
          <w:numId w:val="1"/>
        </w:numPr>
        <w:rPr/>
      </w:pPr>
      <w:bookmarkStart w:id="76" w:name="__RefHeading___Toc2967777_653776707"/>
      <w:bookmarkStart w:id="77" w:name="_Toc28"/>
      <w:bookmarkEnd w:id="76"/>
      <w:r>
        <w:rPr>
          <w:rtl w:val="true"/>
        </w:rPr>
        <w:t>ب</w:t>
      </w:r>
      <w:r>
        <w:rPr>
          <w:rtl w:val="true"/>
        </w:rPr>
        <w:t xml:space="preserve">) </w:t>
      </w:r>
      <w:r>
        <w:rPr>
          <w:rtl w:val="true"/>
        </w:rPr>
        <w:t>حکومت یزید</w:t>
      </w:r>
      <w:bookmarkEnd w:id="77"/>
    </w:p>
    <w:p>
      <w:pPr>
        <w:pStyle w:val="BookText"/>
        <w:rPr/>
      </w:pPr>
      <w:r>
        <w:rPr>
          <w:rFonts w:ascii="IRNazanin" w:hAnsi="IRNazanin" w:eastAsia="IRNazanin"/>
          <w:color w:val="111111"/>
          <w:sz w:val="28"/>
          <w:sz w:val="28"/>
          <w:szCs w:val="28"/>
          <w:rtl w:val="true"/>
          <w:lang w:bidi="fa-IR"/>
        </w:rPr>
        <w:t xml:space="preserve">حکومت یزید نقش اساسی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حادثه عاشورا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وصیت پدرش در مورد اینکه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نداشته باشد و او را به حال خودش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گذاشت و در اولین خطبه خود در شام خبر از جنگی با اهل عراق داد که در آن جنگ توسط عبیدالله بن زیاد به پیروزی خواهد رسید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خطاب به اهل 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شام، بشارت بر شما باد که ما حق و انصار دین هستیم و خیر و سعادت همیشه در میان شما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بزودی میان من و اهل عراق جنگی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میان من و اهل عراق جوی تازه از خون بود و من مى خواستم از آن جوى بگذرم، اما نمى توانستم تا اینکه عبید الله بن زیاد پیش من آمد و من از جوى گذشتم در حالی که به آن داشتم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بزرگان اهل 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فرمان بدهی و به هر جانب که فرمان دهى، می 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فرماندار مدینه دستور داد، از اهل مدینه و نیز از آن چهار نفری که معاویه در مورد آنان تذکر داده بود، بیعت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عمر، عبدالرّحمان بن ابى بکر و عبدالله بن زبیر بیعت بگیر، اگر با رغبت با من بیعت </w:t>
      </w:r>
      <w:bookmarkStart w:id="78" w:name="pg8702_73867"/>
    </w:p>
    <w:p>
      <w:pPr>
        <w:pStyle w:val="BookText"/>
        <w:rPr/>
      </w:pPr>
      <w:bookmarkEnd w:id="78"/>
      <w:r>
        <w:rPr>
          <w:rFonts w:ascii="IRNazanin" w:hAnsi="IRNazanin" w:eastAsia="IRNazanin"/>
          <w:color w:val="111111"/>
          <w:sz w:val="28"/>
          <w:sz w:val="28"/>
          <w:szCs w:val="28"/>
          <w:rtl w:val="true"/>
          <w:lang w:bidi="fa-IR"/>
        </w:rPr>
        <w:t>کردند، خوب است وگرنه به اجبار بیعت بگیر و هر کسی بیعت نکند، گردن او بزن و سر او نزد من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نامه ای دیگر به حاکم مدینه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جواب این نامه، سر حسینبن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دستور و فرمان، عمل کنی، به فرمان و اطاعت من عمل کردی و گردن نهادی و تو نزد من جایزه اى بزرگ خواهی داشت و سپاه انبوه و لشگر بسیاری به تو می دهم تا خداوند دولت و نعمت تو را وافر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ابن قتیبه،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دینوری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از عبیدالله بن زیاد سؤال کرد، از اینکه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اى پشیمان شده اى؟ عبدالله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 و خلیفه نوشت و به من دستور قتل او را داد و اگر خطایى باشد بر عهده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شد، حرّ به عبیدالله بن زیاد نامه نوشت و از آمدن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نامه اى به حر داد تا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که در کربلا منزل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یزید به من نامه نوشت و گفته است، که پهلو بر جامه خواب نگذارم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لذیذ نخورم تا آن وقت که تو را به خداى تعالى رسانم، مگر که به حکم او راضى شوى و بیعت کنى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گزارش های تاریخی مشخص می شود که یزید و بنی امیه برآن بودند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عبیدالله بن زیاد با مکر و بی وفایی کوفیان،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به شهادت رساند</w:t>
      </w:r>
      <w:r>
        <w:rPr>
          <w:rFonts w:eastAsia="IRNazanin" w:cs="IRNazanin"/>
          <w:color w:val="111111"/>
          <w:sz w:val="28"/>
          <w:szCs w:val="28"/>
          <w:rtl w:val="true"/>
          <w:lang w:bidi="fa-IR"/>
        </w:rPr>
        <w:t>.</w:t>
      </w:r>
    </w:p>
    <w:p>
      <w:pPr>
        <w:pStyle w:val="Heading3"/>
        <w:numPr>
          <w:ilvl w:val="2"/>
          <w:numId w:val="1"/>
        </w:numPr>
        <w:rPr/>
      </w:pPr>
      <w:bookmarkStart w:id="79" w:name="__RefHeading___Toc2967779_653776707"/>
      <w:bookmarkStart w:id="80" w:name="_Toc29"/>
      <w:bookmarkEnd w:id="79"/>
      <w:r>
        <w:rPr>
          <w:rtl w:val="true"/>
        </w:rPr>
        <w:t>راه کارها</w:t>
      </w:r>
      <w:bookmarkEnd w:id="80"/>
    </w:p>
    <w:p>
      <w:pPr>
        <w:pStyle w:val="Heading4"/>
        <w:numPr>
          <w:ilvl w:val="3"/>
          <w:numId w:val="1"/>
        </w:numPr>
        <w:rPr/>
      </w:pPr>
      <w:bookmarkStart w:id="81" w:name="__RefHeading___Toc2967781_653776707"/>
      <w:bookmarkStart w:id="82" w:name="_Toc30"/>
      <w:bookmarkEnd w:id="81"/>
      <w:r>
        <w:rPr>
          <w:rtl w:val="true"/>
        </w:rPr>
        <w:t>اشاره</w:t>
      </w:r>
      <w:bookmarkEnd w:id="8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فضای سیاسی جامعه در برابر معاویه سیاست خویشتن داری را پیش گرفت و دست به قیام و مبارزه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های مختلف نظیر سخنرانی، نامه های اعتراض آمیز ومخالفت با ولیعهدی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معاویه و آغاز حکومت یزید، دو راه کار را در پیش گرفت</w:t>
      </w:r>
      <w:r>
        <w:rPr>
          <w:rFonts w:eastAsia="IRNazanin" w:cs="IRNazanin"/>
          <w:color w:val="111111"/>
          <w:sz w:val="28"/>
          <w:szCs w:val="28"/>
          <w:rtl w:val="true"/>
          <w:lang w:bidi="fa-IR"/>
        </w:rPr>
        <w:t xml:space="preserve">: </w:t>
      </w:r>
      <w:bookmarkStart w:id="83" w:name="pg8702_73868"/>
    </w:p>
    <w:p>
      <w:pPr>
        <w:pStyle w:val="Heading4"/>
        <w:numPr>
          <w:ilvl w:val="3"/>
          <w:numId w:val="1"/>
        </w:numPr>
        <w:rPr/>
      </w:pPr>
      <w:bookmarkStart w:id="84" w:name="__RefHeading___Toc2967783_653776707"/>
      <w:bookmarkStart w:id="85" w:name="_Toc31"/>
      <w:bookmarkEnd w:id="83"/>
      <w:bookmarkEnd w:id="84"/>
      <w:r>
        <w:rPr/>
        <w:t>1</w:t>
      </w:r>
      <w:r>
        <w:rPr>
          <w:rtl w:val="true"/>
        </w:rPr>
        <w:t xml:space="preserve">. </w:t>
      </w:r>
      <w:r>
        <w:rPr>
          <w:rtl w:val="true"/>
        </w:rPr>
        <w:t>عدم سکوت و قیام</w:t>
      </w:r>
      <w:bookmarkEnd w:id="85"/>
    </w:p>
    <w:p>
      <w:pPr>
        <w:pStyle w:val="BookText"/>
        <w:rPr/>
      </w:pPr>
      <w:r>
        <w:rPr>
          <w:rFonts w:ascii="IRNazanin" w:hAnsi="IRNazanin" w:eastAsia="IRNazanin"/>
          <w:color w:val="111111"/>
          <w:sz w:val="28"/>
          <w:sz w:val="28"/>
          <w:szCs w:val="28"/>
          <w:rtl w:val="true"/>
          <w:lang w:bidi="fa-IR"/>
        </w:rPr>
        <w:t xml:space="preserve">اولین راه کار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یزید عدم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همگان شخصیت یزید و عدم سنخیت وی با اسلام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اند یزید به مسیحیت تحریف شده گرایش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اشعار منتسب به یزید، بر کفر و زندقه</w:t>
      </w:r>
      <w:r>
        <w:rPr>
          <w:rStyle w:val="FootnoteAnchor"/>
          <w:rtl w:val="true"/>
        </w:rPr>
        <w:footnoteReference w:id="7"/>
      </w:r>
      <w:r>
        <w:rPr>
          <w:rFonts w:ascii="IRNazanin" w:hAnsi="IRNazanin" w:eastAsia="IRNazanin"/>
          <w:color w:val="111111"/>
          <w:sz w:val="28"/>
          <w:sz w:val="28"/>
          <w:szCs w:val="28"/>
          <w:rtl w:val="true"/>
          <w:lang w:bidi="fa-IR"/>
        </w:rPr>
        <w:t xml:space="preserve">او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حرمت یوما على دین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فخذها على دین المسیح بن مریم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سکوت در برابر یزید، موافقت با حاکمیت وی بود که در نهایت اسلام به خطر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خویش به برادرش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أَسِیرُ بِسِیرَةِ جَدِّی وَ سِیرَةِ أَبِی عَلِیِّ بْنِ أَبِی طَالِبٍ؛ می خواهم به روش جدم و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عمل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و سیره نبوی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 داشت تا با قیام در برابر یزید، سنت نبوی را احیاء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حاکمیت یزید خطر محو و نابودی اسلام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الْإِسْلَامِ السَّلَامُ إِذْ قَدْ بُلِیَتِ الْأُمَّةُ بِرَاعٍ مِثْلِ یَزِیدَ وَ لَقَدْ سَمِعْتُ جَدِّی یَقُولُ الْخِلَافَةُ مُحَرَّمَةٌ عَلَى آلِ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آنگاه که امت گرفتار زمامداری هچون یزید شود، باید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از جدم رسول اللَّه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ابىسفیان حرام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حاضر به همکاری با یزید نشد، تا جایی که یزید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ابن قتیبه،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به قتل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خانواده، به خاطر حفظ حرمت کعبه و جان خود، از مکه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عبیدالله بن زیاد را به کوفه فرستاد و لشکری به فرماندهی عمر بن سعد مجهز کرد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86" w:name="pg8702_73869"/>
    </w:p>
    <w:p>
      <w:pPr>
        <w:pStyle w:val="BookText"/>
        <w:rPr/>
      </w:pPr>
      <w:bookmarkEnd w:id="86"/>
      <w:r>
        <w:rPr>
          <w:rFonts w:ascii="IRNazanin" w:hAnsi="IRNazanin" w:eastAsia="IRNazanin"/>
          <w:color w:val="111111"/>
          <w:sz w:val="28"/>
          <w:sz w:val="28"/>
          <w:szCs w:val="28"/>
          <w:rtl w:val="true"/>
          <w:lang w:bidi="fa-IR"/>
        </w:rPr>
        <w:t xml:space="preserve">شهادت خود، هیئت حاکمه را رسوا ساخت و سنت شهادت را احیاء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4"/>
        <w:numPr>
          <w:ilvl w:val="3"/>
          <w:numId w:val="1"/>
        </w:numPr>
        <w:rPr/>
      </w:pPr>
      <w:bookmarkStart w:id="87" w:name="__RefHeading___Toc2967785_653776707"/>
      <w:bookmarkStart w:id="88" w:name="_Toc32"/>
      <w:bookmarkEnd w:id="87"/>
      <w:r>
        <w:rPr/>
        <w:t>2</w:t>
      </w:r>
      <w:r>
        <w:rPr>
          <w:rtl w:val="true"/>
        </w:rPr>
        <w:t xml:space="preserve">. </w:t>
      </w:r>
      <w:r>
        <w:rPr>
          <w:rtl w:val="true"/>
        </w:rPr>
        <w:t>تشکیل حکومت اسلامی</w:t>
      </w:r>
      <w:bookmarkEnd w:id="88"/>
    </w:p>
    <w:p>
      <w:pPr>
        <w:pStyle w:val="Heading5"/>
        <w:numPr>
          <w:ilvl w:val="4"/>
          <w:numId w:val="1"/>
        </w:numPr>
        <w:rPr/>
      </w:pPr>
      <w:bookmarkStart w:id="89" w:name="__RefHeading___Toc2967787_653776707"/>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یکی دیگر از راه کارهای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حاکمیت یزید، تشکیل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با سنت های غلط و بدعت های حاکمان اموی مبارزه و سنت نبوی احیاء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به وضوح در کلمات و چرایی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حاکمیتی که از سنت الهی دور شود، بدعت ها و فرهنگ های غلط جایگزین می شود</w:t>
      </w:r>
      <w:r>
        <w:rPr>
          <w:rFonts w:eastAsia="IRNazanin" w:cs="IRNazanin"/>
          <w:color w:val="111111"/>
          <w:sz w:val="28"/>
          <w:szCs w:val="28"/>
          <w:rtl w:val="true"/>
          <w:lang w:bidi="fa-IR"/>
        </w:rPr>
        <w:t>.</w:t>
      </w:r>
    </w:p>
    <w:p>
      <w:pPr>
        <w:pStyle w:val="Heading5"/>
        <w:numPr>
          <w:ilvl w:val="4"/>
          <w:numId w:val="1"/>
        </w:numPr>
        <w:rPr/>
      </w:pPr>
      <w:bookmarkStart w:id="91" w:name="__RefHeading___Toc2967789_653776707"/>
      <w:bookmarkStart w:id="92" w:name="_Toc34"/>
      <w:bookmarkEnd w:id="91"/>
      <w:r>
        <w:rPr/>
        <w:t>2-1</w:t>
      </w:r>
      <w:r>
        <w:rPr>
          <w:rtl w:val="true"/>
        </w:rPr>
        <w:t xml:space="preserve">. </w:t>
      </w:r>
      <w:r>
        <w:rPr>
          <w:rtl w:val="true"/>
        </w:rPr>
        <w:t>سیره حاکمیتی یزید</w:t>
      </w:r>
      <w:bookmarkEnd w:id="92"/>
    </w:p>
    <w:p>
      <w:pPr>
        <w:pStyle w:val="BookText"/>
        <w:rPr/>
      </w:pPr>
      <w:r>
        <w:rPr>
          <w:rFonts w:ascii="IRNazanin" w:hAnsi="IRNazanin" w:eastAsia="IRNazanin"/>
          <w:color w:val="111111"/>
          <w:sz w:val="28"/>
          <w:sz w:val="28"/>
          <w:szCs w:val="28"/>
          <w:rtl w:val="true"/>
          <w:lang w:bidi="fa-IR"/>
        </w:rPr>
        <w:t>سبک و سیره حاکمیتی یزید، بر پایه بدعت، خطا و خلاف کاری پایه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باطل راهبر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کربلا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تَرَوْنَ أَنَّ الْحَقَ لَا یُعْمَلُ بِهِ وَ أَنَّ الْبَاطِلَ لَا یُتَنَاهَى عَنْهُ لِیَرْغَبَ الْمُؤْمِنُ فِی لِقَاءِ اللَّهِ مُحِقّاً فَإِنِّی لَا أَرَى الْمَوْتَ إِلَّا سَعَادَةً وَ لَا الْحَیَاةَ مَعَ الظَّالِمِینَ إِلَّا بَرَماً؛ آیا نمى بینید که به حق عمل نمى کنند، و از باطل باز نمى ایستند؟ باید انسان معتقد طرفدار حق، دل به لقاء اللَّه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براستى آماده شهادت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من مرگ را چیزى جز خوشبختى، و زندگى با ستمگران را چیزى جز مایه دلتنگى نمى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بر آن است تا به مبارزه با باطل و احیای دین الهی بپردازد</w:t>
      </w:r>
      <w:r>
        <w:rPr>
          <w:rFonts w:eastAsia="IRNazanin" w:cs="IRNazanin"/>
          <w:color w:val="111111"/>
          <w:sz w:val="28"/>
          <w:szCs w:val="28"/>
          <w:rtl w:val="true"/>
          <w:lang w:bidi="fa-IR"/>
        </w:rPr>
        <w:t>.</w:t>
      </w:r>
    </w:p>
    <w:p>
      <w:pPr>
        <w:pStyle w:val="Heading5"/>
        <w:numPr>
          <w:ilvl w:val="4"/>
          <w:numId w:val="1"/>
        </w:numPr>
        <w:rPr/>
      </w:pPr>
      <w:bookmarkStart w:id="93" w:name="__RefHeading___Toc2967791_653776707"/>
      <w:bookmarkStart w:id="94" w:name="_Toc35"/>
      <w:bookmarkEnd w:id="93"/>
      <w:r>
        <w:rPr/>
        <w:t>2-2</w:t>
      </w:r>
      <w:r>
        <w:rPr>
          <w:rtl w:val="true"/>
        </w:rPr>
        <w:t xml:space="preserve">. </w:t>
      </w:r>
      <w:r>
        <w:rPr>
          <w:rtl w:val="true"/>
        </w:rPr>
        <w:t>عمل بر سیره نبوی</w:t>
      </w:r>
      <w:bookmarkEnd w:id="9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سیره حکومتداری، بر مبنای کتاب خدا و سیره نبوی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در نخستین برخورد با حر در کربلا، به تبیین علت حرکت روشنگرانه خود از مکه به کوفه و بیان چیستی هدف خود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زمامدار بیداد پیشه و قانون شکنى را نظاره کند که حرام خدا را حلال و روا مى سازد، و </w:t>
      </w:r>
      <w:bookmarkStart w:id="95" w:name="pg8702_73870"/>
    </w:p>
    <w:p>
      <w:pPr>
        <w:pStyle w:val="BookText"/>
        <w:rPr/>
      </w:pPr>
      <w:bookmarkEnd w:id="95"/>
      <w:r>
        <w:rPr>
          <w:rFonts w:ascii="IRNazanin" w:hAnsi="IRNazanin" w:eastAsia="IRNazanin"/>
          <w:color w:val="111111"/>
          <w:sz w:val="28"/>
          <w:sz w:val="28"/>
          <w:szCs w:val="28"/>
          <w:rtl w:val="true"/>
          <w:lang w:bidi="fa-IR"/>
        </w:rPr>
        <w:t>عهد و پیمان او را مى شکند و با سبک و روش عادلانه و بشر دوستانه پیامبر خدا مخالفت مى ورزد؛ و با این وصف در برابر آن عنصر خودکامه و قانون گریز، با گفتار و عملکردش به مخالفت برنخیزد و در راه اصلاح جامعه و حکومت، خود را به هر آب و آتش نزند، بر خداست که او را از همان راهى که آن بیداد پیشه را به دوزخ در مى آورد، به دوزخ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رژیم حق ستیز اموى فرمانبردارى شیطان را برگزیده و از قانون خدا و فرمانبردارى او سر برتافته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آن، تبهکارى و بیداد را همه جا آشکار ساخته و مرزهاى قوانین و مقررات خدا را به تعطیل کشانده و ثروت ملّى را به انحصار خویش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بهانه و توجیه و برخورد ابزارى با دین، حرام خدا را حلال مى سازند و حلال او را حرام؛ و من زیبنده ترین مردم به تلاش و جهاد خستگى ناپذیر و شجاعانه در راه دگرگونى مطلوب و خدا پسندانه در اینجامعه و در میان این امت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حکومت اسلامی قصد داشت ماهیت حاکمیت یزید را زیر سؤال برده و سنت نبوی را زنده و با بدعت ها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أدعوکم إلى کتاب اللّه و سنّة نبیّه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فانّ السنّة قد امیتت، و انّ البدعة قد احییت، و إن تسمعوا قولی و تطیعوا أمری اهدکم سبیل الرشاد؛ من شما را به کتاب خدا و سنت پیامبر خدا فرا می خوانم، چرا که اینها سنت پیامبر را ازبین برده و بدعت را احیاء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سخنانم را بشنوید و فرمانم را اطاعت کنید، شما را به راه راست هدایت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مخنف کوفى،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96" w:name="__RefHeading___Toc2967793_653776707"/>
      <w:bookmarkStart w:id="97" w:name="_Toc36"/>
      <w:bookmarkEnd w:id="96"/>
      <w:r>
        <w:rPr>
          <w:rtl w:val="true"/>
        </w:rPr>
        <w:t>ساحت جامعه شناسی</w:t>
      </w:r>
      <w:bookmarkEnd w:id="97"/>
    </w:p>
    <w:p>
      <w:pPr>
        <w:pStyle w:val="Heading4"/>
        <w:numPr>
          <w:ilvl w:val="3"/>
          <w:numId w:val="1"/>
        </w:numPr>
        <w:rPr/>
      </w:pPr>
      <w:bookmarkStart w:id="98" w:name="__RefHeading___Toc2967795_653776707"/>
      <w:bookmarkStart w:id="99" w:name="_Toc37"/>
      <w:bookmarkEnd w:id="98"/>
      <w:r>
        <w:rPr>
          <w:rtl w:val="true"/>
        </w:rPr>
        <w:t>اشاره</w:t>
      </w:r>
      <w:bookmarkEnd w:id="9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ساحت جامعه شناسی، نقش حاکمیت بر رفتار اجتماعی مردم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 های خویش در صحرای صفین به این موضوع اشاره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مردم حق رهبرى را اداء کنند و زمامدار حق مردم را بپردازد، حق در آن جامعه عزّت یابد و راه هاى دین پدیدار و نشانه هاى عدالت برقرار و سنّت پیامبر صلی الله علیه و آله و سلم پایدار گردد، پس روزگار اصلاح شود و مردم در تداوم حکومت امیدوار و دشمن در آرزوهایش مأیوس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تحولات </w:t>
      </w:r>
      <w:bookmarkStart w:id="100" w:name="pg8702_73871"/>
    </w:p>
    <w:p>
      <w:pPr>
        <w:pStyle w:val="BookText"/>
        <w:rPr/>
      </w:pPr>
      <w:bookmarkEnd w:id="100"/>
      <w:r>
        <w:rPr>
          <w:rFonts w:ascii="IRNazanin" w:hAnsi="IRNazanin" w:eastAsia="IRNazanin"/>
          <w:color w:val="111111"/>
          <w:sz w:val="28"/>
          <w:sz w:val="28"/>
          <w:szCs w:val="28"/>
          <w:rtl w:val="true"/>
          <w:lang w:bidi="fa-IR"/>
        </w:rPr>
        <w:t xml:space="preserve">اجتماعی عصر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سه عامل مهم در وقوع عاشورا از منظر اجتماعی دست یافت</w:t>
      </w:r>
      <w:r>
        <w:rPr>
          <w:rFonts w:eastAsia="IRNazanin" w:cs="IRNazanin"/>
          <w:color w:val="111111"/>
          <w:sz w:val="28"/>
          <w:szCs w:val="28"/>
          <w:rtl w:val="true"/>
          <w:lang w:bidi="fa-IR"/>
        </w:rPr>
        <w:t>.</w:t>
      </w:r>
    </w:p>
    <w:p>
      <w:pPr>
        <w:pStyle w:val="Heading4"/>
        <w:numPr>
          <w:ilvl w:val="3"/>
          <w:numId w:val="1"/>
        </w:numPr>
        <w:rPr/>
      </w:pPr>
      <w:bookmarkStart w:id="101" w:name="__RefHeading___Toc2967797_653776707"/>
      <w:bookmarkStart w:id="102" w:name="_Toc38"/>
      <w:bookmarkEnd w:id="101"/>
      <w:r>
        <w:rPr/>
        <w:t>1</w:t>
      </w:r>
      <w:r>
        <w:rPr>
          <w:rtl w:val="true"/>
        </w:rPr>
        <w:t xml:space="preserve">. </w:t>
      </w:r>
      <w:r>
        <w:rPr>
          <w:rtl w:val="true"/>
        </w:rPr>
        <w:t>رفتار اجتماعی حاکمان اموی</w:t>
      </w:r>
      <w:bookmarkEnd w:id="102"/>
    </w:p>
    <w:p>
      <w:pPr>
        <w:pStyle w:val="BookText"/>
        <w:rPr/>
      </w:pPr>
      <w:r>
        <w:rPr>
          <w:rFonts w:ascii="IRNazanin" w:hAnsi="IRNazanin" w:eastAsia="IRNazanin"/>
          <w:color w:val="111111"/>
          <w:sz w:val="28"/>
          <w:sz w:val="28"/>
          <w:szCs w:val="28"/>
          <w:rtl w:val="true"/>
          <w:lang w:bidi="fa-IR"/>
        </w:rPr>
        <w:t>یکی از عناصر اجتماعی تأثیرگذار، رفتار اجتماعی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بدینجهت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غَلَبَتِ الرَّعِیَّةُ وَالِیَهَا أَوْ أَجْحَفَ الْوَالِی بِرَعِیَّتِهِ اخْتَلَفَتْ هُنَالِکَ الْکَلِمَةُ وَ ظَهَرَتْ مَعَالِمُ الْجَوْرِ وَ کَثُرَ الْإِدْغَالُ فِی الدِّینِ وَ تُرِکَتْ مَحَاجُّ السُّنَنِ فَعُمِلَ بِالْهَوَى؛ اگر مردم بر حکومت چیره شوند یا زمامدار بر رعیّت ستم کند، وحدت کلمه از بین مى رود، نشانه هاى ستم آشکار و نیرنگ بازى در دین فراوان مى گردد و راه گسترده سنّت پیامبر صلی الله علیه و آله و سلم متروک، هوا پرستى فراوان، احکام دین تعطیل، و بیمارى هاى دل فراوان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یزید، کلمه استرجاع را بر زبان جاری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کیان اسلام و آموزه های دینی در جنبه های مختلف به ویژه بُعد اجتماعی و رفتاری مردم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منش حاکمیت در ساحت جامعه شناختی باعث بی تفاوتی مردم به امام زمان خویش شده که نتیجه آن را در بروز حادثه کربلا می توان دید</w:t>
      </w:r>
      <w:r>
        <w:rPr>
          <w:rFonts w:eastAsia="IRNazanin" w:cs="IRNazanin"/>
          <w:color w:val="111111"/>
          <w:sz w:val="28"/>
          <w:szCs w:val="28"/>
          <w:rtl w:val="true"/>
          <w:lang w:bidi="fa-IR"/>
        </w:rPr>
        <w:t>.</w:t>
      </w:r>
    </w:p>
    <w:p>
      <w:pPr>
        <w:pStyle w:val="Heading4"/>
        <w:numPr>
          <w:ilvl w:val="3"/>
          <w:numId w:val="1"/>
        </w:numPr>
        <w:rPr/>
      </w:pPr>
      <w:bookmarkStart w:id="103" w:name="__RefHeading___Toc2967799_653776707"/>
      <w:bookmarkStart w:id="104" w:name="_Toc39"/>
      <w:bookmarkEnd w:id="103"/>
      <w:r>
        <w:rPr/>
        <w:t>2</w:t>
      </w:r>
      <w:r>
        <w:rPr>
          <w:rtl w:val="true"/>
        </w:rPr>
        <w:t xml:space="preserve">. </w:t>
      </w:r>
      <w:r>
        <w:rPr>
          <w:rtl w:val="true"/>
        </w:rPr>
        <w:t>دنیاطلبی</w:t>
      </w:r>
      <w:bookmarkEnd w:id="10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های دینی، دنیاخواهی و دنیاطلبی سرچشمه همه خطاها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جعفر بن محمد،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کلینى،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یکی از مباحث مهم آسیب شناسی واقعه عاشوراست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مسیر کربلا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عَبِیدُ الدُّنْیَا وَ الدِّینُ لَعْقٌ عَلَى أَلْسِنَتِهِمْ یَحُوطُونَهُ مَا دَرَّتْ مَعَایِشُهُمْ فَإِذَا مُحِّصُوا بِالْبَلَاءِ قَلَّ الدَّیَّانُونَ؛ مردم بنده زر خرید دنیا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محل لیسیدن زبان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آن موقعى دیندار هستند که معیشت آنان تأمین شود، اما وقتى بوسیله بلاء مورد آزمایش قرار بگیرند دینداران قلیل و اندک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مجلسى،</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105" w:name="pg8702_73872"/>
    </w:p>
    <w:p>
      <w:pPr>
        <w:pStyle w:val="BookText"/>
        <w:rPr/>
      </w:pPr>
      <w:bookmarkEnd w:id="105"/>
      <w:r>
        <w:rPr>
          <w:rFonts w:ascii="IRNazanin" w:hAnsi="IRNazanin" w:eastAsia="IRNazanin"/>
          <w:color w:val="111111"/>
          <w:sz w:val="28"/>
          <w:sz w:val="28"/>
          <w:szCs w:val="28"/>
          <w:rtl w:val="true"/>
          <w:lang w:bidi="fa-IR"/>
        </w:rPr>
        <w:t xml:space="preserve">یکی از عوارض دنیاطلبی، ارتزاق از مال حرام است؛ 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خطاب به عمربن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مَا عَلَیْکُمْ أَنْ تُنْصِتُوا إِلَیَّ فَتَسْمَعُوا قَوْلِی وَ إِنَّمَا أَدْعُوکُمْ إِلَى سَبِیلِ الرَّشَادِ فَمَنْ أَطَاعَنِی کَانَ مِنَ الْمُرْشَدِینَ وَ مَنْ عَصَانِی کَانَ مِنَ الْمُهْلَکِینَ وَ کُلُّکُمْ عَاصٍ لِأَمْرِی غَیْرُ مُسْتَمِعٍ قَوْلِی فَقَدْ مُلِئَتْ بُطُونُکُمْ مِنَ الْحَرَامِ وَ طُبِعَ عَلَى قُلُوبِکُمْ وَیْلَکُمْ أَ لَا تُنْصِتُونَ أَ لَا تَسْمَعُونَ؛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به سخنم گوش نمى دهید در حالى که شما را به راه راست دعوت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اطاعتم کند راه یابد و آن که بى توجهى کند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عصیانگرید و سخنم را برنمى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هایتان از حرام است و شکم هایتان از حرام پر شده، لذا دل هایتان مهر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شنوید و گوش نمى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بحرانى اصفهانى،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پیشینه و شناخت از مردم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کوفیان توسط عبیدالله تطمیع و تهدید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کتاب الفتوح، یزید از عبیدالله بن زیاد خواسته بود تا مواجب و ارزاق آنها را صد دینار اضافه کند و به جنگ با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عبیدالله تهدید کرد، هرکسی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کند، بهره و روزی اش را از بیت المال لغو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106" w:name="__RefHeading___Toc2967801_653776707"/>
      <w:bookmarkStart w:id="107" w:name="_Toc40"/>
      <w:bookmarkEnd w:id="106"/>
      <w:r>
        <w:rPr/>
        <w:t>3</w:t>
      </w:r>
      <w:r>
        <w:rPr>
          <w:rtl w:val="true"/>
        </w:rPr>
        <w:t xml:space="preserve">. </w:t>
      </w:r>
      <w:r>
        <w:rPr>
          <w:rtl w:val="true"/>
        </w:rPr>
        <w:t xml:space="preserve">عدم حمایت از امام </w:t>
      </w:r>
      <w:r>
        <w:rPr>
          <w:rtl w:val="true"/>
        </w:rPr>
        <w:t>(</w:t>
      </w:r>
      <w:r>
        <w:rPr>
          <w:rtl w:val="true"/>
        </w:rPr>
        <w:t>علیه السلام</w:t>
      </w:r>
      <w:r>
        <w:rPr>
          <w:rtl w:val="true"/>
        </w:rPr>
        <w:t>)</w:t>
      </w:r>
      <w:bookmarkEnd w:id="10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هلاکت معاویه به مردم کوفه رسید، شیعیان در خانه سلیمان بن صرد جمع شدند و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آمادگى خود را به ایشان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عبداللَّه بن مسمع همدانى و عبداللَّه بن وال در دهم ماهرمضان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مکه به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دو روز بعد حدود صد و پنجاه نامه به وسیله قیس بن مسهر صیداوى، عبداللَّه و عبدالرحمن پسران شداد أرحبى و عماره بن عبداللَّه سلولى براى آن حضرت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کوفیان به خاطر عوامل متعدد مانند دنیاطلبی، حرام خواری و عدم بصیرت،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تا اینکه یزید به وسیله عبیدالله بن زیاد به مقصد خود رسید</w:t>
      </w:r>
      <w:r>
        <w:rPr>
          <w:rFonts w:eastAsia="IRNazanin" w:cs="IRNazanin"/>
          <w:color w:val="111111"/>
          <w:sz w:val="28"/>
          <w:szCs w:val="28"/>
          <w:rtl w:val="true"/>
          <w:lang w:bidi="fa-IR"/>
        </w:rPr>
        <w:t xml:space="preserve">. </w:t>
      </w:r>
      <w:bookmarkStart w:id="108" w:name="pg8702_73873"/>
    </w:p>
    <w:p>
      <w:pPr>
        <w:pStyle w:val="BookText"/>
        <w:rPr/>
      </w:pPr>
      <w:bookmarkEnd w:id="108"/>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نقش ابن زیاد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به من دستور داده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بکُشم وگرنه یزید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تصمیم گرفتم که او را بکشم و خود را از کشتن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این واقعیت تلخ اجتماعی اشاره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یطلبوننی، و قد وجدونی و ما کانت کتب من 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مکیدة لی و تقرّبا إلى ابن معاویة بی؛ آنان تنها می خواهند به من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نامه های آنها تنها برای فریبم بود تا به وسیله من به پسر معاویه نزدیک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109" w:name="__RefHeading___Toc2967803_653776707"/>
      <w:bookmarkStart w:id="110" w:name="_Toc41"/>
      <w:bookmarkEnd w:id="109"/>
      <w:r>
        <w:rPr>
          <w:rtl w:val="true"/>
        </w:rPr>
        <w:t>راه برون رفت جامعه</w:t>
      </w:r>
      <w:bookmarkEnd w:id="110"/>
    </w:p>
    <w:p>
      <w:pPr>
        <w:pStyle w:val="Heading4"/>
        <w:numPr>
          <w:ilvl w:val="3"/>
          <w:numId w:val="1"/>
        </w:numPr>
        <w:rPr/>
      </w:pPr>
      <w:bookmarkStart w:id="111" w:name="__RefHeading___Toc2967805_653776707"/>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برون رفت از آسیب های اجتماعی دو راه کار ارائه کردند</w:t>
      </w:r>
      <w:r>
        <w:rPr>
          <w:rFonts w:eastAsia="IRNazanin" w:cs="IRNazanin"/>
          <w:color w:val="111111"/>
          <w:sz w:val="28"/>
          <w:szCs w:val="28"/>
          <w:rtl w:val="true"/>
          <w:lang w:bidi="fa-IR"/>
        </w:rPr>
        <w:t>:</w:t>
      </w:r>
    </w:p>
    <w:p>
      <w:pPr>
        <w:pStyle w:val="Heading4"/>
        <w:numPr>
          <w:ilvl w:val="3"/>
          <w:numId w:val="1"/>
        </w:numPr>
        <w:rPr/>
      </w:pPr>
      <w:bookmarkStart w:id="113" w:name="__RefHeading___Toc2967807_653776707"/>
      <w:bookmarkStart w:id="114" w:name="_Toc43"/>
      <w:bookmarkEnd w:id="113"/>
      <w:r>
        <w:rPr/>
        <w:t>1</w:t>
      </w:r>
      <w:r>
        <w:rPr>
          <w:rtl w:val="true"/>
        </w:rPr>
        <w:t xml:space="preserve">. </w:t>
      </w:r>
      <w:r>
        <w:rPr>
          <w:rtl w:val="true"/>
        </w:rPr>
        <w:t>بصیرت بخشی</w:t>
      </w:r>
      <w:bookmarkEnd w:id="11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بصیرت، معانی متعددی آورده که شامل حجت و برهان، عقیده قلبی، هوش و زیرکی، عبرت، شناخت و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بصیرت به معنای بینایی و روشنایی دل، چشم دل، جهت بخش زندگی است و کسی که بصیرت دارد، می تواند با حجت، برهان و عقل راه درست و سعادت را پیدا و براساس آن حرکت کند تا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بخشی یکی از مهم ترین و اصلی ترین وظایف پیشوایان دینی بوده و خداوند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به بصیرت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آن جهت اهمیت دارد که اگر انسان بصیر باشد، قادر است راه را پیدا کند و در راه دین قدم بردارد و اگر شناخت، بصیرت و آگاهی نداشته باشد؛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بصیرت باشد، یعنی درک درست و عمیق از حق و باطل داشته باشد، می تواند در برابر فتنه و آشوب، جریانات و عرصه های سیاسی و نیز در برابر دشمن، موفق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در عصر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داشتند، می توانستند درست عمل کنند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اسلام و دین الهی با نهضت خویش، به بصیرت بخشی و بیدار کردن مردم از غفلت پرداخت</w:t>
      </w:r>
      <w:r>
        <w:rPr>
          <w:rFonts w:eastAsia="IRNazanin" w:cs="IRNazanin"/>
          <w:color w:val="111111"/>
          <w:sz w:val="28"/>
          <w:szCs w:val="28"/>
          <w:rtl w:val="true"/>
          <w:lang w:bidi="fa-IR"/>
        </w:rPr>
        <w:t xml:space="preserve">. </w:t>
      </w:r>
      <w:bookmarkStart w:id="115" w:name="pg8702_73874"/>
    </w:p>
    <w:p>
      <w:pPr>
        <w:pStyle w:val="Heading4"/>
        <w:numPr>
          <w:ilvl w:val="3"/>
          <w:numId w:val="1"/>
        </w:numPr>
        <w:rPr/>
      </w:pPr>
      <w:bookmarkStart w:id="116" w:name="__RefHeading___Toc2967809_653776707"/>
      <w:bookmarkStart w:id="117" w:name="_Toc44"/>
      <w:bookmarkEnd w:id="115"/>
      <w:bookmarkEnd w:id="116"/>
      <w:r>
        <w:rPr/>
        <w:t>2</w:t>
      </w:r>
      <w:r>
        <w:rPr>
          <w:rtl w:val="true"/>
        </w:rPr>
        <w:t xml:space="preserve">. </w:t>
      </w:r>
      <w:r>
        <w:rPr>
          <w:rtl w:val="true"/>
        </w:rPr>
        <w:t>اصلاح امور امت</w:t>
      </w:r>
      <w:bookmarkEnd w:id="117"/>
    </w:p>
    <w:p>
      <w:pPr>
        <w:pStyle w:val="BookText"/>
        <w:rPr/>
      </w:pPr>
      <w:r>
        <w:rPr>
          <w:rFonts w:ascii="IRNazanin" w:hAnsi="IRNazanin" w:eastAsia="IRNazanin"/>
          <w:color w:val="111111"/>
          <w:sz w:val="28"/>
          <w:sz w:val="28"/>
          <w:szCs w:val="28"/>
          <w:rtl w:val="true"/>
          <w:lang w:bidi="fa-IR"/>
        </w:rPr>
        <w:t xml:space="preserve">یکی دیگر از راه کارهای برون رفت از آسیب های اجتماعی عصر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امور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أَطْلُبُ الصَّلَاحَ فِی أُمَّةِ جَدِّی مُحَمَّدٍ؛ براى اصلاح اوضاع امّت جدّم قیام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یکی از فرایض الهی است که قوام شریعت و اسلام بر پایه آن و اقامه حدود الهی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لیثى واسطى،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امر به معروف و نهی از منکر در جامعه به فراموشی سپردهشود، اسلام و آموزه های دینی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عصری می زیست که ضد ارزش ها و افرادی مانند یزید بر آن حکمرانی می کردند؛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امت همگان را به امر به معروف و نهی از منکر و جایگاه اجتماعی آن آشنا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در سیره علمی و عملی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در روش عملی آن حضرت به واقعه کربلا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واجب الهی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یزید به حاکم مدینه دستور داد تا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بگیرد یا ایشان را ترور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به این موضوع، هنگام صبح به زیارت پیامبر صلی الله علیه و آله و سلم مشرف شدند و به راز و نیاز پرداختند و در فرازی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قبر نبیّک محمد، و أنا ابن بنت نبیّک، و قد حضرنی من الأمر ما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احبّ المعروف، و انکر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این قبر پیامبر تو محمد صلی الله علیه و آله و سلم است و من هم فرزند دختر او هستم، از آنچه برای من پیش آمده تو آگاه هستی، خداوندا من معروف را دوست داشته و از منکر بیزارم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118" w:name="__RefHeading___Toc2967811_653776707"/>
      <w:bookmarkStart w:id="119" w:name="_Toc45"/>
      <w:bookmarkEnd w:id="118"/>
      <w:r>
        <w:rPr>
          <w:rtl w:val="true"/>
        </w:rPr>
        <w:t>نتیجه</w:t>
      </w:r>
      <w:bookmarkEnd w:id="11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و ریشه وقوع عاشورا دارای ابعاد مختلف اجتماعی، سیاسی، فرهنگی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اجتماعی وقوع عاشورا شامل سه ساحت شخصیتی، حاکمیتی و جامعه شناسی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 اجتماعی وقوع حادثه عاشورا و فاجعه حره، رفتار شخصیتی و اخلاقی معاویه و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 جامعه ای که از مبانی </w:t>
      </w:r>
      <w:bookmarkStart w:id="120" w:name="pg8702_73875"/>
    </w:p>
    <w:p>
      <w:pPr>
        <w:pStyle w:val="BookText"/>
        <w:rPr/>
      </w:pPr>
      <w:bookmarkEnd w:id="120"/>
      <w:r>
        <w:rPr>
          <w:rFonts w:ascii="IRNazanin" w:hAnsi="IRNazanin" w:eastAsia="IRNazanin"/>
          <w:color w:val="111111"/>
          <w:sz w:val="28"/>
          <w:sz w:val="28"/>
          <w:szCs w:val="28"/>
          <w:rtl w:val="true"/>
          <w:lang w:bidi="fa-IR"/>
        </w:rPr>
        <w:t>دینی تهی و به خوش گذرانی روی آورده؛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یارگیری و تلاش برای ولایتعهدی یزید در وقوع حادثه عاشورا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انحایمختلف مانند سخنرانی ها و نامه های اعتراض آمیز و مخالفت با ولیعهدی یزید با معاویه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یزید عدم سکوت و قیام و تشکیل حکومت اسلامی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جامعه شناسی، نقش حاکمیت بر رفتار اجتماعی مردم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اجتماعی، سه عامل مهم در وقوع عاشورا همچون رفتار اجتماعی حاکمان اموی، دنیاطلبی و عدم 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برون رفت از آسیب های اجتماعی بصیرت بخشی و اصلاح امور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جامعه شناسانه خود، جامعه را به نقد کشاند؛ جامعه ای را که به ارزش ها پشت کرده و دنیاگرایی، جانشین دین مداری شده، غیرقابل تحمل می دانست و شهادت را تنها راه خروج از این بن بست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121" w:name="__RefHeading___Toc2967813_653776707"/>
      <w:bookmarkStart w:id="122" w:name="_Toc46"/>
      <w:bookmarkEnd w:id="121"/>
      <w:r>
        <w:rPr>
          <w:rtl w:val="true"/>
        </w:rPr>
        <w:t>منابع</w:t>
      </w:r>
      <w:bookmarkEnd w:id="12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أبی الحدید، عبد الحمید بن هبة 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لابن أبی الحدید، قم، مکتبه آیه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أثیر، عز الدین أبو الحسن على بن ابى الکرم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الکوفى، أبو محمد أحمد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على شیرى،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خلدون، عبد 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المبتدأ و الخبر فى تاریخ العرب و البربر و من عاصرهم من ذوى الشأن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خلیل شحاده، بیروت، دارالفکر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حرانى، حسن بن على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قم، جامعه مدرسین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مازندرانى،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علیهم السلام،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ترجمه فهرى،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قتیبه دینوری، أبومحمد عبد الله بن مسلم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الإمامة و السیاسة المعروف بتاریخ الخلفاء، تحقیق علی شیری،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اشرف، دار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دمشقى، أبو الفداء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الفکر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قم، مدرسه امام مهدى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مخنف کوفى، لوط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اربلى، على بن عیسى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الأئمة، تبریز، بنى هاشمى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عاملى، سید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الشیعة، بیروت، دار 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اصفهانى، عبدالله بن نور 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 المعارف والأحوال من الآیات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سیدة النساء إلى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بلاذرى، أحمد بن یحیى بن جابر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انساب الأشراف، تحقیق سهیل زکار و ریاض زرکلى،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پیشوایان، قم،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حسینیان، روح 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چهارده قرن تلاش شیعه برای توسعه و ماندن، تهران، مرکز اسناد انقلاب اسلامی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حسینى موسوى، محمد بن أبی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تسلیة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المعارف الإسلامیة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حلى،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الیقین فی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وزارت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دینورى، ابو حنیفه احمد بن داود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تحقیق عبد المنعم عامر، مراجعه جمال الدین شیال، قم، منشورات الرضى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ترجمه دشتى، قم،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احمد بن على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على أهل اللجاج، مشهد، نشر مرتضى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أبو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الأمم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أبوالفضل ابراهیم،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فرهاد میرزا قاجار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قمقام زخار و صمصام بتار، تهران،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ترجمه محمدباقر کوه کمره ای، قم،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کلینى،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قم، دار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لیثى واسطى، على بن محمد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الحکم و المواعظ،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أبوالحسن على بن الحسین بن على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 اسعد داغر، قم، دار 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معرفه حجج الله على العباد،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شیرازى،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 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منسوب به جعفر بن محمد،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الشریعه، بیروت، اعلمى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هاشمى خویى، میرزا حبیب الله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البراعة فی شرح نهج البلاغة، تهران، مکتبه الإسلامیه</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8702_73879"/>
      <w:bookmarkStart w:id="124" w:name="pg8702_73879"/>
      <w:bookmarkEnd w:id="124"/>
    </w:p>
    <w:p>
      <w:pPr>
        <w:pStyle w:val="Heading2"/>
        <w:numPr>
          <w:ilvl w:val="1"/>
          <w:numId w:val="1"/>
        </w:numPr>
        <w:rPr/>
      </w:pPr>
      <w:bookmarkStart w:id="125" w:name="pg8702_73879"/>
      <w:bookmarkStart w:id="126" w:name="__RefHeading___Toc2967815_653776707"/>
      <w:bookmarkStart w:id="127" w:name="_Toc47"/>
      <w:bookmarkEnd w:id="125"/>
      <w:bookmarkEnd w:id="126"/>
      <w:r>
        <w:rPr>
          <w:rtl w:val="true"/>
        </w:rPr>
        <w:t>کارکردهای شعائر حسینی در حوزه قدرت اجتماعی در عصر قاجار</w:t>
      </w:r>
      <w:bookmarkEnd w:id="127"/>
    </w:p>
    <w:p>
      <w:pPr>
        <w:pStyle w:val="Heading3"/>
        <w:numPr>
          <w:ilvl w:val="2"/>
          <w:numId w:val="1"/>
        </w:numPr>
        <w:rPr/>
      </w:pPr>
      <w:bookmarkStart w:id="128" w:name="__RefHeading___Toc2967817_653776707"/>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دکتر حسین حمزه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12/01/1401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19/06/1401</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کارکرد به معنای نتیجه و اثر یک واقعه یا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شعائر حسینی در حوزه اجتماعی در عصر قاجار کارکردهای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کارکردها در دو بُعد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دین باوری و فردی متبلور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ماهیت اساسی ظهور و بروز این کارکردها و برگزاری آنها در جامعه، موجب انسجام و همبستگی اجتماعی شده بود، اما این بدین معنا نیست که این کارکردها برای تمامی آحاد افراد مردم و نهادها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حتی شیوه برگزاری این آیین ها موجب نزاع های داخلی و گسستگی اجتماعی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کارکردهای شعائر حسینی در ایران عصر قاجار به خصوص در آستانه عصر مشروطه و آشنایی روز افزون ایرانیان با مظاهر تمدن غربی می تواند میزان اثرگذاری اجتماعی این مناسک و آیین ها را در میان طبقات گوناگون مردم را مشخص کرده و آسیب های وارد شده برجامعه را از این ناحیه شناسایی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محرم، مذهب در دوره قاجار</w:t>
      </w:r>
      <w:r>
        <w:rPr>
          <w:rFonts w:eastAsia="IRNazanin" w:cs="IRNazanin"/>
          <w:color w:val="111111"/>
          <w:sz w:val="28"/>
          <w:szCs w:val="28"/>
          <w:rtl w:val="true"/>
          <w:lang w:bidi="fa-IR"/>
        </w:rPr>
        <w:t xml:space="preserve">. </w:t>
      </w:r>
      <w:bookmarkStart w:id="130" w:name="pg8702_73880"/>
    </w:p>
    <w:p>
      <w:pPr>
        <w:pStyle w:val="Heading3"/>
        <w:numPr>
          <w:ilvl w:val="2"/>
          <w:numId w:val="1"/>
        </w:numPr>
        <w:rPr/>
      </w:pPr>
      <w:bookmarkStart w:id="131" w:name="__RefHeading___Toc2967819_653776707"/>
      <w:bookmarkStart w:id="132" w:name="_Toc49"/>
      <w:bookmarkEnd w:id="130"/>
      <w:bookmarkEnd w:id="131"/>
      <w:r>
        <w:rPr>
          <w:rtl w:val="true"/>
        </w:rPr>
        <w:t>تعریف واژگان</w:t>
      </w:r>
      <w:bookmarkEnd w:id="132"/>
    </w:p>
    <w:p>
      <w:pPr>
        <w:pStyle w:val="BookText"/>
        <w:rPr/>
      </w:pP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انجام یک وظیفه تعریف شده که دارای معادل هایی نظیر نقش، عمل، خدمت و شغل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شناسی این واژه به معنای نتیجه و اثری بوده که انطباق یا سازگاری یک ساختار معین یا اجزای آن را با شرایط لازم محیط فراهم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جولیوس،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توسلی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 در حقیقت همان نتایج و آثار عینی و قابل مشاهده نهادهای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دورکیم آحاد مردم یک جامعه که دارای باورداشت های مشترک هستند، خواه یا ناخواه در عرصه های اجتماعی دارای درگیری های مشترکی نیز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هایی که در مناسک دینی و ملی خود نمایی می کند و در ادبیات دینی به آن واژه شعائر اطلاق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شعیره و به معنای نشانه ها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موسوی سبزواری،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و نشانه ای که ظاهر و محسوس باشد را معنی شعیره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دیگر شعیره بر وزن فعیله به معنای آن چیزی است که از لطف و دقت پیرامون عظمت، جلال و پادشاهی خداوند و هر آنچه که مرتبط باشد به آشکار شدن امر او، درک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فقهی، کاربرد واژه شعائرالله بر همه احکام و دستورهای خدای متعال، عبادت هایی که آشکارا و به صورت جمعی برگزار می شود، به کار می رود و در صورت اضافه شدن شعائر به اسلام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اعمال و مناسک مختص به اسلام، از قبیل نماز، روزه، خمس، زکات و حج و یا امور مختص به مذهب مانند شهادت به ولایت در اذان و اقامه و بلند گفتن بسم الله در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شاهرودی،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مذهبی هم دربردارنده معنای لغوی شعائر به معنای اطاعت و مطلق دین خداوند بوده و هم با اضافه شدن به مذهب، اعمال و رفتار یک نگرش خاص اعتقادی را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جامعه شناسان از ترکیب شعائر اجتماعی نیز استفاده کرده اند که مرادشان تشریفات اجتماعی خاص و دارای قدمت و اهمیت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آیین و عزاداری هایی که شیعیان در مراسم های سوگواری امامان شیعه در عرصه های اجتماعی از خود ظهور و بروز می دهند و متولیان دینی نیز با استناد آیات </w:t>
      </w:r>
    </w:p>
    <w:p>
      <w:pPr>
        <w:pStyle w:val="BookText"/>
        <w:rPr/>
      </w:pPr>
      <w:r>
        <w:rPr>
          <w:rFonts w:ascii="IRNazanin" w:hAnsi="IRNazanin" w:eastAsia="IRNazanin"/>
          <w:color w:val="111111"/>
          <w:sz w:val="28"/>
          <w:sz w:val="28"/>
          <w:szCs w:val="28"/>
          <w:rtl w:val="true"/>
          <w:lang w:bidi="fa-IR"/>
        </w:rPr>
        <w:t>قرآن و روایات آنها را مورد تأیید قرار می دهند از جمله مصادیق مهم شعائر الهی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شعائر مذهبی در این پژوهش نگاهی خاص و درون مذهبی به این آیین ها بوده و بر مراسم های سوگواری و عزادرای تأکید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تعاریفی نظیر امکان تحمیل اراده فردی بر رفتار جمعی دیگر، که از سوی جامعه شناسان درباره مفهوم قدرت و حدود آن ارائه شده، عمدتا ناظر بر قدرت سیاسی و کارکردهای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بورلاستکی،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اجتماعی، مفهومی است که در بستر نهادهای مردمی ایجاد می شود و قوام آن با گروه ها و نهادهایی است که جامعه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طبقات و نهادهایی که به طور مستقیم در جامعه از قدرت اثرگذاری بیشتری برخوردار هستند، بیش از دیگر نهادها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طبقات نخبگان در عرصه های اجتماعی همچون قوه محرک عمل کرده و عموم مردم را با خود همراه می کند و رفتارهای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سیاسی مهمی را در جامعه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قدرت اجتماعی را این گونه تعریف کرد که قدرت در هر موجودی، اعم از موجود طبیعی یا مصنوعی و حتی اجتماعی، عبارت استاز منشأ آن آثار و حرکات و رفتاری که در تأمین هدف متشکله آن نقش مثبت دارند و به عبارت دیگر قدرت، منشأ پدید آمدن آثاری است که در هر زمینه توقع آن را داریم و مورد انتظار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اسکندری و داراب کلایی،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و عشایر،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متولیان دینی، نیروهای نظامی و از همه مهم تر توده های مردمی از جمله عناصر اساسی شکل گیری قدرت اجتماعی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اجتماعی که در حقیقت می توان نام قدرت نرم را بر آن نهاد، از میان ارتباط و اطمینان میان نهادها و اشخاص ایجاد می شود؛ قدرتی که اساس و بنیادش بر ارزش ها و فرهنگ ها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شعائر مذهبی و اقبال مردم به برگزاری آنها موجب می شود تا قدرتی مضاعف از میان یکی شدن اجتماعی در بُعد مذهبی و اجتماعی ایجاد شود که زمینه بروز وقایع گوناگونی در عرصه اجتماع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پرداختن به مناسک و شعائر مذهبی ایجاد نوعی هنجارهای ارزشی در حوزه فردی و اجتماعی ایجاد می کند که پایبندی مردم و نهادهای اجتماعی به این هنجارها و باورها نتیجه ای جز تقویت اجتماعی به همراه ندارد</w:t>
      </w:r>
      <w:r>
        <w:rPr>
          <w:rFonts w:eastAsia="IRNazanin" w:cs="IRNazanin"/>
          <w:color w:val="111111"/>
          <w:sz w:val="28"/>
          <w:szCs w:val="28"/>
          <w:rtl w:val="true"/>
          <w:lang w:bidi="fa-IR"/>
        </w:rPr>
        <w:t xml:space="preserve">. </w:t>
      </w:r>
      <w:bookmarkStart w:id="133" w:name="pg8702_73882"/>
    </w:p>
    <w:p>
      <w:pPr>
        <w:pStyle w:val="Heading3"/>
        <w:numPr>
          <w:ilvl w:val="2"/>
          <w:numId w:val="1"/>
        </w:numPr>
        <w:rPr/>
      </w:pPr>
      <w:bookmarkStart w:id="134" w:name="__RefHeading___Toc2967821_653776707"/>
      <w:bookmarkStart w:id="135" w:name="_Toc50"/>
      <w:bookmarkEnd w:id="133"/>
      <w:bookmarkEnd w:id="134"/>
      <w:r>
        <w:rPr>
          <w:rtl w:val="true"/>
        </w:rPr>
        <w:t>پیشینه پژوهش</w:t>
      </w:r>
      <w:bookmarkEnd w:id="135"/>
    </w:p>
    <w:p>
      <w:pPr>
        <w:pStyle w:val="BookText"/>
        <w:rPr/>
      </w:pPr>
      <w:r>
        <w:rPr>
          <w:rFonts w:ascii="IRNazanin" w:hAnsi="IRNazanin" w:eastAsia="IRNazanin"/>
          <w:color w:val="111111"/>
          <w:sz w:val="28"/>
          <w:sz w:val="28"/>
          <w:szCs w:val="28"/>
          <w:rtl w:val="true"/>
          <w:lang w:bidi="fa-IR"/>
        </w:rPr>
        <w:t>درباره موضوع مقاله تحقیقاتی چند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اثر رسول جعفریان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 محرم در سفرنامه 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بررسی گزارش های شانزده سفرنامه خارجی از دوره صفویه تا انقلاب اسلامی پرداخته و برداشت های اشتباه و غیر واقعی آنها را از مراسم های سوگواری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نظری مقدم در کتاب آیین عزاداری از نگاه سفرنامه نویسان خارجی، کوشیده است تا با بهره گیری از پنجاه سفرنامه، گزارشیاجمالی از چگونگی برگزاری آیین های عزاداری از دوره صفویه تا دوره معاصر به خواننده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کار علمی به انضمام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سیر تطور مراسم سوگواری شیعه در عصر قاجار با تکیه بر سفرنامه 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سمیه عباسی که از ده سفرنامه برای نگارش آن استفاده کرده است، نگاه کلی و گزارشی دارند و در برخی موارد تحلیل و تذکر اشتباهات سفرنامه نویسان در نگاه دفاع از آیین ها و شعائر مذهبی نیز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می توان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ها و اقتدار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تشیع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پرطرفدار و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ژان کالمار، تعزیه در ایران اثر صادق همایونی، تعزیه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مصائب در نمایش آیینی به قلم علی بلوکباشی، پژوهشی در تعزیه و تعزیه خوانی از آغاز تا آخر دوره قاجار در تهران نوشته عنایت الله شهیدی، رسانه شیعه از محسن حسام مظاهری، تاریخ و جلوه های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اثر اصغر حیدری و شکل گیری و تحول مراسم مذهبی در عهد صفویه نگارش حسین ایزدی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تألیفات نیز به وجوه مختلف شعائر مذهبی به صورت جزئی و در برخی موارد به کارکرد آیین های مذهبی در حوزه قدرت اجتماعی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غالب، معطوف بر چگونگی شکل گیری انواع عزاداری ها و تحقیق در مصادیق خاص این آیین ها همچون تعزیه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پژوهش حاضر بیشتر به کارکرد شعائر مذهبی در حوزه قدرت اجتماعی و بیان وجوه مختلف آن پرداخته شده است</w:t>
      </w:r>
      <w:r>
        <w:rPr>
          <w:rFonts w:eastAsia="IRNazanin" w:cs="IRNazanin"/>
          <w:color w:val="111111"/>
          <w:sz w:val="28"/>
          <w:szCs w:val="28"/>
          <w:rtl w:val="true"/>
          <w:lang w:bidi="fa-IR"/>
        </w:rPr>
        <w:t>.</w:t>
      </w:r>
    </w:p>
    <w:p>
      <w:pPr>
        <w:pStyle w:val="Heading3"/>
        <w:numPr>
          <w:ilvl w:val="2"/>
          <w:numId w:val="1"/>
        </w:numPr>
        <w:rPr/>
      </w:pPr>
      <w:bookmarkStart w:id="136" w:name="__RefHeading___Toc2967823_653776707"/>
      <w:bookmarkStart w:id="137" w:name="_Toc51"/>
      <w:bookmarkEnd w:id="136"/>
      <w:r>
        <w:rPr>
          <w:rtl w:val="true"/>
        </w:rPr>
        <w:t>بُعد سیاسی و اجتماعی</w:t>
      </w:r>
      <w:bookmarkEnd w:id="1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دورکیم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مناسک و عزاداری یکی از مجراهای مهم به شمار </w:t>
      </w:r>
    </w:p>
    <w:p>
      <w:pPr>
        <w:pStyle w:val="BookText"/>
        <w:rPr/>
      </w:pPr>
      <w:r>
        <w:rPr>
          <w:rFonts w:ascii="IRNazanin" w:hAnsi="IRNazanin" w:eastAsia="IRNazanin"/>
          <w:color w:val="111111"/>
          <w:sz w:val="28"/>
          <w:sz w:val="28"/>
          <w:szCs w:val="28"/>
          <w:rtl w:val="true"/>
          <w:lang w:bidi="fa-IR"/>
        </w:rPr>
        <w:t>می آید که جامعه در آن باز تولید می شود؛ در این نگاه دیگر هدفشخصی معنا ندارد، بلکه هر چه هست هدف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اوضاع نابسامان اجتماعی و عوامل متعددی چون فقر و نابسامانی های اقتصادی و زورگویی حاکمان و در نهایت تماس با کشورهای دیگر و آگاهی از پیشرفت های آنها موجب شد تا برگزاری مناسک مذهبی در این دوره، عرصه ظهور و بروز گفتمان های سیاسی و درخواست های اجتماعی باشد، حرکتی که تا پیش از این در ادوار تاریخی گذشته شاهد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عصر قاجار به علت تقابل تفکر سنتی و تجدد در عرصه های مختلف اجتماعی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عصر قاجار را آغازگر استفاده گفتمان سیاسی و اجتماعی از عزاداری ها و مناسک دینی دانست، چرا که مردم و نهادها منافع شخصی خود را کنار گذاشته و تحت تأثیر فضای حاکم بر برگزاری مراسم مذهبی، وجهه جمع گرایی و اجتماعی بودن خود را به منصه ظهور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المتکلمین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زاده،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حسین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بودند که در ضمن برگزاری مراسم روضه و سخنرانی، مردم را به حقوق سیاسی و اجتماعی خود آگاه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در آن برهه تاریخی تنها رسانه رسمی نهاد روحانیت که می توانست از آن به جهت روشنگری توده های مردم استفاده کند، منبر و روضه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اثرگذاری این مجالس به قدری بود که در زمان حاکمیت عین الدوله در تهران، برگزاری مجالس روضه و وعظ تعطیل شد و دستور مقررات منع آمد و شد در شب به اجرا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روضه و منابر سید جمال الدین واعظ عمدتا به اهمیت قانون و مزایای حکومت قانونیاختصاص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ای که اگر می دید مستمعان منبرش بیهوده به سر و سینه می زنند و از فداکاری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مشق نمی گیرند، به شدت آنها را سرزنش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یغمایی،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ملک زاده،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و با آغاز زمزمه مشروطه تحول مهمی در سبک و سیاق مجالس روضه و وعاظ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از گفتمان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مناسکی به مجالس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عرفی تغییر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سبک برگزاری مجالس نشان دهنده پویایی و به روز بودن مطالبی است که روضه خوان ها برای آگاهی مردم ارائه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گونه مجالس موجب تحکیم ارتباط نهادها در روحانیت و مردم می شد و از طرفی همبستگی درونی مردم را نسبت به یک هدف مشترک بیشتر می کرد، اما سیاسی کردن بیش از اندازه محتوای منابر اثر منفی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بیان مسائل سیاسی و عوامانه در این گونه مجالس گسترش یافت که اعتراض برخی از روحانیون و نویسندگان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که به نظر می رسد درست باشد، چرا که رسالت اولیه منابر و مجالس روضه پرداختن به معارف اخلاقی و بالندگی روحی مخاطبان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حاجی محمد حسن کاشانی در رساله رویایی صادقانه با انتقاد از عملکرد روضه خوان ها، از اینکه تنها به بدگویی از مشروطه خواهان می پردازند ویا در مجالس با نقل مطالب عوامانه مردم را جذب این گونه مراسم ها می کنند، گلایه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مجلس روضه خوانی در بحبوحه جنبش مشروطه عرصه نزاع طرفداران مشروطه و مخالفان آن است و این به معنای به حاشیه رفتن معارف دینی و فدا شدن بسط اخلاق در نزاع های سیاسیاست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جنبه اجتماعی شاهد حضور فعال یک منسک در میان مردم است که هر کدام از دو طرف نزاع، خواهان حداکثر استفاده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آنکه حاکمیت و نهاد قدرت نیز با استفاده ابزاری از این گونه آیین ها در صدد القای ضدیت مشروطه با دین و ملیت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این احتمال تقویت می شود که در عصر قاجار و با تقویت نهادهای مردمی، رهبری برگزاری مراسم ها و شعائر مذهبی با خارج شدن از نظارت روحانیت، در دست مردم قرار گرفته و همین امر موجبات ورود بیش از پیش خرافات را در آیین های مذهبی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مناسک گرایی جایگزین معارف گرایی قرار گرفته باشد، چرا که مناسک گرایی به نوعی خالی کردن آلام و رنج هایی بوده که انسان عصر قاجار از ابعاد گوناگون اجتماعی با خود به همراه داشته است؛ آلامی که در معارف گرایی امکان تخدیر آنها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شدن روضه خوانی ها باب طبع همه آحاد جامعه نبوده و اعتراضاتی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این دوره از اعتراض سیدی از طلاب به اکبر شاه، روضه خوان معروف به اشرف الذاکرین </w:t>
      </w:r>
    </w:p>
    <w:p>
      <w:pPr>
        <w:pStyle w:val="BookText"/>
        <w:rPr/>
      </w:pPr>
      <w:r>
        <w:rPr>
          <w:rFonts w:ascii="IRNazanin" w:hAnsi="IRNazanin" w:eastAsia="IRNazanin"/>
          <w:color w:val="111111"/>
          <w:sz w:val="28"/>
          <w:sz w:val="28"/>
          <w:szCs w:val="28"/>
          <w:rtl w:val="true"/>
          <w:lang w:bidi="fa-IR"/>
        </w:rPr>
        <w:t>که ضد مشروطه بوده و بر روی منبر به آقایان بهبهانی، طباطبایی و نوری تاخته، گزارشی نقل شده که در آن سید مذکور با خطاب قرار دادن اشرف الذاکرین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بایستی موعظه نمایی و روضه بخوانی، چه حق داری نسبت به اساطین دین و بزرگان مملکت و روسای ملت هتاکی و توهین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مجالس با زد و خورد طرفین بر هم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اجتماعی، برگزاری شعائر مذهبی در هنگامه ای که جامعه در چالش یک مسئله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دست و پا می زده است، می توانستپوششی برای ابراز احساسات ملی و عِرق وطنی در قالب نمادهای مذهبی باشد و در واقع احساسات ملی از قدرت و کشش بیشتری از احساسات مذهبی در همسو کردن مردم با این مراسم ها برخوردار بوده است و مردم برای بروز و ظهور این احساسات ملی از قالب شعائر مذهبی که قرن ها با آن خو گرفته و بالیده بودند،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دیدگاه می توان شواهد متعددی از میان مصادر این عصر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ایالتی گیلان در اعتراض به حضور نیروهای روسی در کشور با اعلام عزای عمومی در اطلاعیه ای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اهالی، فردا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الاول</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عموا با بیرق های کوچک سیاه از کوچه و بازار عبور کرده، در سبزه میدان جمع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رجبی دوانی،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8/251</w:t>
      </w:r>
      <w:r>
        <w:rPr>
          <w:rFonts w:ascii="IRNazanin" w:hAnsi="IRNazanin" w:eastAsia="IRNazanin"/>
          <w:color w:val="111111"/>
          <w:sz w:val="28"/>
          <w:sz w:val="28"/>
          <w:szCs w:val="28"/>
          <w:rtl w:val="true"/>
          <w:lang w:bidi="fa-IR"/>
        </w:rPr>
        <w:t xml:space="preserve">؛ رضازاده،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ولایتی یزد نیز در تحریم عید نوروز به نشانه عزای ملی به اعتراض حضور قوای اشغالگر روسیه و انگلستان در کشور در اعلامیه خود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مراسم عیدی که از اعیاد عظیمه و عادات قدیمه ما ایرانیان بوده بالمره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بلکه مبدل به عزاداری و سوگواری گردید و تدارک نصب بیرق های سیاه در دکاکین و زیر خان های خود هستند تا تأسف قلبیه خود را مشهود عالمیان دارند، مترصد سایر اقدامات اند تا هم آواز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8/252</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قتل سید عبدالحمید که با نام اولین شهید مشروطه معروف شده است، مردم مجلس روضه و عزا برقرار کردند و نوحه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3/486</w:t>
      </w:r>
      <w:r>
        <w:rPr>
          <w:rFonts w:ascii="IRNazanin" w:hAnsi="IRNazanin" w:eastAsia="IRNazanin"/>
          <w:color w:val="111111"/>
          <w:sz w:val="28"/>
          <w:sz w:val="28"/>
          <w:szCs w:val="28"/>
          <w:rtl w:val="true"/>
          <w:lang w:bidi="fa-IR"/>
        </w:rPr>
        <w:t xml:space="preserve">؛ کسروی،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ملک زاده،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وقایع مرتبط به قتل سید </w:t>
      </w:r>
    </w:p>
    <w:p>
      <w:pPr>
        <w:pStyle w:val="BookText"/>
        <w:rPr/>
      </w:pPr>
      <w:r>
        <w:rPr>
          <w:rFonts w:ascii="IRNazanin" w:hAnsi="IRNazanin" w:eastAsia="IRNazanin"/>
          <w:color w:val="111111"/>
          <w:sz w:val="28"/>
          <w:sz w:val="28"/>
          <w:szCs w:val="28"/>
          <w:rtl w:val="true"/>
          <w:lang w:bidi="fa-IR"/>
        </w:rPr>
        <w:t xml:space="preserve">عبدالحمید، شعری در رثای وی است که سید رضوان شیرازی، از شعرای این دوره، سروده بود و در آن این واقعه ملی را کاملا تحت پوشش اسطوره های مذهبی قرار می دهد و به نوعی با مشابهت قرار دادن سید عبدالحمید با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تحریک احساسات مردم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تیرش به سینه خورد به مظلومی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بگشت پاره به مجروحی حسن</w:t>
      </w:r>
    </w:p>
    <w:p>
      <w:pPr>
        <w:pStyle w:val="BookText"/>
        <w:rPr/>
      </w:pPr>
      <w:r>
        <w:rPr>
          <w:rFonts w:ascii="IRNazanin" w:hAnsi="IRNazanin" w:eastAsia="IRNazanin"/>
          <w:color w:val="111111"/>
          <w:sz w:val="28"/>
          <w:sz w:val="28"/>
          <w:szCs w:val="28"/>
          <w:rtl w:val="true"/>
          <w:lang w:bidi="fa-IR"/>
        </w:rPr>
        <w:t xml:space="preserve">تا جان برفت از تن جان جهان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صیحه جبرئیل که ای حی ذوالمنون</w:t>
      </w:r>
    </w:p>
    <w:p>
      <w:pPr>
        <w:pStyle w:val="BookText"/>
        <w:rPr/>
      </w:pPr>
      <w:r>
        <w:rPr>
          <w:rFonts w:ascii="IRNazanin" w:hAnsi="IRNazanin" w:eastAsia="IRNazanin"/>
          <w:color w:val="111111"/>
          <w:sz w:val="28"/>
          <w:sz w:val="28"/>
          <w:szCs w:val="28"/>
          <w:rtl w:val="true"/>
          <w:lang w:bidi="fa-IR"/>
        </w:rPr>
        <w:t xml:space="preserve">از نو حسین کشته ز جور یزید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کشته عبد المجید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بیش از پیش شیخیه در کرمان موجب شد تا در ماه محرم، واعظی به نام شیخ برینی</w:t>
      </w:r>
      <w:r>
        <w:rPr>
          <w:rStyle w:val="FootnoteAnchor"/>
          <w:rtl w:val="true"/>
        </w:rPr>
        <w:footnoteReference w:id="10"/>
      </w:r>
      <w:r>
        <w:rPr>
          <w:rFonts w:ascii="IRNazanin" w:hAnsi="IRNazanin" w:eastAsia="IRNazanin"/>
          <w:color w:val="111111"/>
          <w:sz w:val="28"/>
          <w:sz w:val="28"/>
          <w:szCs w:val="28"/>
          <w:rtl w:val="true"/>
          <w:lang w:bidi="fa-IR"/>
        </w:rPr>
        <w:t>از سمت خراسان به کرمان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محرم بر منبر رفت و بر شیخیه و دیگر فرق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حکومت را به ترس واداشت؛ بنابراین برای دفع فتنه احتمالی شیخ برینی او را از کرمان به سی فرسخی آن شهر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موجی از اعتراض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میرزا محمدرضا که از شاگردان آخوند خراسانی به شمار می آمد به کرمان وارد شد و شیخ برینی را تحت حمایت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میرزا محمدرضا از شیخ برینی و پاسخ او به سوال مردم مبنی بر انحراف شیخیه موجب شد تا میانشیخیه و مردم درگیری و نزاع ایجاد و چند تن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کرمان به آنجا کشیده شد که مظفرالدین شاه که هنوز از سفر اروپا بازنگشته بود، محمدعلی رکن الدوله را از حکمرانی کرمان خلع و به جای او ظفرالسلطنه را منصوب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کرمان برای اینکه زهر چشمی از مردم کرمان و مجتهد تازه وارد بگیرد، میرزا محمدرضا را به همراه سه تن دیگر از روحانیون فلک و به رفسنجان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w:t>
      </w:r>
    </w:p>
    <w:p>
      <w:pPr>
        <w:pStyle w:val="BookText"/>
        <w:rPr/>
      </w:pPr>
      <w:r>
        <w:rPr>
          <w:rFonts w:ascii="IRNazanin" w:hAnsi="IRNazanin" w:eastAsia="IRNazanin"/>
          <w:color w:val="111111"/>
          <w:sz w:val="28"/>
          <w:sz w:val="28"/>
          <w:szCs w:val="28"/>
          <w:rtl w:val="true"/>
          <w:lang w:bidi="fa-IR"/>
        </w:rPr>
        <w:t xml:space="preserve">نقل کسروی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آن مریدان آقا به خانه اش گرد آمده و چندین روز روضه خواندند و گریه کرده و به سر خود می زدند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برپایی مجالس روضه را می توان راه کاری برای بیان اعتراضات اجتماعی و مدنی به شمار آورد که مجتهدان و روحانیون صاحب نفوذ از این راه برای جلب توجه نهاد قدرت و توده های مردمی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خورشید، از نشریات عصر مشروطه، به تاریخ سوم جمادی الاول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در این باره گزارشی از اعتراض شیخ فضل الله نوری ارائه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مدبرالممالک،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مشروطه در شهر رشت، روزنامه حبل المتین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از روضه افتخارالذاکرین و آمیختگی سخنان او با مسائل سیاسی گزارشی ارائه داده که مردم به شدت تحت تأثیر قرار گرفته و گریه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همین گزارش نیز در منابع دیگر نقل شده است که به علت انقلاب مشروطیت و پرداختن مردم به امور سیاسی و اجتماعی، مراسم تعزیه در تکیه دولت فراموش و متروک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حوزه مسائل اجتماعی، اهتمام به برگزاری برخی از شعائر مذهبی همچون قمه زنی به گونه ای بود که مردم می توانستند به وسیله آن زندانی هاییکه مدتی از حبس آنها می گذشت، چه گناه کار بودند و چه بی گناه، از زندان آزاد کنند و امتیازات گوناگونی به 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دمورگان،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بنجامین،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سیرجانی،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معیرالممالک،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کارکرد شعائر به دلیل واهمه و ترسی بود که نهاد قدرت از برافروختن احساسات مردم در هنگام برگزاری این آیین دچار آن می شد، چرا که این افراد با اختیار تمام این گونه جراحات را بر خود وارد می کردند، بنابراین محتمل بود تا در صورت رد درخواست آنها، اقدام اجتماعی تندی انجام دهند و نظم اجتماعی را برهم بزنند، مسئله ای که حکومت قاجار دقیقا از آن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مختار فرانسه در ایران، آمیختگی شدید مسائل سیاسی و اجتماعی با شعائر مذهبی را این گونه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سینه زن و قمه زن مقابل سفارت انگلستان به جهت کمک این کشور به ایران با شور و شوق بیشتری عزاداری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بدبینانه رسم آزادی زندانیان در ایام عزاداری محرم چنان گزارش شده است که برای برخی از مردم </w:t>
      </w:r>
    </w:p>
    <w:p>
      <w:pPr>
        <w:pStyle w:val="BookText"/>
        <w:rPr/>
      </w:pPr>
      <w:r>
        <w:rPr>
          <w:rFonts w:ascii="IRNazanin" w:hAnsi="IRNazanin" w:eastAsia="IRNazanin"/>
          <w:color w:val="111111"/>
          <w:sz w:val="28"/>
          <w:sz w:val="28"/>
          <w:szCs w:val="28"/>
          <w:rtl w:val="true"/>
          <w:lang w:bidi="fa-IR"/>
        </w:rPr>
        <w:t xml:space="preserve">بی بضاعت کسب درآمد به شمار می آمده است و قمه های خود را این بار برای مواسات با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نمی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دالمانی،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تنها در این سفرنامه گزارش شده است و مورد تأیید دیگر منابع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دیگر اجتماع عظیم مردم در دسته های عزاداری نوعی تقابل میان قدرت مردم با قدرت حاکمیت را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که می دانست، محرومیت های مختلف مردم، زمینه را برای هر گونه اقدام اجتماعی علیه آنها فراهم می کند، با برگزاری این گونه تجمع ها مخالف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تا قبل از دوره ناصری شکوه و پر شوری هیئت های مذهبی چندان اثری درتحرکات اجتماعی دربرنداشته است، چرا که آگاهی مردم نسبت به حقوق اجتماعی ومدنی خود ناچیز بوده و آنها بیشتر متأثر از روحانیون و نهاد مرجعیت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نیز خیلی مایل نبود موجبات تضعیف حکومتی را که داعیه دار بسط احکام و اندیشه شیعی است و تعامل خوبی نیز با آنها دارد را فراهم کند، اما در دوره ناصری و با گسترش نهادهای آموزشی مدرن، چاپ روزنامه ها و درک نسبی به حقوق زائل شده خود توسط سلطنت، تجمع ها به مثابه انبار مهماتی بود که هر لحظه امکان آتش گرفتن آن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هیچ علاقه ای نداشت تا حکومت فردی خود را در چارچوب قانون قرار دهد و اختیارات خود را کم کند، این امر در برخورد او نسبت به تعطیلی برخی از دسته های عزاداری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دهد که شاه از ترس شورش و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ترک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تعطیلی این دسته را می دهد، زیرا دسته آنها به دو هزار نفر می رسید و چند بار اسباب شورش شده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رنج ها و مصائب مردم ایران در برخی از پرده های دروغین تعزیه نیز نمایان می شد که نشان از سختی و سیه روزی بود که ایرانیان آن را از جانب غربیان و اروپاییان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تعزیه به گونه ای نشان دهنده اعتراضات اجتماعی آنها به اوضاعی بود که معتقد بودند توسط دیگر کشورها به آنها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گاهی سفرنامه نویسان از برگزاری این گونه نمایش و چرایی آن از سوی ایرانیان بی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تانکوانی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گزارشیمبنی بر عدم رضایت شاه از حضور اعضای هیئت </w:t>
      </w:r>
      <w:bookmarkStart w:id="138" w:name="pg8702_73889"/>
    </w:p>
    <w:p>
      <w:pPr>
        <w:pStyle w:val="BookText"/>
        <w:rPr/>
      </w:pPr>
      <w:bookmarkEnd w:id="138"/>
      <w:r>
        <w:rPr>
          <w:rFonts w:ascii="IRNazanin" w:hAnsi="IRNazanin" w:eastAsia="IRNazanin"/>
          <w:color w:val="111111"/>
          <w:sz w:val="28"/>
          <w:sz w:val="28"/>
          <w:szCs w:val="28"/>
          <w:rtl w:val="true"/>
          <w:lang w:bidi="fa-IR"/>
        </w:rPr>
        <w:t>نمایندگان در تعزیه که صحنه قتل سفیر یونان را به نمایش در می آوردند،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برگزاری این تعزیه درصدد رساندن این پیغام به اروپاییان بودند که آنها را در فرهنگ ملی و مذهبی خود هضم خواهند کرد و همه فلاکتی را که در جنگ های مختلف به آنها تحمیل کرده اند، روزی تلافی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شعائر تنها در مرز بندی ملی و یا بیان رنج های اجتماعی خلاصه نمی شد، بلکه در هنگام بروز امراض و بیماری های عمومی نیز نقش شعائر مذهبی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در اغلب شهرهای ایران وبا شیوع پیدا کرده بود، مردم به برگزاری مجالس روضه و سینه زنی اهتمام ویژه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اعتمادالسلطنه،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 ریشه در این باور دارد که در هنگام بلایا و بیماری ها باید به امور ماورایی تمسک جست تا هم قدری از آلام و رنج های درونی افراد جامعه کم شود و هم از خداوند درخواست برون رفت از این واقعه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می توان این احتمال را مطرح کرد که در این رخدادها توجه حوزه اجتماعی به یک هدف مقدس و ماوراء، بیش از پیش بوده و نگاه به شعائر و مناسک مذهبی در میان آحاد افراد جامعه بیشتر ظهور و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آلام اجتماعی به نوعی انگیزه برای برگزاری و اهتمام بیشتر مردم نسبت به شعائر مذهبی ایجاد می کرد و مردم را از ساحت فردی به حوزه جمعی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اوضاع نابسامان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ایران، شعائر مذهبی به نوعی ابزار مشترک برای اهداف ملی و مذهبی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دلیل رسوخ در میان آداب و رسوم مردم ایران، شعائر نقش ابزار و وسیله برای اهداف ملیبوده و کارکرد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یا همان نگاه ملیتی غالب بر نگاه مذهبی در این گونه مناسک بوده، که با استفاده از مفاهیم و نگاه مذهبی درصدد مشروعیت بخشی به خواسته های اجتماعی خود بوده اند</w:t>
      </w:r>
      <w:r>
        <w:rPr>
          <w:rFonts w:eastAsia="IRNazanin" w:cs="IRNazanin"/>
          <w:color w:val="111111"/>
          <w:sz w:val="28"/>
          <w:szCs w:val="28"/>
          <w:rtl w:val="true"/>
          <w:lang w:bidi="fa-IR"/>
        </w:rPr>
        <w:t>.</w:t>
      </w:r>
    </w:p>
    <w:p>
      <w:pPr>
        <w:pStyle w:val="Heading3"/>
        <w:numPr>
          <w:ilvl w:val="2"/>
          <w:numId w:val="1"/>
        </w:numPr>
        <w:rPr/>
      </w:pPr>
      <w:bookmarkStart w:id="139" w:name="__RefHeading___Toc2967825_653776707"/>
      <w:bookmarkStart w:id="140" w:name="_Toc52"/>
      <w:bookmarkEnd w:id="139"/>
      <w:r>
        <w:rPr>
          <w:rtl w:val="true"/>
        </w:rPr>
        <w:t>بُعد دین باوری و حوزه فردی</w:t>
      </w:r>
      <w:bookmarkEnd w:id="14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شعائر مذهبی یک عمل جمعی است که بخش مهمی از حیات اجتماعی شیعیان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این شعائر در حقیقت پاسداشت تمامی ارزش ها و باورهای </w:t>
      </w:r>
    </w:p>
    <w:p>
      <w:pPr>
        <w:pStyle w:val="BookText"/>
        <w:rPr/>
      </w:pPr>
      <w:r>
        <w:rPr>
          <w:rFonts w:ascii="IRNazanin" w:hAnsi="IRNazanin" w:eastAsia="IRNazanin"/>
          <w:color w:val="111111"/>
          <w:sz w:val="28"/>
          <w:sz w:val="28"/>
          <w:szCs w:val="28"/>
          <w:rtl w:val="true"/>
          <w:lang w:bidi="fa-IR"/>
        </w:rPr>
        <w:t>اعتقادی است که می تواند در درون خود به تقویت بنیه فکری فرد و باورپذیری حضور دین در عرصه های خصوصی نیز یاری رساند؛ چرا که برگزاری شعائر و مناسک مذهبی به نوعی تعامل مستقیم با برخی از آموزه های دینی و مذهبی دارد و همین امر موجب باورمندی بیشتر نسبت به آموزه های دینی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دیگر تعامل دو سویه اجتماع و فرد در برگزاری شعائر مذهبی و جابجایی آگاهی های مذهبی به تقویت دین باوری در حوزه فردی نیز کمک بیشتری می کند، هر چند ممکن است که وجود این گونه مراسم ها جنبه تفریحی و سرگرمی داشته باشد، اما در لایه های دیگر آن همین حضور در اجتماع مذهبی به آگاهی فرد نسبت به آموزه های دینی کمک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سه ویژگی کارکرد شعائر مذهبی در این حوزه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باورهای دینی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عزاداری می کنند تا اندیشه نبرد علیه ظلم و بیدادگری را در درون خود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هویت شعائر در برهه های تاریخی بستر مناسبی برای حرکت های اجتماعی مهم در تاریخ تشیع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برگزاری این گونه مراسم ها این سؤال مطرح می شود که چرا بایدانسان های نیک سرشت و پاک، مقهور ستم و ظلم قدرت طلبان قرار گیرند؟ سؤالی که دقیقا مشخص نیست که آیا در خلال حضور افراد در مراسم های مذهبی، می توان برای آن جوابی به دست آورد یا خیر؟ اما هر چه هست شعائر، پتانسیل و نیرویی دارد که می تواند آگاهی افراد را به آنچه که به آن باور دارند و از طفولیت در درون آنها نهادینه شده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مستقیم و گاهی به صورت کاملا نامحسوس، هر چند نمی توان با قاطعیت از اثرگذاری این مراسم ها بر باورهای تمامی افراد جامعه سخن گفت، اما این قابلیت در شعائر وجود دارد که بتوانند چنین نقشی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این مقوله حضور نهادهای مذهبی و روحانیت بیشتر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روحانیون در این باره به چند قسم تقسیم می شود، در برخی موارد با بیان فضیلت گریه کردن و اشک ریختن بر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گفتاری نقش واسطه را میان احادیث و منابع اسلامی با مردم ایفا می کنند و با شیوه بیان و استفاده از آرایه های ادبی و حتی دستگاه های موسیقی مردم را به نکات مهم دینی آگاه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دلیل اعتمادی که به آنها داشتند و در</w:t>
      </w:r>
    </w:p>
    <w:p>
      <w:pPr>
        <w:pStyle w:val="BookText"/>
        <w:rPr/>
      </w:pPr>
      <w:r>
        <w:rPr>
          <w:rFonts w:ascii="IRNazanin" w:hAnsi="IRNazanin" w:eastAsia="IRNazanin"/>
          <w:color w:val="111111"/>
          <w:sz w:val="28"/>
          <w:sz w:val="28"/>
          <w:szCs w:val="28"/>
          <w:rtl w:val="true"/>
          <w:lang w:bidi="fa-IR"/>
        </w:rPr>
        <w:t xml:space="preserve">اغلب موارد به دلیل پیداکردن راه حلی برای کم شدن بار گناهان و جنایت هایی که در طول زندگی خود کرده اند به این سخنان گوش داده و آنها را با جان و دل انجام می دادند و در آستانه مرگ اشک هایی که بر مظلومیت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شده است را در دهان محتضر می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روحانیون با تشویق به برگزاری مراسم های نمایشی درصدد اثرپذیر بودن بیشتر این شعائر بر افراد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اصل برگزاری تعزیه و کشاکش میان روحانیون درباره برگزاری این شیوه، کار را برای اثرپذیر بودن هرچه بهتر این عزاداری برروی افراد کمتر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اختلاف درون نهادی روحانیت نیز نتوانست مانع از برگزاری تعزیه توسط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نگاه میرزای قمی را به تعزیه علت اصلی گسترش این آیین در این عصر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فلاندن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متأثر از دیدن تعزیه بوده که گاهی در بازی بودن آن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خبر از اثرپذیری این نمایش بر قلوب تماشاچیان دارد و به قدری مورد استقبال مردم قرار گرفت که در دهه اول محرم تا دویست مجلس به برگزاری آن اهتمام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 در این آیین ها نتیجه ای جز تقویت باورهای دینی افراد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باوری که از جوشش قلبی و صداقت دینی نشات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اورسل،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این باور بودن که با عزاداری، سلامتی جسمی خود را تا سال دیگر بیمه می کنند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آنها را تأمین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بنجامین،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و بروز فِرق نو ظهور و ارائه اندیشه ای نوین، اجرای آیین های مذهبی به نوعی نشان دهنده پایبندی مردم به آموزه های مذهبی بود که به آن دلبستگی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ظهور چنین دگراندیشی در جامعه عصر قاجار که در برهه هایی در تضاد با سنت و باورهای عمومی مردم داشته است، مفهوم جدیدی نیز در عرصه شعائر مذهبی بروز کرد و به گونه ای غیرت سازی دینی توسط مردم به وسیله این آیین ها به منصه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یر لوتی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اوایل محرم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شاهد عزاداری مردم بوده بر این نظر است که مردم بعد از ظهور باب، به عزاداری و آیین های سوگواری پایبندی بیشتری نشان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شدن به حوزه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تمایز میان دین از غیر دین را در قدسی بودن</w:t>
      </w:r>
    </w:p>
    <w:p>
      <w:pPr>
        <w:pStyle w:val="BookText"/>
        <w:rPr/>
      </w:pPr>
      <w:r>
        <w:rPr>
          <w:rFonts w:ascii="IRNazanin" w:hAnsi="IRNazanin" w:eastAsia="IRNazanin"/>
          <w:color w:val="111111"/>
          <w:sz w:val="28"/>
          <w:sz w:val="28"/>
          <w:szCs w:val="28"/>
          <w:rtl w:val="true"/>
          <w:lang w:bidi="fa-IR"/>
        </w:rPr>
        <w:t>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مبدأ و منشأ امری ماورایی است که مناسک و نمادها می توانند فرد را به این امر قدسی نزدیک کنند و در حقیقت راز ماندگاری دین را می توان در وجود کارکردهای اجتماعی و همچنین وجود باورهای مشترک از طریق برگزاری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دیدگاه دورکیم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خصلت قدسی ناشی از زندگی گروهی و اجتماعی افراد است و از آنجا که زندگی اجتماعی و گروهی دارای نوسان و تغییر است، این تغییر و نوسان نیز به امری مقدس سرایت می کند و در حالتی که اجتماع و جمع میان افراد صورت پذیرد، این احساس لاهوتی و قدسی شدت می گیرد که این شدت در برگزاری مناسک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عزاداری کردن برای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ایجاد یک ارتباط هویتی و معنایی خاص را ایجاد می کند که آن حادثه و رویداد جنبه قدسی گرفته و سیالیت زمانی داشته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مهمی که به نوعی از تجلیات امر قدسی به شمار می آید، نماد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در حقیقت باز نمای جامعه به شمار می آیند و حضور دائم آنها در اجتماع موجب می شود که هم حیات اجتماعی و جمعی تداوم یابد و هم اینکه افراد به حوزه قدسی نزدیک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برگزاری مناسک و شعائر مذهبی موجب غلیان عواطف و احساسات افراد جامعه شده و سبب می شود که با برپایی اعمال مشترک که نشأت گرفته از باورهای مشترک است، به یک اجتماع با هدف مشترک تبدیل شوند، که این امر نیز نهایتا منجر به نزدیک شدن افراد شرکت کننده به حوزه قدسی و پایبندی بیشتر آنها به آموزه های دینی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قدسی در عصر قاجار از راه های گوناگونی در میان مردمو حتی نهاد قدرت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تکیه و مجالس روضه در میان نهاد حاکمیت و تجار از این موارد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گوبینو،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آغاز محرم این شور و شوق معنوی و لاهوتی که نتیجه حضور افراد در میان گروه های عزاداری بود به اوج خود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و شوری که از غروب آفتاب آغاز می شد و تا سپیده دم ادامه می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لاوتین،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قمه زنی بر این هیجان و شور مردم دامن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وامبری،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روحی افراد شرکت کننده در آیین های مذهبی آنقدر تغییر می کرد و دچار نوسانات می شد که هر واقعه و رخدادی را به گونه ای تفسیر می کردند</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همه وقایع و جریانات برای این افراد از نگاه خاصی قابل برداشت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گزارش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و پیرنیا،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اگر کسی در هنگام مراسم تعزیه به هر دلیلی کشته شود، مردم بر این عقیده بودند که آمرزیده شده است و حتی اگر در وسط تعزیه چیزی خراب شود، می پندارند خداوند به آنها خشم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آنچه اهمیت دارد حضور و فعالیت در راستای بر پایی شعائر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واقعه ای به گونه ای تفسیر می شود و عوامل و حتی رفتار گذشته افراد، در زیر لایه های قدسی مخفی می شوند که صد البته این باور ریشه در آموزه های مذهبی و روایات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 گونه مراسم تنها نقش یک شرکت کننده را ایفا نمی کردند بلکه خود در برخی موارد به دلایل گوناگونی چون نذر یا اخذ ثواب نیز عهده دار یک آیین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کارلاسرنا،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جریان شور و شوق قدسی تنها محدود به کسانی که باورهای مشترک و هم سو دارند خلاصه نمی شود، بلکه به قدری مردم در نوع برگزاری آیین هابا همدیگر هماهنگ بودند و با باورها و انگیزه های مختلف این مناسک را انجام می دادند که برخی اروپاییانِ ناظر این رویداد را نیز تحت تأثیر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هماهنگی هیئت های مذهبی در برگزاری آیین ها به همراه غم آلود بودن اصل واقعه، موجب ایجاد این حس قدسی در افراد شرکت کننده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متفاوت وجود این هیجانات را ناشی از خلوص افراد شرکت کننده در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های دیگر در این عصر به این نکته اشاره شده که گاهی بازیگران تعزیه چنان در نقش خود فرو می روند که از خود بی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شاید بتوان به سختی پذیرفت عکس العمل بازیگران تعزیه تنها متأثر از جوی است که در آن قرار گرفته اند و باورهای قلبی آنها در آن هیچ تأثیری ندارد، بلکه در این گونه آیین ها که برگزار کننده باید به گونه مستقیم با شرکت کنندگان در تماس باشند، باورهای قلبی گردانندگان اصلی این آیین ها به آنچه که انجام می دهند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نمی توان آن را یک قاعده کلی و ثابت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های بایندر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گوبینو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خلوص نیت تعزیه گردانان و اثرگذاری آن بر تماشاچیان گزارش هایی نقل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فراغت به مجموعه ای از فعالیت هایی که شخص پس از ارزشیابی از تعهدات و تکالیف شخصی، خانوادگی و اجتماعی خود، با میل و اشتیاق به آن می پردازد و قصدش استراحت، تفریح، توسعه دانش و به کمال رساندن شخصیت خویش و به ظهور رساندن استعدادها و خلاقیت ها و مشارکت آزادانه در اجتماع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مازدیه،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می توان اوقات فراغت را به شیوه گذراندن وقت که فرد در آن بی دغدغه به اموری بپردازد که شادابی روح را برای او به همراه دارد،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می توان چنین کارکردی را برای شعائر مذهبی در عصر قاجار قائل بود؟ یعنی شرکت کردن مردم در برگزاری آیین های مذهبی به گونه ای برای پرکردن اوقات فراغت و استراحت و در نتیجه شادابی روحی آنها بوده است؟ طبیعی است که برای یافتن پاسخ این سؤال مهم و ریشه ای باید به منابع سفرنامه نویسان مراجعه کنیم که مشاهدات خود را به همراه تحلیل داده ها در اختیار آیندگان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گوبینو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مختار فرانسه میان سال های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 بر این نظر است که افراد شرکت کننده در تعزیه تنها برای اعتقادات و باورهای دینی در این آیین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تفریحی و نمایشی را بر جنبه های مذهبی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گوبینو در تحلیل خود دچار اشتباه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های عزاداری و به خصوص اعیاد، هم جنبه تفریح و سرگرمی برای مردم این عصر داشته اند و هم به نوعی شرکت در مجالسی بوده اند که ثواب اخروی داشت، چرا که مردم در عصر قاجار و در آن شرایط دشوار اجتماعی و نبود هر گونه امکاناتی که بتواند با آن تفریح کنند، چاره ای جز این نبود که از شعائر مذهبی هم برای شرکت در اجتماع استفاده کنند و هم اینکه با شرکت در آیین های مذهبی به اجر و ثواب اخروی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مشارکت بیشتری در شعائر مذهبی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جامعه ایران این دوره به دلیل برخی باورهای مذهبی و عرفی با محدودیت های جدی مواجه بوده اند و نمی توانستند به صورت آزادانه به فعالیت های اجتماعی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گزارش از منابع مختلف، حضور زنان در مراسم تعزیه کهبیشتر جنبه تئاتری و نمایشی دارد،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پولاک،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رایس،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شیل،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حسام مظاهری،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تفریحی شعائر در زنان به</w:t>
      </w:r>
      <w:bookmarkStart w:id="141" w:name="pg8702_73895"/>
    </w:p>
    <w:p>
      <w:pPr>
        <w:pStyle w:val="BookText"/>
        <w:rPr/>
      </w:pPr>
      <w:bookmarkEnd w:id="141"/>
      <w:r>
        <w:rPr>
          <w:rFonts w:ascii="IRNazanin" w:hAnsi="IRNazanin" w:eastAsia="IRNazanin"/>
          <w:color w:val="111111"/>
          <w:sz w:val="28"/>
          <w:sz w:val="28"/>
          <w:szCs w:val="28"/>
          <w:rtl w:val="true"/>
          <w:lang w:bidi="fa-IR"/>
        </w:rPr>
        <w:t>این معنی نیست که این کارکرد در بین مردان ظهور و بروز نداشته است، بلکه در زنان به دلیل شرایط اجتماعی خاص آنها و همچنین دیدن رجال سیاسی، روحانیون، مراجع بزرگ، لذت بردن از واقع شدن در جمع، شرکت در طبخ غذا از انگیزه ای بیشتر برای شرکت در این آیین ها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و مصرف انواع تنقلات اعم از تخمه، شکلات، سقز نیز توسط فروشندگان دوره گرد در اختیار مردم قرار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خودزکو،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اعتمادالسلطنه،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اعیاد و مراسم های مذهبی متعلق به آن به خصوص عید قربان کارکرد تفریحی بیشتر نمایان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چراغانی کردن خیابان ها، آتش بازی و برگزاری محافل جشن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سیرجانی،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پیوند عمیق میان اهتمام به آیین های مذهبی همچون ذبح گوسفند و قربانی با جنبه تفریح و سرگمی فراهم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142" w:name="__RefHeading___Toc2967827_653776707"/>
      <w:bookmarkStart w:id="143" w:name="_Toc53"/>
      <w:bookmarkEnd w:id="142"/>
      <w:r>
        <w:rPr>
          <w:rtl w:val="true"/>
        </w:rPr>
        <w:t>نتیجه</w:t>
      </w:r>
      <w:bookmarkEnd w:id="14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شعائر نشانه ای از طرف خدواند و متولیان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خداوند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برپایی شعائر مذهبی به نوعی حضور متحد مردمی در کنار همدیگر و همبستگی آنها برای رسیدن به یک هدف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اجتماعی بودن شعائر در این عرصه از اهمیت ویژه ای برخوردار است؛ اما در طول زمان های متمادی و با شکل گیری آیین ها و مصادیق گوناگون شعائر که توسط مردم و فرهنگ های مختلف شکل گرفته و روحانیون نیز مهر تأیید بربرخی از آنها زده اند و در برخی موراد با آنها به مخالفت پرداخته اند، این روح همبستگی و یکپارچگی اجتماعی به دوگانگی بودن اجتماعی دچار گشته و موجب بروز اختلافات و گسستگی های زیادی در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چنین ادعا کرد که اختلاف در میان طبقه های نخبه به طور مستقیم در کارکردهای شعائر در میان افراد جامعه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یکی بودن و دیدگاه واحد داشتن آنها نیز در پرشور برگزار شدن این آیین در میان جامعه از نقش کلیدی برای همبستگی اجتماعی برخوردار است</w:t>
      </w:r>
      <w:r>
        <w:rPr>
          <w:rFonts w:eastAsia="IRNazanin" w:cs="IRNazanin"/>
          <w:color w:val="111111"/>
          <w:sz w:val="28"/>
          <w:szCs w:val="28"/>
          <w:rtl w:val="true"/>
          <w:lang w:bidi="fa-IR"/>
        </w:rPr>
        <w:t xml:space="preserve">. </w:t>
      </w:r>
      <w:bookmarkStart w:id="144" w:name="pg8702_73896"/>
    </w:p>
    <w:p>
      <w:pPr>
        <w:pStyle w:val="Heading3"/>
        <w:numPr>
          <w:ilvl w:val="2"/>
          <w:numId w:val="1"/>
        </w:numPr>
        <w:rPr/>
      </w:pPr>
      <w:bookmarkStart w:id="145" w:name="__RefHeading___Toc2967829_653776707"/>
      <w:bookmarkStart w:id="146" w:name="_Toc54"/>
      <w:bookmarkEnd w:id="144"/>
      <w:bookmarkEnd w:id="145"/>
      <w:r>
        <w:rPr>
          <w:rtl w:val="true"/>
        </w:rPr>
        <w:t>منابع</w:t>
      </w:r>
      <w:bookmarkEnd w:id="14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اسکندری، محمدحسین و اسماعیل داربکلایی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موضوع قدرت، قم، موسسه پژوهشی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اعتمادالسلطنه، محمدحسن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خاطرات، مقدمه ایرج افشار،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اوبن، اوژن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امروز </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بین النهرین، ترجمه سعیدی علی اصغر، تهران،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اورسل، ارنست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 ترجمه علی اصغر سعیدی، تهران،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آشتیانی، عباس و حسن پیرنیا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ایران، تهران، نیک فرجام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بایندر، هانری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 هانری بایندر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 بین النهرین و ایران، ترجمه افسر کرامت الله، تهران، فرهنگسرا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بنجامین، ساموئل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و ایرانیان عصر ناصرالدین شاه، ترجمه محمدحسین کردبچه، تهران، جاویدان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بلوکباشی، 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تعزیه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مصائب در نمایش آیینی، تهران،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بورلاستکی، فیودر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قدرت سیاسی و ماشین دولتی، ترجمه احمد رهسپر، تهران، آموزگار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پولاک،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سرزمین و مردم آن، ترجمه کیکاووس جهانداری، تهران،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تانکوانی، 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هایی درباره ایران و ترکیه، ترجمه علی اصغر سعیدی، تهران، چشمه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توسلی، غلام عباس</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های جامعه شناسی، تهران، 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حسام مظاهری، محسن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تراژدی جهان اسلام، تهران، نشر آرمان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شیعه، تهران، نشر بین الملل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حیدری، اصغر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 جلوه های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تهران، نشر </w:t>
      </w:r>
    </w:p>
    <w:p>
      <w:pPr>
        <w:pStyle w:val="BookText"/>
        <w:rPr/>
      </w:pPr>
      <w:r>
        <w:rPr>
          <w:rFonts w:ascii="IRNazanin" w:hAnsi="IRNazanin" w:eastAsia="IRNazanin"/>
          <w:color w:val="111111"/>
          <w:sz w:val="28"/>
          <w:sz w:val="28"/>
          <w:szCs w:val="28"/>
          <w:rtl w:val="true"/>
          <w:lang w:bidi="fa-IR"/>
        </w:rPr>
        <w:t>موسسه مطالعات تاریخ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خودزکو، الکساندر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تئاتر ایرانی، ترجمه جلال ستاری، تهران،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دالمانی، هنری رنه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 از خراسان تا بختیاری، ترجمه علی محمد فره شی، تهران، ابن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دمورگان، ژاک ژان ماری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هیات علمی فرانسه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جغرافیایی، ترجمه کاظم ودیعی، تبریز، نشر چهر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دورکیم، امیل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 بنیانی حیات دینی، ترجمه باقر پرهام، تهران، نشر مرکز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ترجمه مصطفی رحیمی نیا، تهران، نشر سبحان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رایس، کلارا کولیور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ایرانی و راه و رسم زندگی، ترجمه اسدالله آزاد،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رجبی دوانی، محمدحسن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مکتوبات و بیانات سیاسی و اجتماعی علمای شیعه دوره قاجار، تهران، 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رضازاده ملک، رحیم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مشروطیت ایران به روایت اسناد انگلیس، تهران، نشر مازیار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التنزیل، تحقیق المهدی عبدالرزاق، بیروت، دار احیاءالتراث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سیرجانی، سعید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خفیه نویسان انگلیس، تهران، نشر 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شاهرودی، سید محمود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فقه مطابق مذهب اهل بیت علیهم السلام، قم، موسسه دائره المعارف فقه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شهیدی، عنایت الله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تعزیه و تعزیه خوانی از آغاز تا آخر دوره قاجار در تهران، تهران، نشر دفتر پژوهش های فرهنگی با همکاری کمیسیون ملی یونسکو در ایران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شیل، مری لنونورا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لیدی شیل همسر وزیر مختار انگلیس در اوائل </w:t>
      </w:r>
    </w:p>
    <w:p>
      <w:pPr>
        <w:pStyle w:val="BookText"/>
        <w:rPr/>
      </w:pPr>
      <w:r>
        <w:rPr>
          <w:rFonts w:ascii="IRNazanin" w:hAnsi="IRNazanin" w:eastAsia="IRNazanin"/>
          <w:color w:val="111111"/>
          <w:sz w:val="28"/>
          <w:sz w:val="28"/>
          <w:szCs w:val="28"/>
          <w:rtl w:val="true"/>
          <w:lang w:bidi="fa-IR"/>
        </w:rPr>
        <w:t>سلطنت ناصرالدین شاه، ترجمه حسین ابوترابیان، تهران، نشر نو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فتحی، نصرت الله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سخنگویان سه گانه آذربایجان در انقلاب مشروطیت، تهران، چاپخانه خرمی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فلاندن، اوژن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به ایران، ترجمه حسین نورصادقی، تهران، نشر اشراقی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کاتوزیان تهرانی، محمدعلی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انقلاب مشروطیت ایران، تهران، سهامی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کارلاسرنا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و دیدنی های ایران، ترجمه غلامرضا سعیدی، تهران، نشر 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کافی، مجید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شناسی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مفاهیم و نظریه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پژوهشگاه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کالمار، ژان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ها و اقتدار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تشیع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پرطرفدار و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تئاتر، پاییز و زمستان،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کرمانی، ناظم الاسلام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بیداری ایرانیان،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کسروی، احمد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مشروطه ایران، تهران، نشرامیرکبیر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گوبینو، آرتور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سال در آسیا، ترجمه مهدوی هوشنگ، تهران، کتابسرا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جولیوس، گولد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علوم اجتماعی، ترجمه باقر پرهام، تهران، مازیار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لاوتین، بل گرترود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تصویرهایی از ایران، ترجمه بزرگمهر ریاحی، تهران، 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لوتی، پی یر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اصفهان، ترجمه بدرالدین کتابی، تهران، نشر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مازدیه، ژوفردو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ای بر جامعه شناسی فراغت،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مدبرالممالک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عصر مشروطه،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مستوفی، عبدالله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زندگی من، تهران، نشر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مصطفوی، سیدحسن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نشر آثار علامه مصطفوی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معیرالممالک، دوستعلی خان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یادداشتهایی از زندگی خصوصی ناصرالدین </w:t>
      </w:r>
    </w:p>
    <w:p>
      <w:pPr>
        <w:pStyle w:val="BookText"/>
        <w:rPr/>
      </w:pPr>
      <w:r>
        <w:rPr>
          <w:rFonts w:ascii="IRNazanin" w:hAnsi="IRNazanin" w:eastAsia="IRNazanin"/>
          <w:color w:val="111111"/>
          <w:sz w:val="28"/>
          <w:sz w:val="28"/>
          <w:szCs w:val="28"/>
          <w:rtl w:val="true"/>
          <w:lang w:bidi="fa-IR"/>
        </w:rPr>
        <w:t>شاه، تهران، تاریخ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ملک زاده، مهدی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ملک المتکلمین، تهران، چاپخانه شرکت 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انقلاب مشروطیت ایران، تهران، نشر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انقلاب مشروطه ایران، تهران، نشر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موریه، جیمز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 ترجمه ابوالقاسم سری، تهران، نشر توس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سبزواری، سید عبدالاعلی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فی تفسیر القرآن، قم، دارالتفسیر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نجمی،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دارالخلافه تهران، تهران، امیرکبیر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وامبری، آرمین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و سفرهای وامبری، ترجمه محمدحسین آریا، تهران،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ویلز، چارلز جیمز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در یک قرن پیش، ترجمه غلامحسین قراگزلو، تهران، نشر 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هدایت، مهدی قلی</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و خطرات، تهران، نشر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همایونی، صادق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تعزیه در ایران، شیراز ، نشر نوید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یغمائی، اقبال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واعظ اصفهانی، تهران، توس</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8702_73901"/>
      <w:bookmarkStart w:id="148" w:name="pg8702_73901"/>
      <w:bookmarkEnd w:id="148"/>
    </w:p>
    <w:p>
      <w:pPr>
        <w:pStyle w:val="Heading2"/>
        <w:numPr>
          <w:ilvl w:val="1"/>
          <w:numId w:val="1"/>
        </w:numPr>
        <w:rPr/>
      </w:pPr>
      <w:bookmarkStart w:id="149" w:name="pg8702_73901"/>
      <w:bookmarkStart w:id="150" w:name="__RefHeading___Toc2967831_653776707"/>
      <w:bookmarkStart w:id="151" w:name="_Toc55"/>
      <w:bookmarkEnd w:id="149"/>
      <w:bookmarkEnd w:id="150"/>
      <w:r>
        <w:rPr>
          <w:rtl w:val="true"/>
        </w:rPr>
        <w:t xml:space="preserve">مقتل نگاری اصحاب امام صادق </w:t>
      </w:r>
      <w:r>
        <w:rPr>
          <w:rtl w:val="true"/>
        </w:rPr>
        <w:t>(</w:t>
      </w:r>
      <w:r>
        <w:rPr>
          <w:rtl w:val="true"/>
        </w:rPr>
        <w:t>علیه السلام</w:t>
      </w:r>
      <w:r>
        <w:rPr>
          <w:rtl w:val="true"/>
        </w:rPr>
        <w:t>)</w:t>
      </w:r>
      <w:bookmarkEnd w:id="151"/>
    </w:p>
    <w:p>
      <w:pPr>
        <w:pStyle w:val="Heading3"/>
        <w:numPr>
          <w:ilvl w:val="2"/>
          <w:numId w:val="1"/>
        </w:numPr>
        <w:rPr/>
      </w:pPr>
      <w:bookmarkStart w:id="152" w:name="__RefHeading___Toc2967833_653776707"/>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دکترسیدقاسم رزاقی موسوی</w:t>
      </w:r>
      <w:r>
        <w:rPr>
          <w:rStyle w:val="FootnoteAnchor"/>
          <w:rtl w:val="true"/>
        </w:rPr>
        <w:footnoteReference w:id="11"/>
      </w:r>
      <w:r>
        <w:rPr>
          <w:rFonts w:ascii="IRNazanin" w:hAnsi="IRNazanin" w:eastAsia="IRNazanin"/>
          <w:color w:val="111111"/>
          <w:sz w:val="28"/>
          <w:sz w:val="28"/>
          <w:szCs w:val="28"/>
          <w:rtl w:val="true"/>
          <w:lang w:bidi="fa-IR"/>
        </w:rPr>
        <w:t>سید شاکر حسین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16/02/1401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22/06/1401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نویسی یعنی گزارش چگونگی کشته شدن یک شخص یا گروه، در تاریخ اسلام جایگاه ویژه ای دارد و توجه تاریخ نگاران و محدثان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مقاتل خلفا و برخی بزرگان اصحاب از این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هیچ موضوعی به اندازه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نویسندگان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توجه اصحاب ائمه به موضوع مقتل نگاری همواره مورد توجه محققان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نگاری شیعیان بازگو کننده تاریخ خونین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اصحاب شیعی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پاسداشت بخشی از تاریخ شیعیان به مقتل نگاری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مقتل نگاری اصحاب شیعی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بیان شرح حال شهادت امامان معصوم، اصحاب ائمه و شخصیت های برجسته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با </w:t>
      </w:r>
      <w:bookmarkStart w:id="154" w:name="pg8702_73902"/>
    </w:p>
    <w:p>
      <w:pPr>
        <w:pStyle w:val="BookText"/>
        <w:rPr/>
      </w:pPr>
      <w:bookmarkEnd w:id="154"/>
      <w:r>
        <w:rPr>
          <w:rFonts w:ascii="IRNazanin" w:hAnsi="IRNazanin" w:eastAsia="IRNazanin"/>
          <w:color w:val="111111"/>
          <w:sz w:val="28"/>
          <w:sz w:val="28"/>
          <w:szCs w:val="28"/>
          <w:rtl w:val="true"/>
          <w:lang w:bidi="fa-IR"/>
        </w:rPr>
        <w:t>مراجعه به منابع اولیه و فهرست نویسی شیعیان از جمله نجاشی، شیخ طوسی و مانند اینها و با بهره گیری از شیوه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مقتل نگاری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مقتل نگاری،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55" w:name="__RefHeading___Toc2967835_653776707"/>
      <w:bookmarkStart w:id="156" w:name="_Toc57"/>
      <w:bookmarkEnd w:id="155"/>
      <w:r>
        <w:rPr>
          <w:rtl w:val="true"/>
        </w:rPr>
        <w:t>جابر بن یزید جعفی</w:t>
      </w:r>
      <w:bookmarkEnd w:id="156"/>
    </w:p>
    <w:p>
      <w:pPr>
        <w:pStyle w:val="BookText"/>
        <w:rPr/>
      </w:pPr>
      <w:r>
        <w:rPr>
          <w:rFonts w:ascii="IRNazanin" w:hAnsi="IRNazanin" w:eastAsia="IRNazanin"/>
          <w:color w:val="111111"/>
          <w:sz w:val="28"/>
          <w:sz w:val="28"/>
          <w:szCs w:val="28"/>
          <w:rtl w:val="true"/>
          <w:lang w:bidi="fa-IR"/>
        </w:rPr>
        <w:t xml:space="preserve">ابومحمد جابر بن یزید جعفی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مشهور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به نقل از ابن قتیبه، او را به اشتباه جابربن زید ازدی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در منابع، ابوعبدالله و ابویزید آمده است؛ اما چون در حدیثی از او با کنیه ابومحمد یاد شده، این کنیه پذیرفتنی تر است و دیگر کنیه ها مستندی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رساله عددیه او را از کسانی شمرده که طعن و مذمتی در حقش نیست و هیچ گونه راه شماتت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از قول جابر نقل می کند، وی در نخستین دیدار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کوفی و از خاندان جعفی معرفی کرده و انگیزه اش از سفر به مدینه را آموختن علم از ایشان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احتمالاً به سبب حساسیت مردم مدینه به کوفیان شیعی مذهب،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که به مردم مدینه بگوید اهل مدینه است زیرا هرکس به شهری وارد شود، تا از آن شهر خارج نشود، از مردم آن شهر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دو کتاب به جابر داد و از او خواست تا مطالب یکی از این دو کتاب را در زمانِ حکومت بنی امیه فاش نسازد و پس از زوال دولت آنان، حتماً مطالبِ آن را فاش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روایت صحیح باشد، حکایت از مقامو منزلت جابر در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اهل کوفه بود و به احتمال فراوان در تمام عمرش، به جز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کسب علم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اقامت کرد، در کوفه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که وی در کوفه، علاوه بر تشکیل محافل علمی و جذب شاگردان شیعه و سنی، با عموم مردم از شیعه و غیر شیعه در ارتباط بود؛ امامت نماز جماعت را بر عهده داشت و افراد غیر شیعه نیز به او اقتدا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bookmarkStart w:id="157" w:name="pg8702_73903"/>
    </w:p>
    <w:p>
      <w:pPr>
        <w:pStyle w:val="BookText"/>
        <w:rPr/>
      </w:pPr>
      <w:bookmarkEnd w:id="157"/>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گاهی برای مردم خطبه می خواند و حدیث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نیز از دانش او بهر برده و خصوصا در تفسیر آیات قرآن، به وی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جابر در نزد ایشان منزلت سلمان نزد پیامبر صلی الله علیه و آله و سلم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او را سال های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گزارش کرده اند</w:t>
      </w:r>
      <w:r>
        <w:rPr>
          <w:rFonts w:eastAsia="IRNazanin" w:cs="IRNazanin"/>
          <w:color w:val="111111"/>
          <w:sz w:val="28"/>
          <w:szCs w:val="28"/>
          <w:rtl w:val="true"/>
          <w:lang w:bidi="fa-IR"/>
        </w:rPr>
        <w:t>.</w:t>
      </w:r>
    </w:p>
    <w:p>
      <w:pPr>
        <w:pStyle w:val="Heading3"/>
        <w:numPr>
          <w:ilvl w:val="2"/>
          <w:numId w:val="1"/>
        </w:numPr>
        <w:rPr/>
      </w:pPr>
      <w:bookmarkStart w:id="158" w:name="__RefHeading___Toc2967837_653776707"/>
      <w:bookmarkStart w:id="159" w:name="_Toc58"/>
      <w:bookmarkEnd w:id="158"/>
      <w:r>
        <w:rPr>
          <w:rtl w:val="true"/>
        </w:rPr>
        <w:t>آراء و عقاید جابر</w:t>
      </w:r>
      <w:bookmarkEnd w:id="159"/>
    </w:p>
    <w:p>
      <w:pPr>
        <w:pStyle w:val="BookText"/>
        <w:rPr/>
      </w:pPr>
      <w:r>
        <w:rPr>
          <w:rFonts w:ascii="IRNazanin" w:hAnsi="IRNazanin" w:eastAsia="IRNazanin"/>
          <w:color w:val="111111"/>
          <w:sz w:val="28"/>
          <w:sz w:val="28"/>
          <w:szCs w:val="28"/>
          <w:rtl w:val="true"/>
          <w:lang w:bidi="fa-IR"/>
        </w:rPr>
        <w:t xml:space="preserve">روایات جابر به روشنی نشان می دهد که وی، شیعه امامی بوده و نه تنها علاقه فراوانی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بلکه از خلفای پیش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نیز تبری می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معاصرانش نیز به شیعه بودن وی تصریح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اهل سنت نیز او را از بزرگترین علما و روسای شیعه برشمرده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راویان حدیث ثقلین و حدیث جابر بن عبدالله انصاری در مورد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باید در مورد این حدیث اخیر احتیاط کرد؛ زیرا همان طور که مدرسی نشان داده، نقل هایی از جابر جعفی که فهرست کاملی ازاسامی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 دهد، احتمالا از افزوده های بعدی در روایات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اعتقاد راسخی به امامت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دریایی دانسته که هرگز نمی توان به قعر آن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نقل حدیث از ایشان،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از وصی اوصیا و وارث علم انبیا محمدبن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روایتی عمروبن شمر علت ملقب شدن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جابر جعفی جویا شد و او در پاسخ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دانش را به خوبی شکافت و آن را شاخه شاخه کرد و به وضوح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شنیدم که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باقی می مانی تا فرزندم محمد بن علی بن حسین بن علی </w:t>
      </w:r>
    </w:p>
    <w:p>
      <w:pPr>
        <w:pStyle w:val="BookText"/>
        <w:rPr/>
      </w:pPr>
      <w:r>
        <w:rPr>
          <w:rFonts w:ascii="IRNazanin" w:hAnsi="IRNazanin" w:eastAsia="IRNazanin"/>
          <w:color w:val="111111"/>
          <w:sz w:val="28"/>
          <w:sz w:val="28"/>
          <w:szCs w:val="28"/>
          <w:rtl w:val="true"/>
          <w:lang w:bidi="fa-IR"/>
        </w:rPr>
        <w:t>بن ابی طالب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تورات به باقر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ملاقات نمودی، سلام مرا به وی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نیز نشان دهنده اعتقاد و شدت ارادت وی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او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برخی، او را نماینده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وصیت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جعفی را نقل کرده که نشان دهنده جایگاه والای او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چنان که خود روایت کرده است، صفات یک شیعه راستین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پس از وفات آن بزرگوار، معتقد به امامت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اصحاب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جایگاه والایی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حلال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در رابطه با روایات جابر اختلاف پیدا کردند، وی می گوید به آنان گفتم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سؤال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حضرت بدون مقدمه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 جابِرَ الْجُعْفی کانَ یُصَدِّقُ عَلَیْنا لَعَنَ اللّه ُ الْمُغَیْرَةَ بْنَ سَعیدٍ کانَ یُکَذِّبُ عَلَیْنا؛ خداوند جابر جعفی را رحمت کند، او ما را تصدیق می کرد و خداوند مغیرة بن سعید را لعنت کند، او ما را تکذیب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را از عالمانی می داند که ذم و طعنی درباره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در زمره فقهای دوران امویان و عباسیان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را از خواص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توثیق جابر، او را دارای جلالت و منزلتی عظیم دانسته که محرم اسرار و مورد لطف و عنایت امامین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 حدیثی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جابر نبود، کوفه از حدیث خالی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 کند که سفیان ثوری گفته است باتقواتر از جابر در حدیث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تبع سنت شیعی و بر خلاف جریان اهل سنت در قرن اول و دوم هجری قمری، آنچه را از احادیث می شنید، مکتوب می کرد</w:t>
      </w:r>
      <w:r>
        <w:rPr>
          <w:rFonts w:eastAsia="IRNazanin" w:cs="IRNazanin"/>
          <w:color w:val="111111"/>
          <w:sz w:val="28"/>
          <w:szCs w:val="28"/>
          <w:rtl w:val="true"/>
          <w:lang w:bidi="fa-IR"/>
        </w:rPr>
        <w:t xml:space="preserve">. </w:t>
      </w:r>
      <w:bookmarkStart w:id="160" w:name="pg8702_73905"/>
    </w:p>
    <w:p>
      <w:pPr>
        <w:pStyle w:val="Heading3"/>
        <w:numPr>
          <w:ilvl w:val="2"/>
          <w:numId w:val="1"/>
        </w:numPr>
        <w:rPr/>
      </w:pPr>
      <w:bookmarkStart w:id="161" w:name="__RefHeading___Toc2967839_653776707"/>
      <w:bookmarkStart w:id="162" w:name="_Toc59"/>
      <w:bookmarkEnd w:id="160"/>
      <w:bookmarkEnd w:id="161"/>
      <w:r>
        <w:rPr>
          <w:rtl w:val="true"/>
        </w:rPr>
        <w:t>تألیفات و شیوه نگارش</w:t>
      </w:r>
      <w:bookmarkEnd w:id="162"/>
    </w:p>
    <w:p>
      <w:pPr>
        <w:pStyle w:val="BookText"/>
        <w:rPr/>
      </w:pPr>
      <w:r>
        <w:rPr>
          <w:rFonts w:ascii="IRNazanin" w:hAnsi="IRNazanin" w:eastAsia="IRNazanin"/>
          <w:color w:val="111111"/>
          <w:sz w:val="28"/>
          <w:sz w:val="28"/>
          <w:szCs w:val="28"/>
          <w:rtl w:val="true"/>
          <w:lang w:bidi="fa-IR"/>
        </w:rPr>
        <w:t>جابر در زمینه فقه، تفسیر، تاریخ و معارف اسلامی صاحب تألیفاتی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درباره تاریخ، به ویژه مقتل نگاری، کتاب هایی نظیر کتاب الجمل، کتاب صفین، کتاب نهروان، کتاب مقتل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مقتل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هیچ اثری باقی نمانده و تنها برخی از روایات در منابع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آقا بزرگ طهرانی،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کسی که در مورد حادثه کربلا کتاب نوشته جابر بن یزید جعفی است و کتاب او مقتل الحسین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از واقعه کربلا از جابر نقل شده که نوزده روایت آن در کامل الزیارات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طباطبایی،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بسیاری از جابر در منابع روایی و تاریخی از جمله وقعه الصفین نصر بن مزاحم و تاریخ طبری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ارزشمند وی با نام مقتل الحسین اکنون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جعفى از ثقات است ولى بسیارى از کسانى که در حدیث از ایشان روایت کرده نظیر عمروبن شمرجعفى و مفضل بن صالح سکونى ضعیف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163" w:name="__RefHeading___Toc2967841_653776707"/>
      <w:bookmarkStart w:id="164" w:name="_Toc60"/>
      <w:bookmarkEnd w:id="163"/>
      <w:r>
        <w:rPr>
          <w:rtl w:val="true"/>
        </w:rPr>
        <w:t>ابومخنف، لوط بن یحیی</w:t>
      </w:r>
      <w:bookmarkEnd w:id="164"/>
    </w:p>
    <w:p>
      <w:pPr>
        <w:pStyle w:val="BookText"/>
        <w:rPr/>
      </w:pPr>
      <w:r>
        <w:rPr>
          <w:rFonts w:ascii="IRNazanin" w:hAnsi="IRNazanin" w:eastAsia="IRNazanin"/>
          <w:color w:val="111111"/>
          <w:sz w:val="28"/>
          <w:sz w:val="28"/>
          <w:szCs w:val="28"/>
          <w:rtl w:val="true"/>
          <w:lang w:bidi="fa-IR"/>
        </w:rPr>
        <w:t>ابومخنف در نیمه دوّم قرن اوّل هجرى در شهر کوفه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او از بزرگترین خاندان هاى شیعه و از یاران با وفای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6/253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مخنف بن سلیم جدّ دوّم او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3/503</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مدافعان و همراهان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فرماندهان عالیقدر و کارگزاران شایسته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بن حارث خزار نوشته است که به عقیده علما، ابومخنف در امر عراق و اخبار و فتوحات مربوطه داناتر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مورخی جامع الاطراف بود و روایات متعددی را با اسانید آن درباره یک واقعه بیانمی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عبدالحمید،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استادان و چگونگى زندگانى علمى ابومخنف اطلاع دقیقى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کوفه به تحصیل و فراگیرى دانش پرداخته و از محضر جابر جعفى، مجالد بن سعید و </w:t>
      </w:r>
      <w:bookmarkStart w:id="165" w:name="pg8702_73906"/>
    </w:p>
    <w:p>
      <w:pPr>
        <w:pStyle w:val="BookText"/>
        <w:rPr/>
      </w:pPr>
      <w:bookmarkEnd w:id="165"/>
      <w:r>
        <w:rPr>
          <w:rFonts w:ascii="IRNazanin" w:hAnsi="IRNazanin" w:eastAsia="IRNazanin"/>
          <w:color w:val="111111"/>
          <w:sz w:val="28"/>
          <w:sz w:val="28"/>
          <w:szCs w:val="28"/>
          <w:rtl w:val="true"/>
          <w:lang w:bidi="fa-IR"/>
        </w:rPr>
        <w:t xml:space="preserve">صقعب بن زبیر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7/301</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چگونگى این فراگیرى و بهره ورى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وى قطعا از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کجا و چگونه، به درستى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مى زیست و جلسه تدریس آن بزرگوار در مسجد پیامبر بود درحالی که ابومخنف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براى درک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همان مدّت کوتاهى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زیارت به عراق رفته بود گروهى در کوفه از محضر ایشان بهره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از آن حضرت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ابومخنف لوط بن یحیى یکى از مشاهیر راویان است، اخبار و آثار او در کتب حدیث، تاریخ و سیره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درگذشت ابومخنف مورد اتفاق مورخان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وی را سال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سزگین زنده بودن ابومخنف را تا سال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ق مورد تردید قرار داده و او را از مورخان متأخر عصر اموی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قره بلوط،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منبعی دیگر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لوط بن یحیى که پیش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حیات گفته براى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امیر المؤمنین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ابو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دو کتاب درآورده و این دو کتاب از معروفترین مقاتل شمرده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ابوالفرجاصفهانی،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166" w:name="__RefHeading___Toc2967843_653776707"/>
      <w:bookmarkStart w:id="167" w:name="_Toc61"/>
      <w:bookmarkEnd w:id="166"/>
      <w:r>
        <w:rPr>
          <w:rtl w:val="true"/>
        </w:rPr>
        <w:t>مذهب ابومخنف از نگاه شیعه و اهل سنت</w:t>
      </w:r>
      <w:bookmarkEnd w:id="1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شیعه درباره مذهب ابومخنف،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شیعه بودن وی تصریح کرده اند؛ ولی در این که او شیعه امامی باشد،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ابومخنف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را شیعیان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گفته اند ابومخنف از اصحاب ابوجعفر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تعلق اعتقادی و سیاسی ابومخنف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تردیدی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زرگری نژاد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پژوهشگران معاصر، او را شیعه عراقی می داند، به این معنا که ابومخنف خلافت ابوبکر و عُمَر را قبول </w:t>
      </w:r>
    </w:p>
    <w:p>
      <w:pPr>
        <w:pStyle w:val="BookText"/>
        <w:rPr/>
      </w:pPr>
      <w:r>
        <w:rPr>
          <w:rFonts w:ascii="IRNazanin" w:hAnsi="IRNazanin" w:eastAsia="IRNazanin"/>
          <w:color w:val="111111"/>
          <w:sz w:val="28"/>
          <w:sz w:val="28"/>
          <w:szCs w:val="28"/>
          <w:rtl w:val="true"/>
          <w:lang w:bidi="fa-IR"/>
        </w:rPr>
        <w:t xml:space="preserve">داشت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عثمان ترجیح می داد، ولی امامی و زیدی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تأملی در نهضت عاشورا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 پذیرفت که وی نوعی عقیده به تشیع دارد، در همان حدی که در کوفه رایج بوده است، یعنی راجع به خلفای اول و دوم اثباتا و نفیا حرفی نداشتند، نسبت به خلیفه سوم انتقادهای تندی می شد و معاویه را اصلا نمی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راه می توان به مذهب ابومخنف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مطالعه آثار و تألیفات او است که در آن تصریح و یا اشارتی به مذهبش شده و دیگر بررسی دیدگاه و اظهار نظرهای دانشمندان علم رجال و به ویژه پیشینیان، که معمولا درباره مذهب افراد نیز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 اول تقریبا غیرممکن است، چرا که جز بندهایی از مطالب پراکنده، آثار و تألیفات وی در دست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متخصصان دانش رجال شیعه، درباره اونوشته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ابومخنف لوط بن یحیی بن سعید بن مخنف بن سالم ازدی غامدی، استاد و چهره بزرگ اصحاب اخبار در کوفه بود و آنچه را نقل می کرد مورد اعتماد و پذیرش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جعفر بن محمد علیه السلام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نقل می کند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فهرست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لوط بن یحیی مکنی به ابومخنف، کشی گمان کرده وی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اصحاب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صحیح این است که پدر وی از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خود او آن حضرت را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شهر آشوب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العلما از وی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در قسم اول رجال خود، که ویژه ثقات است آورده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بن یحیی بن سعید بن مخنف بن اسلم ازدی غامدی، ابومخنف که درود خداوند بر او باد، استاد و چهره بزرگ اصحاب اخبار در کوفه بود و بدانچه روایت می کرد اعتماد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پدرش یحیی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را در قسم اول رجال خود، که ویژه ثقات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شیعه دانسته و از تشیع او سخت دفاع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رجالیان متأخر نیز عموما وی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قمی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الکنی و الالقاب، شرف الدین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مؤلفو الشیعه فی صدر الاسلام، صدر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تأسیس الشیعه و خویی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رجال الحدیث به شیعه بودن وی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علماى اهل سنت به تشیع او اشاره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و ابن ندیمعلى رغم این که بابى جداگانه درباره شیعه باز کرده اند، ولى ابومخنف را جزو آنان قرار نداده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الحدید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معتقد است که ابومخنف از کسانى است که قایل به صحت امامت شده و از رجال شیعه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نیز پس از نقد و بررسى اقوال، در این باره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قابل اعتماد است چون متعصب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امامى بودن او ظاهرا غیرمعلوم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کتاب هاى زیادى تألیف کرد و هشام بن محمد کتاب ها را از وى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شیخ طوسى لیست کتاب هاى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لسان المیزان از او یاد می کند و دیدگاه علماى رجال اهل سنت را درباره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چون شیعه بوده و مناقب و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کرده مورد بغض آنان قرار گرفته و او را به عنوان یک شیعه متعصب مردود اعلام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قدیمی ترین مورخین و محدثین عرب است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تاریخ حوادث سده نخست هجری نگاشته که بیشتر آنها را طبری در تاریخ خود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نوشته هایی که به او منسوب و به ما رسیده از ساخته های متاخرین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دائره المعارف اسلام،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از آخرین تاریخ نگاران عصر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عمدتا درباره تحولات تاریخی این دوره به تألیف تک نگاری هایی همت گماشت که مورد استفاده تاریخ نگاران بعدی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با علاقه خاص و به تفصیل، موضوعات مربوط به خوارج و قیام های شیعه و شورش عراقیان را مورد بررسی قرار داد و بیشتر روایت های کوفی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همدلی او معطوفبه عراق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سزگین،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ابومخنف </w:t>
      </w:r>
    </w:p>
    <w:p>
      <w:pPr>
        <w:pStyle w:val="BookText"/>
        <w:rPr/>
      </w:pPr>
      <w:r>
        <w:rPr>
          <w:rFonts w:ascii="IRNazanin" w:hAnsi="IRNazanin" w:eastAsia="IRNazanin"/>
          <w:color w:val="111111"/>
          <w:sz w:val="28"/>
          <w:sz w:val="28"/>
          <w:szCs w:val="28"/>
          <w:rtl w:val="true"/>
          <w:lang w:bidi="fa-IR"/>
        </w:rPr>
        <w:t>بین مورخین، محققین و مجتهدین، تألیفات مهم وی در حوادث صدر اسلام و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مطلبی درباره واقعه کربلا می نوشت از حاضرین در واقعه عاشورا شنیده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6/255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ابومخنف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مقتل ذکر شده است که در دوره های بعد پایه و اساس تاریخ نگاری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نجاشی،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آقابزرگ تهرانی،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تواریخ خلفا، طبقات و تدوین تاریخ بر پایه انساب و سال شمار در دوره های بعد، برگرفته و گاه کاملاً مطابق با آثار مقتل نگاری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توان نام هایی از آثار ابومخنف و برخی دیگر از نویسندگان هم طبقه او را در آثار بلاذری و طبری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انساب الاشراف بلاذری، عناوین فصولی چون خبرالجمل، امر صفین، مقتل عمار بن یاسر العسنی…، امر وقعه النهروان، امر الخِرّیت بن راشد السامی فی خلافه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الشوری و بیعه عثمان، خبر یوم مرج راهط، امر التوابین و خبر هم بعین الورده و خبر مصعب بن زبیر بن العوّام و مقتله، را می توان در آثار ابومخنف و اخباریان هم طبقه او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ابومخنف به طور گسترده مورد توجه مورخان بعد قرار گرفت، چنان که گاه منحصراً اساس آگاهی های تاریخی مربوط به برخی ادوار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مایه شگفتی است که هیچ یک از آثار او به طور مستقیم به دست محققان نرسیده و بر آنچه هم که به صورت نسخه های خطی به او نسبت داده اند، شائبه جعل و تردید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بلاذری و طبری، دو تن از مورخان بزرگ کهن، در رساندن میراث تاریخ نگاری ابومخنف تا روزگارما، سهم عمده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نگاری های ابومخنف، به مناسبت هایی مورد استفاده و استناد مورخان دیگر نیز قرار گرفته، اما به سبب وسعتی که بلاذری و طبری از نظر زمان و موضوع به کار خود بخشیده اند، کار آن مورخان، بی گمان به پایه ارزش کار این دو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4/211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روش بلاذری مبتنی بر جمع اخبار و التقاط میان آنها است، ذیل شرح حال هر کس براساس نسب شناسی، تنها به منابع خود اشاره کرده و تقریباً جز در موارد بسیار نادر، سلسله روایات را ذکر نکرده است و گاهی روایات چند مأخذ خود را جمع کرده و </w:t>
      </w:r>
    </w:p>
    <w:p>
      <w:pPr>
        <w:pStyle w:val="BookText"/>
        <w:rPr/>
      </w:pPr>
      <w:r>
        <w:rPr>
          <w:rFonts w:ascii="IRNazanin" w:hAnsi="IRNazanin" w:eastAsia="IRNazanin"/>
          <w:color w:val="111111"/>
          <w:sz w:val="28"/>
          <w:sz w:val="28"/>
          <w:szCs w:val="28"/>
          <w:rtl w:val="true"/>
          <w:lang w:bidi="fa-IR"/>
        </w:rPr>
        <w:t>یکجا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تشخیص و استخراج کامل و دقیق اخبار منقول از ابومخنف از آثار بلاذری دشوار است و تنها از طریق مقایسه می توان به نتایجی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استناد بلاذری به ابومخنف گاهی از عباس کلبی از طریق پدرش هشام است و گاهی به طور مستقیم از کتاب های هشام کلبی و در موارد بسیار دیگری تنها به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ابومخنف فی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در صدر خبر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محققان به درستی حدس زده اند، احتمال آنکه به ابومخنف اشاره شده باشد،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 البلدان، اثر دیگر بلاذری، اشاراتی به روایت های تاریخی ابومخنف در باب فتوح آمده، اما این اشارات در مقایسه با انساب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بلاذری از طریق عباس و هشام کلبی به ابومخنف استناد جسته یا تنها به ذکر نام وی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بخش های مهمی از کتاب پرارج خود،آثار ابومخنف را گنجانیده و در اغلب موارد، سلسله سند او را به طور کامل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اثرطبری در این زمینه از اثر بلاذری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آثار ابومخنف در کتاب طبری در بین دیگر اقوال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طبری در بسیاری از موارد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اما در موارد فراوانی هم استناد او به ابومخنف از طریق هشام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تشخیص اینکه چه روایاتی مستقیما از آثار ابومخنف نقل شده و چه روایاتی از طریق هشام کلبی، اکنون میسر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نیز در بخش هایی از مقاتل الطالبیین به ابومخنف از جمله در مقتل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 زید و شهادت او استناد کرده، اگرچه این روایت با روایت طبری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ابوالفرج سند خود را از طریق رجال زیدیه مانند احمد بن عیسی از حسین بن نصر، از نصر بن مزاحم یا از طریق ابوالحسن مداینی به ابومخنف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که چندان بعید نیست مستند او تاریخ طبری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 ابن اعثم نیز در وقایع مهم مانند قتل عثمان، واقعه صفین، غارات، قتل مسلم بن عقیل و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صدر اسناد، صریحاً به ابومخنف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bookmarkStart w:id="168" w:name="pg8702_73911"/>
    </w:p>
    <w:p>
      <w:pPr>
        <w:pStyle w:val="BookText"/>
        <w:rPr/>
      </w:pPr>
      <w:bookmarkEnd w:id="168"/>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کتاب های مقتل عثمان، مقتل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مختار و مقتل محمد بن ابی بکر را از آثار ابومخنف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ازکتاب های مقتل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حجر بن عدی، مقتل محمد، مقتل عبد اللّه بن زبیر، مقتل ابن اشعث و کتاب النهر یاد کرده است</w:t>
      </w:r>
      <w:r>
        <w:rPr>
          <w:rFonts w:eastAsia="IRNazanin" w:cs="IRNazanin"/>
          <w:color w:val="111111"/>
          <w:sz w:val="28"/>
          <w:szCs w:val="28"/>
          <w:rtl w:val="true"/>
          <w:lang w:bidi="fa-IR"/>
        </w:rPr>
        <w:t>.</w:t>
      </w:r>
    </w:p>
    <w:p>
      <w:pPr>
        <w:pStyle w:val="Heading3"/>
        <w:numPr>
          <w:ilvl w:val="2"/>
          <w:numId w:val="1"/>
        </w:numPr>
        <w:rPr/>
      </w:pPr>
      <w:bookmarkStart w:id="169" w:name="__RefHeading___Toc2967845_653776707"/>
      <w:bookmarkStart w:id="170" w:name="_Toc62"/>
      <w:bookmarkEnd w:id="169"/>
      <w:r>
        <w:rPr>
          <w:rtl w:val="true"/>
        </w:rPr>
        <w:t xml:space="preserve">شیوه نگارش مقتل ابومخنف </w:t>
      </w:r>
      <w:r>
        <w:rPr>
          <w:rtl w:val="true"/>
        </w:rPr>
        <w:t>(</w:t>
      </w:r>
      <w:r>
        <w:rPr>
          <w:rtl w:val="true"/>
        </w:rPr>
        <w:t xml:space="preserve">مقتل الحسین </w:t>
      </w:r>
      <w:r>
        <w:rPr>
          <w:rtl w:val="true"/>
        </w:rPr>
        <w:t>(</w:t>
      </w:r>
      <w:r>
        <w:rPr>
          <w:rtl w:val="true"/>
        </w:rPr>
        <w:t>علیه السلام</w:t>
      </w:r>
      <w:r>
        <w:rPr>
          <w:rtl w:val="true"/>
        </w:rPr>
        <w:t>))</w:t>
      </w:r>
      <w:bookmarkEnd w:id="170"/>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کتابی که موجب شهرت ابومخنف شده و شامل دقیق ترین آگاهی ها از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کامل ترین متنی که اکنون از آن در دست داریم، در کتاب طبری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دقت نمی توان گفت طبری تا چه اندازه در نقل کامل این اثر امانت به خرج داده، اما مهم ترین منبع مستند نویسندگان بعدی درباره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اگرچه در شرح زندگی و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از ابومخنف نام برده اما در مقایسه با طبری می توان گفت، گزارش او چکیده ای از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اثر شخص ابومخنف بر این کتاب و شرح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سیاه کاری های امویان را به خوبی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 برخی محققان از اغراق تهی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ولهاوزن،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درباره انگیزه اش از تألیف کتاب چیزی ننوشته است اما به طور کلی در مورد انگیزه نگارش این گونه کتاب ها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مقتل نویسان حماسه کربلا را گزارش کرده اند، به ویژه آنکه، جریان کربلا و شهادت مظلومانه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مسلمانان جاذبه داشته است و عالم و عامی خواستار اطلاع یافتن از جوانب این حادثه و علل و ریشه های سیاسی و اجتماعی این واقعه تاریخی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بنا به دلایلی حوادث تاریخی، با گزافه ها و کم و زیادها و دگرگونی ها گزارش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عمده بروز این مشکل در روایت تاریخی حادثه عاشورا، آمیختگی آن با عقیده و ایمان مذهبی و نیز کسب مایه ای برای برانگیختن توده علیه حکام جور و فرمانروایان ستمگر، به شکل مبارزه منفی یا مثبت بوده است</w:t>
      </w:r>
      <w:r>
        <w:rPr>
          <w:rFonts w:eastAsia="IRNazanin" w:cs="IRNazanin"/>
          <w:color w:val="111111"/>
          <w:sz w:val="28"/>
          <w:szCs w:val="28"/>
          <w:rtl w:val="true"/>
          <w:lang w:bidi="fa-IR"/>
        </w:rPr>
        <w:t xml:space="preserve">. </w:t>
      </w:r>
      <w:bookmarkStart w:id="171" w:name="pg8702_73912"/>
    </w:p>
    <w:p>
      <w:pPr>
        <w:pStyle w:val="Heading3"/>
        <w:numPr>
          <w:ilvl w:val="2"/>
          <w:numId w:val="1"/>
        </w:numPr>
        <w:rPr/>
      </w:pPr>
      <w:bookmarkStart w:id="172" w:name="__RefHeading___Toc2967847_653776707"/>
      <w:bookmarkStart w:id="173" w:name="_Toc63"/>
      <w:bookmarkEnd w:id="171"/>
      <w:bookmarkEnd w:id="172"/>
      <w:r>
        <w:rPr>
          <w:rtl w:val="true"/>
        </w:rPr>
        <w:t>ساختار کلی کتاب</w:t>
      </w:r>
      <w:bookmarkEnd w:id="173"/>
    </w:p>
    <w:p>
      <w:pPr>
        <w:pStyle w:val="BookText"/>
        <w:rPr/>
      </w:pPr>
      <w:r>
        <w:rPr>
          <w:rFonts w:ascii="IRNazanin" w:hAnsi="IRNazanin" w:eastAsia="IRNazanin"/>
          <w:color w:val="111111"/>
          <w:sz w:val="28"/>
          <w:sz w:val="28"/>
          <w:szCs w:val="28"/>
          <w:rtl w:val="true"/>
          <w:lang w:bidi="fa-IR"/>
        </w:rPr>
        <w:t xml:space="preserve">مقتل الحسین در برگیرنده حوادث در فاصله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خاندانش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این حوادث شامل مرگ معاویه، بیعت نکردن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هجرت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مکه، جنبش شیعیان در کوفه، آمدن مسلم به کوفه، شهادت مسلم و هانی در کوفه، هجرت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سوی کوفه، وقایع کربلا و پیامدهای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در آغاز مقتل الحسین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ابوالمنذر هشام، عن محمد بن سائب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عبدالرحمان بن جندب الأزدی،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خود را با سخن جندب در اعتراض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مصالحه با معاویه آغاز می کند و گزارش مختصری از آن زمان تا مرگ معاویه و درخواست بیعت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به وسیله والی مدینه ولید بن عتبه، ارائه می کند و سپس به جریان کربلا می پردازد</w:t>
      </w:r>
      <w:r>
        <w:rPr>
          <w:rFonts w:eastAsia="IRNazanin" w:cs="IRNazanin"/>
          <w:color w:val="111111"/>
          <w:sz w:val="28"/>
          <w:szCs w:val="28"/>
          <w:rtl w:val="true"/>
          <w:lang w:bidi="fa-IR"/>
        </w:rPr>
        <w:t>.</w:t>
      </w:r>
    </w:p>
    <w:p>
      <w:pPr>
        <w:pStyle w:val="Heading3"/>
        <w:numPr>
          <w:ilvl w:val="2"/>
          <w:numId w:val="1"/>
        </w:numPr>
        <w:rPr/>
      </w:pPr>
      <w:bookmarkStart w:id="174" w:name="__RefHeading___Toc2967849_653776707"/>
      <w:bookmarkStart w:id="175" w:name="_Toc64"/>
      <w:bookmarkEnd w:id="174"/>
      <w:r>
        <w:rPr>
          <w:rtl w:val="true"/>
        </w:rPr>
        <w:t>نسخه های مقتل ابومخنف</w:t>
      </w:r>
      <w:bookmarkEnd w:id="17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مقتل بعدها مورد توجه واقع شد و علمای امامی در گزارش واقعه کربلا به آن اعتماد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چندین نسخه به نام های مقتل الحسین، اخبار مقتل الحسین، مَصرَع الحسین و ماجری له در کتابخانه ها موجود است اما به علت تصرفاتی که در آنها صورت گرفته و نیز دلایل متعدد دیگر، بی شک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میان یکی از نسخ این اثر منسوب، با کتابی که در همین موضوع به ابن طاووس، عالم شیعی، نسبت داده شده اشتراک بسیار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وستنفلد پژوهشی پیرامون این اثر درباره واقعه کربلا و ثار المختار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درباره کتاب های مقتل منسوببه ابومخنف موجب شده تا روایت طبری از او اهمیت بیشتری یابد و به همین دلیل، برخی بر آن شدند تا آن منقولات را از تاریخ طبری به صورت جداگانه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نسخه ها را بروکلمان و سزگین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آنها نسخه امبروزیانا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بمبئی به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و بار دیگر چاپ نجف در </w:t>
      </w:r>
      <w:bookmarkStart w:id="176" w:name="pg8702_73913"/>
    </w:p>
    <w:p>
      <w:pPr>
        <w:pStyle w:val="BookText"/>
        <w:rPr/>
      </w:pPr>
      <w:bookmarkEnd w:id="17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 نسخه مکتبه الفین کویت چاپ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و نسخه مطبعه العلمیه را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مقتل تاکنون یک بار به اردو و چندین بار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به نام مقتل الحسین به کوشش حسن غفاری در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در قم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همین اثر به نام وقعة الطفّ در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در قم به کوشش محمدهادی یوسفی غروی، همراه با مقدمه ای در معرفی ابومخنف و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فهرست های گوناگونی از شیوخ و راویان مؤلف با توضیحات و تعلیقات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این اثر با عنوان مقتل ابی مخنف، نخستین گزارش مستند از نهضت عاشورا توسط جواد سلیمانی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رازی آن را بحرالانساب نامیده و مطالب بسیاری در مورد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ترجمه اثر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به قلم محمدطاهرین محمد باقر موسوی دزفولی، همراه با کتاب اخذالثارفی احوال المختار، منسوب به ابومخنف در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دیگری از آن در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به ضمیمه اخذ الثار فی احوال المختار در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انجام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ناشر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تاریخ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حجت الله جودکی با نام قیام جاوید در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انتشارات تبیان چاپ شد</w:t>
      </w:r>
      <w:r>
        <w:rPr>
          <w:rFonts w:eastAsia="IRNazanin" w:cs="IRNazanin"/>
          <w:color w:val="111111"/>
          <w:sz w:val="28"/>
          <w:szCs w:val="28"/>
          <w:rtl w:val="true"/>
          <w:lang w:bidi="fa-IR"/>
        </w:rPr>
        <w:t>.</w:t>
      </w:r>
    </w:p>
    <w:p>
      <w:pPr>
        <w:pStyle w:val="Heading3"/>
        <w:numPr>
          <w:ilvl w:val="2"/>
          <w:numId w:val="1"/>
        </w:numPr>
        <w:rPr/>
      </w:pPr>
      <w:bookmarkStart w:id="177" w:name="__RefHeading___Toc2967851_653776707"/>
      <w:bookmarkStart w:id="178" w:name="_Toc65"/>
      <w:bookmarkEnd w:id="177"/>
      <w:r>
        <w:rPr>
          <w:rtl w:val="true"/>
        </w:rPr>
        <w:t>منابع ابومخنف</w:t>
      </w:r>
      <w:bookmarkEnd w:id="178"/>
    </w:p>
    <w:p>
      <w:pPr>
        <w:pStyle w:val="BookText"/>
        <w:rPr/>
      </w:pPr>
      <w:r>
        <w:rPr>
          <w:rFonts w:ascii="IRNazanin" w:hAnsi="IRNazanin" w:eastAsia="IRNazanin"/>
          <w:color w:val="111111"/>
          <w:sz w:val="28"/>
          <w:sz w:val="28"/>
          <w:szCs w:val="28"/>
          <w:rtl w:val="true"/>
          <w:lang w:bidi="fa-IR"/>
        </w:rPr>
        <w:t>مقتل ابی مخنف به شیوه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تدوین شده و اخبار مربوط به حادثه کربلا را از چند طریق مکتوب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زبانزد خاص و عام بوده بی واسطه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معاویه و نامه نوشتن یزید به عامل خود در مدینه مبنی بر گرفتن بیعت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دسته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برخی شاهدان عینی واقعه کربلا بدون واسطه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موارد او حوادث کربلا را توسط دو یا سه واسطه نقل می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این است که ابومخنف کلیه اخبار این حادثه </w:t>
      </w:r>
      <w:bookmarkStart w:id="179" w:name="pg8702_73914"/>
    </w:p>
    <w:p>
      <w:pPr>
        <w:pStyle w:val="BookText"/>
        <w:rPr/>
      </w:pPr>
      <w:bookmarkEnd w:id="179"/>
      <w:r>
        <w:rPr>
          <w:rFonts w:ascii="IRNazanin" w:hAnsi="IRNazanin" w:eastAsia="IRNazanin"/>
          <w:color w:val="111111"/>
          <w:sz w:val="28"/>
          <w:sz w:val="28"/>
          <w:szCs w:val="28"/>
          <w:rtl w:val="true"/>
          <w:lang w:bidi="fa-IR"/>
        </w:rPr>
        <w:t>را از شاهدان عینی یا معاصرین واقعه کربلا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نخستین مقتل است که در نسل بعد از واقعه کربلا مکتوب شده و به خاطر شهرت گردآورنده آن به مقتل الحسین ابومخنف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مقتل شامل روایات مفصلی درباره واقعه کربلا، زمینه های پیدایش آن تا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فعالیت شیعیان در کوفه و مقابله عبیدالله بن زیاد، جنگ سپاه شام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کربلا و پس از آن قیام کوفیان به خونخواهی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را آگاه ترین فرد به فتوح و امور عراق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تک نگاری وقایع از مهمترین خصوصیات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او بیشتر قبیله ای، یعنیمنقول از راویان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قبایلی همچون هَمْدان، طی، کِنْده و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فزونی روایات کوفی در برابر روایات مدنی مندرج در آثارش و عنوان های این آثار، حاکی از گرایش های عراقی و علوی او بر ضدّ شام و امویان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روزنتال،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نقل تاریخ، خالی از تعصّب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آئینه وند،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که به وی نسبت داده اند مقتل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6/255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هایی که اکنون در کتابخانه های جهان از مقتل ابی عبداللّه الحسین وجود دارد و به نام های اخبار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مصراع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با روایت طبری از ابومخنف در همین موضوع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محققان این اثر را مجعول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تردید در صحت انتساب و اوصاف کتاب باعث شد تا کسانی منقولات طبری از ابومخنف درباره واقعه کربلا را استخراج و کتابی با عنوان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3"/>
        <w:numPr>
          <w:ilvl w:val="2"/>
          <w:numId w:val="1"/>
        </w:numPr>
        <w:rPr/>
      </w:pPr>
      <w:bookmarkStart w:id="180" w:name="__RefHeading___Toc2967853_653776707"/>
      <w:bookmarkStart w:id="181" w:name="_Toc66"/>
      <w:bookmarkEnd w:id="180"/>
      <w:r>
        <w:rPr>
          <w:rtl w:val="true"/>
        </w:rPr>
        <w:t>هشام بن محمد بن سائب کلبی</w:t>
      </w:r>
      <w:bookmarkEnd w:id="18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محمد بن سائب بن بشر بن عمرو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متوقای</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بزرگترین مورخان دوره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محمد بن سائب بن بشر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عالمان به نام زمان خویش بوده و فرزند، از میراث علمی پدر فراوان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182" w:name="pg8702_73915"/>
    </w:p>
    <w:p>
      <w:pPr>
        <w:pStyle w:val="BookText"/>
        <w:rPr/>
      </w:pPr>
      <w:bookmarkEnd w:id="182"/>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دارد جدّ وی، بشر بن عمرو و فرزندانش سائب و عبید و عبدالرحمان در جنگ جمل در کنار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پدرش به دلیل آنکه از سلک اصحاب حدیث بیرون بوده و روش های تاریخی داشته اند و نیز به دلیل گرایش های شیعی، مورد طعن فراوان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در شمار سَبَایی ها که نام دیگر روافض بوده، یادکرده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خیاط،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سائب کلبی را از عالمان کوفه دانسته که در تفسیر و اخبار و ایام النَّاس، تخصص داشته و تفسیری 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شرکت او در قیام ابن اشعث، او را متبحر در تفسیر، اخبار و احادیث عرب دانسته است</w:t>
      </w:r>
      <w:r>
        <w:rPr>
          <w:rFonts w:eastAsia="IRNazanin" w:cs="IRNazanin"/>
          <w:color w:val="111111"/>
          <w:sz w:val="28"/>
          <w:szCs w:val="28"/>
          <w:rtl w:val="true"/>
          <w:lang w:bidi="fa-IR"/>
        </w:rPr>
        <w:t>.</w:t>
      </w:r>
    </w:p>
    <w:p>
      <w:pPr>
        <w:pStyle w:val="Heading3"/>
        <w:numPr>
          <w:ilvl w:val="2"/>
          <w:numId w:val="1"/>
        </w:numPr>
        <w:rPr/>
      </w:pPr>
      <w:bookmarkStart w:id="183" w:name="__RefHeading___Toc2967855_653776707"/>
      <w:bookmarkStart w:id="184" w:name="_Toc67"/>
      <w:bookmarkEnd w:id="183"/>
      <w:r>
        <w:rPr>
          <w:rtl w:val="true"/>
        </w:rPr>
        <w:t>مذهب هشام بن سائب کلبی</w:t>
      </w:r>
      <w:bookmarkEnd w:id="184"/>
    </w:p>
    <w:p>
      <w:pPr>
        <w:pStyle w:val="BookText"/>
        <w:rPr/>
      </w:pPr>
      <w:r>
        <w:rPr>
          <w:rFonts w:ascii="IRNazanin" w:hAnsi="IRNazanin" w:eastAsia="IRNazanin"/>
          <w:color w:val="111111"/>
          <w:sz w:val="28"/>
          <w:sz w:val="28"/>
          <w:szCs w:val="28"/>
          <w:rtl w:val="true"/>
          <w:lang w:bidi="fa-IR"/>
        </w:rPr>
        <w:t>هشام همانند پدر و خانواده اش شیعه بوده و در منابع به این امر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وی به رجعت باور داشته و نوشتن مثالب صحابه، از نشانه های تشیع او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بیهقی،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کلبی، در میان اهل سنّت، به شدّت تضعیف شده است و او را رافضی و کذّاب خوانده اند؛ در عین حال، به حفظ و دانش او اعتراف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4/304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9237</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185" w:name="__RefHeading___Toc2967857_653776707"/>
      <w:bookmarkStart w:id="186" w:name="_Toc68"/>
      <w:bookmarkEnd w:id="185"/>
      <w:r>
        <w:rPr>
          <w:rtl w:val="true"/>
        </w:rPr>
        <w:t>آثار هشام</w:t>
      </w:r>
      <w:bookmarkEnd w:id="1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کتاب های زیادی تألیف کرد که تعداد آنها از صد و پنجاه عنوان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جلالی،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وی در مقتل نگاری می توان به قیام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عثمان، مقتل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حجر بن عدی، مقتل رشید و میثم و جویریه بن مسهر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طبقات الکبری، مسعودی در مروج الذهب و طبری در تاریخ الامم و الملوک مطالب زیادی از هشام کلبی نقل کرده و او را موثق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ابومنذر،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مآخذ مهم یعقوبی در نقد تاریخ، نوشته های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درباره وقایع کربلا کتابی دارد که آنچه از استادش ابومخنف در این رابطه شنیده، همچنین مطالبی که از استاد دیگرش عوانه بن حکم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در آن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نقل ها درباره واقعه کربلا، در تاریخ طبری از طریق هشام کلبی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آنها را در ضمن حوادث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،در کتاب تاریخ خود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طبری، شیخ مفید در ارشاد از هشام کلبی مطالبی نقل می کند که به نظر می رسد عمده مطالب مربوط به کربلا را،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مهم ترین مصادر بلاذری، در جمل من انساب الاشراف نوشته های هشام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او را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افراد که در رویداد کربلا حضور داشته و از نزدیک حادثه را دیده بودند، به گزارش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دیگر به نقل وقایع کربلا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کسانى مانند هانى بن ثبیت حضرمى از لشکر عمر سعد بودند که خود در حادثه نقش داشتند، عملکرد خود را نقل و یا از آن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مانند حمید بن مسلم، از وقایع نگارانِ واقعه کربلا در سپاه عمر سعد، نیز فقط به گزارش این حادثه پرداخته و از درگیرى و جنگ خوددارى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وقایع نگارِ حادثه کربلا با یک واسطه روایاتى را از حمید بن مسلم به وسیله افرادى نظیر سلیمان بن ابى راشد و عبدالرحمان بن یزید بن جابر وقایع کربلا را گزارش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افراد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کشته شدن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حساس ترین لحظات واقعه عاشورا در کربلا،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شاهد وقایع تلخ آن روز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حسن بن حسن بن على بن ابى طالب حسن مثنى همراهعمویش جنگید، مجروح شد و از اسب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کوفیان سرهاى شهدا را قطع مى کردند، وى هنوز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 خارجه فزارى که از دائى هاى وى بود از او شفاعت کرد و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مثنى را به کوفه برد و معالجه کرد سپس به مدینه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عُقبه بن سمعان، غلام رباب، دختر امرءالقیس،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سکینه </w:t>
      </w:r>
      <w:bookmarkStart w:id="187" w:name="pg8702_73917"/>
    </w:p>
    <w:p>
      <w:pPr>
        <w:pStyle w:val="BookText"/>
        <w:rPr/>
      </w:pPr>
      <w:bookmarkEnd w:id="187"/>
      <w:r>
        <w:rPr>
          <w:rFonts w:ascii="IRNazanin" w:hAnsi="IRNazanin" w:eastAsia="IRNazanin"/>
          <w:color w:val="111111"/>
          <w:sz w:val="28"/>
          <w:sz w:val="28"/>
          <w:szCs w:val="28"/>
          <w:rtl w:val="true"/>
          <w:lang w:bidi="fa-IR"/>
        </w:rPr>
        <w:t>و على اصغر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اسیر نزد عمر سعد آوردند، زمانى که فهمید برده است وى را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توسط حارث بن کعب والى، جریان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مکه و گفت وگوى حضرت را با ابن عباس و بخشى از جریان دیدار حضرت را با حرّ از او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ریاح، غلام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حضور داشت و پس از شهادت حضرت جان سالم به در برد، وى برخى حوادث کربلا را گزارش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3"/>
        <w:numPr>
          <w:ilvl w:val="2"/>
          <w:numId w:val="1"/>
        </w:numPr>
        <w:rPr/>
      </w:pPr>
      <w:bookmarkStart w:id="188" w:name="__RefHeading___Toc2967859_653776707"/>
      <w:bookmarkStart w:id="189" w:name="_Toc69"/>
      <w:bookmarkEnd w:id="188"/>
      <w:r>
        <w:rPr>
          <w:rtl w:val="true"/>
        </w:rPr>
        <w:t>ابن هلال ثقفی کوفی</w:t>
      </w:r>
      <w:bookmarkEnd w:id="189"/>
    </w:p>
    <w:p>
      <w:pPr>
        <w:pStyle w:val="BookText"/>
        <w:rPr/>
      </w:pPr>
      <w:r>
        <w:rPr>
          <w:rFonts w:ascii="IRNazanin" w:hAnsi="IRNazanin" w:eastAsia="IRNazanin"/>
          <w:color w:val="111111"/>
          <w:sz w:val="28"/>
          <w:sz w:val="28"/>
          <w:szCs w:val="28"/>
          <w:rtl w:val="true"/>
          <w:lang w:bidi="fa-IR"/>
        </w:rPr>
        <w:t xml:space="preserve">ابواسحاق ابراهیم بن محمد بن سعید بن هلال بن عاصم بن سعید بن مسعود، معروف به ابن هلال ثقفی کوفی، محدث و تاریخ نگار شیعی، از 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طولانی داشت و در سال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هجری در اصفهان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اصالتا کوفی بود در اصفهان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به سعد بن مسعود ثقفی، عموی مختار بن ابی عبیده ثقفی بازمی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90" w:name="__RefHeading___Toc2967861_653776707"/>
      <w:bookmarkStart w:id="191" w:name="_Toc70"/>
      <w:bookmarkEnd w:id="190"/>
      <w:r>
        <w:rPr>
          <w:rtl w:val="true"/>
        </w:rPr>
        <w:t>مذهب ابو اسحاق</w:t>
      </w:r>
      <w:bookmarkEnd w:id="191"/>
    </w:p>
    <w:p>
      <w:pPr>
        <w:pStyle w:val="BookText"/>
        <w:rPr/>
      </w:pPr>
      <w:r>
        <w:rPr>
          <w:rFonts w:ascii="IRNazanin" w:hAnsi="IRNazanin" w:eastAsia="IRNazanin"/>
          <w:color w:val="111111"/>
          <w:sz w:val="28"/>
          <w:sz w:val="28"/>
          <w:szCs w:val="28"/>
          <w:rtl w:val="true"/>
          <w:lang w:bidi="fa-IR"/>
        </w:rPr>
        <w:t>ابن هلال مذهب زیدی داشت سپس به مذهب امامیه گرایش پیدا کرد و به این عقیده سخت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انتقال او ازکوفه به اصفهان تألیف کتابی به نام المعرفه در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مثالب سلف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کوفه نشر این کتاب را منع کردند، اما او قسم خورد آن را در شهری که بیشتر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انتشار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اصفهان را که در آن زمان بیشتر جمعیتش را مخالفان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دادند، انتخاب و به نشر کتاب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بزرگان قم از جمله احمد بن خالد برقی به خدمت او رسیدند و از او برای اقامت در قم، دعوت کردند ولی او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جلالی،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رجال شیعه عموماً ثقفی را ستوده و از او در شمار راویان موثق و معتمد 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ابن داود،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مجلسی، </w:t>
      </w:r>
      <w:bookmarkStart w:id="192" w:name="pg8702_73918"/>
    </w:p>
    <w:p>
      <w:pPr>
        <w:pStyle w:val="BookText"/>
        <w:rPr/>
      </w:pPr>
      <w:bookmarkEnd w:id="192"/>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اهل سنّت، وی را به سبب شیعی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حدیثش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شیعیان 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 فی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درباره برادر کوچکترش، علی بن محمد ثقفی که او نیز در اصفهان اقامت داشته و ظاهراً بر مذهب سنّت بوده، شرحی مبسوط تر آورده است</w:t>
      </w:r>
      <w:r>
        <w:rPr>
          <w:rFonts w:eastAsia="IRNazanin" w:cs="IRNazanin"/>
          <w:color w:val="111111"/>
          <w:sz w:val="28"/>
          <w:szCs w:val="28"/>
          <w:rtl w:val="true"/>
          <w:lang w:bidi="fa-IR"/>
        </w:rPr>
        <w:t>.</w:t>
      </w:r>
    </w:p>
    <w:p>
      <w:pPr>
        <w:pStyle w:val="Heading3"/>
        <w:numPr>
          <w:ilvl w:val="2"/>
          <w:numId w:val="1"/>
        </w:numPr>
        <w:rPr/>
      </w:pPr>
      <w:bookmarkStart w:id="193" w:name="__RefHeading___Toc2967863_653776707"/>
      <w:bookmarkStart w:id="194" w:name="_Toc71"/>
      <w:bookmarkEnd w:id="193"/>
      <w:r>
        <w:rPr>
          <w:rtl w:val="true"/>
        </w:rPr>
        <w:t>آثار و شیوه نگارش</w:t>
      </w:r>
      <w:bookmarkEnd w:id="194"/>
    </w:p>
    <w:p>
      <w:pPr>
        <w:pStyle w:val="BookText"/>
        <w:rPr/>
      </w:pPr>
      <w:r>
        <w:rPr>
          <w:rFonts w:ascii="IRNazanin" w:hAnsi="IRNazanin" w:eastAsia="IRNazanin"/>
          <w:color w:val="111111"/>
          <w:sz w:val="28"/>
          <w:sz w:val="28"/>
          <w:szCs w:val="28"/>
          <w:rtl w:val="true"/>
          <w:lang w:bidi="fa-IR"/>
        </w:rPr>
        <w:t>نجاشی بیش از پنجاه کتاب از ابن هلال ثقفی نام برده است؛ اما اکنون تنها کتاب الغارات از او مانده که براساس مطالب آن می توان روش نگارش وی 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الغارات از نظر تألیف، نگارش، عناوین و اسلوب، به خوبی تنظیم شده و از نظر محتوا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شیوه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خبریتألیف و از ائمه شیعه و راویان امامیه بسیار استفاده کرده و از راویان مشهور اهل سنت مانند رجال صحاح سته و مسانید معروف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مؤلف می توانسته موضوع های تاریخی، سیاسی، اداری، اخلاقی، عبادی و نظایر اینها را از یکدیگر مجزا کرده و هر کدام را در یک بخش بیان کند، ولی به هر دلیلی این کار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مقتل از وی هفت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المختار؛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عثمان؛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من آل محمد صلی الله علیه و آله و سلم معرفی شده ولی هیچ کدام باقی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195" w:name="__RefHeading___Toc2967865_653776707"/>
      <w:bookmarkStart w:id="196" w:name="_Toc72"/>
      <w:bookmarkEnd w:id="195"/>
      <w:r>
        <w:rPr>
          <w:rtl w:val="true"/>
        </w:rPr>
        <w:t>نتیجه</w:t>
      </w:r>
      <w:bookmarkEnd w:id="1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فشار معاویه بر شیعیان در عدم حمایت از خاندان پیامبر صلی الله علیه و آله و سلم تألیف گونه ای دیگر از تاریخ نگاری با عنوان مقتل نگاری در ثبت وقایع و نحوه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وفایش همچون حجربن عدی و دیگران، از سوی شیعیان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تاریخ نگاری با هدف ثبت وقایع جنگ و مانند آن با محوریت شهادت ائمه اطهار، به ویژه شهادت امیرالمؤمنین،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اهل سنت نیز علاوه بر نوشتن مقتل خلفا و ائمه، از </w:t>
      </w:r>
      <w:bookmarkStart w:id="197" w:name="pg8702_73919"/>
    </w:p>
    <w:p>
      <w:pPr>
        <w:pStyle w:val="BookText"/>
        <w:rPr/>
      </w:pPr>
      <w:bookmarkEnd w:id="197"/>
      <w:r>
        <w:rPr>
          <w:rFonts w:ascii="IRNazanin" w:hAnsi="IRNazanin" w:eastAsia="IRNazanin"/>
          <w:color w:val="111111"/>
          <w:sz w:val="28"/>
          <w:sz w:val="28"/>
          <w:szCs w:val="28"/>
          <w:rtl w:val="true"/>
          <w:lang w:bidi="fa-IR"/>
        </w:rPr>
        <w:t>روایت های راویان شیعه در تدوین آثار خود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آثار فهرست نویسان حکایت از مقتل نویسی اصحاب ائمه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جابر بن یزید جعفی، ابومخنف، لوط بن یحیی، هشام بن محمد بن سائب کلبی و ابراهیم بن محمد ابواسحاق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مورخ و مقتل نگار از اصحاب شیعی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بن یزید جعفی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مقتل نگاری این اصحاب به دست ما نرسیده و به صورت پراکنده در گزارش های منابع تاریخی نظیر تاریخ طبری، آثار شیخ صدوق و دیگر منابع تاریخی و حدیثی نقل شده است</w:t>
      </w:r>
      <w:r>
        <w:rPr>
          <w:rFonts w:eastAsia="IRNazanin" w:cs="IRNazanin"/>
          <w:color w:val="111111"/>
          <w:sz w:val="28"/>
          <w:szCs w:val="28"/>
          <w:rtl w:val="true"/>
          <w:lang w:bidi="fa-IR"/>
        </w:rPr>
        <w:t>.</w:t>
      </w:r>
    </w:p>
    <w:p>
      <w:pPr>
        <w:pStyle w:val="Heading3"/>
        <w:numPr>
          <w:ilvl w:val="2"/>
          <w:numId w:val="1"/>
        </w:numPr>
        <w:rPr/>
      </w:pPr>
      <w:bookmarkStart w:id="198" w:name="__RefHeading___Toc2967867_653776707"/>
      <w:bookmarkStart w:id="199" w:name="_Toc73"/>
      <w:bookmarkEnd w:id="198"/>
      <w:r>
        <w:rPr>
          <w:rtl w:val="true"/>
        </w:rPr>
        <w:t>منابع</w:t>
      </w:r>
      <w:bookmarkEnd w:id="19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الجرح و التعدیل،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ابى الحدید، عبد الحمید بن هبه 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قم، کتابخانه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الغایه فی الصحابه،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خیاط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خلیفه بن خیاط، بیروت، دار الکتب العلمیة، منشورات محمد علی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داود، حسن بن علی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ابن داود،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تحقیق محمد بن صامل سلمی، عربستان، مکتبة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ترجمه صادق حسن زاده، قم، انتشارات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العلماء، نجف، منشورات المطبعة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تحقیق محمدحسین آشتیانی، قم، علامه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البر، ابی عمر یوسف بن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استعاب 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معرفه الاصحاب، تحقیق علی محمد البجاوی، بیروت، دارالجلیل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علی بن 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مدینه دمشق،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ندیم، محمد بن اسحاق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ترجمه و تحقیق محمدرضا تجدد،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أبوالفرج اصفهانی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آل ابى طالب، ترجمه جواد فاضل، قم، موسسه فرهنگی و اطلاع رسانی 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مقتل مکتوب، ترجمه حجت الله جودکی، قم، 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الطف، قم،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حلیة الاولیاء و طبقاتُ الْاَصفیاء، مصر، دار أم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سید حسن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مستدرکات اعیان الشیعه، بیروت، دارالتعارف المطبوعات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امینی، عبدالحسین احمد اللامینی النجفی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بیروت، دار الکتاب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 بزرگ تهرانى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الذریعة إلى تصانیف الشیعة، قم، اسماعیلیان و کتابخانه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آئینه وند، صادق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تاریخ درگستره تمدن اسلامی، قم، پژوهشگاه علوم انسانی ومطالعات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جمل من انساب الاشراف، تحقیق سهیل ذکار، تهران، کتابخانه مرکزی و مرکز اسناد دانشگاه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)._ ______________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به کوشش محمد باقر محمودی، بیروت، دار الکتاب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بیهقی، أبوبکر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النبوه،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ترمدی، تحقیق احمد محمد شاکر، قاهره،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تستری، محمدتقی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الرجال، قم، النشر الاسلامی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ثقفی،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الغارات، ترجمه عزیز الله عطاردی، تهران، انتشارات </w:t>
      </w:r>
    </w:p>
    <w:p>
      <w:pPr>
        <w:pStyle w:val="BookText"/>
        <w:rPr/>
      </w:pP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تأملی در نهضت عاشورا، قم، ناشران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جمعی از اندیشمندان، زیر نظر سید محمد کاظم موسوی بجنوردی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دائرةالمعارف بزرگ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حسینى جلالى، سید محمد حسین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 التراث،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الخلاصه الحلی، تصحیح محمد صادق بحرالعلوم، قم، منشورات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تقید العلم، بیروت، دار احیاء السنه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محمد سماوی، قم، أنوار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خویی، سیدابوالقاسم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قم، مدینه العلم ایه الله 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تصحیح شعب ارنووط و اسد حسین، قم، موسسه الرساله</w:t>
      </w:r>
      <w:r>
        <w:rPr>
          <w:rFonts w:eastAsia="IRNazanin" w:cs="IRNazanin"/>
          <w:color w:val="111111"/>
          <w:sz w:val="28"/>
          <w:szCs w:val="28"/>
          <w:rtl w:val="true"/>
          <w:lang w:bidi="fa-IR"/>
        </w:rPr>
        <w:t>._ ______________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قم،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روزنتال، فرانس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تاریخ نگاری در اسلام، ترجمه اسدالله آزاد،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زرگری نژاد،غلامحسین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سبحانى، شیخ جعفر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موسوعه طبقات الفقهاء، قم، مؤسسه امام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سجادی، محمد صادق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نگاری در اسلام، تهران، 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سزگین، فواد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نگارش های عربی، تهران،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شرف الدین، عبدالحسین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مؤلفو الشیعه فی صدر الاسلام، بغداد، مکتبة الأندلس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شریفی، محمود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موسوعه کلمات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اسوه، سازمان اوقاف و امور خیریه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صدر، سید حسن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تأسیس الشیعه، بی جا، اعلمی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بصائرالدرجات فی فضائل آل محمد، قم، مکتبة آیة الله العظمی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صفدی، خلیل بن ایبک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الوفیات،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ترجمه ابوالقاسم پاینده، انتشارات خانه تاریخ و تصویر ابریشمی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من ذیل المذیل، قم، موسسه فرهنگی 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اطلاع رسانی 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بنیاد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قم، کتابخانه محقق طباطبائى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 قم،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عبدالحمید، صائب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مؤرخی الشیعه، قم، مؤسسة دائرة المعارف الفقه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عطاردى، عزیز الله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الامام الشهید، تهران، عطارد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قرشی، محمد باقرشریف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حیاة الامام الحسین، قم، قلم مکنون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قره بلوط، علی رضا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التاریخ التراث الاسلامی فی مکتبات العالم، ترکیه، دارالعقبه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الکنی و الالقاب، تهران، مکتبه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کشی، تهران، مرکز نشر آثار علامه 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قم، انتشارات دارالثقلین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تنقیح المقال، تحقیق محمدرضا مامقانی و محی الدین، قم، موسسه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الوجیزه فی الرجال، تحقیق محمدکاظم رحمان ستایش، تهران، وزارة الثقافة والإرشاد الإسلامی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مدرسی طباطبایی، سیدحسین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مکتوب شیعه، ترجمه علی قرائی و رسول جعفریان، قم، کتابخانه تخصصی تاریخ اسلام و ایران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مظفر، محمد حسین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انتشارات اسلامی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العددیه، نسخه خطی، کتابخانه مرعشی 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ترجمه حسین صابری، تهران، شرکت انتشارات علمی و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 مؤسسه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ولهاوزن، یولیوس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الخوارج و الشیعه، ترجمه عبدالرحمن بدوی، کویت، وکاله المطبوعات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هشام ابومنذر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الاصنام، ترجمه سید محمدرضا جلالی نایینی، تهران، انتشارات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یاقوت حموی، یاقوت بن عبدالله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الادباء، تهران،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ترجمه محمد بن ابراهیم آیتی، تهران، بنگاه نشر و ترجمه کتاب اول</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8702_73925"/>
      <w:bookmarkStart w:id="201" w:name="pg8702_73925"/>
      <w:bookmarkEnd w:id="201"/>
    </w:p>
    <w:p>
      <w:pPr>
        <w:pStyle w:val="Heading2"/>
        <w:numPr>
          <w:ilvl w:val="1"/>
          <w:numId w:val="1"/>
        </w:numPr>
        <w:rPr/>
      </w:pPr>
      <w:bookmarkStart w:id="202" w:name="pg8702_73925"/>
      <w:bookmarkStart w:id="203" w:name="__RefHeading___Toc2967869_653776707"/>
      <w:bookmarkStart w:id="204" w:name="_Toc74"/>
      <w:bookmarkEnd w:id="202"/>
      <w:bookmarkEnd w:id="203"/>
      <w:r>
        <w:rPr>
          <w:rtl w:val="true"/>
        </w:rPr>
        <w:t xml:space="preserve">شخصیت دالی و مدلولی امام حسین </w:t>
      </w:r>
      <w:r>
        <w:rPr>
          <w:rtl w:val="true"/>
        </w:rPr>
        <w:t>(</w:t>
      </w:r>
      <w:r>
        <w:rPr>
          <w:rtl w:val="true"/>
        </w:rPr>
        <w:t>علیه السلام</w:t>
      </w:r>
      <w:r>
        <w:rPr>
          <w:rtl w:val="true"/>
        </w:rPr>
        <w:t xml:space="preserve">) </w:t>
      </w:r>
      <w:r>
        <w:rPr>
          <w:rtl w:val="true"/>
        </w:rPr>
        <w:t>بر اساس الگوی نشانه شناسی هامون</w:t>
      </w:r>
      <w:bookmarkEnd w:id="204"/>
    </w:p>
    <w:p>
      <w:pPr>
        <w:pStyle w:val="Heading3"/>
        <w:numPr>
          <w:ilvl w:val="2"/>
          <w:numId w:val="1"/>
        </w:numPr>
        <w:rPr/>
      </w:pPr>
      <w:bookmarkStart w:id="205" w:name="__RefHeading___Toc2967871_653776707"/>
      <w:bookmarkStart w:id="206" w:name="_Toc7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دکتر سید مهدی نوری کیذقانی</w:t>
      </w:r>
      <w:r>
        <w:rPr>
          <w:rStyle w:val="FootnoteAnchor"/>
          <w:rtl w:val="true"/>
        </w:rPr>
        <w:footnoteReference w:id="15"/>
      </w:r>
      <w:r>
        <w:rPr>
          <w:rFonts w:ascii="IRNazanin" w:hAnsi="IRNazanin" w:eastAsia="IRNazanin"/>
          <w:color w:val="111111"/>
          <w:sz w:val="28"/>
          <w:sz w:val="28"/>
          <w:szCs w:val="28"/>
          <w:rtl w:val="true"/>
          <w:lang w:bidi="fa-IR"/>
        </w:rPr>
        <w:t>مسعود سلمانی حقیقی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22/07/1400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21/12/1400</w:t>
      </w:r>
    </w:p>
    <w:p>
      <w:pPr>
        <w:pStyle w:val="BookText"/>
        <w:rPr/>
      </w:pPr>
      <w:r>
        <w:rPr>
          <w:rFonts w:ascii="IRNazanin" w:hAnsi="IRNazanin" w:eastAsia="IRNazanin"/>
          <w:color w:val="111111"/>
          <w:sz w:val="28"/>
          <w:sz w:val="28"/>
          <w:szCs w:val="28"/>
          <w:rtl w:val="true"/>
          <w:lang w:bidi="fa-IR"/>
        </w:rPr>
        <w:t>چکیده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نشانه شناسی به تحلیل و بررسی انواع نشانه ها، عوامل حاضر در فرآیند تولید و مبادله و تعبیر آنها و نیز قواعد حاکم بر نشانه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چیزی است که به غیر از خود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سوسور به عنوان پدر علم نوین نشانه شناسی دو مفهوم دال و مدلول را برای نشانه شناسی در نظرگرفته است و رابطه میان آن دو را رابطه ای جدایی ناپذیر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هامون نیز نشانه شناسی شخصیت را به سه سطحِ دال، مدلول و سطوح تحلیل شخصیت تقسیم بندی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جستار با استفاده از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شخصیت و صفات دالی و مدلولی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پرتوی فرآیند نشانه شناسی مورد بررسی قرار </w:t>
      </w:r>
      <w:bookmarkStart w:id="207" w:name="pg8702_73926"/>
    </w:p>
    <w:p>
      <w:pPr>
        <w:pStyle w:val="BookText"/>
        <w:rPr/>
      </w:pPr>
      <w:bookmarkEnd w:id="207"/>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بارز شخصیتی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یک دال و مدلول و شیء ارزشی بر جامعه و افراد آن پوشیده نیست و جلوه های آشکار این خصوصیات به عنوان چراغ راه، روشن کننده مسیر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دالی و مدلولی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نشانه، باعث شناخت خصلت های خوب و بد یک جامعه در زمان زندگی آن حضرت در میان مردم و نیز در زمان حال به شمار می رود؛ چرا که به واسطه شناخت 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خوب را از بد و حق را از باطل جدا کرد و به ماهیت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شناسی، فیلیپ هامون</w:t>
      </w:r>
      <w:r>
        <w:rPr>
          <w:rFonts w:eastAsia="IRNazanin" w:cs="IRNazanin"/>
          <w:color w:val="111111"/>
          <w:sz w:val="28"/>
          <w:szCs w:val="28"/>
          <w:rtl w:val="true"/>
          <w:lang w:bidi="fa-IR"/>
        </w:rPr>
        <w:t>.</w:t>
      </w:r>
    </w:p>
    <w:p>
      <w:pPr>
        <w:pStyle w:val="Heading3"/>
        <w:numPr>
          <w:ilvl w:val="2"/>
          <w:numId w:val="1"/>
        </w:numPr>
        <w:rPr/>
      </w:pPr>
      <w:bookmarkStart w:id="208" w:name="__RefHeading___Toc2967873_653776707"/>
      <w:bookmarkStart w:id="209" w:name="_Toc76"/>
      <w:bookmarkEnd w:id="208"/>
      <w:r>
        <w:rPr>
          <w:rtl w:val="true"/>
        </w:rPr>
        <w:t>مقدمه</w:t>
      </w:r>
      <w:bookmarkEnd w:id="20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شناسی دانشی است که نشانه های یک نظام زبانی یا غیرزبانی را بررسی می کند و از قرن بیستم گسترش یافته و بر پایه دال، مدلول و دلالت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 زاده و احمدی،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این دانش را فردیناند دوسوسور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شناس سوئیسی و چارلز ساندرس پیرس </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آمریکایی بنا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دانش نشانه شناسی و کارکردهای شخصیت، میراث مهم رویکردهای اولیه ساخت گرایی و صورت گرایی بوده است؛ کاری که با پژوهش پراپ درباره قصه عامیانه آغاز شد و کاربرد روش نشانه شناسی را گسترش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استون و ساوانا،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سوسور نشانه را ترکیبی از دال و مدلول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سوسور دال را تصور آوایی و مدلول را تصور ذهنی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ویمعتقد است که دال و مدلول جدایی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نشانه را الزامی می داند؛ یعنی رابطه دال و مدلول رابطه لازم و ملزوم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جوادی و نیک پی،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سوسور معتقد است نشانه ها در اصل به یکدیگر ارجاع می دهند و نشانه کلی است که از اتصال دال و مدلول است و به دلالت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هر نشانه، سویه ای محسوس و پنهان دارد، سویه محسوس را دال و سویه پنهان را مدلول می 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زبان و </w:t>
      </w:r>
      <w:bookmarkStart w:id="210" w:name="pg8702_73927"/>
    </w:p>
    <w:p>
      <w:pPr>
        <w:pStyle w:val="BookText"/>
        <w:rPr/>
      </w:pPr>
      <w:bookmarkEnd w:id="210"/>
      <w:r>
        <w:rPr>
          <w:rFonts w:ascii="IRNazanin" w:hAnsi="IRNazanin" w:eastAsia="IRNazanin"/>
          <w:color w:val="111111"/>
          <w:sz w:val="28"/>
          <w:sz w:val="28"/>
          <w:szCs w:val="28"/>
          <w:rtl w:val="true"/>
          <w:lang w:bidi="fa-IR"/>
        </w:rPr>
        <w:t xml:space="preserve">کلمه اشاره، مدلولی را در ذهن بر می انگیزد و این مدلول ذهنی برای آن چیزی است که در جهان خارج عینیت دارد و این سیر دلالت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الغذامی،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صفات و شخصیت دالی و مدلولی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پرتوی نشانه شناسی فیلیپ هامون مورد تحلیل قرار گرفته تا از این طریق لایه های معنوی نهفته در اخلاق و منش این امام بزرگوار متبلور شود</w:t>
      </w:r>
      <w:r>
        <w:rPr>
          <w:rFonts w:eastAsia="IRNazanin" w:cs="IRNazanin"/>
          <w:color w:val="111111"/>
          <w:sz w:val="28"/>
          <w:szCs w:val="28"/>
          <w:rtl w:val="true"/>
          <w:lang w:bidi="fa-IR"/>
        </w:rPr>
        <w:t>.</w:t>
      </w:r>
    </w:p>
    <w:p>
      <w:pPr>
        <w:pStyle w:val="Heading3"/>
        <w:numPr>
          <w:ilvl w:val="2"/>
          <w:numId w:val="1"/>
        </w:numPr>
        <w:rPr/>
      </w:pPr>
      <w:bookmarkStart w:id="211" w:name="__RefHeading___Toc2967875_653776707"/>
      <w:bookmarkStart w:id="212" w:name="_Toc77"/>
      <w:bookmarkEnd w:id="211"/>
      <w:r>
        <w:rPr>
          <w:rtl w:val="true"/>
        </w:rPr>
        <w:t>پیشینه پژوهش</w:t>
      </w:r>
      <w:bookmarkEnd w:id="212"/>
    </w:p>
    <w:p>
      <w:pPr>
        <w:pStyle w:val="BookText"/>
        <w:rPr/>
      </w:pPr>
      <w:r>
        <w:rPr>
          <w:rFonts w:ascii="IRNazanin" w:hAnsi="IRNazanin" w:eastAsia="IRNazanin"/>
          <w:color w:val="111111"/>
          <w:sz w:val="28"/>
          <w:sz w:val="28"/>
          <w:szCs w:val="28"/>
          <w:rtl w:val="true"/>
          <w:lang w:bidi="fa-IR"/>
        </w:rPr>
        <w:t xml:space="preserve">تاکنون پژوهشی شخصیت و صفات دالی و مدلولی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پرتوی فرآیند نشانه شناسی هامون مورد بررسی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نشانه شناسی هامون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 زاده و احمدی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شناسی شخصیت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هاچین و واچین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داوری بر پایه نظریه فیلیپ هامون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فصلنامه فرهنگ رضوی چاپ شده است، سیمای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هاچین و واچین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نظریه نشانه شناسی شخصیّت فیلیپ هامون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نیا و حیدری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فصلنامه لسان مبین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نشانه ای شخصیتحضرت مریم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کردند که ابعاد پنهانی شخصیت حضرت مریم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نمایان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عامری و دیگران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شناسی ادبی شخصیت فرعون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مجله پژوهش های ادبی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قرآنی، شخصیت فرعون در قرآن کریم را با رویکرد نشانه شناسی و از حیث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جایگاه نحوی، ضمائر و بعد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کنش گفتاری و کنش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فرآیند نشانه شناسی اجتماعی در آموزه های علوی با تکیه بر نهج البلاغه با تکیه بر هویّت و 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نظری و دیگران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پژوهشنامه علوی چاپ شده، نشانه شناسی اجتماعی در کتاب مذکور را با تکیه بر دو مقوله هویّت و آداب معاشرت مورد بررسی قرار داده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پرتوی فرآیند نشانه شناسی، مورد بررسی قرار نگرفته، نگارش مقاله ای در این حوزه می تواند زوایایی از لایه های معنایی نهفته </w:t>
      </w:r>
      <w:bookmarkStart w:id="213" w:name="pg8702_73928"/>
    </w:p>
    <w:p>
      <w:pPr>
        <w:pStyle w:val="BookText"/>
        <w:rPr/>
      </w:pPr>
      <w:bookmarkEnd w:id="213"/>
      <w:r>
        <w:rPr>
          <w:rFonts w:ascii="IRNazanin" w:hAnsi="IRNazanin" w:eastAsia="IRNazanin"/>
          <w:color w:val="111111"/>
          <w:sz w:val="28"/>
          <w:sz w:val="28"/>
          <w:szCs w:val="28"/>
          <w:rtl w:val="true"/>
          <w:lang w:bidi="fa-IR"/>
        </w:rPr>
        <w:t xml:space="preserve">در شخصیت دالی و مدلولی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 ارائه کند</w:t>
      </w:r>
      <w:r>
        <w:rPr>
          <w:rFonts w:eastAsia="IRNazanin" w:cs="IRNazanin"/>
          <w:color w:val="111111"/>
          <w:sz w:val="28"/>
          <w:szCs w:val="28"/>
          <w:rtl w:val="true"/>
          <w:lang w:bidi="fa-IR"/>
        </w:rPr>
        <w:t>.</w:t>
      </w:r>
    </w:p>
    <w:p>
      <w:pPr>
        <w:pStyle w:val="Heading3"/>
        <w:numPr>
          <w:ilvl w:val="2"/>
          <w:numId w:val="1"/>
        </w:numPr>
        <w:rPr/>
      </w:pPr>
      <w:bookmarkStart w:id="214" w:name="__RefHeading___Toc2967877_653776707"/>
      <w:bookmarkStart w:id="215" w:name="_Toc78"/>
      <w:bookmarkEnd w:id="214"/>
      <w:r>
        <w:rPr>
          <w:rtl w:val="true"/>
        </w:rPr>
        <w:t>نشانه شناسی</w:t>
      </w:r>
      <w:bookmarkEnd w:id="215"/>
    </w:p>
    <w:p>
      <w:pPr>
        <w:pStyle w:val="BookText"/>
        <w:rPr/>
      </w:pPr>
      <w:r>
        <w:rPr>
          <w:rFonts w:ascii="IRNazanin" w:hAnsi="IRNazanin" w:eastAsia="IRNazanin"/>
          <w:color w:val="111111"/>
          <w:sz w:val="28"/>
          <w:sz w:val="28"/>
          <w:szCs w:val="28"/>
          <w:rtl w:val="true"/>
          <w:lang w:bidi="fa-IR"/>
        </w:rPr>
        <w:t>نشانه شناسی بررسی نحوه شکل گیری و تولید معنا بر مبنای نظام های 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شناس نشانه ها را نه در خلأ، بلکه در بستر متون و گفتمان های مختلف بررسی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 مجد و دیگران،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شناسی، بررسی فرآیند تولید و بازتولید جریان معنا در تمام اشکال ارتباطات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سجودی،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شناسی در بستر ساختارگرایی متولد شده است و ما را قادر می سازد که متون و فرهنگ فردی و جمعی رامجموعه ای از نشانه ها بدانیم که تحلیل آنها می تواند راهی برای درک ساختارهای معنایی فرهنگ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سرافراز،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شناسی ریشه در آرای زبان شناس سوئیسی، فردیناند دوسوسور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عامه در واقع با نشانه شناسی ادبی شخصیت پیوندی دیرینه دارد و توانسته است به رمز و نشانه های این گونه ادبی دست یابد و آن را وسعت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 زاده و احمدی،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یکی از عناصرکلیدی در شعر، داستان و نظایر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شخصیت برای بشریت نقش بسزایی داشته و الگویی ارزشمند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مذهبی، از گونه های شخصیتی است که نقش مهمی در تربیت فردی و اجتماعی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شخصیتی و ویژگی زندگانی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رهبری جامعه و حق تعلیم و تربیت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برخورداری از معارف و کرامات همواره الگویی سازنده برای جامعه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جستار صفات اخلاقی و شخصیت دال و مدلولی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پرتوی نظریه نشانه شناسی هامون 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216" w:name="__RefHeading___Toc2967879_653776707"/>
      <w:bookmarkStart w:id="217" w:name="_Toc79"/>
      <w:bookmarkEnd w:id="216"/>
      <w:r>
        <w:rPr>
          <w:rtl w:val="true"/>
        </w:rPr>
        <w:t>رابطه بین دال و مدلول در نشانه شناسی</w:t>
      </w:r>
      <w:bookmarkEnd w:id="21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سوسور دو مفهوم مهم دال و مدلول را در نشانه شناسی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هیچ یک از این دو مفهوم بدون عنایت به دیگری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رابطه ای ایجابی است که بین دال و مدلول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سوسور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زبانی را متشکل از یک دال </w:t>
      </w:r>
      <w:bookmarkStart w:id="218" w:name="pg8702_73929"/>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تصور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یا تصور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رابطه میان این دو را که به نشانه هستی و انسجاممی بخشد، دلالت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رابطه بین دال و مدلول از نوع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اختیاری بودن نشانه های زبانی را سوسور با توجه به وجود واژه های گوناگون که در زبان های مختلف بر یک مفهوم یکسان دلالت می کند، ارائه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کتاب زبان شناسی عمومی سوسور، می توان چنین استنباط کرد که هر مدلولی می توانسته هر دالی باشد و هر دالی نیز می توانسته به هر مدلولی دلالت کند و از این رو، این رابطه اختیاری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219" w:name="__RefHeading___Toc2967881_653776707"/>
      <w:bookmarkStart w:id="220" w:name="_Toc80"/>
      <w:bookmarkEnd w:id="219"/>
      <w:r>
        <w:rPr>
          <w:rtl w:val="true"/>
        </w:rPr>
        <w:t>نشانه شناسی شخصیت</w:t>
      </w:r>
      <w:bookmarkEnd w:id="2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بر معنای غایبی دلالت می کند که در متن حضور ندارد و یک چیز دیگر به وسیله آن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گاهی هیچ ارتباط معنایی بین لفظ و معنا وجود ندارد؛ اما در هر جامعه بر اساس قراردادهای وضعی، هر لفظ نشان دهنده معنایی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 زاده و احمدی،</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ویژگی های بارز نشانه، صراحت نداشتن و غیر مستقیم بودن آن است؛ یعنی صورت کلام در نشانه مد نظر نیست، بلکه مفهومی فراواژگانی را باید کاوید و این امر از رازهای پیچیدگی دانش نشانه شناسی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گاهی مدلول ها به طور مستقیم، دلالت واضحی بر دال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نیا و حیدری،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نشانه شناختی شخصیت نشان می دهد که هر شخصیتی، صورتی از یک شخصیت بشری یا غیر بشری با ویژگی های چند وجهی است و پژوهشگر در دنیای نشانه ها، تمام عناصر بیرونی و روانی شخصیت، نام، نوع پوشش، کارکرد، نسبت اجتماعی، فرهنگی و ایدئولوژیک را بررسی می کند؛ چنانکه شبکه ارتباطی بین شخصیت ها را نیز مطالعه می کند و از طریق نام وسن به نشانه شناسی شخصیت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عامری و دیگران،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هامون، نشانه شناسی ادبی شخصیت را در سه سطح شخصیت به مثابه دال، شخصیت به مثابه مدلول و سطوح تحلیل شخصیت بررسی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شناسی ادبی یافتن مناسبت میان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هدفش در نهایت کشف مناسبتی است میان آنچه </w:t>
      </w:r>
      <w:bookmarkStart w:id="221" w:name="pg8702_73930"/>
    </w:p>
    <w:p>
      <w:pPr>
        <w:pStyle w:val="BookText"/>
        <w:rPr/>
      </w:pPr>
      <w:bookmarkEnd w:id="221"/>
      <w:r>
        <w:rPr>
          <w:rFonts w:ascii="IRNazanin" w:hAnsi="IRNazanin" w:eastAsia="IRNazanin"/>
          <w:color w:val="111111"/>
          <w:sz w:val="28"/>
          <w:sz w:val="28"/>
          <w:szCs w:val="28"/>
          <w:rtl w:val="true"/>
          <w:lang w:bidi="fa-IR"/>
        </w:rPr>
        <w:t xml:space="preserve">نویسنده ارائه و خواننده فهمیده یا تأویل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شناسی ادبی با بررسی مناسبت های مذکور و کشف ارتباط میان آ نها می کوشد تا به معنا و مفاهیمی ورای این مناسبت ها دست یابد، اگر چه نشانه های زبانی معنای قاموسی لفظ مد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نیا و حیدری،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222" w:name="__RefHeading___Toc2967883_653776707"/>
      <w:bookmarkStart w:id="223" w:name="_Toc81"/>
      <w:bookmarkEnd w:id="222"/>
      <w:r>
        <w:rPr>
          <w:rtl w:val="true"/>
        </w:rPr>
        <w:t xml:space="preserve">شخصیت امام حسین </w:t>
      </w:r>
      <w:r>
        <w:rPr>
          <w:rtl w:val="true"/>
        </w:rPr>
        <w:t>(</w:t>
      </w:r>
      <w:r>
        <w:rPr>
          <w:rtl w:val="true"/>
        </w:rPr>
        <w:t>علیه السلام</w:t>
      </w:r>
      <w:r>
        <w:rPr>
          <w:rtl w:val="true"/>
        </w:rPr>
        <w:t xml:space="preserve">) </w:t>
      </w:r>
      <w:r>
        <w:rPr>
          <w:rtl w:val="true"/>
        </w:rPr>
        <w:t>به عنوان دال</w:t>
      </w:r>
      <w:bookmarkEnd w:id="223"/>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و جان فشانی های خود تاریخ بشری را رقم زدند و درس آزادگی و عزت به انسان ها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ابتدا که از مدینه حرکت کرد تا وقتی که در کربلا به شهادت رسید، همان معنویّت، عزّت، سرافرازی و در عین حال عبودیّت و تسلیم مطلق در مقابل خدا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واقعه عاشورا نمود هایی از تعظیم شعائر الهی، عبادت، توکل، رضا و تسلیم را به منصه ظهور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نوروزی و بدیعیان،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علائلی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اندیشمندان معاصر اهل سنت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تاریخ انسان به مردان بزرگى برخورد می کنیم که هر کدام در جبهه و جهتى عظمت و بزرگى خویش را جهانگیر ساخته اند، یکى در شجاعت، دیگرى در زهد و آن دیگرى در سخاوت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شکوه و بزرگى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بزرگی است که هر یک از ابعاد بی نهایتش مشخص کننده یک عظمتتاریخ است، گویا او جامع همه والایی ها و فرازمندی ها است</w:t>
      </w:r>
      <w:r>
        <w:rPr>
          <w:rFonts w:eastAsia="IRNazanin" w:cs="IRNazanin"/>
          <w:color w:val="111111"/>
          <w:sz w:val="28"/>
          <w:szCs w:val="28"/>
          <w:rtl w:val="true"/>
          <w:lang w:bidi="fa-IR"/>
        </w:rPr>
        <w:t>».</w:t>
      </w:r>
    </w:p>
    <w:p>
      <w:pPr>
        <w:pStyle w:val="Heading3"/>
        <w:numPr>
          <w:ilvl w:val="2"/>
          <w:numId w:val="1"/>
        </w:numPr>
        <w:rPr/>
      </w:pPr>
      <w:bookmarkStart w:id="224" w:name="__RefHeading___Toc2967885_653776707"/>
      <w:bookmarkStart w:id="225" w:name="_Toc82"/>
      <w:bookmarkEnd w:id="224"/>
      <w:r>
        <w:rPr>
          <w:rtl w:val="true"/>
        </w:rPr>
        <w:t xml:space="preserve">نام شناسی شخصیت امام حسین </w:t>
      </w:r>
      <w:r>
        <w:rPr>
          <w:rtl w:val="true"/>
        </w:rPr>
        <w:t>(</w:t>
      </w:r>
      <w:r>
        <w:rPr>
          <w:rtl w:val="true"/>
        </w:rPr>
        <w:t>علیه السلام</w:t>
      </w:r>
      <w:r>
        <w:rPr>
          <w:rtl w:val="true"/>
        </w:rPr>
        <w:t>)</w:t>
      </w:r>
      <w:bookmarkEnd w:id="2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در نام شناسی شخصیت به مثابه دال از اهمیت بالایی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شناسی علمی است که به بررسی، تحلیل و ریشه یابی در صورت صوری و معنایی نام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امروزه یکی از شاخه های فرعی زبان شناسی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های قدیم، محققان و نویسندگان، علاقه مند به ریشه یابی نام ها و در پی ایجاد پیوند و رابطه میان اسم ها با مأخذ غیر اسمی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خاص باعث می شود که شخصیت، بیرون از مشخصه های معنایی اش وجود داشته باشد؛ مشخصه هایی که مجموعه آنها، کل شخصیت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به کمک اسم </w:t>
      </w:r>
    </w:p>
    <w:p>
      <w:pPr>
        <w:pStyle w:val="BookText"/>
        <w:rPr/>
      </w:pPr>
      <w:r>
        <w:rPr>
          <w:rFonts w:ascii="IRNazanin" w:hAnsi="IRNazanin" w:eastAsia="IRNazanin"/>
          <w:color w:val="111111"/>
          <w:sz w:val="28"/>
          <w:sz w:val="28"/>
          <w:szCs w:val="28"/>
          <w:rtl w:val="true"/>
          <w:lang w:bidi="fa-IR"/>
        </w:rPr>
        <w:t>خاص به هستی شخصیت دست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های معنایی شخصیت، تنها سر آغاز راه اوست، جاده ای است که به معنا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همگان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دوم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بین شیعیان اباعبدالله و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اسم مصغر حسن است و در لغت به معنای نیکو و صاحب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حسین از حسن است به معنای هر اثر بهجت آفرین و شادی بخش که مورد آرزو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 شیعه و اهل سنت آمده است که پیامبر اکرم صلی الله علیه و آله و سلم، فرزندانذکور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های حسن و حسین و محسن نامگذاری کرد</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 حاکی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نام عمویش جعفرِ طَیّار که در آن زمان هنوز در حبشه زندگی می کرد، جعفر نامیده شد اما حضرت محمد صلی الله علیه و آله و سلم نام او را حسین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آمده که نام حسن و حسین، نام هایی بهشتی بودند و پیش از اسلام بر کسی نهاده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منوچهری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حسن، در کلام پیامبر اسلام مشهور است و همراهی این دو نام، بیش از شباهت لغوی، بیان کننده قرابت شخصیت صاحبان این دو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منابع اَبوعَبْدِالله آمده، اما نزد خواص، لقب ابوعلی را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بسیاری دارد که با القاب حسن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خاصی مانند زَکیّ، طَیِّب، وَفیّ، سَیِّد، مُبارَک، نافِع، اَلدَّلیلُ عَلی ذاتِ اللّه، رشید، و اَلتّابِعُ لِمَرضاةِاللّه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طلحه مشهورترین لقب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زکیّ و مهم ترین آنان را سَیِّدُ شَبابِ أهلِ الْجَنَّة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متون ادبی و تاریخی قرن چهارم هجری و پس از آن، با وجود اینکه وی خلافتی نداشته است، از وی با لقب امیرالمؤمنین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منسوب به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لقب شهید یا سَیِّدُالشُّهَداء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عمادی حائری،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26" w:name="pg8702_73932"/>
    </w:p>
    <w:p>
      <w:pPr>
        <w:pStyle w:val="Heading3"/>
        <w:numPr>
          <w:ilvl w:val="2"/>
          <w:numId w:val="1"/>
        </w:numPr>
        <w:rPr/>
      </w:pPr>
      <w:bookmarkStart w:id="227" w:name="__RefHeading___Toc2967887_653776707"/>
      <w:bookmarkStart w:id="228" w:name="_Toc83"/>
      <w:bookmarkEnd w:id="226"/>
      <w:bookmarkEnd w:id="227"/>
      <w:r>
        <w:rPr>
          <w:rtl w:val="true"/>
        </w:rPr>
        <w:t xml:space="preserve">شخصیت امام حسین </w:t>
      </w:r>
      <w:r>
        <w:rPr>
          <w:rtl w:val="true"/>
        </w:rPr>
        <w:t>(</w:t>
      </w:r>
      <w:r>
        <w:rPr>
          <w:rtl w:val="true"/>
        </w:rPr>
        <w:t>علیه السلام</w:t>
      </w:r>
      <w:r>
        <w:rPr>
          <w:rtl w:val="true"/>
        </w:rPr>
        <w:t xml:space="preserve">) </w:t>
      </w:r>
      <w:r>
        <w:rPr>
          <w:rtl w:val="true"/>
        </w:rPr>
        <w:t>به عنوان مدلول</w:t>
      </w:r>
      <w:bookmarkEnd w:id="228"/>
    </w:p>
    <w:p>
      <w:pPr>
        <w:pStyle w:val="Heading4"/>
        <w:numPr>
          <w:ilvl w:val="3"/>
          <w:numId w:val="1"/>
        </w:numPr>
        <w:rPr/>
      </w:pPr>
      <w:bookmarkStart w:id="229" w:name="__RefHeading___Toc2967889_653776707"/>
      <w:bookmarkStart w:id="230" w:name="_Toc84"/>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 xml:space="preserve">ویژگی های شخصیتی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زندگی افراد جامعه ایفامی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ویژگی های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یک مدلول مبین خصایلی چون فداکاری، بخشش، محبت، شفاعت، عزت نفس، تواضع، کرامت نفس، شرافت، دین داری و مانند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های شخصیتی زمینه را برای رشد و پرورش احساسات و عواطف نرم و نیز اثرپذیری تربیتی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رهگذر برخی از خصوصیات و 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دلاوری، فتوت، گذشت، فروتنی، تقوا، شکیبایی و چراغ هدایت بودن به عنوان مدلول و شیء ارزشی مورد توصیف قرار می گیرند</w:t>
      </w:r>
      <w:r>
        <w:rPr>
          <w:rFonts w:eastAsia="IRNazanin" w:cs="IRNazanin"/>
          <w:color w:val="111111"/>
          <w:sz w:val="28"/>
          <w:szCs w:val="28"/>
          <w:rtl w:val="true"/>
          <w:lang w:bidi="fa-IR"/>
        </w:rPr>
        <w:t>.</w:t>
      </w:r>
    </w:p>
    <w:p>
      <w:pPr>
        <w:pStyle w:val="Heading4"/>
        <w:numPr>
          <w:ilvl w:val="3"/>
          <w:numId w:val="1"/>
        </w:numPr>
        <w:rPr/>
      </w:pPr>
      <w:bookmarkStart w:id="231" w:name="__RefHeading___Toc2967891_653776707"/>
      <w:bookmarkStart w:id="232" w:name="_Toc85"/>
      <w:bookmarkEnd w:id="231"/>
      <w:r>
        <w:rPr/>
        <w:t>1</w:t>
      </w:r>
      <w:r>
        <w:rPr>
          <w:rtl w:val="true"/>
        </w:rPr>
        <w:t xml:space="preserve">) </w:t>
      </w:r>
      <w:r>
        <w:rPr>
          <w:rtl w:val="true"/>
        </w:rPr>
        <w:t xml:space="preserve">دلاوری امام حسین </w:t>
      </w:r>
      <w:r>
        <w:rPr>
          <w:rtl w:val="true"/>
        </w:rPr>
        <w:t>(</w:t>
      </w:r>
      <w:r>
        <w:rPr>
          <w:rtl w:val="true"/>
        </w:rPr>
        <w:t>علیه السلام</w:t>
      </w:r>
      <w:r>
        <w:rPr>
          <w:rtl w:val="true"/>
        </w:rPr>
        <w:t xml:space="preserve">) </w:t>
      </w:r>
      <w:r>
        <w:rPr>
          <w:rtl w:val="true"/>
        </w:rPr>
        <w:t>و یارانش</w:t>
      </w:r>
      <w:bookmarkEnd w:id="2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مدلول و شیء ارزشی بیانگر شخصیت والای این حضرت به هنگام نبرد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سلحشوری و شجاعت برای مقابله با دشمن و ترس از خطرات و اقدامات سخت و دشوار یکی از مهم ترین مکارم اخلاقی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شهیدش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حماسی در عرصه های نبرد در ویژگی های فردی و تربیتی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کربلا از ابتدا تا انتها، متجلی شجاعت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مخالفت با یزید و ممانعت از بیعت با او و تصمیم حرکت به کوفه و عدم تزلزل روحیه از شنیدن اخبار کوفه و داشتن آمادگی کامل همگی نشان از شجاعت و شهامت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صحنه های بروز شجاعت در جلوه های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 در برابر معاویه پس از به شهادت رساندن حجربن عدی و یارانش و برملا کردن ماهیت امویان در آن دوران سخت از نمونه های شجاعت و شهامت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پس از آنکه تمام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بهشهادت رسیدند و کسی برای یاری رساندن به ایشان باقی نماند و آن همه مصیبت استوارترین انسان ها را می شکست و همه چیز در اطراف او موجب ضعف قلب و انکسار روح و تزلزل در اراده بود، اما این ها هیچ تأثیری در شجاعت و دلیری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این ها، </w:t>
      </w:r>
    </w:p>
    <w:p>
      <w:pPr>
        <w:pStyle w:val="BookText"/>
        <w:rPr/>
      </w:pPr>
      <w:r>
        <w:rPr>
          <w:rFonts w:ascii="IRNazanin" w:hAnsi="IRNazanin" w:eastAsia="IRNazanin"/>
          <w:color w:val="111111"/>
          <w:sz w:val="28"/>
          <w:sz w:val="28"/>
          <w:szCs w:val="28"/>
          <w:rtl w:val="true"/>
          <w:lang w:bidi="fa-IR"/>
        </w:rPr>
        <w:t xml:space="preserve">شجاعتى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یارانش در صحنه هاى مختلف عاشورا نشان دادند که خود کتابى مفصل می شود؛ مانند شهامتی که مسلم بن عقیل در کوفه هنگام نبرد از خود نشان داد یا شجاعت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کربلا، آن چنان بود که فریاد همه را برآورد و یکی از سران سپاه کوفه خطاب به سربازان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بی 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با چه کسانى می جنگید؟ با شیران رمنده و خشمگین با گروهى که مرگ آفرین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کدامتان به هماوردى آنان به میدان نروید که کشته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در کتاب شرح الهمزیه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کسانی که به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کسانی بودند که به آن حضرت نامه نوشتند و با او بیعت کرده بودند، وقتی حسین دعوتشان را اجابت کرده و به سویشان آمد نزد دشمنش رفتند و سپاهی که ابن زیاد برای نبرد حسین فرستاده بود، بیست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آن جمعیت کم، با آن لشکر بسیار کارزار نمود و در آن موضع ایستادگی شگفت انگیزی نشان داد، و اگر میان او و میان آب حایل نشده بودند بر او غالب نمی گشتند، زیرا حسین شجاع بزرگی بود که در میدان نبرد مغلوب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شبراوی،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اندیشمندان اهل سنت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در شجاعت مانند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میدان کربلا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شجاع تر از او کسی را ندیدیم در حالی که انبوه مردم براو حمله ور شده، و از برادران و اهل و یاران جدا شده باشد، مانند شیر رزمنده سواران را درهم می شکست و چه گمان می بری به مردی که راضی به پستی نشد، و دست در دست آنها نگذارد تا کشته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 و ادیب مصری نیز در وصفت شجاعت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وَشَجَاعَةُ الْحُسَیْنِ صِفَةٌ لَا تُسْتَغْرَبُ مِنْهُ لِأَنَّهَا الشَّیْءُ مِنْ مَعْدِنِهِ؛ شجاعت حسین صفتی است که جای شگفتی ندارد؛ زیرا آن چیزی است که از معدن خود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فضیلتی است که آن را از پدران و نیاکان به ارث برد و به فرزندانش آن را به ارث داد، تا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فِی بَنِی الْإِنْسَانِ مَنْ هُوَ أَشْجَعُ قَلْباً مِمَّنْ أَقْدَمَ عَلَی مَا أَقْدَمَ عَلَیْهِ الْحُسَیْنُ فِی یَوْمِ کَرْبَلَاءَ؛ در میان انسان ها کسی شجاعت تر از حسین نیست که بتواند کاری که او در کربلا انجام داد، انجام دهد</w:t>
      </w:r>
      <w:r>
        <w:rPr>
          <w:rFonts w:eastAsia="IRNazanin" w:cs="IRNazanin"/>
          <w:color w:val="111111"/>
          <w:sz w:val="28"/>
          <w:szCs w:val="28"/>
          <w:rtl w:val="true"/>
          <w:lang w:bidi="fa-IR"/>
        </w:rPr>
        <w:t xml:space="preserve">». </w:t>
      </w:r>
      <w:bookmarkStart w:id="233" w:name="pg8702_73934"/>
    </w:p>
    <w:p>
      <w:pPr>
        <w:pStyle w:val="Heading4"/>
        <w:numPr>
          <w:ilvl w:val="3"/>
          <w:numId w:val="1"/>
        </w:numPr>
        <w:rPr/>
      </w:pPr>
      <w:bookmarkStart w:id="234" w:name="__RefHeading___Toc2967893_653776707"/>
      <w:bookmarkStart w:id="235" w:name="_Toc86"/>
      <w:bookmarkEnd w:id="233"/>
      <w:bookmarkEnd w:id="234"/>
      <w:r>
        <w:rPr/>
        <w:t>2</w:t>
      </w:r>
      <w:r>
        <w:rPr>
          <w:rtl w:val="true"/>
        </w:rPr>
        <w:t xml:space="preserve">) </w:t>
      </w:r>
      <w:r>
        <w:rPr>
          <w:rtl w:val="true"/>
        </w:rPr>
        <w:t xml:space="preserve">فتوت و گذشت امام حسین </w:t>
      </w:r>
      <w:r>
        <w:rPr>
          <w:rtl w:val="true"/>
        </w:rPr>
        <w:t>(</w:t>
      </w:r>
      <w:r>
        <w:rPr>
          <w:rtl w:val="true"/>
        </w:rPr>
        <w:t>علیه السلام</w:t>
      </w:r>
      <w:r>
        <w:rPr>
          <w:rtl w:val="true"/>
        </w:rPr>
        <w:t>)</w:t>
      </w:r>
      <w:bookmarkEnd w:id="235"/>
    </w:p>
    <w:p>
      <w:pPr>
        <w:pStyle w:val="BookText"/>
        <w:rPr/>
      </w:pPr>
      <w:r>
        <w:rPr>
          <w:rFonts w:ascii="IRNazanin" w:hAnsi="IRNazanin" w:eastAsia="IRNazanin"/>
          <w:color w:val="111111"/>
          <w:sz w:val="28"/>
          <w:sz w:val="28"/>
          <w:szCs w:val="28"/>
          <w:rtl w:val="true"/>
          <w:lang w:bidi="fa-IR"/>
        </w:rPr>
        <w:t>از ویژگی های برجسته و نمایان امامان فتوت، پهلوانی و گذشت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 پیامبر صلی الله علیه و آله و سلم، آغوش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 های شخصیتی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نمونه ای از یک شخصیت بزرگ، جوانمرد و با فضیلت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بارز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از آن به عنوان یک ارزش و مدلول یاد کرد، جوانمردی و گذشت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زمانی که ایشان از سرزمین اشراف عبور کرد به یاران خویش دستور داد تا آب زیادی با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مسیر حضرت و یارانش با سپاه حر بن یزید برخورد کردند، سربازان حر از شدت تشنگی فریادِ العطش سر می دادند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خویش دستور داد تا سپاه دشمن و حتیاسب هایشان را سیرآب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منشی برخاسته از روح جوانمردی و گذشت حضرت است که ایشان را به عنوان یک مکتب والا و بلند مرتبه برای مردم و جامعه قرار داده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توصیف فتوت و جوانمردی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مسافر از شام به مدینه آمده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بر مرکب دید و بر اثر کینه ای که از او در دل داشت آنچه توانست به حضرت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با روی خوش و خندان سلام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غریب هستی و گویا امری بر تو اشتباه شده، اگر از ما درخواست رضایت کنی از تو خشنود می شویم اگر چیزی بخواهی به تو می دهیم اگر راهنمایی بخواهی تو را راهنمایی می کنیم اگر گرسنه باشی تو را سیر می کنیم اگر عریان باشی تو را می پوشانیم و اگر حاجت داشته باشی، آن را ادا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پیرمرد در برابر گستاخی اش آن همه گذشت و بزرگواری 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شرمنده شد و تحت تأثیر قرار گرفت، به طوری که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خلیفه خدا در زمین هستی و خداوند آگاه تر است که مقام رسالت خود را در وجود چه کسی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نزد من مبغوض ترین افراد بودید، ولی اکنون محبوب ترین افراد نزد من، تو می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236" w:name="pg8702_73935"/>
    </w:p>
    <w:p>
      <w:pPr>
        <w:pStyle w:val="Heading4"/>
        <w:numPr>
          <w:ilvl w:val="3"/>
          <w:numId w:val="1"/>
        </w:numPr>
        <w:rPr/>
      </w:pPr>
      <w:bookmarkStart w:id="237" w:name="__RefHeading___Toc2967895_653776707"/>
      <w:bookmarkStart w:id="238" w:name="_Toc87"/>
      <w:bookmarkEnd w:id="236"/>
      <w:bookmarkEnd w:id="237"/>
      <w:r>
        <w:rPr/>
        <w:t>3</w:t>
      </w:r>
      <w:r>
        <w:rPr>
          <w:rtl w:val="true"/>
        </w:rPr>
        <w:t xml:space="preserve">) </w:t>
      </w:r>
      <w:r>
        <w:rPr>
          <w:rtl w:val="true"/>
        </w:rPr>
        <w:t xml:space="preserve">فروتنی و تقوای امام حسین </w:t>
      </w:r>
      <w:r>
        <w:rPr>
          <w:rtl w:val="true"/>
        </w:rPr>
        <w:t>(</w:t>
      </w:r>
      <w:r>
        <w:rPr>
          <w:rtl w:val="true"/>
        </w:rPr>
        <w:t>علیه السلام</w:t>
      </w:r>
      <w:r>
        <w:rPr>
          <w:rtl w:val="true"/>
        </w:rPr>
        <w:t>)</w:t>
      </w:r>
      <w:bookmarkEnd w:id="238"/>
    </w:p>
    <w:p>
      <w:pPr>
        <w:pStyle w:val="BookText"/>
        <w:rPr/>
      </w:pPr>
      <w:r>
        <w:rPr>
          <w:rFonts w:ascii="IRNazanin" w:hAnsi="IRNazanin" w:eastAsia="IRNazanin"/>
          <w:color w:val="111111"/>
          <w:sz w:val="28"/>
          <w:sz w:val="28"/>
          <w:szCs w:val="28"/>
          <w:rtl w:val="true"/>
          <w:lang w:bidi="fa-IR"/>
        </w:rPr>
        <w:t xml:space="preserve">یکی دیگر از خصلت های برتر و بارز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تقوا پیشگی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أسد الغابة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الحسین رضی الله عنه فاضلا کثیر الصوم و الصلوه و الحج و الصدقه و افعال الخیرجمیعها؛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روزه می گرفت و نماز می گزارد و به حج می رفت و صدقه می داد و تمام کارهای پسندیده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بلند و دور از دسترس و پر شکوه بود که وقتی با برادرش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پیاده به کعبه می رفتند، همه بزرگان و شخصیت های اسلامی به احترامشان از مرکب پیاده شده، همراه آنان راه پیمودند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عظمت الهی در دل آدمی رخنه کند، انسان به معرفتی می رسد که به صورت خداترسی و ترس ناپذیری از غیرخدا جلوه می کند، از این رو جز در برابر خدا سر تسلیم فرود نمی آید و در ناملایمات و ملایمات، در سختی ها و راحتی ها استوار و شکرگزار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معرفت، دریافت عظمت حق و خداترسی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حسبک من العلم ان تخشی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 تو را همان بس که از عظمت خدا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کردن در برابر غیرخدا و تن دادن به پستی ها به دلیل عدم درک عظمت الهی است و اگر آدمی بپذیرد که همه چیز از اوست و جز او هیچ قدرتی وجود ندارد، دیگر تسلیم امر باطلی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نمونه این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حربن یزید ریاحی راه وی را به سوی کوفه سد کرد و از کشته شدن هشدار داد، شأن خود را این گونه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شأنی شأن من یخاف الموت ما اهون الموت علی سبیل نیل العز و احیاء الحق؛ شأن من شأن کس نیست که از مرگ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مرگ در راه رسیدن به عزت و احیای حق سبک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شکوهمندش گویایاین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عبدالله بن جعفر پسر عموی حضرت، وی را از حرکت به سوی عراق نهی نمود و از ایشان خواست از این سفر منصرف شوند و امان نامه ای را برای ایشان ارسال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و امان نامه پسر عمو، چنین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 روشن و صادق بر منطق خداترسی و </w:t>
      </w:r>
      <w:bookmarkStart w:id="239" w:name="pg8702_73936"/>
    </w:p>
    <w:p>
      <w:pPr>
        <w:pStyle w:val="BookText"/>
        <w:rPr/>
      </w:pPr>
      <w:bookmarkEnd w:id="239"/>
      <w:r>
        <w:rPr>
          <w:rFonts w:ascii="IRNazanin" w:hAnsi="IRNazanin" w:eastAsia="IRNazanin"/>
          <w:color w:val="111111"/>
          <w:sz w:val="28"/>
          <w:sz w:val="28"/>
          <w:szCs w:val="28"/>
          <w:rtl w:val="true"/>
          <w:lang w:bidi="fa-IR"/>
        </w:rPr>
        <w:t xml:space="preserve">ترس ناپذیری از غیرخداست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فانه لم یشاقق الله و رسوله من دعا الی الله وعمل صالحا و قال اننی من المسلمین و قد دعوت الی الامان و البر والصله، فخیر الامان، أمان الله؛ آن که به سوی خدای عزوجل دعوت نماید عمل صالح انجام دهد و گوید من از تسلیم شدگانم، با خدا و رسولش مخالفت نکرده است و اینکه به من وعده امان و نیکی و پاداش داده ای، پس بدان که بهترین امان، امان خداست و آن که در دنیا از خدا نمی ترسد هرگز در قیامت امان نیابد، از خداوند می خواهم ترسی از خود در دنیا عنایت فرماید که موجب امان ما در روز قیامت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5/388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خداترسی در وجود آدمی جای گیرد، ترس از غیرخدا بی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حریمی است که حافظ حرمت آدمی و موجب استقامت و شکست ناپذیری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کمال به سوی حق، با خداترسی و ترس ناپذیری هموار می شود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چنان تصویر نموده است که هرکس بتواند ببیند و هر عدالت خواه و آزاده ای آن را سیر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شوشتری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سیره عملی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دیده شد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خدا را طواف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ابراهیم رفت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گونه خود را بر مقام نهاد و شروع به گریه کرد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ناچیز تو، به در خانه ات پناه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کوچک تو، به در خانه ات پناه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تو، به در خانه ات پناه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تو به در خانه ات پناه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فرازها را پیوسته، تکرار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بین راه، به نیازمندانى گذر کرد که پاره نانى را مى خوردند، به آنان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را به خوراک خود دعوت نمودند</w:t>
      </w:r>
      <w:r>
        <w:rPr>
          <w:rFonts w:eastAsia="IRNazanin" w:cs="IRNazanin"/>
          <w:color w:val="111111"/>
          <w:sz w:val="28"/>
          <w:szCs w:val="28"/>
          <w:rtl w:val="true"/>
          <w:lang w:bidi="fa-IR"/>
        </w:rPr>
        <w:t>».</w:t>
      </w:r>
    </w:p>
    <w:p>
      <w:pPr>
        <w:pStyle w:val="Heading4"/>
        <w:numPr>
          <w:ilvl w:val="3"/>
          <w:numId w:val="1"/>
        </w:numPr>
        <w:rPr/>
      </w:pPr>
      <w:bookmarkStart w:id="240" w:name="__RefHeading___Toc2967897_653776707"/>
      <w:bookmarkStart w:id="241" w:name="_Toc88"/>
      <w:bookmarkEnd w:id="240"/>
      <w:r>
        <w:rPr/>
        <w:t>4</w:t>
      </w:r>
      <w:r>
        <w:rPr>
          <w:rtl w:val="true"/>
        </w:rPr>
        <w:t xml:space="preserve">) </w:t>
      </w:r>
      <w:r>
        <w:rPr>
          <w:rtl w:val="true"/>
        </w:rPr>
        <w:t xml:space="preserve">بخشندگی و سخاوت امام حسین </w:t>
      </w:r>
      <w:r>
        <w:rPr>
          <w:rtl w:val="true"/>
        </w:rPr>
        <w:t>(</w:t>
      </w:r>
      <w:r>
        <w:rPr>
          <w:rtl w:val="true"/>
        </w:rPr>
        <w:t>علیه السلام</w:t>
      </w:r>
      <w:r>
        <w:rPr>
          <w:rtl w:val="true"/>
        </w:rPr>
        <w:t>)</w:t>
      </w:r>
      <w:bookmarkEnd w:id="2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 بشر از تمام کمالات و ویژگی های انسانی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والاترین خصلت ها و ویژگی های انسانی ایشان، سخاوت و بخشش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پیوسته از مردم حمایت می کرد و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جادَ سادَ وَمَنْ بَخِلَ رَذِلَ وَانَّ اجْوَدَ النَّاسِ مَنْ اعْطی مَنْ لا یرجُو؛ کسی که بخشش نماید، بزرگی خواهد یافت و هرکس بخل بورزد، پست خواهد شد و یقینا بخشنده ترین مردم کسی است که به </w:t>
      </w:r>
      <w:bookmarkStart w:id="242" w:name="pg8702_73937"/>
    </w:p>
    <w:p>
      <w:pPr>
        <w:pStyle w:val="BookText"/>
        <w:rPr/>
      </w:pPr>
      <w:bookmarkEnd w:id="242"/>
      <w:r>
        <w:rPr>
          <w:rFonts w:ascii="IRNazanin" w:hAnsi="IRNazanin" w:eastAsia="IRNazanin"/>
          <w:color w:val="111111"/>
          <w:sz w:val="28"/>
          <w:sz w:val="28"/>
          <w:szCs w:val="28"/>
          <w:rtl w:val="true"/>
          <w:lang w:bidi="fa-IR"/>
        </w:rPr>
        <w:t>نیازمندی که امید یاری ندارد، بخشش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یاری یتیمان و نیازمندان می شتافت و به زنان بی سرپرست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پولی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آن را در میان نیازمندان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شب، کیسه هایی پر از غذا و پول به منزل یتیمان و زنان بی سرپرست می برد، به گونه ای که حتی معاویه نیز به بخشنده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مقداری هدایا به برخی از بزرگان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بخشش خود را از یتیمانی که پدرانشان را در جنگ صفین از دست داده اند آغاز کرد و اگر پولی اضافه می آورد با آن شتر سر می برید و به مردم اطعام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قرشی،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محضر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کنیزان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دستهگلی به ایشان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یک دسته گل کم ارزش، آزادش کردید؟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چنین ما را ادب فرموده است که واذا حیّیتم بتحیّة فحیّوا با حسن منها او ردّوها؛ هر گاه به شما تحیت گویند، بهتر از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این دسته گل، آزادکردنش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2/206</w:t>
      </w:r>
      <w:r>
        <w:rPr>
          <w:rFonts w:eastAsia="IRNazanin" w:cs="IRNazanin"/>
          <w:color w:val="111111"/>
          <w:sz w:val="28"/>
          <w:szCs w:val="28"/>
          <w:rtl w:val="true"/>
          <w:lang w:bidi="fa-IR"/>
        </w:rPr>
        <w:t>).</w:t>
      </w:r>
    </w:p>
    <w:p>
      <w:pPr>
        <w:pStyle w:val="Heading4"/>
        <w:numPr>
          <w:ilvl w:val="3"/>
          <w:numId w:val="1"/>
        </w:numPr>
        <w:rPr/>
      </w:pPr>
      <w:bookmarkStart w:id="243" w:name="__RefHeading___Toc2967899_653776707"/>
      <w:bookmarkStart w:id="244" w:name="_Toc89"/>
      <w:bookmarkEnd w:id="243"/>
      <w:r>
        <w:rPr/>
        <w:t>5</w:t>
      </w:r>
      <w:r>
        <w:rPr>
          <w:rtl w:val="true"/>
        </w:rPr>
        <w:t xml:space="preserve">) </w:t>
      </w:r>
      <w:r>
        <w:rPr>
          <w:rtl w:val="true"/>
        </w:rPr>
        <w:t xml:space="preserve">شکیبایی امام حسین </w:t>
      </w:r>
      <w:r>
        <w:rPr>
          <w:rtl w:val="true"/>
        </w:rPr>
        <w:t>(</w:t>
      </w:r>
      <w:r>
        <w:rPr>
          <w:rtl w:val="true"/>
        </w:rPr>
        <w:t>علیه السلام</w:t>
      </w:r>
      <w:r>
        <w:rPr>
          <w:rtl w:val="true"/>
        </w:rPr>
        <w:t>)</w:t>
      </w:r>
      <w:bookmarkEnd w:id="2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واقعه کربلا و عاشورا شناخت داشته باشد به ویژگی اخلاقی صبر و بردباری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فجایای بزرگی که بر خاندان اهل بیت پیامبر اکرم صلی الله علیه و آله و سلم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چیزی نبود که هر کسی بتوان تاب تحمل آن همه مصیبت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بر زمین قتلگاه افتاده بود و لحظات آخر عمر شریف خویش را سپری می کرد، آخرین پرده از شکوه و عظمت صبر حسینی به نمایش در می آید، حضرت در آخرین لحظه زندگی خود به آستان دوست این چنین مناجات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على قضائک یا رب لا اله سواک یا غیاث المستغیثین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دربندی،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پس از آنکه تیر بر گلوی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و دو دست خود را زیر گلوی فرزند شیرخوارش نهاد،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شکیبایی پیشه کن و آنچه را بر تو وارد می شود، به حساب خدا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bookmarkStart w:id="245" w:name="pg8702_73938"/>
    </w:p>
    <w:p>
      <w:pPr>
        <w:pStyle w:val="BookText"/>
        <w:rPr/>
      </w:pPr>
      <w:bookmarkEnd w:id="245"/>
      <w:r>
        <w:rPr>
          <w:rFonts w:ascii="IRNazanin" w:hAnsi="IRNazanin" w:eastAsia="IRNazanin"/>
          <w:color w:val="111111"/>
          <w:sz w:val="28"/>
          <w:sz w:val="28"/>
          <w:szCs w:val="28"/>
          <w:rtl w:val="true"/>
          <w:lang w:bidi="fa-IR"/>
        </w:rPr>
        <w:t>در حال حاضر بر ما واقع می شود، می بینی، پس آن را پشتوانه ای برای روز قیامتمان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جنازه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واقف بودند که خواندن نماز بر روی جنازه طفل شیرخوارواجب نیست اما بر اساس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بر آن بود از صبر و نماز یاری جوید تا طاقتِ تحمل مصیبت به این سنگینی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 و شکیبایی الگو بود و در تمام مراحل به شکیبایی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آخرین وداع با خاندانش، آنان را به در پیش گرفتن صبر توصیه کرد و با اندرز حکیمانه، آنان را از بی تابی در مقابل دشمنان نهی فرمود و از دخترکوچکش خواست تا زمانی که پدر زنده است گریه نکند و قلب او را شعله ور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با زخم های بی شمار و فرق شکافته و پیشانی شکسته و سینه در هم کوبیده و سوراخ شده از تیر سه شعبه بر ریگ های نینوا افتاده است و در همان حال تیرهای ظلم در گلویش فرو نشسته، زبان از شدت عطش و بسیاری حرکت، مجروح و جگر شعله ور و لب ها خشک است، قلب مبارکش از سویی با دیدن انبوه شهیدان بر خون تپیده اش سوخته و از دگر سو، با نظاره بر خاندان محاصره شده اش سخت در تب و تاب است و محاسن و سر و صورت به خون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شرایط از یک طرف فریاد دادخواهی خاندان را می شنود و از طرف دیگر صدای شادمانی و شماتت دشمنان را، چون چهره از خاک برمی دارد و دیده به این سو و آن سو می گشاید، پیکرهای به خون آغشته ای را می نگرد که در کنار هم چیده شده اند، ولی با همه این پیشامدهای سهمگین و مصایب بزرگ و طاقت فرسا چون کوهی ثابت و استوار بر موضع بر حق و قهرمانانه اش ایستاده است، نه آهی می کشد، نه دریغی می دارد و نه یک قطره اشک ضعف در برابر دشمن می ریزد، تنها زیر لب زمزمه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حکم تو شکیبایم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 ای فریادرس دادخواهان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46" w:name="__RefHeading___Toc2967901_653776707"/>
      <w:bookmarkStart w:id="247" w:name="_Toc90"/>
      <w:bookmarkEnd w:id="246"/>
      <w:r>
        <w:rPr/>
        <w:t>6</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به عنوان چراغ هدایت و کشتی نجات</w:t>
      </w:r>
      <w:bookmarkEnd w:id="24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خصوصیت حضرت، چراغ هدایت بشر در تاریکی ها و کشتی نجات در طوفان بلاها و فتنه ها است؛ گونه ای که هرکس از نور این چراغ بهره ببرد هرگز در تاریکی و گمراهی </w:t>
      </w:r>
      <w:bookmarkStart w:id="248" w:name="pg8702_73939"/>
    </w:p>
    <w:p>
      <w:pPr>
        <w:pStyle w:val="BookText"/>
        <w:rPr/>
      </w:pPr>
      <w:bookmarkEnd w:id="248"/>
      <w:r>
        <w:rPr>
          <w:rFonts w:ascii="IRNazanin" w:hAnsi="IRNazanin" w:eastAsia="IRNazanin"/>
          <w:color w:val="111111"/>
          <w:sz w:val="28"/>
          <w:sz w:val="28"/>
          <w:szCs w:val="28"/>
          <w:rtl w:val="true"/>
          <w:lang w:bidi="fa-IR"/>
        </w:rPr>
        <w:t>نرود و کسی که بر این کشتی نجات بنشیند، در تلاطم فتنه ها و امواج خروشان ظلمت و نفاق غرق نمی شود و به سلامت به ساحل بهشت خداوند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حضرتش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بضیاء نورک اهتدی الطالبون الیک و اشهد انک نورالله الذی لم یطفا و لایطفا ابدا و انک وجه الله الذی لم یهلک و لا یهلک ابدا؛ و با فروغ نور تو رهجویان تو هدایت می شوند وگواهی می دهم که تو آن نور خدایی هستی که از ازل روشن بوده و تا ابد هیچ کس آن را خاموش نتواند کرد و تو وجه باقی الهی هستی که آن وجه باقی از ازل تا ابد هرگز نابود و فانی نخواهد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دیگری که خداوند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کشتی نجات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 ترین و بزرگ ترین امتحان یعنی ماجرای عاشورا، کسانی که سوار بر کشتی نجات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از طوفان بلایا در امان ماندند که این ماجرا تا آینده و رسیدن به دوران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 توان گفت مردم همچنان که نیازمند چراغ هدایتی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این مسیر مردم باید مورد حمایت واقع شوند تا با اندک آشوبی از مسیر دور نشوند تا اینکه به ساحل آرامش و آن سرزمین ایده آل یعنی سرزمین ظهور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اینکه ویژگی مصباح هدایتی و کشتی نجاتی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متبلور سازد، مراحلی را در دنیا قرار داد تا 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عالم سرازیر شود تا کسانی که به دلیل انجام گناهان و خطاها به واسطه فریب شیاطین، که پرده هایی مقابل نور هدایت ایجاد کرده اند،بتوانند تحت تأثیر نور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حجاب گناهان را می زدایند، از نور هدایتی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وجه مصباح هدایتی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 نجاتی حضرت همیشه باید در کنار یکدیگر قرار داشته باشند، به این صورت که ابتدا توسط خداوند در کشتی نجات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گیرند سپس با چراغ هدایت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هدایت به سوی صراط مستقیم را طی می کنند که در حدیث هم به زیبایی در کنار هم قرار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3"/>
        <w:numPr>
          <w:ilvl w:val="2"/>
          <w:numId w:val="1"/>
        </w:numPr>
        <w:rPr/>
      </w:pPr>
      <w:bookmarkStart w:id="249" w:name="__RefHeading___Toc2967903_653776707"/>
      <w:bookmarkStart w:id="250" w:name="_Toc91"/>
      <w:bookmarkEnd w:id="249"/>
      <w:r>
        <w:rPr>
          <w:rtl w:val="true"/>
        </w:rPr>
        <w:t>نتیجه</w:t>
      </w:r>
      <w:bookmarkEnd w:id="2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شناسی شخصیت و صفات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هایی از نور، گشایش، مکارم </w:t>
      </w:r>
      <w:bookmarkStart w:id="251" w:name="pg8702_73940"/>
    </w:p>
    <w:p>
      <w:pPr>
        <w:pStyle w:val="BookText"/>
        <w:rPr/>
      </w:pPr>
      <w:bookmarkEnd w:id="251"/>
      <w:r>
        <w:rPr>
          <w:rFonts w:ascii="IRNazanin" w:hAnsi="IRNazanin" w:eastAsia="IRNazanin"/>
          <w:color w:val="111111"/>
          <w:sz w:val="28"/>
          <w:sz w:val="28"/>
          <w:szCs w:val="28"/>
          <w:rtl w:val="true"/>
          <w:lang w:bidi="fa-IR"/>
        </w:rPr>
        <w:t xml:space="preserve">اخلاقی، مسیر درست، آرامش دنیوی و اخروی را در برابر ما قرار داده و باعث می شود تا با شناخت هر چه بهتر شخصیت این امام بزرگوار، به خود شناسی و خدا شناسی دست یابیم؛ چرا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رسیدن به خداشناسی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شناسی شخصیت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آشنایی با حوزه های مربوط به علوم زبانی، بستر را برای برخورداری از علوم معرفتی و انسانی، پیش روی مخاطب باز می کند و از این طریق می توان با شاخه های مختلف علوم آشنا و از چشمه های آن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بررسی ابعاد مختلف شخصیت دالی و مدلولی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خصوصیات اخلاقی ایشان می توان گفت خصلت های درونی و بیرونی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شیء ارزشی در میان مردم چه در گذشته و چه در حال روشن کننده مسیر درست و متجلی صفات نیک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دالی و مدلولی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نشانه، باعث شناخت خصلت های خوب و بد یک جامعه در زمان زندگی آن حضرت در میان مردم و نیز در زمان حال به شمار می رود؛ چرا کهبه واسطه شناخت 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خوب را از بد و حق را از باطل جدا کرد و به ماهیت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دالی و مدلولی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مجموعه ای از عناصر فرهنگی، اجتماعی، کارکردی و پوششی مطلوب و تعریف شده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برخورد متواضعانه و مهربانانه حضرت با مردم به ویژه یتیمان نشان دهنده عنصر فرهنگی و اجتماعی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عنصر مانند سایر عناصر، برخاسته از رفتار و منش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است که خداوند از ابتدا در ایشان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اخلاقی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الگوی برتر و والا، مبین شخصیت و سیمای متعالی این امام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 صفات پسندیده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دال یعنی نام شناسی، هم با نام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شخصیت مدلولی حضرت یعنی شفاعت، کرامت، محبت، سخاوت و شخصیت رئوف ایشان هماهنگ و متناسب است</w:t>
      </w:r>
      <w:r>
        <w:rPr>
          <w:rFonts w:eastAsia="IRNazanin" w:cs="IRNazanin"/>
          <w:color w:val="111111"/>
          <w:sz w:val="28"/>
          <w:szCs w:val="28"/>
          <w:rtl w:val="true"/>
          <w:lang w:bidi="fa-IR"/>
        </w:rPr>
        <w:t>.</w:t>
      </w:r>
    </w:p>
    <w:p>
      <w:pPr>
        <w:pStyle w:val="Heading3"/>
        <w:numPr>
          <w:ilvl w:val="2"/>
          <w:numId w:val="1"/>
        </w:numPr>
        <w:rPr/>
      </w:pPr>
      <w:bookmarkStart w:id="252" w:name="__RefHeading___Toc2967905_653776707"/>
      <w:bookmarkStart w:id="253" w:name="_Toc92"/>
      <w:bookmarkEnd w:id="252"/>
      <w:r>
        <w:rPr>
          <w:rtl w:val="true"/>
        </w:rPr>
        <w:t>منابع</w:t>
      </w:r>
      <w:bookmarkEnd w:id="2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احمدی، بابک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و تاویل متن، تهران، مرکز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الطف، قم، مؤسسه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 الدین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الغابة فی معرفة الصحابة، قم،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ترجمه غلامرضا لایقی، تهران، نشر نیستان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اخوت، احمد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زبان داستان، اصفهان،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استون، الین و جرج ساوانا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شناسی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داوود زینلو، مجله هنر، ش</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اسدی، سعید و فربد فرهنگ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شناسی شخصیت های نمایشی در نمایش نامه مرگ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هنرهای نمایشی و موسیقی، ش</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کتابشناسی تاریخی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اسلم جوادی، محمد و امیر نیک پی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و مفهوم ساختگرایی با بررسی آراء سوسور و لوی استروس تا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 فرهنگ اجتماعی،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معرفه الائمه، تهران، 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بیروت، دار الفکر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بیگ زاده، خلیل و پریسا احمدی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شناسی شخصیت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هاچین و واچین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داوری بر پایه نظریه فیلیپ هامون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رضوی، 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برقعی، سید فخر الدین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مصباح الهدی و سفینه النجاه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مجموعه حکمت، ش</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 منوچهری، فرامرز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معصومان،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بنیاد دائره المعارف بزرگ اسلامی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حرانی، ابن شعبه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ترجمه سید مهدی سازندگی، قم، نوید اسلام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دربندی، فاضل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اکسیر العبادات فی اسرار الشهاده، بحرین، شرکه المصطفی </w:t>
      </w:r>
    </w:p>
    <w:p>
      <w:pPr>
        <w:pStyle w:val="BookText"/>
        <w:rPr/>
      </w:pPr>
      <w:r>
        <w:rPr>
          <w:rFonts w:ascii="IRNazanin" w:hAnsi="IRNazanin" w:eastAsia="IRNazanin"/>
          <w:color w:val="111111"/>
          <w:sz w:val="28"/>
          <w:sz w:val="28"/>
          <w:szCs w:val="28"/>
          <w:rtl w:val="true"/>
          <w:lang w:bidi="fa-IR"/>
        </w:rPr>
        <w:t>للخدمات الثقافیه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درخشان، بهرام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ماندگاری و جاودانگی اندیشه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و تاریخ اندیشه ها، قم، موسسه فرهنگی و اطلاع رسانی 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تحقیق مفردات الفاظ قرآن، ترجمه و تحقیق همراه با تفسیر لغوی و ادبی قرآن از غلامرضا خسروی حسینی، تهران، المکتبة المرتضویة لإحیا آثار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ری شهری، محمد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قرآن، حدیث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عبدالهادی مسعودی و سید محمود طباطبائی نژاد، قم، موسسه فرهنگی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سجودی، فرزان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 عمل، تهران، نشر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سرافراز،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 هال و مهار بحران، خوانشی بر کتاب مهار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فرهنگ و ارتباطات،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سوسور، فردیناند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دوره زبان شناسی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کورش صفوی، تهران، نشر هرمس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شاه علی، احمدرضا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شناسی جریان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اصول گرایی با تأکید بر واژه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رهیافت انقلاب اسلامی، 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شهیدی، سید جعفر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دفتر نشر فرهنگ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شبراوری،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الاتحاف بحب الاشراف، قم، دار الکتاب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الحق و ازهاق الباطل، قم، انتشارات مکتبه آیه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قرشی، محمد باقر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حیاه الامام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و تحلیل، قم، قلم مکنون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شیخ مفید، محمد بن محمدبن نعمان العکبری</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معرفه حجج الله علی العباد، قم، کنگره شیخ مفید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صفوی، کورش</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زبان شناسی به ادبیات، تهران، پژوهشگاه فرهنگ و هنر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طاهری نیا، علی باقر و زهره حیدری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نشانه ای شخصیت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لسان مبین، س</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 الملوک، مکتبه ارومیه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 الدین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و مطلع النیرین، تهران، نشر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عامری، محمد علی و دیگران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شناسی ادبی شخصیت فرعون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 های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عیاشی، منذر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العلاماتیه و علم النص، دمشق، دار المحبه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علائلی، عبدالله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سمو المعنی فی سمو الذات او اشعه من حیات الحسین، بیروت، دار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عزیزی، عباس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فضایل و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بزرگان، قم، صلاه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فضائل، مصائب و کرامات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صلاه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عمادی حائری، سید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فارسی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تحریرها، تحلیل، تهران، 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عقاد، عباس محمود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ابو الشهداء، تهران، المجمع العالمی للتقریب بین المذاهب الإسلامیة، مدیریة النشر و المطبوعات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الغذامی، عبدالله محمد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تشریح النص، مغرب، المرکز الثقافی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موحد مجد، مجید و دیگران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مناسک محرم و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تحقیقات فرهنگی ایران،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 دار احیا التراث العربی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نوروزی، رضاعلی و راضیه بدیعیان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روابط انسانی در تربیت دینی با تاکید بر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اندیشه دینی،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8702_73945"/>
      <w:bookmarkStart w:id="255" w:name="pg8702_73945"/>
      <w:bookmarkEnd w:id="255"/>
    </w:p>
    <w:p>
      <w:pPr>
        <w:pStyle w:val="Heading2"/>
        <w:numPr>
          <w:ilvl w:val="1"/>
          <w:numId w:val="1"/>
        </w:numPr>
        <w:rPr/>
      </w:pPr>
      <w:bookmarkStart w:id="256" w:name="pg8702_73945"/>
      <w:bookmarkStart w:id="257" w:name="__RefHeading___Toc2967907_653776707"/>
      <w:bookmarkStart w:id="258" w:name="_Toc93"/>
      <w:bookmarkEnd w:id="256"/>
      <w:bookmarkEnd w:id="257"/>
      <w:r>
        <w:rPr>
          <w:rtl w:val="true"/>
        </w:rPr>
        <w:t>الگوی پردازش روایات در المنتخب طریحی</w:t>
      </w:r>
      <w:bookmarkEnd w:id="258"/>
    </w:p>
    <w:p>
      <w:pPr>
        <w:pStyle w:val="Heading3"/>
        <w:numPr>
          <w:ilvl w:val="2"/>
          <w:numId w:val="1"/>
        </w:numPr>
        <w:rPr/>
      </w:pPr>
      <w:bookmarkStart w:id="259" w:name="__RefHeading___Toc2967909_653776707"/>
      <w:bookmarkStart w:id="260" w:name="_Toc94"/>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علی عادل زاده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12/02/1401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22/07/1401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المنتخب فخرالدین طریحی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اثرگذارترین منابع بر مقاتل متأخّر و فرهنگ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و محققان، ضعف این منبع را تذکر داده و گاه اشکالاتِ تاریخی برخی روایاتش را نشان داده اند ولی به نقشِ این کتاب در تحریف روایات توجه چندانی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تاکنون تحقیقی درباره روشِ تحدیث طریحی در این کتاب و الگوهای حاکم بر گزارش های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بررسی کتاب المنتخب طریحی نشان داده است که روایات آن بر اساس الگوهای یکسانی دچار تغییر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الگوها، ایجاد پیوند میانِ روایاتِ مستقل و تلفیق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مقدّمه و پایان های داستانی به روایات، افزودن اضافات توضیحی، تغییراتِ ایدئولوژیک در متون روایات، جایگزینی نام راویان با صحابه مشهور و مورد توجّه در میانِ </w:t>
      </w:r>
      <w:bookmarkStart w:id="261" w:name="pg8702_73946"/>
    </w:p>
    <w:p>
      <w:pPr>
        <w:pStyle w:val="BookText"/>
        <w:rPr/>
      </w:pPr>
      <w:bookmarkEnd w:id="261"/>
      <w:r>
        <w:rPr>
          <w:rFonts w:ascii="IRNazanin" w:hAnsi="IRNazanin" w:eastAsia="IRNazanin"/>
          <w:color w:val="111111"/>
          <w:sz w:val="28"/>
          <w:sz w:val="28"/>
          <w:szCs w:val="28"/>
          <w:rtl w:val="true"/>
          <w:lang w:bidi="fa-IR"/>
        </w:rPr>
        <w:t>شیعیان از دیگر الگوهای پردازش روایات در المنتخب طریحی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الگوها در سرتاسر کتاب و در مواجهه با روایاتِ منابع دیگر، نشان می دهد که این تحریفات مربوط به کتاب المنتخب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عاشورا، فخرالدین طریحی، المنتخب، مقتل نگاری، نقد الحدیث</w:t>
      </w:r>
      <w:r>
        <w:rPr>
          <w:rFonts w:eastAsia="IRNazanin" w:cs="IRNazanin"/>
          <w:color w:val="111111"/>
          <w:sz w:val="28"/>
          <w:szCs w:val="28"/>
          <w:rtl w:val="true"/>
          <w:lang w:bidi="fa-IR"/>
        </w:rPr>
        <w:t>.</w:t>
      </w:r>
    </w:p>
    <w:p>
      <w:pPr>
        <w:pStyle w:val="Heading3"/>
        <w:numPr>
          <w:ilvl w:val="2"/>
          <w:numId w:val="1"/>
        </w:numPr>
        <w:rPr/>
      </w:pPr>
      <w:bookmarkStart w:id="262" w:name="__RefHeading___Toc2967911_653776707"/>
      <w:bookmarkStart w:id="263" w:name="_Toc95"/>
      <w:bookmarkEnd w:id="262"/>
      <w:r>
        <w:rPr>
          <w:rtl w:val="true"/>
        </w:rPr>
        <w:t>درآمد</w:t>
      </w:r>
      <w:bookmarkEnd w:id="263"/>
    </w:p>
    <w:p>
      <w:pPr>
        <w:pStyle w:val="BookText"/>
        <w:rPr/>
      </w:pPr>
      <w:r>
        <w:rPr>
          <w:rFonts w:ascii="IRNazanin" w:hAnsi="IRNazanin" w:eastAsia="IRNazanin"/>
          <w:color w:val="111111"/>
          <w:sz w:val="28"/>
          <w:sz w:val="28"/>
          <w:szCs w:val="28"/>
          <w:rtl w:val="true"/>
          <w:lang w:bidi="fa-IR"/>
        </w:rPr>
        <w:t xml:space="preserve">از کتاب های مهمّ و اثرگذار در فرهنگ عزاداری عاشورا، کتاب المنتخب نوشته فخرالدین طریحی نجفی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کتاب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مناسبت ده شب و ده روز نخست محرّم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 شامل سه باب است و در هر باب مجموعه ای از روایات، اشعار و خطابه، با ترتیب و نظم ثابتی در کنار هم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معاصرانِ طریحی، او را به زهد، عبادت و تقوا شناسانده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افندی،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4/332</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او مورد استناد مؤلّفان بعدی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در بحارالانوار بارها از المنتخب طریحی بدون تصریح به نام آن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معمولاً از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الکتب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مؤلفات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این کتاب استفاده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طریحی همواره از سوی محقّقان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نام این کتاب، در برخی منابع که از آن نقل کرده اند مانندبحارالانوار می تواند ناشی از همین ضعف باشد</w:t>
      </w:r>
      <w:r>
        <w:rPr>
          <w:rFonts w:eastAsia="IRNazanin" w:cs="IRNazanin"/>
          <w:color w:val="111111"/>
          <w:sz w:val="28"/>
          <w:szCs w:val="28"/>
          <w:rtl w:val="true"/>
          <w:lang w:bidi="fa-IR"/>
        </w:rPr>
        <w:t>.</w:t>
      </w:r>
    </w:p>
    <w:p>
      <w:pPr>
        <w:pStyle w:val="Heading3"/>
        <w:numPr>
          <w:ilvl w:val="2"/>
          <w:numId w:val="1"/>
        </w:numPr>
        <w:rPr/>
      </w:pPr>
      <w:bookmarkStart w:id="264" w:name="__RefHeading___Toc2967913_653776707"/>
      <w:bookmarkStart w:id="265" w:name="_Toc96"/>
      <w:bookmarkEnd w:id="264"/>
      <w:r>
        <w:rPr>
          <w:rtl w:val="true"/>
        </w:rPr>
        <w:t>پیشینه پژوهش</w:t>
      </w:r>
      <w:bookmarkEnd w:id="265"/>
    </w:p>
    <w:p>
      <w:pPr>
        <w:pStyle w:val="Heading4"/>
        <w:numPr>
          <w:ilvl w:val="3"/>
          <w:numId w:val="1"/>
        </w:numPr>
        <w:rPr/>
      </w:pPr>
      <w:bookmarkStart w:id="266" w:name="__RefHeading___Toc2967915_653776707"/>
      <w:bookmarkStart w:id="267" w:name="_Toc97"/>
      <w:bookmarkEnd w:id="266"/>
      <w:r>
        <w:rPr>
          <w:rtl w:val="true"/>
        </w:rPr>
        <w:t>اشاره</w:t>
      </w:r>
      <w:bookmarkEnd w:id="2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جعفریان و توحیدی نیا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دیدگاه ها و مناقشات در باب روایت شیخ طریحی از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انتقادات برخی علما مانند محدّث نوری، </w:t>
      </w:r>
    </w:p>
    <w:p>
      <w:pPr>
        <w:pStyle w:val="BookText"/>
        <w:rPr/>
      </w:pPr>
      <w:r>
        <w:rPr>
          <w:rFonts w:ascii="IRNazanin" w:hAnsi="IRNazanin" w:eastAsia="IRNazanin"/>
          <w:color w:val="111111"/>
          <w:sz w:val="28"/>
          <w:sz w:val="28"/>
          <w:szCs w:val="28"/>
          <w:rtl w:val="true"/>
          <w:lang w:bidi="fa-IR"/>
        </w:rPr>
        <w:t>میرزا محمد ارباب و شیخ عباس قمی به کتاب المنتخب طریحی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کتابشناسی تاریخی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مختصر به ضعف المنتخب طریحی اشاره کرده و برخی انتقادات وارد به آن، اختلاف نسخ و تصرفات احتمالی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آلاندوزلی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 پیرامون تحریف های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را از جمله کتاب های تحریف ساز شمرده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تحریف های عاشورا ریشه در المنتخب طریحی دارد و دست کم این است که با انتشار المنتخب آن تحریف ها نیز منتشر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آلاندوزلی سپس بنا بر دیدگاه خود، فهرستی از این تحریفات را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طریحی را در زمره منابع غیر معتبر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المنتخب طریحی را در زمره گزارش های تخیلی از عاشورا دسته بندی کرده و آن را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ضعیف و روضه های بی اساس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عوام نگاشته شده،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و نقد روایت انگاره های طریحی در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 بیشتری به نقد این کتاب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نامعتبر بسیار بهره برده و روایات ضعیفیا مجعول زیادی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نه تنها در المنتخب، بلکه در مجمع البحرینِ او نیز ورود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مجمع البحرین، حدیث قدسی ویژه ای درباره روز عاشورا و فضیلت عزاداری در این روز خطاب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با مرویات او در المنتخب کاملاً همسو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ضعف مطالب می تواند به دلیل استفاده از منابعِ ضعیف باشد، به تنهایی نمی تواند بیانگر نقش مؤلف در پردازش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طور مستقل به این موضوع پرداخته شود که آیا خودِ کتاب نیز در تحریف روایات نقشی داشته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نویسندگان که پیش از این در پیشینه پژوهش از آنها یاد شد، اجمالاً به این موضوع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و توحیدی نیا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طریحی در این کتاب قصد نقل عین اخبار را نداشته و مقصود وی انتقال داستانی به روز و با ساختار </w:t>
      </w:r>
      <w:bookmarkStart w:id="268" w:name="pg8702_73948"/>
    </w:p>
    <w:p>
      <w:pPr>
        <w:pStyle w:val="BookText"/>
        <w:rPr/>
      </w:pPr>
      <w:bookmarkEnd w:id="268"/>
      <w:r>
        <w:rPr>
          <w:rFonts w:ascii="IRNazanin" w:hAnsi="IRNazanin" w:eastAsia="IRNazanin"/>
          <w:color w:val="111111"/>
          <w:sz w:val="28"/>
          <w:sz w:val="28"/>
          <w:szCs w:val="28"/>
          <w:rtl w:val="true"/>
          <w:lang w:bidi="fa-IR"/>
        </w:rPr>
        <w:t>شورانگیز و مناسب مرثیه خوانی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بررسی چند خبر از این کتاب به خوبی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خبری درباره شهادت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نیمه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 که از جهت محتوا با منبع اولیه آن یعنی تفسیر ابی حمزه اختلاف دارد و یا خبری از حضرت رسول صلی الله علیه و آله و سلم مبنی بر خبر دادن جبرئیل به آن حضرت از زمین کربلا طرح می شود که این خبر نیز از جهت محتوا با آنچه در منبع اصلی آن آمده اختلاف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طریحی با تصرف در احادیث کوشیده است آنها را ادبی و به زبان خود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نمونه هایی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 کنون هیچ پژوهش تفصیلی درباره روش تحدیث طریحی در المنتخب و نقشاحتمالی او در تحریف روایات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پژوهش حاضر به سؤالات زیر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تحدیث طریحی چگونه است؟ در روایات طریحی چه تحریفاتی صورت گرفته است؟آیا این تحریفات از الگوی مشترک و قابل تبیینی پیروی می کند؟آیا می توان مسئولیت این تحریفات را متوجه طریحی دانست؟</w:t>
      </w:r>
      <w:r>
        <w:rPr>
          <w:rStyle w:val="FootnoteAnchor"/>
          <w:rtl w:val="true"/>
        </w:rPr>
        <w:footnoteReference w:id="19"/>
      </w:r>
    </w:p>
    <w:p>
      <w:pPr>
        <w:pStyle w:val="Heading4"/>
        <w:numPr>
          <w:ilvl w:val="3"/>
          <w:numId w:val="1"/>
        </w:numPr>
        <w:rPr/>
      </w:pPr>
      <w:bookmarkStart w:id="269" w:name="__RefHeading___Toc2967917_653776707"/>
      <w:bookmarkStart w:id="270" w:name="_Toc98"/>
      <w:bookmarkEnd w:id="269"/>
      <w:r>
        <w:rPr/>
        <w:t>1</w:t>
      </w:r>
      <w:r>
        <w:rPr>
          <w:rtl w:val="true"/>
        </w:rPr>
        <w:t xml:space="preserve">. </w:t>
      </w:r>
      <w:r>
        <w:rPr>
          <w:rtl w:val="true"/>
        </w:rPr>
        <w:t>تلفیق و ترکیب روایات</w:t>
      </w:r>
      <w:bookmarkEnd w:id="270"/>
    </w:p>
    <w:p>
      <w:pPr>
        <w:pStyle w:val="Heading5"/>
        <w:numPr>
          <w:ilvl w:val="4"/>
          <w:numId w:val="1"/>
        </w:numPr>
        <w:rPr/>
      </w:pPr>
      <w:bookmarkStart w:id="271" w:name="__RefHeading___Toc2967919_653776707"/>
      <w:bookmarkStart w:id="272" w:name="_Toc99"/>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در المنتخب طریحی گاه روایات یک کتاب و گاه روایاتِ چند کتاب با یکدیگر تلفیق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یکی از الگوهای مکرّر در المنتخب است</w:t>
      </w:r>
      <w:r>
        <w:rPr>
          <w:rFonts w:eastAsia="IRNazanin" w:cs="IRNazanin"/>
          <w:color w:val="111111"/>
          <w:sz w:val="28"/>
          <w:szCs w:val="28"/>
          <w:rtl w:val="true"/>
          <w:lang w:bidi="fa-IR"/>
        </w:rPr>
        <w:t>.</w:t>
      </w:r>
    </w:p>
    <w:p>
      <w:pPr>
        <w:pStyle w:val="Heading5"/>
        <w:numPr>
          <w:ilvl w:val="4"/>
          <w:numId w:val="1"/>
        </w:numPr>
        <w:rPr/>
      </w:pPr>
      <w:bookmarkStart w:id="273" w:name="__RefHeading___Toc2967921_653776707"/>
      <w:bookmarkStart w:id="274" w:name="_Toc100"/>
      <w:bookmarkEnd w:id="273"/>
      <w:r>
        <w:rPr>
          <w:rtl w:val="true"/>
        </w:rPr>
        <w:t>الف</w:t>
      </w:r>
      <w:r>
        <w:rPr>
          <w:rtl w:val="true"/>
        </w:rPr>
        <w:t xml:space="preserve">) </w:t>
      </w:r>
      <w:r>
        <w:rPr>
          <w:rtl w:val="true"/>
        </w:rPr>
        <w:t>تلفیق روایات پراکنده از منابعِ گوناگون</w:t>
      </w:r>
      <w:bookmarkEnd w:id="274"/>
    </w:p>
    <w:p>
      <w:pPr>
        <w:pStyle w:val="BookText"/>
        <w:rPr/>
      </w:pPr>
      <w:r>
        <w:rPr>
          <w:rFonts w:ascii="IRNazanin" w:hAnsi="IRNazanin" w:eastAsia="IRNazanin"/>
          <w:color w:val="111111"/>
          <w:sz w:val="28"/>
          <w:sz w:val="28"/>
          <w:szCs w:val="28"/>
          <w:rtl w:val="true"/>
          <w:lang w:bidi="fa-IR"/>
        </w:rPr>
        <w:t>در المنتخب، گاه روایاتی با هم تلفیق شده اند که ظاهراً منابعِ گوناگونی داشته اند یا دستِ کم نگارنده به منبعی که آنها را در کنار هم گردآورده باشد، دست نیافته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جدول زیر تلفیق روایتی از مشارق بُرسی با روایتی از تفسیر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یک، طریحی ضمن </w:t>
      </w:r>
    </w:p>
    <w:p>
      <w:pPr>
        <w:pStyle w:val="BookText"/>
        <w:rPr/>
      </w:pPr>
      <w:r>
        <w:rPr>
          <w:rFonts w:ascii="IRNazanin" w:hAnsi="IRNazanin" w:eastAsia="IRNazanin"/>
          <w:color w:val="111111"/>
          <w:sz w:val="28"/>
          <w:sz w:val="28"/>
          <w:szCs w:val="28"/>
          <w:rtl w:val="true"/>
          <w:lang w:bidi="fa-IR"/>
        </w:rPr>
        <w:t>اختصار نقل مشارق، جمله ای که زیر آن خط کشده شده، را افزوده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 ردیف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غایب به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تااتصال دو بخش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07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115" o:detectmouseclick="t"/>
                <v:stroke color="#3465a4" joinstyle="round" endcap="flat"/>
                <w10:wrap type="none"/>
              </v:shape>
            </w:pict>
          </mc:Fallback>
        </mc:AlternateConten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نمونه دیگر صدر حدیثی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صدوق، با روایتی از حذیفة بن الیمان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دوم، جمله ای که زیر آن خط کشده شده، به گونه ای تنظیم شده تا تلفیق دو روایت ممکن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62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7"/>
                        <a:stretch/>
                      </pic:blipFill>
                      <pic:spPr>
                        <a:xfrm>
                          <a:off x="0" y="0"/>
                          <a:ext cx="5334120" cy="4762440"/>
                        </a:xfrm>
                        <a:prstGeom prst="rect">
                          <a:avLst/>
                        </a:prstGeom>
                        <a:ln w="0">
                          <a:noFill/>
                        </a:ln>
                      </pic:spPr>
                    </pic:pic>
                  </a:graphicData>
                </a:graphic>
              </wp:inline>
            </w:drawing>
          </mc:Choice>
          <mc:Fallback>
            <w:pict>
              <v:shape id="shape_0" stroked="f" o:allowincell="f" style="position:absolute;margin-left:0pt;margin-top:-375.05pt;width:419.95pt;height:374.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حدیث گفتگوی عمر و ابن عباس، نمونه دیگری است که در جدول زیر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یک، در منابع دیگر از جبیر بن حبیب نقل شده است نه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ابن حبیب به بازگشت عمر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نقل طریحی روایت جبیر بن حبیب به روایتی از ابن عباس پیوسته و برای برقراری اتصال جمله پایانی نقل ابن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به 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اراد عمر الأنصراف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نمونه زیر روایتی از مشارق برسی</w:t>
      </w:r>
      <w:r>
        <w:rPr>
          <w:rStyle w:val="FootnoteAnchor"/>
          <w:rtl w:val="true"/>
        </w:rPr>
        <w:footnoteReference w:id="21"/>
      </w:r>
      <w:r>
        <w:rPr>
          <w:rFonts w:ascii="IRNazanin" w:hAnsi="IRNazanin" w:eastAsia="IRNazanin"/>
          <w:color w:val="111111"/>
          <w:sz w:val="28"/>
          <w:sz w:val="28"/>
          <w:szCs w:val="28"/>
          <w:rtl w:val="true"/>
          <w:lang w:bidi="fa-IR"/>
        </w:rPr>
        <w:t xml:space="preserve">با روایتی از ابن عباس تلفیق شده ودر ردیف دو، </w:t>
      </w:r>
      <w:bookmarkStart w:id="275" w:name="pg8702_73951"/>
    </w:p>
    <w:p>
      <w:pPr>
        <w:pStyle w:val="BookText"/>
        <w:rPr/>
      </w:pPr>
      <w:bookmarkEnd w:id="275"/>
      <w:r>
        <w:rPr>
          <w:rFonts w:ascii="IRNazanin" w:hAnsi="IRNazanin" w:eastAsia="IRNazanin"/>
          <w:color w:val="111111"/>
          <w:sz w:val="28"/>
          <w:sz w:val="28"/>
          <w:szCs w:val="28"/>
          <w:rtl w:val="true"/>
          <w:lang w:bidi="fa-IR"/>
        </w:rPr>
        <w:t>عبارتی که زیر آن خط کشیده شده، به عنوان حلقه اتصال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90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0"/>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منابع تاریخی و روایی حکایتِ مرگ یکی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آتش گرفتن، از سُدّی روایت شده است</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سدّی در منابعِ کهن حداکثر دارای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اما در المنتخب طریحی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نقل شده و جزئیاتِ بسیاری به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نقل طریحی، سدّی این جمله را به عنوان حدیث نبوی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طُولِبَ بِدَمِ وَلَدِیَ الْحُسَیْنِ یَوْمَ الْقِیَامَةِ لَخَفِیفُ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جمله در واقع سخن ولید بن عتبة حاکم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روایت،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وَلَدِیَالْحُسَیْنُ یُقْتَلُ ظُلْماً وَ عُدْوَاناً أَلَا وَ مَنْ قَتَلَهُ یُدْخَلُ فِی تَابُوتٍ مِنْ 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فَالْوَیْلُ لَهُمْ مِنْ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روایتی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زبان سدّی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نقل طریحی ادعا می شود نام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بر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تاخته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اخنس بن زید تصحیفِ 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احبش بن مرثد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مرگ او در منابع معتبر و کهن تر به گونه دیگری نیز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Heading5"/>
        <w:numPr>
          <w:ilvl w:val="4"/>
          <w:numId w:val="1"/>
        </w:numPr>
        <w:rPr/>
      </w:pPr>
      <w:bookmarkStart w:id="276" w:name="__RefHeading___Toc2967923_653776707"/>
      <w:bookmarkStart w:id="277" w:name="_Toc101"/>
      <w:bookmarkEnd w:id="276"/>
      <w:r>
        <w:rPr>
          <w:rtl w:val="true"/>
        </w:rPr>
        <w:t>ب</w:t>
      </w:r>
      <w:r>
        <w:rPr>
          <w:rtl w:val="true"/>
        </w:rPr>
        <w:t xml:space="preserve">) </w:t>
      </w:r>
      <w:r>
        <w:rPr>
          <w:rtl w:val="true"/>
        </w:rPr>
        <w:t>تلفیق روایات از یک منبع مشترک</w:t>
      </w:r>
      <w:bookmarkEnd w:id="2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المنتخب طریحی نمونه های بسیاری دیده می شود که روایاتِ یک کتاب با هم </w:t>
      </w:r>
    </w:p>
    <w:p>
      <w:pPr>
        <w:pStyle w:val="BookText"/>
        <w:rPr/>
      </w:pPr>
      <w:r>
        <w:rPr>
          <w:rFonts w:ascii="IRNazanin" w:hAnsi="IRNazanin" w:eastAsia="IRNazanin"/>
          <w:color w:val="111111"/>
          <w:sz w:val="28"/>
          <w:sz w:val="28"/>
          <w:szCs w:val="28"/>
          <w:rtl w:val="true"/>
          <w:lang w:bidi="fa-IR"/>
        </w:rPr>
        <w:t>ترکیب و تلفیق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تلفیقات گاه مشکل چندانی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آورده که امیرالمؤمنین هنگامی که از کربلا گذشت،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پیشگویی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واقع ترکیب و تجمیع یک روایت با بخشی از روایت دیگری است که به صورت متوالی در منابع حدیثی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می توان هر دو روایت را دو تحریر از یک ماجرا دانست، تجمیع آن دو ناروا به نظر نمی رسد و این گونه تجمیع در نوشتار مورخان یا محدثان فراوان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این تلفیقات می تواند ناشی از سهو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طریحی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را که در تسلیة المجالس آمده به هم پیوسته تصوّر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کرکی،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موارد قابل حمل بر اجتهاد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ماجرای وفات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خرابه شام متّصل کرده که ناسازگار و ناهماهنگ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متعدّددیگری نیز وجود دارد که قابل حمل بر تجمیع، سهو یا اجتهاد نیست و تغییراتِ عمدی و آگاهانه در آن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مطابق جدول زیر، طریحی خطبه ای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اسارت، نقل کرده که در واقع ترکیبی از چند روایت موجود در کشف الغمه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منبع اصلی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الغمة اشاره ای به اسارت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اما در نقل طریحی به مناسبت فضای عزاداری، موضوع اسارت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پیامبر صلی الله علیه و آله و سلم به کار رفته، در حالی که در منبع اصلی مربوط به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چهارم نیز یک جمله در نقل طریحی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پراکنده، در نقل طریحی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دو و حروف عطف در ردیف سه به هم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358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3"/>
                        <a:stretch/>
                      </pic:blipFill>
                      <pic:spPr>
                        <a:xfrm>
                          <a:off x="0" y="0"/>
                          <a:ext cx="5334120" cy="1359000"/>
                        </a:xfrm>
                        <a:prstGeom prst="rect">
                          <a:avLst/>
                        </a:prstGeom>
                        <a:ln w="0">
                          <a:noFill/>
                        </a:ln>
                      </pic:spPr>
                    </pic:pic>
                  </a:graphicData>
                </a:graphic>
              </wp:inline>
            </w:drawing>
          </mc:Choice>
          <mc:Fallback>
            <w:pict>
              <v:shape id="shape_0" stroked="f" o:allowincell="f" style="position:absolute;margin-left:0pt;margin-top:-107.05pt;width:419.95pt;height:106.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نمونه زیر سه حدیث متوالی از کشف الیقین با هم ترکیب شده و برای برقراری پیوند و ارتباط،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فقره اول افزوده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9"/>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نمونه زیر طریحی حدیث جبرئیل و ملک دیگری را با هم ترکیب کرده و برای برقراری پیوند، جمله ای که در جدول زیر آن خط کشیده شده، در ردیف دوم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نمونه زیر سه روایت کاملاً مستقل از کامل الزیارات با هم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دوم برای برقراری ارتباط، خطاب به عایشه افزوده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نمونه زیر طریحی پنج روایت مستقل از مناقب ابن شهرآشوب را با هم ترکیب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دو، برای برقراری پیوند، عبارتی که زیر آن خط دارد را افزوده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قلیلات العیوب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کم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کافی ندانسته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عدیمات العیوب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بی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چهار، مطالب صحنه گفتگوی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را از هم سفره بودن به خطبه خوانی بالای منبر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جملاتی افزوده که در مناقبِ ابن شهرآشوب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ظننت أن مثله هذا علی صغر سنه یقدر یتکلم فوق المنبر بکلمه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تاریخی بعید است؛زیرا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بیش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1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2"/>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133" o:detectmouseclick="t"/>
                <v:stroke color="#3465a4" joinstyle="round" endcap="flat"/>
                <w10:wrap type="none"/>
              </v:shape>
            </w:pict>
          </mc:Fallback>
        </mc:AlternateContent>
      </w:r>
      <w:bookmarkStart w:id="278" w:name="pg8702_73956"/>
    </w:p>
    <w:p>
      <w:pPr>
        <w:pStyle w:val="BookText"/>
        <w:rPr/>
      </w:pPr>
      <w:bookmarkEnd w:id="27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25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5"/>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136" o:detectmouseclick="t"/>
                <v:stroke color="#3465a4" joinstyle="round" endcap="flat"/>
                <w10:wrap type="none"/>
              </v:shape>
            </w:pict>
          </mc:Fallback>
        </mc:AlternateContent>
      </w:r>
    </w:p>
    <w:p>
      <w:pPr>
        <w:pStyle w:val="Heading4"/>
        <w:numPr>
          <w:ilvl w:val="3"/>
          <w:numId w:val="1"/>
        </w:numPr>
        <w:rPr/>
      </w:pPr>
      <w:bookmarkStart w:id="279" w:name="__RefHeading___Toc2967925_653776707"/>
      <w:bookmarkStart w:id="280" w:name="_Toc102"/>
      <w:bookmarkEnd w:id="279"/>
      <w:r>
        <w:rPr/>
        <w:t>2</w:t>
      </w:r>
      <w:r>
        <w:rPr>
          <w:rtl w:val="true"/>
        </w:rPr>
        <w:t xml:space="preserve">. </w:t>
      </w:r>
      <w:r>
        <w:rPr>
          <w:rtl w:val="true"/>
        </w:rPr>
        <w:t>تحریف متن روایات</w:t>
      </w:r>
      <w:bookmarkEnd w:id="280"/>
    </w:p>
    <w:p>
      <w:pPr>
        <w:pStyle w:val="Heading5"/>
        <w:numPr>
          <w:ilvl w:val="4"/>
          <w:numId w:val="1"/>
        </w:numPr>
        <w:rPr/>
      </w:pPr>
      <w:bookmarkStart w:id="281" w:name="__RefHeading___Toc2967927_653776707"/>
      <w:bookmarkStart w:id="282" w:name="_Toc103"/>
      <w:bookmarkEnd w:id="281"/>
      <w:r>
        <w:rPr>
          <w:rtl w:val="true"/>
        </w:rPr>
        <w:t>الف</w:t>
      </w:r>
      <w:r>
        <w:rPr>
          <w:rtl w:val="true"/>
        </w:rPr>
        <w:t xml:space="preserve">) </w:t>
      </w:r>
      <w:r>
        <w:rPr>
          <w:rtl w:val="true"/>
        </w:rPr>
        <w:t>افزودن مقدمه و مؤخره به متن روایات</w:t>
      </w:r>
      <w:bookmarkEnd w:id="282"/>
    </w:p>
    <w:p>
      <w:pPr>
        <w:pStyle w:val="BookText"/>
        <w:rPr/>
      </w:pPr>
      <w:r>
        <w:rPr>
          <w:rFonts w:ascii="IRNazanin" w:hAnsi="IRNazanin" w:eastAsia="IRNazanin"/>
          <w:color w:val="111111"/>
          <w:sz w:val="28"/>
          <w:sz w:val="28"/>
          <w:szCs w:val="28"/>
          <w:rtl w:val="true"/>
          <w:lang w:bidi="fa-IR"/>
        </w:rPr>
        <w:t>در بسیاری از روایاتِ طریحی، مقدمه یا پایانی افزوده شده که در منابع متقدّم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افزودن این مقدمات و مؤخّرات در راستای داستانی سازی روایات و ایجاد تناسب با فضای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زیر، دو حدیث با سند کاملاً متفاوت با هم ترکیب شده و برای برقراری اتصال حروف عطف به ردیف دوم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یک جملاتی که زیر آنها خط کشیده شده، به عنوان مقدّمه افزوده تا روایت شکل داستانی تری به خود بگیرد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تسلیه المجالس حدیث پیشگویی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کعب الأحبار در 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کرکی،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المنتخب، تتمه ای با بیش از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به آن افزوده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تتمه با تأکید بر نام کعب الأحبار در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یَا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الَّذِی نَفْسُ کَعْبٍ </w:t>
      </w:r>
    </w:p>
    <w:p>
      <w:pPr>
        <w:pStyle w:val="BookText"/>
        <w:rPr/>
      </w:pP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پیوستگی آن با ابتدای حدیث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حکایت حاجی ای است که زنی بهاو مقداری ریسمان بافته داده بود تا به خادمان کعبه بدهد تا با آن جامه کعبه را بدوزند؛ اما آن حاجی به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فروخت و معجونی درست کرد و میانِ شیعیان پخش کرد تا شفای بیماران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روایت در منابع کهن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طریحی جمله ای به پایان افزوده است که در هیچ منبعی دیده نمی شود و ظاهراً برای تکمیل داستان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ففعلت ما أمرنی مولای فکل مریض أخذ منه شفی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یک اعرابی که از یمن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را با ذکر جزئیاتی که در هیچ منبع دیگری نیامده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پیش تر در منابعی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ابن مشهدی،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موسوی کرکی،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نقل طریحی، مؤخّره ای افزوده شده که صرفاً کارکرد داستانی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هذا فضل زیاره الحسین علیه السلام فوالله لا أفارقه حتی أموت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الرجل لائذا بقبر الحسین علیه السلام حتی أتاه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موارد طریحی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منبع خود تصریح کرده که کشفِ اضافات را ساده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أبی السعادات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 من بیت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سکتیه ألم تعلمی أن بکاءه یؤذینی؟ أخذه الیه و مسح الدموع عن عینیه و قبله و ضمه الیه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از فضائل العشرة ابوالسعادات نقل کرده ولی جملاتی که زیر آنها خط کشیده شده را ندارد و درمنابع دیگر نیز دیده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14/171</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برای پردازش مؤخره گاه از روایات دیگر استفاده کرده و در واقع دست به تلفیق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مناقب آل ابی طالب حدیثی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نقل شده که همین حدیث در المنتخب به ابن عباس منسوب شده و شمار کلمات آن به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ردیف دوم جدول زیر مشاهده می شود، جملاتی که در نقل طریحی به عنوان </w:t>
      </w:r>
      <w:bookmarkStart w:id="283" w:name="pg8702_73958"/>
    </w:p>
    <w:p>
      <w:pPr>
        <w:pStyle w:val="BookText"/>
        <w:rPr/>
      </w:pPr>
      <w:bookmarkEnd w:id="283"/>
      <w:r>
        <w:rPr>
          <w:rFonts w:ascii="IRNazanin" w:hAnsi="IRNazanin" w:eastAsia="IRNazanin"/>
          <w:color w:val="111111"/>
          <w:sz w:val="28"/>
          <w:sz w:val="28"/>
          <w:szCs w:val="28"/>
          <w:rtl w:val="true"/>
          <w:lang w:bidi="fa-IR"/>
        </w:rPr>
        <w:t xml:space="preserve">سخن جبرئیل خطاب به رسول خدا صلی الله علیه و آله و سلم افزوده شده، در منابع کهن به عنوان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فضیل بن عیاض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0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39"/>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140" o:detectmouseclick="t"/>
                <v:stroke color="#3465a4" joinstyle="round" endcap="flat"/>
                <w10:wrap type="none"/>
              </v:shape>
            </w:pict>
          </mc:Fallback>
        </mc:AlternateContent>
      </w:r>
    </w:p>
    <w:p>
      <w:pPr>
        <w:pStyle w:val="Heading5"/>
        <w:numPr>
          <w:ilvl w:val="4"/>
          <w:numId w:val="1"/>
        </w:numPr>
        <w:rPr/>
      </w:pPr>
      <w:bookmarkStart w:id="284" w:name="__RefHeading___Toc2967929_653776707"/>
      <w:bookmarkStart w:id="285" w:name="_Toc104"/>
      <w:bookmarkEnd w:id="284"/>
      <w:r>
        <w:rPr>
          <w:rtl w:val="true"/>
        </w:rPr>
        <w:t>ب</w:t>
      </w:r>
      <w:r>
        <w:rPr>
          <w:rtl w:val="true"/>
        </w:rPr>
        <w:t xml:space="preserve">) </w:t>
      </w:r>
      <w:r>
        <w:rPr>
          <w:rtl w:val="true"/>
        </w:rPr>
        <w:t>نقل به معنا، اضافات توضیحی و پرورش متون</w:t>
      </w:r>
      <w:bookmarkEnd w:id="28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تغییراتی که در نقل طریحی رخ داده از نوع نقل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متن شیخ صدوق درباره شهادت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به معنا کرده و در انتهای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القائم المهدی فروی أنه هرب خوفا من المتوکل لأنه أراد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متوکّل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متن روایت، برخی کلمات تغییر داده شده یا جزئیاتیبرای توضیح بیشتر یا تکمیل داستان افزوده شده است که تحریف عمده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تغییرات در المنتخب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آمدن خرماهای بهشتی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شعرخوانی ابوهارون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سه طایفه ای که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گفتگوی پیامبر صلی الله علیه و آله و سلم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اعمش درباره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مشهدی،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موسوی کرکی،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ساربانی که انگشت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85-87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هایی برای این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تصرّفات گاه موجب تحریف پیام کلّی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روایت نجات مختار ثقفی از دوزخ به شفاعت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سرائر ابن ادریس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در نقل طریحی با افزودن جزئیات به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رسیده است که برخی از این اضافات در جدول زیر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کلمات نیز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عقاب کاسر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کالبرق الخاطف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کرده در حالی که طریحی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اصلی دسترسی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05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42"/>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143" o:detectmouseclick="t"/>
                <v:stroke color="#3465a4" joinstyle="round" endcap="flat"/>
                <w10:wrap type="none"/>
              </v:shape>
            </w:pict>
          </mc:Fallback>
        </mc:AlternateConten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سرائر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چنان که در تهذیب الأحکام نیز روایت مشابهی آمده و در آن نیز مرجع ضمیر معلوم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شُقَّ عَنْ قَلْبِهِ لَوُجِدَ حُبُّهُمَا فِی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متبادر از آن چنان که حدیث شناسان نیز تذکر داده اند، حبّ شیخین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نیز پنداشته اند که مقصود حب ریاست و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بر خلاف ظاهر روایت است و نیز در این صورت وجهی برای بیان کنایی و ابهام در مرجع ضمیر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طریحی که چنین برداشتی داشته، هم در متن روایت بر این تأکید کرده که مختار از بهترین شیعیان بوده و هم به جای ضمیر مثنی، تصریح به سلطنت و دنیا را قرار داده و درباره آن توضیحاتی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تصرّفات طریحی گاه از حدّ شرح و نقل به معنا فراتر رفته و به تحریف انجامیده است</w:t>
      </w:r>
      <w:r>
        <w:rPr>
          <w:rFonts w:eastAsia="IRNazanin" w:cs="IRNazanin"/>
          <w:color w:val="111111"/>
          <w:sz w:val="28"/>
          <w:szCs w:val="28"/>
          <w:rtl w:val="true"/>
          <w:lang w:bidi="fa-IR"/>
        </w:rPr>
        <w:t xml:space="preserve">. </w:t>
      </w:r>
      <w:bookmarkStart w:id="286" w:name="pg8702_73960"/>
    </w:p>
    <w:p>
      <w:pPr>
        <w:pStyle w:val="Heading5"/>
        <w:numPr>
          <w:ilvl w:val="4"/>
          <w:numId w:val="1"/>
        </w:numPr>
        <w:rPr/>
      </w:pPr>
      <w:bookmarkStart w:id="287" w:name="__RefHeading___Toc2967931_653776707"/>
      <w:bookmarkStart w:id="288" w:name="_Toc105"/>
      <w:bookmarkEnd w:id="286"/>
      <w:bookmarkEnd w:id="287"/>
      <w:r>
        <w:rPr>
          <w:rtl w:val="true"/>
        </w:rPr>
        <w:t>ج</w:t>
      </w:r>
      <w:r>
        <w:rPr>
          <w:rtl w:val="true"/>
        </w:rPr>
        <w:t xml:space="preserve">) </w:t>
      </w:r>
      <w:r>
        <w:rPr>
          <w:rtl w:val="true"/>
        </w:rPr>
        <w:t>اضافات و تغییرات جهت دار</w:t>
      </w:r>
      <w:bookmarkEnd w:id="288"/>
    </w:p>
    <w:p>
      <w:pPr>
        <w:pStyle w:val="BookText"/>
        <w:rPr/>
      </w:pPr>
      <w:r>
        <w:rPr>
          <w:rFonts w:ascii="IRNazanin" w:hAnsi="IRNazanin" w:eastAsia="IRNazanin"/>
          <w:color w:val="111111"/>
          <w:sz w:val="28"/>
          <w:sz w:val="28"/>
          <w:szCs w:val="28"/>
          <w:rtl w:val="true"/>
          <w:lang w:bidi="fa-IR"/>
        </w:rPr>
        <w:t>گاهی اضافات و تغییراتِ طریحی از حدّ شرح و نقل به معنا هم فراتر می رود و انگیزه و جهت گیری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در آن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نوادرِ طریحی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أیضا أن رجلا جاء الی رسول الله فوقف بین یدیه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للفقر،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أحب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لکثره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کهاصل این روایت در منابع عرفانی متقدّم بدون فقره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غزالی،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ورام،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طریحی خود مسئول این الحاق بوده یا از منبعی استفاده کرده، تردید وجود دارد اما نمونه های روشن تری نیز در دست است که در جدول زیر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97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45"/>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146" o:detectmouseclick="t"/>
                <v:stroke color="#3465a4" joinstyle="round" endcap="flat"/>
                <w10:wrap type="none"/>
              </v:shape>
            </w:pict>
          </mc:Fallback>
        </mc:AlternateConten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دو تحریر طریحی و شیخ طوسی نشان می دهد که سه تغییر مهمّ در روایت </w:t>
      </w:r>
    </w:p>
    <w:p>
      <w:pPr>
        <w:pStyle w:val="BookText"/>
        <w:rPr/>
      </w:pPr>
      <w:r>
        <w:rPr>
          <w:rFonts w:ascii="IRNazanin" w:hAnsi="IRNazanin" w:eastAsia="IRNazanin"/>
          <w:color w:val="111111"/>
          <w:sz w:val="28"/>
          <w:sz w:val="28"/>
          <w:szCs w:val="28"/>
          <w:rtl w:val="true"/>
          <w:lang w:bidi="fa-IR"/>
        </w:rPr>
        <w:t>طریحی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برخی اضافات و توضیحات برای برانگیختن احساسات و اثرگذاری بیشتر؛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مقدمه ای خیالی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مقدمه برگزاری مجالس پرشور عزاداری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نسبتداده شده که از نظر تاریخی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همسو با هدف کلی کتاب، یعنی تشویق به برپایی مجالس عزا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هلال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غلط است؛ زیرا هلال مربوط به تعیین آغاز ماه، در این جا محرّم، است نه روز؛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اصلی تنها سخن از زیارت است، اما طریحی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زیارت ملحق کرده است، که این نیز همسو با هدف اصلی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تحریفی را در جدول زیر نیز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منابع متقدّم، در این حدیث نیز تنها سخن از زیارت است، اما در نقلِ طریحی متناسب با هدف کتاب، گریه و ندبه و نوحه به زیارت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28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48"/>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نمونه دیگر، روایت بشار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بشار المکاری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مشهدی،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طریحی نسبت به منابعِ پیشین تغییراتی صورت گرفته که فراتر از اختصار و نقل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معنادار این بخش از داستان توجه کنید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 بینیم در نقلِ طریحی، نعره کشیدن یا گریبان دریدن</w:t>
      </w:r>
      <w:r>
        <w:rPr>
          <w:rStyle w:val="FootnoteAnchor"/>
          <w:rtl w:val="true"/>
        </w:rPr>
        <w:footnoteReference w:id="23"/>
      </w:r>
      <w:r>
        <w:rPr>
          <w:rFonts w:ascii="IRNazanin" w:hAnsi="IRNazanin" w:eastAsia="IRNazanin"/>
          <w:color w:val="111111"/>
          <w:sz w:val="28"/>
          <w:sz w:val="28"/>
          <w:szCs w:val="28"/>
          <w:rtl w:val="true"/>
          <w:lang w:bidi="fa-IR"/>
        </w:rPr>
        <w:t xml:space="preserve">و غش کردن به </w:t>
      </w:r>
      <w:bookmarkStart w:id="289" w:name="pg8702_73962"/>
    </w:p>
    <w:p>
      <w:pPr>
        <w:pStyle w:val="BookText"/>
        <w:rPr/>
      </w:pPr>
      <w:bookmarkEnd w:id="289"/>
      <w:r>
        <w:rPr>
          <w:rFonts w:ascii="IRNazanin" w:hAnsi="IRNazanin" w:eastAsia="IRNazanin"/>
          <w:color w:val="111111"/>
          <w:sz w:val="28"/>
          <w:sz w:val="28"/>
          <w:szCs w:val="28"/>
          <w:rtl w:val="true"/>
          <w:lang w:bidi="fa-IR"/>
        </w:rPr>
        <w:t>سجده شکر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زمان طریحی، چنین رفتار صوفیانه ای آن هم برای یک زن، ناپسند و خلاف حیا به نظر می رسیده و بدآموزی داشته؛ لذا به یک عمل شرعی پسندیده تبدیل شده است</w:t>
      </w:r>
      <w:r>
        <w:rPr>
          <w:rFonts w:eastAsia="IRNazanin" w:cs="IRNazanin"/>
          <w:color w:val="111111"/>
          <w:sz w:val="28"/>
          <w:szCs w:val="28"/>
          <w:rtl w:val="true"/>
          <w:lang w:bidi="fa-IR"/>
        </w:rPr>
        <w:t>!</w:t>
      </w:r>
    </w:p>
    <w:p>
      <w:pPr>
        <w:pStyle w:val="Heading4"/>
        <w:numPr>
          <w:ilvl w:val="3"/>
          <w:numId w:val="1"/>
        </w:numPr>
        <w:rPr/>
      </w:pPr>
      <w:bookmarkStart w:id="290" w:name="__RefHeading___Toc2967933_653776707"/>
      <w:bookmarkStart w:id="291" w:name="_Toc106"/>
      <w:bookmarkEnd w:id="290"/>
      <w:r>
        <w:rPr/>
        <w:t>3</w:t>
      </w:r>
      <w:r>
        <w:rPr>
          <w:rtl w:val="true"/>
        </w:rPr>
        <w:t xml:space="preserve">. </w:t>
      </w:r>
      <w:r>
        <w:rPr>
          <w:rtl w:val="true"/>
        </w:rPr>
        <w:t>تحریف اسناد روایات</w:t>
      </w:r>
      <w:bookmarkEnd w:id="291"/>
    </w:p>
    <w:p>
      <w:pPr>
        <w:pStyle w:val="BookText"/>
        <w:rPr/>
      </w:pPr>
      <w:r>
        <w:rPr>
          <w:rFonts w:ascii="IRNazanin" w:hAnsi="IRNazanin" w:eastAsia="IRNazanin"/>
          <w:color w:val="111111"/>
          <w:sz w:val="28"/>
          <w:sz w:val="28"/>
          <w:szCs w:val="28"/>
          <w:rtl w:val="true"/>
          <w:lang w:bidi="fa-IR"/>
        </w:rPr>
        <w:t>علاوه بر تغییراتِ متنی، طریحی در سندِ روایات نیز تغییراتی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گاه توجیهات ساده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یک روایت از طاوس یمانی در مناقب آل ابی طالب به متن روایتی که با فاصله پس از آن آمده چسبیده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سهوی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عبدالکریم بن احمد،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شعیب خراسانی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ابو شعیب راوی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زیارت امیرالمؤمنین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اتّحاد موضوع دو روایت، این تحریف نیز می تواند سهوی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محبوب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الکوفة قاصداً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ولایة 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داستان نیز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در حالی که ابن محبوب اصلا زمان آل مروان را درک نکرده و این حکایت در اصل مربوط به حسین نوه دختری ابوحمزه ثمالی است که حسنبن محبوب از او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اشتباه طریحی، اختلال در سند این روایت در تسلیة المجالس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کرکی،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دیگری نیز وجود دارد که احتمال سهو در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المنتخب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فی بعض الأخبار عن حذیفة الیمانی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ابن عبّاس على قوم من بنی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فسمعهم یسبّون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عبّاس مکفوف البصر کبیر السّن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نزد اهل حدیث از سنی و شیعه از طریق سعید بن جبیر یا دیگران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آجری،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4/2060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انتساب آن به حذیفة الیمانی، غلط فاحشی است؛ زیرا روایت </w:t>
      </w:r>
    </w:p>
    <w:p>
      <w:pPr>
        <w:pStyle w:val="BookText"/>
        <w:rPr/>
      </w:pPr>
      <w:r>
        <w:rPr>
          <w:rFonts w:ascii="IRNazanin" w:hAnsi="IRNazanin" w:eastAsia="IRNazanin"/>
          <w:color w:val="111111"/>
          <w:sz w:val="28"/>
          <w:sz w:val="28"/>
          <w:szCs w:val="28"/>
          <w:rtl w:val="true"/>
          <w:lang w:bidi="fa-IR"/>
        </w:rPr>
        <w:t>حذیفه از ابن عباس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حذیفه در روزهای آغاز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جنگ جمل از دنیا رفته است؛ در حالی که ماجرای ابن عباس مربوط به سن پیری او و سال ها پس از مرگ حذیفه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تحریف در این روایت نیز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رأیت جابر الأنصاری و هو یمشی فی سکک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أبی فانظروا فی شأن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راویان جابر انصاری نیست و راوی این ماجرا در اصل ابوزبیر مکی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تحریفات با این هدف صورت گرفته که روایات به افراد مشهورتر و شاخص تر در میانِ شیعه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زیر گواه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65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52"/>
                        <a:stretch/>
                      </pic:blipFill>
                      <pic:spPr>
                        <a:xfrm>
                          <a:off x="0" y="0"/>
                          <a:ext cx="5334120" cy="5765760"/>
                        </a:xfrm>
                        <a:prstGeom prst="rect">
                          <a:avLst/>
                        </a:prstGeom>
                        <a:ln w="0">
                          <a:noFill/>
                        </a:ln>
                      </pic:spPr>
                    </pic:pic>
                  </a:graphicData>
                </a:graphic>
              </wp:inline>
            </w:drawing>
          </mc:Choice>
          <mc:Fallback>
            <w:pict>
              <v:shape id="shape_0" stroked="f" o:allowincell="f" style="position:absolute;margin-left:0pt;margin-top:-454.05pt;width:419.95pt;height:453.95pt;mso-wrap-style:none;v-text-anchor:middle;mso-position-horizontal:left;mso-position-vertical:top" type="_x0000_t75">
                <v:imagedata r:id="rId153" o:detectmouseclick="t"/>
                <v:stroke color="#3465a4" joinstyle="round" endcap="flat"/>
                <w10:wrap type="none"/>
              </v:shape>
            </w:pict>
          </mc:Fallback>
        </mc:AlternateContent>
      </w:r>
      <w:bookmarkStart w:id="292" w:name="pg8702_73964"/>
    </w:p>
    <w:p>
      <w:pPr>
        <w:pStyle w:val="BookText"/>
        <w:rPr/>
      </w:pPr>
      <w:bookmarkEnd w:id="292"/>
      <w:r>
        <w:rPr>
          <w:rFonts w:ascii="IRNazanin" w:hAnsi="IRNazanin" w:eastAsia="IRNazanin"/>
          <w:color w:val="111111"/>
          <w:sz w:val="28"/>
          <w:sz w:val="28"/>
          <w:szCs w:val="28"/>
          <w:rtl w:val="true"/>
          <w:lang w:bidi="fa-IR"/>
        </w:rPr>
        <w:t>این جدول و ترتیب روایاتِ آن نشان می دهد که طریحی از ارشاد مفید، یا منبعی که از آن نقل کرده، بهره برده اما جزئیاتی به روایات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ردیف اول مقدمه های مشابهی افزوده شده است که در ارشاد مفید و نیز منابع دیگر یافت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روایت اول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2/286</w:t>
      </w:r>
      <w:r>
        <w:rPr>
          <w:rFonts w:ascii="IRNazanin" w:hAnsi="IRNazanin" w:eastAsia="IRNazanin"/>
          <w:color w:val="111111"/>
          <w:sz w:val="28"/>
          <w:sz w:val="28"/>
          <w:szCs w:val="28"/>
          <w:rtl w:val="true"/>
          <w:lang w:bidi="fa-IR"/>
        </w:rPr>
        <w:t>؛ برای روایت دوم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ردیف یک و دو، بر خلاف منبع اصلی به سلمان و ابو ذر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در هیچ منبع دیگری دیده نمی شود و از نظرتاریخی نیز ممکن نیست زیرا سلمان و ابوذر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جایگاه ویژه سلمان و ابوذر نزد شیعه باعث شده که این تحریف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روایت بسیار مشهور به این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عراقی از ابن عمر درباره ریختن خون پشه یا مگس در حال احرام پرسید و ابن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نگاه کنید از خون پشه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مگس از من می پرسد در حالی که پسر رسول خدا صلی الله علیه و آله و سلم را کشته اند و من از رسول خدا صلی الله علیه و آله و سلم شنیدم که می فرمود حسن و حسین دو ریحانه من از دنیایند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المنتخب همین روایت به جای ابن عمر به ابن عباس نسبت داده شده و متن کوتاه آن نیز بسیار پرورش یافته و به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همین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رسول الله أی أهل بیتک أحب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فیضمهما الیه و یشمهما و یقبلهما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فقره در واقع روایتی منسوب به انس بن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یخرجه عن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بخش نیز برگرفته از روایت ابوذر غفاری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93" w:name="__RefHeading___Toc2967935_653776707"/>
      <w:bookmarkStart w:id="294" w:name="_Toc107"/>
      <w:bookmarkEnd w:id="293"/>
      <w:r>
        <w:rPr>
          <w:rtl w:val="true"/>
        </w:rPr>
        <w:t>نتیجه</w:t>
      </w:r>
      <w:bookmarkEnd w:id="29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طریحی علاوه بر آنکه به منابع نامعتبر اعتماد کرده و روایاتِ ضعیف آنها را نقل کرده است؛ ظاهراً خود نیز در تحریف روایات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موجود در روایات طریحی از الگوهای ثابتی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این الگوها تلفیق روایات از منابع گوناگون یامنبع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از این موارد، با سهو، </w:t>
      </w:r>
      <w:bookmarkStart w:id="295" w:name="pg8702_73965"/>
    </w:p>
    <w:p>
      <w:pPr>
        <w:pStyle w:val="BookText"/>
        <w:rPr/>
      </w:pPr>
      <w:bookmarkEnd w:id="295"/>
      <w:r>
        <w:rPr>
          <w:rFonts w:ascii="IRNazanin" w:hAnsi="IRNazanin" w:eastAsia="IRNazanin"/>
          <w:color w:val="111111"/>
          <w:sz w:val="28"/>
          <w:sz w:val="28"/>
          <w:szCs w:val="28"/>
          <w:rtl w:val="true"/>
          <w:lang w:bidi="fa-IR"/>
        </w:rPr>
        <w:t>اجتهاد یا تجمیع قابل توجیه است؛ اما در اکثر موارد، نشانه هایی بر تحریف آگاهانه و عمدی مانند کاستن، افزودن یا جایگزینی کلمات و جملات برای برقراری ارتباط میانِ فقرات؛ عدم احتمال سهو به دلیل روشن بودن جدایی فقرات و نظایر اینها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الگوهای تحریف در المنتخب، افزودن مقدّمه و پایان برای شکل داستانی دادن به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میانِ متن نیز کلماتی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طریحی توضیحات اجتهادیِ خود را در میانِ روایات افزوده است که گاه منجر به تحریف محتوای کلّی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افزوده های طریحی نیز جهتِ فکری و اعتقادی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المنتخب اسناد روایات نیز دستخوش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تحریفات گاه، می تواند ناشی از سهو و خلط باشد؛ اما در مواردی نیز آگاهانه و عمدی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 های چنین تحریف، انتساب روایات به صحابه شناخته شده و مورد علاقه در میانِ عموم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تحریفات موجود در المنتخب، قرائن تعمّد و هوشمندی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تغییرات را نمی توان به نقل از حافظه مربوط دانست؛ زیرا متون روایات، طولانی، مفصل و دقیق است و مقایسه آنها با منابع دیگر نشان می دهد که کاملاً بر پایه متون مکتوب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تحریفات را نمی توان به منابعِ طریحی نسبت داد؛ چراکه در منابع متعدد طریحی الگوهای مشترک و تکراری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 جستجوی نگارنده، منبع مکتوب متقدّمی که شامل این تحریفات باشد،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تحریفات را نمی توان به زمان های متأخر از طریحی نسبت داد؛ زیرا نویسندگان معاصر و نزدیک به او همین روایات را از طریحی نقل کرده اند</w:t>
      </w:r>
      <w:r>
        <w:rPr>
          <w:rFonts w:eastAsia="IRNazanin" w:cs="IRNazanin"/>
          <w:color w:val="111111"/>
          <w:sz w:val="28"/>
          <w:szCs w:val="28"/>
          <w:rtl w:val="true"/>
          <w:lang w:bidi="fa-IR"/>
        </w:rPr>
        <w:t>.</w:t>
      </w:r>
    </w:p>
    <w:p>
      <w:pPr>
        <w:pStyle w:val="Heading3"/>
        <w:numPr>
          <w:ilvl w:val="2"/>
          <w:numId w:val="1"/>
        </w:numPr>
        <w:rPr/>
      </w:pPr>
      <w:bookmarkStart w:id="296" w:name="__RefHeading___Toc2967937_653776707"/>
      <w:bookmarkStart w:id="297" w:name="_Toc108"/>
      <w:bookmarkEnd w:id="296"/>
      <w:r>
        <w:rPr>
          <w:rtl w:val="true"/>
        </w:rPr>
        <w:t>منابع</w:t>
      </w:r>
      <w:bookmarkEnd w:id="29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آجری، ابو بکر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الشریعة، ریاض، دار 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آلاندوزلی،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 پیرامون تحریف های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 پژوهش، شماره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أبی الحدید، عبد الحمید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قم، کتابخانه مرعشی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ادریس، محمد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w:t>
      </w:r>
    </w:p>
    <w:p>
      <w:pPr>
        <w:pStyle w:val="BookText"/>
        <w:rPr/>
      </w:pP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کتابچى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إعتقادات الإمامیة،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الأعمال و عقاب الأعمال، قم، دار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قم، داورى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شاذان، محمد بن احمد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مائة منقبة، قم،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الطرائف، قم،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طیفور،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بلاغات النساء،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ابو القاسم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دمشق،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دار المرتضویة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مشهدی، محمد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الکبیر، قم، دفتر انتشارات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مطهّر حلى، 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الیقین، تهران، وزارت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قم، مدرسه امام مهدى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أخبار الدولة العباسیة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العزیز الدوری، بیروت، دار الطلیعة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اربلى، على بن عیسى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تبریز، بنى هاشمى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استرآبادی، محمد بن القاسم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التفسیر المنسوب إلى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کتابشناسی تاریخی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وزارت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افندی، عبد الله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العلماء، قم، خیام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سید هاشم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معاجز الأئمة الإثنی عشر، قم، مؤسسة المعارف الإسلامیة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الصحیح، بیروت، طوق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برسى، رجب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مشارق أنوار الیقین، بیروت، 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برقى، احمد بن محمد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جزائرى، نعمت الله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الأبرار، بیروت، مؤسسة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و روح الله توحیدی نیا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دیدگاه ها و مناقشات درباب روایت شیخ طریحی از حدیث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حدیث،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أمل الآمل، بغداد، مکتبة الأندلس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سید عبد 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و نقد منابع عاشورا، قم، پژوهشگاه علوم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خصیبى، حسین بن حمدان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الهدایة الکبرى، بیروت،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راوندى، سعید بن هبة 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قصص الأنبیاء، مشهد، مرکز پژوهش هاى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رفعت، محسن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و نقد روایت انگاره های طریحی در 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پژوهی، 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شجری، یحیی بن الحسین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الأمالی الخمیسیة، به کوشش محمد بن أحمد العبشمی،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صفار،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قم، کتابخانه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الرسل والملوک، بیروت،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 الدین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الفخری المنتخب للطریحی، بیروت، مؤسسة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مرتضوى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الأحکام، تهران، الإسلامیه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عادل زاده، علی و عمیدرضا اکبری، رمزواره های نصیری در کتاب الهدایة الکبری، مطالعات تاریخی قرآن و حدیث، در دست نشر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 الکریم بن احمد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فرحة الغری، قم،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غزالی، ابو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إحیاء علوم الدین،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کلینى،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مکی، ابو طالب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قوت القلوب،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سید حمید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ارزیابی صحت سنجی کتب مقاتل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نامه معارف حسینی، 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موسوى کرکی، محمد بن أبی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تسلیة المُجالس و زینة المَجالس، قم،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دلیل 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ورام، مسعود بن عیسى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و 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فقیه</w:t>
      </w:r>
      <w:r>
        <w:rPr>
          <w:rFonts w:eastAsia="IRNazanin" w:cs="IRNazanin"/>
          <w:color w:val="111111"/>
          <w:sz w:val="28"/>
          <w:szCs w:val="28"/>
          <w:rtl w:val="true"/>
          <w:lang w:bidi="fa-IR"/>
        </w:rPr>
        <w:t xml:space="preserve">. </w:t>
      </w:r>
      <w:bookmarkStart w:id="298" w:name="pg8702_73969"/>
    </w:p>
    <w:p>
      <w:pPr>
        <w:pStyle w:val="Heading2"/>
        <w:numPr>
          <w:ilvl w:val="1"/>
          <w:numId w:val="1"/>
        </w:numPr>
        <w:rPr/>
      </w:pPr>
      <w:bookmarkStart w:id="299" w:name="__RefHeading___Toc2967939_653776707"/>
      <w:bookmarkStart w:id="300" w:name="_Toc109"/>
      <w:bookmarkEnd w:id="298"/>
      <w:bookmarkEnd w:id="299"/>
      <w:r>
        <w:rPr>
          <w:rtl w:val="true"/>
        </w:rPr>
        <w:t>نکته هایی از معارف حسینی</w:t>
      </w:r>
      <w:bookmarkEnd w:id="300"/>
    </w:p>
    <w:p>
      <w:pPr>
        <w:pStyle w:val="Heading3"/>
        <w:numPr>
          <w:ilvl w:val="2"/>
          <w:numId w:val="1"/>
        </w:numPr>
        <w:rPr/>
      </w:pPr>
      <w:bookmarkStart w:id="301" w:name="__RefHeading___Toc2967941_653776707"/>
      <w:bookmarkStart w:id="302" w:name="_Toc110"/>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303" w:name="__RefHeading___Toc2967943_653776707"/>
      <w:bookmarkStart w:id="304" w:name="_Toc111"/>
      <w:bookmarkEnd w:id="303"/>
      <w:r>
        <w:rPr>
          <w:rtl w:val="true"/>
        </w:rPr>
        <w:t>غریب کیست؟</w:t>
      </w:r>
      <w:bookmarkEnd w:id="304"/>
    </w:p>
    <w:p>
      <w:pPr>
        <w:pStyle w:val="BookText"/>
        <w:rPr/>
      </w:pPr>
      <w:r>
        <w:rPr>
          <w:rFonts w:ascii="IRNazanin" w:hAnsi="IRNazanin" w:eastAsia="IRNazanin"/>
          <w:color w:val="111111"/>
          <w:sz w:val="28"/>
          <w:sz w:val="28"/>
          <w:szCs w:val="28"/>
          <w:rtl w:val="true"/>
          <w:lang w:bidi="fa-IR"/>
        </w:rPr>
        <w:t xml:space="preserve">روزی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مدینه شنید مردی می گوید به من رحم کنید که من مردی غریب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اگر مقدر شده باشد که تو در اینجا از دنیا بروی، آیا جنازه ات بدون دفن می ماند؟</w:t>
      </w:r>
    </w:p>
    <w:p>
      <w:pPr>
        <w:pStyle w:val="BookText"/>
        <w:rPr/>
      </w:pPr>
      <w:r>
        <w:rPr>
          <w:rFonts w:ascii="IRNazanin" w:hAnsi="IRNazanin" w:eastAsia="IRNazanin"/>
          <w:color w:val="111111"/>
          <w:sz w:val="28"/>
          <w:sz w:val="28"/>
          <w:szCs w:val="28"/>
          <w:rtl w:val="true"/>
          <w:lang w:bidi="fa-IR"/>
        </w:rPr>
        <w:t>آن مرد با تعجب گفت الله اکبر، چگونه جنازه ام را دفن نمی کنند با اینکه در برابر دید مردم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شد و گریست و با همان حال فرمود ای وای، فریاد از اندوه جانکاه تو ای پدر که جنازه ات سه روز بدون دفن باقی ماند با اینکه پسر دختر پیامبر خدا صلی الله علیه و آله و سلم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سوگنامه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05" w:name="__RefHeading___Toc2967945_653776707"/>
      <w:bookmarkStart w:id="306" w:name="_Toc112"/>
      <w:bookmarkEnd w:id="305"/>
      <w:r>
        <w:rPr>
          <w:rtl w:val="true"/>
        </w:rPr>
        <w:t>سفارش علامه امینی</w:t>
      </w:r>
      <w:bookmarkEnd w:id="30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حجه الاسلام امینی چنین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چهار سال از فوت مرحوم پدر بزرگوارم آیه اللّه علاّمه امینی نجفی یعنی سال یک هزار و سیصد و نود و چهار هجری قمری، شب جمعه ای قبل از اذان فجر ایشان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شاداب و خرسند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رفته و پس از سلام و دست بوسی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چه علمی </w:t>
      </w:r>
    </w:p>
    <w:p>
      <w:pPr>
        <w:pStyle w:val="BookText"/>
        <w:rPr/>
      </w:pPr>
      <w:r>
        <w:rPr>
          <w:rFonts w:ascii="IRNazanin" w:hAnsi="IRNazanin" w:eastAsia="IRNazanin"/>
          <w:color w:val="111111"/>
          <w:sz w:val="28"/>
          <w:sz w:val="28"/>
          <w:szCs w:val="28"/>
          <w:rtl w:val="true"/>
          <w:lang w:bidi="fa-IR"/>
        </w:rPr>
        <w:t>باعث سعادت و نجات شما 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مجدّدا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اقامت دارید، کدام عمل موجب نجات شما شد؟</w:t>
      </w:r>
    </w:p>
    <w:p>
      <w:pPr>
        <w:pStyle w:val="BookText"/>
        <w:rPr/>
      </w:pP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سایر تألیفات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تأسیس و بنیاد کتابخانه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واضح تر و روشن 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اکنون از میان ما رخت بر بسته اید و به جهان دیگر منتقل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هستید کدامین عمل از میان صدها خدمت و کارهای بزرگ علمی و دینی و مذهبی باعث نجات شما شد؟</w:t>
      </w:r>
    </w:p>
    <w:p>
      <w:pPr>
        <w:pStyle w:val="BookText"/>
        <w:rPr/>
      </w:pPr>
      <w:r>
        <w:rPr>
          <w:rFonts w:ascii="IRNazanin" w:hAnsi="IRNazanin" w:eastAsia="IRNazanin"/>
          <w:color w:val="111111"/>
          <w:sz w:val="28"/>
          <w:sz w:val="28"/>
          <w:szCs w:val="28"/>
          <w:rtl w:val="true"/>
          <w:lang w:bidi="fa-IR"/>
        </w:rPr>
        <w:t>مرحوم علاّمه امینی درنگ و تأمّلی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زیارت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اکنون روابط بین ایران و عراق تیره و تار است و راه کربلا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و محافلی که جهت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شود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بارها تو را یادآور شدم و اکنون به تو توصیه می کنم که زیارت عاشورا را هیچ وقت و به هیچ عنوان ترک و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زیارت عاشورا را بخوان و بر خودت وظیفه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دارای آثار و برکات و فوائد بسیاری است که موجب نجات و سعادتمندی دردنیا و آخرت تو می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امید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با وجود مشاغل فراوان، تألیف، مطالعه، تنظیم و رسیدگی به ساختمان کتابخانه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مواظبت کامل به خواندن زیارت عاشورا داشتند و سفارش به زیارت عاشورا می کردند و به این جهت خودم حدود سی سال مداوم به زیارت عاشورا مشغول هستم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نصیحت،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25/5/72</w:t>
      </w:r>
      <w:r>
        <w:rPr>
          <w:rFonts w:eastAsia="IRNazanin" w:cs="IRNazanin"/>
          <w:color w:val="111111"/>
          <w:sz w:val="28"/>
          <w:szCs w:val="28"/>
          <w:rtl w:val="true"/>
          <w:lang w:bidi="fa-IR"/>
        </w:rPr>
        <w:t xml:space="preserve">) </w:t>
      </w:r>
      <w:bookmarkStart w:id="307" w:name="pg8702_73971"/>
    </w:p>
    <w:p>
      <w:pPr>
        <w:pStyle w:val="Heading3"/>
        <w:numPr>
          <w:ilvl w:val="2"/>
          <w:numId w:val="1"/>
        </w:numPr>
        <w:rPr/>
      </w:pPr>
      <w:bookmarkStart w:id="308" w:name="__RefHeading___Toc2967947_653776707"/>
      <w:bookmarkStart w:id="309" w:name="_Toc113"/>
      <w:bookmarkEnd w:id="307"/>
      <w:bookmarkEnd w:id="308"/>
      <w:r>
        <w:rPr>
          <w:rtl w:val="true"/>
        </w:rPr>
        <w:t>مردم را نترسان</w:t>
      </w:r>
      <w:bookmarkEnd w:id="309"/>
    </w:p>
    <w:p>
      <w:pPr>
        <w:pStyle w:val="BookText"/>
        <w:rPr/>
      </w:pPr>
      <w:r>
        <w:rPr>
          <w:rFonts w:ascii="IRNazanin" w:hAnsi="IRNazanin" w:eastAsia="IRNazanin"/>
          <w:color w:val="111111"/>
          <w:sz w:val="28"/>
          <w:sz w:val="28"/>
          <w:szCs w:val="28"/>
          <w:rtl w:val="true"/>
          <w:lang w:bidi="fa-IR"/>
        </w:rPr>
        <w:t>علامه میرجهانی در آخرین سفر به مشهد مقدس در جمع دوستان به نقل خاطره ای به شرح زیر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اقامت در جوار ملکوتی سلطان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التحیه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منزل یکی از محترمین تجّار در دهه عاشورا منبر می رفتم و موضوع سخنانم مواقف هولناک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شرح و تفسیر آیات عذاب بودم که ناگاه جانب درب ورودی مجلس، وجود مبارک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 که با عتاب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نترسان و آنان را به لطف و محبت ما امیدوار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به خود آمدم و بحث را قطع کردم و از عنایات و کرامات آن امام همام سخن به میان آوردم و در آن شب شوری عجیب در محفل به 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کتاب البکاء للحسین علیه السلام، به نقل از نوه آن مرحوم</w:t>
      </w:r>
      <w:r>
        <w:rPr>
          <w:rFonts w:eastAsia="IRNazanin" w:cs="IRNazanin"/>
          <w:color w:val="111111"/>
          <w:sz w:val="28"/>
          <w:szCs w:val="28"/>
          <w:rtl w:val="true"/>
          <w:lang w:bidi="fa-IR"/>
        </w:rPr>
        <w:t>)</w:t>
      </w:r>
    </w:p>
    <w:p>
      <w:pPr>
        <w:pStyle w:val="Heading3"/>
        <w:numPr>
          <w:ilvl w:val="2"/>
          <w:numId w:val="1"/>
        </w:numPr>
        <w:rPr/>
      </w:pPr>
      <w:bookmarkStart w:id="310" w:name="__RefHeading___Toc2967949_653776707"/>
      <w:bookmarkStart w:id="311" w:name="_Toc114"/>
      <w:bookmarkEnd w:id="310"/>
      <w:r>
        <w:rPr>
          <w:rtl w:val="true"/>
        </w:rPr>
        <w:t>غبار کربلا مانع آتش</w:t>
      </w:r>
      <w:bookmarkEnd w:id="311"/>
    </w:p>
    <w:p>
      <w:pPr>
        <w:pStyle w:val="BookText"/>
        <w:rPr/>
      </w:pPr>
      <w:r>
        <w:rPr>
          <w:rFonts w:ascii="IRNazanin" w:hAnsi="IRNazanin" w:eastAsia="IRNazanin"/>
          <w:color w:val="111111"/>
          <w:sz w:val="28"/>
          <w:sz w:val="28"/>
          <w:szCs w:val="28"/>
          <w:rtl w:val="true"/>
          <w:lang w:bidi="fa-IR"/>
        </w:rPr>
        <w:t xml:space="preserve">فاضل کامل سید الواعظین مرحوم سید محمود امامی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خلفای بنی مروان اولاد دار نمی شد به مقتضای عقیده فاسد خود نذر کرد که اگر خدا پسری به او بدهد، او را بر سر راه زوّارهای حضرتسیدالشهداء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و آنها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بعد از مدّتی خداوند پسری به او عطاء می کند، تا اینکه بزرگ می شود و به او وصیت می کند که باید بروی سر راه زوّارهای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قتل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شبی در خواب دید قیامت است و ملائکه غلاض و شداد جمعی را می برند بسوی جهنّم، تا یک شخص را آوردند بکشند بسوی آتش، رسول خدا صلی الله علیه و آله و سلم به ملائک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مرد گناه کار است لیکن شما نمی توانید او را به جهنّم ببرید زیرا روزی به زمین کربلا می گذشت غباری از آن زمین بر بدن او نشسته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را از او می شوئیم،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را می شوئید امّا چشم او که به بقعه و بارگاه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نمی شود که بشوئید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ملائکه عذاب او را رها کردند و ملائکه رحمت آمدند و او را به بهشت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از خواب بیدار شد و از قصد فاسد خود برگشت و توبه کرد و فورا به زیارت آن حضرت رفت و زوار را حرمت و نوازش می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ثمرات الحیوه، کرامات الحسینیه،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bookmarkStart w:id="312" w:name="pg8702_73973"/>
    </w:p>
    <w:p>
      <w:pPr>
        <w:pStyle w:val="Heading2"/>
        <w:numPr>
          <w:ilvl w:val="1"/>
          <w:numId w:val="1"/>
        </w:numPr>
        <w:rPr/>
      </w:pPr>
      <w:bookmarkStart w:id="313" w:name="__RefHeading___Toc2967951_653776707"/>
      <w:bookmarkStart w:id="314" w:name="_Toc115"/>
      <w:bookmarkEnd w:id="312"/>
      <w:bookmarkEnd w:id="313"/>
      <w:r>
        <w:rPr>
          <w:rtl w:val="true"/>
        </w:rPr>
        <w:t>معرفی کتاب</w:t>
      </w:r>
      <w:bookmarkEnd w:id="314"/>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محمد محمدی ری شهری، مقتل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مستند واقعه عاشورا، با همکاری سید محمود طباطبایی نژاد، سید روح الله طبایی و محمد هادی خالقی،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دارالحدیث قم در انتشار دانشنامه سابقه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دانشنامه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که بعدها از این اثر مفصل، خلاصه دو جلدی و تک جلدی نیز منتشر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های ذکر شده واقعه عاشورا در این اثر از چندین منبع روایت شده اندکه از ویژگی های این کتاب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کردن برای محققان سودمندی هایی دارد، اما برای مقتل خوانان و آنهایی که در پی اختلاف نسخ و تعارض روایات نیستند، سردرگم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نگاه، مقتل پیوسته گزارشی مستند، پیوسته </w:t>
      </w:r>
    </w:p>
    <w:p>
      <w:pPr>
        <w:pStyle w:val="BookText"/>
        <w:rPr/>
      </w:pPr>
      <w:r>
        <w:rPr>
          <w:rFonts w:ascii="IRNazanin" w:hAnsi="IRNazanin" w:eastAsia="IRNazanin"/>
          <w:color w:val="111111"/>
          <w:sz w:val="28"/>
          <w:sz w:val="28"/>
          <w:szCs w:val="28"/>
          <w:rtl w:val="true"/>
          <w:lang w:bidi="fa-IR"/>
        </w:rPr>
        <w:t>و یک دست را از واقعه عاشورا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مخاطبان این مقتل، فارسی زبان ها هستند، با این حال متن های اصلی در صفحاتی روبه روی هم، به صورت عربی و فارسی مرتب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گاهی اهل نظر و وعاظ، اصل عربی عبارات، خصوصا رجزها را در دسترس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هر کدام از قطعات نقل شده نیز در پاورقی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پاورقی های ارجاعی به منابع، گاه پاورقی های توضیحی به جهت ابهام زدایی از برخی شبهات آورده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نقشه در پایان کتاب ضمیمه شده است که به روشن شدن جنبه های تاریخی و جغرافیایی واقعه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فهرست کلی، منابع، نمایه اعلام و مفاهیم در این کتاب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7, No.28, Winter 2023</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Muhammad-Husayn Mardani Nowkandeh</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Montazeri,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 http://www.maarefehosseini.ir 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 the Statistics of the Kufans' Letters of Invitation to Imam al-Husayn</w:t>
      </w:r>
    </w:p>
    <w:p>
      <w:pPr>
        <w:pStyle w:val="BookText"/>
        <w:rPr/>
      </w:pPr>
      <w:r>
        <w:rPr>
          <w:rFonts w:eastAsia="Times New Roman" w:cs="Times New Roman" w:ascii="Times New Roman" w:hAnsi="Times New Roman"/>
          <w:color w:val="111111"/>
          <w:sz w:val="28"/>
          <w:szCs w:val="28"/>
          <w:lang w:val="en-US" w:bidi="en-US"/>
        </w:rPr>
        <w:t>Dr. Muhammad Salem Mohseni</w:t>
      </w:r>
    </w:p>
    <w:p>
      <w:pPr>
        <w:pStyle w:val="BookText"/>
        <w:rPr/>
      </w:pPr>
      <w:r>
        <w:rPr>
          <w:rFonts w:eastAsia="Times New Roman" w:cs="Times New Roman" w:ascii="Times New Roman" w:hAnsi="Times New Roman"/>
          <w:color w:val="111111"/>
          <w:sz w:val="28"/>
          <w:szCs w:val="28"/>
          <w:lang w:val="en-US" w:bidi="en-US"/>
        </w:rPr>
        <w:t>After the Kufans learned that Imam al-Husayn refused to recognize Yazid and left Medina for Mecca, they started writing numerous letters and sent them to him via various couriers. However, there has occured several mistakes in the number of the letters. Based on the earliest accounts written up to the 6th/ 13th century, the number was around 150letters. However, in the 7th 14th century, Ibn Nima al-Hilli and Sayyid b. Tawus raise its number to 12000, and the recent works raise it to 18000. Comparing and focusing in the number of those who paid an oath of allegiance to Muslim b. 'Aqil, who were recorded to be ranging from 12000 to 18000, on the one hand, and the letters dispatched, on the other hand, it suggests that there might have occured some mistakes in recording this statistics. This is because sending such a huge number of letters at that time seem rather implausible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Statistics of letters, Kufans' invitations, Kufan oath-takers, Imam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Social Grounds for the Ashura Episode</w:t>
      </w:r>
    </w:p>
    <w:p>
      <w:pPr>
        <w:pStyle w:val="BookText"/>
        <w:rPr/>
      </w:pPr>
      <w:r>
        <w:rPr>
          <w:rFonts w:eastAsia="Times New Roman" w:cs="Times New Roman" w:ascii="Times New Roman" w:hAnsi="Times New Roman"/>
          <w:color w:val="111111"/>
          <w:sz w:val="28"/>
          <w:szCs w:val="28"/>
          <w:lang w:val="en-US" w:bidi="en-US"/>
        </w:rPr>
        <w:t>Dr. Ali Farsi Madan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Ashura episode can be viewed from at least three perspectives. On the personality level, the characters of Muawiyah and Yazid left their sinister influences. The way to oppose them was to invite people to avoid committing sins. At the governance level, Muawiyah paved the way for Yazid's rule and left for him the staff needed. The way to oppose it was to implement the Islamic state, uprise, and raise voices against Yazid. On the social level, to oppose the Umayyad rule, it was necessary to confront their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love for the worldly life. Based on other criteria, it was Imam al-Husayn who was able to counteract against the Umayyad hegemony and influence the Islamic world with his enlightenment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Ashura, social backgrounds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Effects of the Husayni Rituals in the</w:t>
      </w:r>
    </w:p>
    <w:p>
      <w:pPr>
        <w:pStyle w:val="BookText"/>
        <w:rPr/>
      </w:pPr>
      <w:r>
        <w:rPr>
          <w:rFonts w:eastAsia="Times New Roman" w:cs="Times New Roman" w:ascii="Times New Roman" w:hAnsi="Times New Roman"/>
          <w:color w:val="111111"/>
          <w:sz w:val="28"/>
          <w:szCs w:val="28"/>
          <w:lang w:val="en-US" w:bidi="en-US"/>
        </w:rPr>
        <w:t>Realm of Social Power in the Qajar Period</w:t>
      </w:r>
    </w:p>
    <w:p>
      <w:pPr>
        <w:pStyle w:val="BookText"/>
        <w:rPr/>
      </w:pPr>
      <w:r>
        <w:rPr>
          <w:rFonts w:eastAsia="Times New Roman" w:cs="Times New Roman" w:ascii="Times New Roman" w:hAnsi="Times New Roman"/>
          <w:color w:val="111111"/>
          <w:sz w:val="28"/>
          <w:szCs w:val="28"/>
          <w:lang w:val="en-US" w:bidi="en-US"/>
        </w:rPr>
        <w:t>Dr. Husayn Hamzeh</w:t>
      </w:r>
    </w:p>
    <w:p>
      <w:pPr>
        <w:pStyle w:val="BookText"/>
        <w:rPr/>
      </w:pPr>
      <w:r>
        <w:rPr>
          <w:rFonts w:eastAsia="Times New Roman" w:cs="Times New Roman" w:ascii="Times New Roman" w:hAnsi="Times New Roman"/>
          <w:color w:val="111111"/>
          <w:sz w:val="28"/>
          <w:szCs w:val="28"/>
          <w:lang w:val="en-US" w:bidi="en-US"/>
        </w:rPr>
        <w:t>Husayni rituals played significant roles in the Qajar period. These effects were noticeable on two levels: socio-political and individual. Although they exerted various pressures on various classes of people, they never unified their religious manifestations in a way that it might be intended by the Qajar rulers. Yet, the end of the Qajar period was coterminous with the Constitutional movement and the Persians' encounter with the West. Albeit such barriers and the then widespread irreligiosity, the main body of the Persian community never left religious rituals, particularly those that pertain to Imam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Effects, rituals, the Qajar-period Persia, Durkheim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Maqtal-writing of the Companions of Imam al-Sadiq</w:t>
      </w:r>
    </w:p>
    <w:p>
      <w:pPr>
        <w:pStyle w:val="BookText"/>
        <w:rPr/>
      </w:pPr>
      <w:r>
        <w:rPr>
          <w:rFonts w:eastAsia="Times New Roman" w:cs="Times New Roman" w:ascii="Times New Roman" w:hAnsi="Times New Roman"/>
          <w:color w:val="111111"/>
          <w:sz w:val="28"/>
          <w:szCs w:val="28"/>
          <w:lang w:val="en-US" w:bidi="en-US"/>
        </w:rPr>
        <w:t>Dr. Sayyid Qasem Razzaqi Mousavi Sayyid Shaker Husayn</w:t>
      </w:r>
    </w:p>
    <w:p>
      <w:pPr>
        <w:pStyle w:val="BookText"/>
        <w:rPr/>
      </w:pPr>
      <w:r>
        <w:rPr>
          <w:rFonts w:eastAsia="Times New Roman" w:cs="Times New Roman" w:ascii="Times New Roman" w:hAnsi="Times New Roman"/>
          <w:color w:val="111111"/>
          <w:sz w:val="28"/>
          <w:szCs w:val="28"/>
          <w:lang w:val="en-US" w:bidi="en-US"/>
        </w:rPr>
        <w:t>Maqtal-writing pertains to recording the details of the tragic events that led to the killing of an individual or some people. Although some maqtals have been written about the slain rulers and some prominent people, they have not received the due attention as those of the Ashura personalities. The maqtals written by certain companions of Imam Ja'far al-Sadiq were records of the way other Infallible Imams and other prominent dignitaries were martyred. Based on the earlier sources written by al-Najashi and al-Tusi, the present work produces a survey of the Maqtal-writing trends among the companions of Imam al-Sadiq</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Maqtal-writing, Imam al-Sadiq,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Semiotic Approach to the Personality Traits of Imam al-Husayn</w:t>
      </w:r>
    </w:p>
    <w:p>
      <w:pPr>
        <w:pStyle w:val="BookText"/>
        <w:rPr/>
      </w:pPr>
      <w:r>
        <w:rPr>
          <w:rFonts w:eastAsia="Times New Roman" w:cs="Times New Roman" w:ascii="Times New Roman" w:hAnsi="Times New Roman"/>
          <w:color w:val="111111"/>
          <w:sz w:val="28"/>
          <w:szCs w:val="28"/>
          <w:lang w:val="en-US" w:bidi="en-US"/>
        </w:rPr>
        <w:t>Dr. Sayyid Masaud Keyzeqani Masaud Salmani Haqiqi</w:t>
      </w:r>
    </w:p>
    <w:p>
      <w:pPr>
        <w:pStyle w:val="BookText"/>
        <w:rPr/>
      </w:pPr>
      <w:r>
        <w:rPr>
          <w:rFonts w:eastAsia="Times New Roman" w:cs="Times New Roman" w:ascii="Times New Roman" w:hAnsi="Times New Roman"/>
          <w:color w:val="111111"/>
          <w:sz w:val="28"/>
          <w:szCs w:val="28"/>
          <w:lang w:val="en-US" w:bidi="en-US"/>
        </w:rPr>
        <w:t>Divided into a signifer and a signified, a sign is an entity that directs the attention of viewers to anything other than itself. The present paper deals with some simiotic analysis of the character traits of Imam al-Husayn. Viewed from this perspective, his character traits still have a lot for people to learn from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signifier, signified, Imam al-Husayn</w:t>
      </w:r>
    </w:p>
    <w:p>
      <w:pPr>
        <w:pStyle w:val="BookText"/>
        <w:rPr/>
      </w:pPr>
      <w:r>
        <w:rPr>
          <w:rFonts w:eastAsia="Times New Roman" w:cs="Times New Roman" w:ascii="Times New Roman" w:hAnsi="Times New Roman"/>
          <w:color w:val="111111"/>
          <w:sz w:val="28"/>
          <w:szCs w:val="28"/>
          <w:lang w:val="en-US" w:bidi="en-US"/>
        </w:rPr>
        <w:t>Al-Turayhi's Methods of Dealing with the Reports in his al-Muntakhab</w:t>
      </w:r>
    </w:p>
    <w:p>
      <w:pPr>
        <w:pStyle w:val="BookText"/>
        <w:rPr/>
      </w:pPr>
      <w:r>
        <w:rPr>
          <w:rFonts w:eastAsia="Times New Roman" w:cs="Times New Roman" w:ascii="Times New Roman" w:hAnsi="Times New Roman"/>
          <w:color w:val="111111"/>
          <w:sz w:val="28"/>
          <w:szCs w:val="28"/>
          <w:lang w:val="en-US" w:bidi="en-US"/>
        </w:rPr>
        <w:t>By Ali Abedzadeh</w:t>
      </w:r>
    </w:p>
    <w:p>
      <w:pPr>
        <w:pStyle w:val="BookText"/>
        <w:rPr/>
      </w:pPr>
      <w:r>
        <w:rPr>
          <w:rFonts w:eastAsia="Times New Roman" w:cs="Times New Roman" w:ascii="Times New Roman" w:hAnsi="Times New Roman"/>
          <w:color w:val="111111"/>
          <w:sz w:val="28"/>
          <w:szCs w:val="28"/>
          <w:lang w:val="en-US" w:bidi="en-US"/>
        </w:rPr>
        <w:t>Al-Muntakhab of Fakhr al-Din al-Turayhi (979 - 1086AH/ 1571 - 1675) has since been regarded as a source for later maqtals. Although some researchers highlighted some weaknesses of this book, quite a few studies have been done with regard to the manipulations done on its reports. One significant change is that he made connections among unrelated reports, with the other onrs that he merged into one another. Among other manipulations and interpolations, one finds adding story-like beginnings and endings, in- text explanations, change of certain names, and the like. These changes are of the book, not from the sources he drew upon</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Fakhr al-Din al-Turayhi, al-Muntakhab, Ashura rituals, reports criticism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جامعه المصطفی العالمیه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Ms.muhseni@yahoo.com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ثلاثه و خمسین 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نیز احتمال می رود که اصلش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مأئه و خمسین 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اثر نسخه برداری اشتباه صورت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 غروی،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ابن اعثم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بیشتر از هجده هزار نفر را نیز مطرح 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 چهار حوزه علميه قم، پژوهشگر و نويسنده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Alifarsimadan98@gmail.com</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مرگ مغیره، زیاد بن ابیه حاکم كوفه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بودن و تظاهر به ایمان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شراب در دین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اسلام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آن را بر دین مسیح بگیر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بیاشام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تاریخ تشیع دانشگاه ادیان و مذاهب، مدرس موسسه عالی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Hadi.hamzeh@gmail.com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خود همیشه شمشیر حمل می کرد به شیخ شمشیری نیز شناخته می 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علوم وفرهنگ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razzaghi@isca.ac.ir</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تاریخ تشیع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syed53shakir@gmail.com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جابر بن یزید الجعفی إذا روی عن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وصیّ الأوصیاء، و وارث علم الأنبیاء محمّد بن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ق، به کوشش حسن غفاری در قم و در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با تحقیق و مقدمه استاد یوسفی غروی به نام وقعة الطف لأبی مخنف منتشر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sm.nori@hsu.ac.ir</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زبان و ادبیات عربی دانشگاه حکیم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salmanihaghighi@semnan.ac.ir</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نام های فرزندان حضرت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شَبَّر و شَبیر و مُشبّر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علوم قرآن و حدیث، دانشکدگان فارابی دانشگاه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aliadelnajm@gmail.com</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جستار به نقد متنی و تاریخی روایاتِ طریحی نپرداخته، بلکه تنها به مواردی که در تبیین نقش مؤلف اثرگذار باشد،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نیز به علّت حجم زیاد، احصاء نشده و تنها به چند نمونه در هر مورد اکتفا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روایات نیز به علّتِ مذکور، تا حد ممکن تقطیع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منبعِ اصلی برسی یعنی الهدایه الکبری نیز دیده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خصیبی،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رمزواره های نصیری در کتاب الهدایه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داده شده است که این روایت داستانی نمادین برای بیان آموزه های اعتقادی نصیریه است که حسین بن حمدان خصیبی آن را جعل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زاده و اکبری، در دست نشر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برسی نیز با وجود آن که تصریح کرده منبع او مقتل ابن طاوس است، جزئیاتی بدان افزوده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نیز کلینی،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جزئیات ظاهراً برگرفته از روایت مائة منقبة ابن شاذان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الْتَفِتْ عَنْ يَمِينِ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الْمَهْدِيِّ فِي ضَحْضَاحٍ مِنْ نُورٍ قِيَامٌ يُصَلُّونَ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الثَّائِرُ مِنْ عِتْرَتِكَ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الْمُنْتَقِمُ مِنْ أَعْدَائِي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داستان از قطنة بن العلاء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یعقوب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یکی از موالی بني سلامه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فشهقت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مکی،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فشقّت جیبها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47/380</w:t>
      </w:r>
      <w:r>
        <w:rPr>
          <w:rFonts w:ascii="IRNazanin" w:hAnsi="IRNazanin" w:eastAsia="IRNazanin"/>
          <w:b w:val="false"/>
          <w:b w:val="false"/>
          <w:bCs w:val="false"/>
          <w:i w:val="false"/>
          <w:i w:val="false"/>
          <w:iCs w:val="false"/>
          <w:color w:val="333333"/>
          <w:sz w:val="20"/>
          <w:sz w:val="20"/>
          <w:szCs w:val="20"/>
          <w:rtl w:val="true"/>
        </w:rPr>
        <w:t xml:space="preserve">؛ جزائری،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3.jpeg"/><Relationship Id="rId115" Type="http://schemas.openxmlformats.org/officeDocument/2006/relationships/image" Target="media/image3.jpeg"/><Relationship Id="rId116" Type="http://schemas.openxmlformats.org/officeDocument/2006/relationships/footer" Target="footer109.xml"/><Relationship Id="rId117" Type="http://schemas.openxmlformats.org/officeDocument/2006/relationships/image" Target="media/image4.jpeg"/><Relationship Id="rId118" Type="http://schemas.openxmlformats.org/officeDocument/2006/relationships/image" Target="media/image4.jpeg"/><Relationship Id="rId119" Type="http://schemas.openxmlformats.org/officeDocument/2006/relationships/footer" Target="footer110.xml"/><Relationship Id="rId120" Type="http://schemas.openxmlformats.org/officeDocument/2006/relationships/image" Target="media/image5.jpeg"/><Relationship Id="rId121" Type="http://schemas.openxmlformats.org/officeDocument/2006/relationships/image" Target="media/image5.jpeg"/><Relationship Id="rId122" Type="http://schemas.openxmlformats.org/officeDocument/2006/relationships/footer" Target="footer111.xml"/><Relationship Id="rId123" Type="http://schemas.openxmlformats.org/officeDocument/2006/relationships/image" Target="media/image6.jpeg"/><Relationship Id="rId124" Type="http://schemas.openxmlformats.org/officeDocument/2006/relationships/image" Target="media/image6.jpeg"/><Relationship Id="rId125" Type="http://schemas.openxmlformats.org/officeDocument/2006/relationships/footer" Target="footer112.xml"/><Relationship Id="rId126" Type="http://schemas.openxmlformats.org/officeDocument/2006/relationships/image" Target="media/image7.jpeg"/><Relationship Id="rId127" Type="http://schemas.openxmlformats.org/officeDocument/2006/relationships/image" Target="media/image7.jpeg"/><Relationship Id="rId128" Type="http://schemas.openxmlformats.org/officeDocument/2006/relationships/footer" Target="footer113.xml"/><Relationship Id="rId129" Type="http://schemas.openxmlformats.org/officeDocument/2006/relationships/image" Target="media/image8.jpeg"/><Relationship Id="rId130" Type="http://schemas.openxmlformats.org/officeDocument/2006/relationships/image" Target="media/image8.jpeg"/><Relationship Id="rId131" Type="http://schemas.openxmlformats.org/officeDocument/2006/relationships/footer" Target="footer114.xml"/><Relationship Id="rId132" Type="http://schemas.openxmlformats.org/officeDocument/2006/relationships/image" Target="media/image9.jpeg"/><Relationship Id="rId133" Type="http://schemas.openxmlformats.org/officeDocument/2006/relationships/image" Target="media/image9.jpeg"/><Relationship Id="rId134" Type="http://schemas.openxmlformats.org/officeDocument/2006/relationships/footer" Target="footer115.xml"/><Relationship Id="rId135" Type="http://schemas.openxmlformats.org/officeDocument/2006/relationships/image" Target="media/image10.jpeg"/><Relationship Id="rId136" Type="http://schemas.openxmlformats.org/officeDocument/2006/relationships/image" Target="media/image10.jpeg"/><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image" Target="media/image11.jpeg"/><Relationship Id="rId140" Type="http://schemas.openxmlformats.org/officeDocument/2006/relationships/image" Target="media/image11.jpeg"/><Relationship Id="rId141" Type="http://schemas.openxmlformats.org/officeDocument/2006/relationships/footer" Target="footer118.xml"/><Relationship Id="rId142" Type="http://schemas.openxmlformats.org/officeDocument/2006/relationships/image" Target="media/image12.jpeg"/><Relationship Id="rId143" Type="http://schemas.openxmlformats.org/officeDocument/2006/relationships/image" Target="media/image12.jpeg"/><Relationship Id="rId144" Type="http://schemas.openxmlformats.org/officeDocument/2006/relationships/footer" Target="footer119.xml"/><Relationship Id="rId145" Type="http://schemas.openxmlformats.org/officeDocument/2006/relationships/image" Target="media/image13.jpeg"/><Relationship Id="rId146" Type="http://schemas.openxmlformats.org/officeDocument/2006/relationships/image" Target="media/image13.jpeg"/><Relationship Id="rId147" Type="http://schemas.openxmlformats.org/officeDocument/2006/relationships/footer" Target="footer120.xml"/><Relationship Id="rId148" Type="http://schemas.openxmlformats.org/officeDocument/2006/relationships/image" Target="media/image14.jpeg"/><Relationship Id="rId149" Type="http://schemas.openxmlformats.org/officeDocument/2006/relationships/image" Target="media/image14.jpeg"/><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image" Target="media/image15.jpeg"/><Relationship Id="rId153" Type="http://schemas.openxmlformats.org/officeDocument/2006/relationships/image" Target="media/image15.jpeg"/><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43.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40736</Words>
  <Characters>165901</Characters>
  <CharactersWithSpaces>205554</CharactersWithSpaces>
  <Paragraphs>1249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2026-08-20T03:59:12Z</dcterms:created>
  <dc:creator>ghaemiyeh.com</dc:creator>
  <dc:description/>
  <dc:language>en-US</dc:language>
  <cp:lastModifiedBy/>
  <dcterms:modified xsi:type="dcterms:W3CDTF">2026-08-20T07:29:18Z</dcterms:modified>
  <cp:revision>1</cp:revision>
  <dc:subject/>
  <dc:title>پژوهش نامه معارف حسینی 28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