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3</w:t>
      </w:r>
      <w:r>
        <w:rPr>
          <w:rtl w:val="true"/>
        </w:rPr>
        <w:t xml:space="preserve"> </w:t>
      </w:r>
      <w:r>
        <w:rPr>
          <w:rtl w:val="true"/>
        </w:rPr>
        <w:t>ولایت تکوینی و ولایت تشریعی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3858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23860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23862_237004111">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623864_237004111">
            <w:r>
              <w:rPr>
                <w:webHidden/>
                <w:rStyle w:val="IndexLink"/>
                <w:rtl w:val="true"/>
              </w:rPr>
              <w:t>مقدمه مؤلف</w:t>
            </w:r>
            <w:r>
              <w:rPr>
                <w:rStyle w:val="IndexLink"/>
                <w:rtl w:val="true"/>
              </w:rPr>
              <w:tab/>
            </w:r>
            <w:r>
              <w:rPr>
                <w:rStyle w:val="IndexLink"/>
              </w:rPr>
              <w:t>8</w:t>
            </w:r>
          </w:hyperlink>
        </w:p>
        <w:p>
          <w:pPr>
            <w:pStyle w:val="Contents2"/>
            <w:tabs>
              <w:tab w:val="clear" w:pos="8743"/>
              <w:tab w:val="right" w:pos="9026" w:leader="dot"/>
            </w:tabs>
            <w:rPr/>
          </w:pPr>
          <w:hyperlink w:anchor="__RefHeading___Toc1623866_237004111">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623868_237004111">
            <w:r>
              <w:rPr>
                <w:webHidden/>
                <w:rStyle w:val="IndexLink"/>
                <w:rtl w:val="true"/>
              </w:rPr>
              <w:t>تذکّر دیگر</w:t>
            </w:r>
            <w:r>
              <w:rPr>
                <w:rStyle w:val="IndexLink"/>
                <w:rtl w:val="true"/>
              </w:rPr>
              <w:tab/>
            </w:r>
            <w:r>
              <w:rPr>
                <w:rStyle w:val="IndexLink"/>
              </w:rPr>
              <w:t>15</w:t>
            </w:r>
          </w:hyperlink>
        </w:p>
        <w:p>
          <w:pPr>
            <w:pStyle w:val="Contents2"/>
            <w:tabs>
              <w:tab w:val="clear" w:pos="8743"/>
              <w:tab w:val="right" w:pos="9026" w:leader="dot"/>
            </w:tabs>
            <w:rPr/>
          </w:pPr>
          <w:hyperlink w:anchor="__RefHeading___Toc1623870_237004111">
            <w:r>
              <w:rPr>
                <w:webHidden/>
                <w:rStyle w:val="IndexLink"/>
                <w:rtl w:val="true"/>
              </w:rPr>
              <w:t>پیرامون مقام ولایت</w:t>
            </w:r>
            <w:r>
              <w:rPr>
                <w:rStyle w:val="IndexLink"/>
                <w:rtl w:val="true"/>
              </w:rPr>
              <w:tab/>
            </w:r>
            <w:r>
              <w:rPr>
                <w:rStyle w:val="IndexLink"/>
              </w:rPr>
              <w:t>16</w:t>
            </w:r>
          </w:hyperlink>
        </w:p>
        <w:p>
          <w:pPr>
            <w:pStyle w:val="Contents2"/>
            <w:tabs>
              <w:tab w:val="clear" w:pos="8743"/>
              <w:tab w:val="right" w:pos="9026" w:leader="dot"/>
            </w:tabs>
            <w:rPr/>
          </w:pPr>
          <w:hyperlink w:anchor="__RefHeading___Toc1623872_237004111">
            <w:r>
              <w:rPr>
                <w:webHidden/>
                <w:rStyle w:val="IndexLink"/>
                <w:rtl w:val="true"/>
              </w:rPr>
              <w:t>بررسی و تذکّر چند مطلب مهم</w:t>
            </w:r>
            <w:r>
              <w:rPr>
                <w:rStyle w:val="IndexLink"/>
                <w:rtl w:val="true"/>
              </w:rPr>
              <w:tab/>
            </w:r>
            <w:r>
              <w:rPr>
                <w:rStyle w:val="IndexLink"/>
              </w:rPr>
              <w:t>20</w:t>
            </w:r>
          </w:hyperlink>
        </w:p>
        <w:p>
          <w:pPr>
            <w:pStyle w:val="Contents3"/>
            <w:tabs>
              <w:tab w:val="clear" w:pos="8459"/>
              <w:tab w:val="right" w:pos="9026" w:leader="dot"/>
            </w:tabs>
            <w:rPr/>
          </w:pPr>
          <w:hyperlink w:anchor="__RefHeading___Toc1623874_237004111">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623876_237004111">
            <w:r>
              <w:rPr>
                <w:webHidden/>
                <w:rStyle w:val="IndexLink"/>
              </w:rPr>
              <w:t>1</w:t>
            </w:r>
            <w:r>
              <w:rPr>
                <w:rStyle w:val="IndexLink"/>
                <w:rtl w:val="true"/>
              </w:rPr>
              <w:t xml:space="preserve"> - </w:t>
            </w:r>
            <w:r>
              <w:rPr>
                <w:rStyle w:val="IndexLink"/>
                <w:rtl w:val="true"/>
              </w:rPr>
              <w:t>توحید و پرهیز از شرک و غلوّ</w:t>
            </w:r>
            <w:r>
              <w:rPr>
                <w:rStyle w:val="IndexLink"/>
                <w:rtl w:val="true"/>
              </w:rPr>
              <w:tab/>
            </w:r>
            <w:r>
              <w:rPr>
                <w:rStyle w:val="IndexLink"/>
              </w:rPr>
              <w:t>22</w:t>
            </w:r>
          </w:hyperlink>
        </w:p>
        <w:p>
          <w:pPr>
            <w:pStyle w:val="Contents3"/>
            <w:tabs>
              <w:tab w:val="clear" w:pos="8459"/>
              <w:tab w:val="right" w:pos="9026" w:leader="dot"/>
            </w:tabs>
            <w:rPr/>
          </w:pPr>
          <w:hyperlink w:anchor="__RefHeading___Toc1623878_237004111">
            <w:r>
              <w:rPr>
                <w:webHidden/>
                <w:rStyle w:val="IndexLink"/>
              </w:rPr>
              <w:t>2</w:t>
            </w:r>
            <w:r>
              <w:rPr>
                <w:rStyle w:val="IndexLink"/>
                <w:rtl w:val="true"/>
              </w:rPr>
              <w:t xml:space="preserve"> - </w:t>
            </w:r>
            <w:r>
              <w:rPr>
                <w:rStyle w:val="IndexLink"/>
                <w:rtl w:val="true"/>
              </w:rPr>
              <w:t>تفویض، شرک و باطل است</w:t>
            </w:r>
            <w:r>
              <w:rPr>
                <w:rStyle w:val="IndexLink"/>
                <w:rtl w:val="true"/>
              </w:rPr>
              <w:tab/>
            </w:r>
            <w:r>
              <w:rPr>
                <w:rStyle w:val="IndexLink"/>
              </w:rPr>
              <w:t>24</w:t>
            </w:r>
          </w:hyperlink>
        </w:p>
        <w:p>
          <w:pPr>
            <w:pStyle w:val="Contents3"/>
            <w:tabs>
              <w:tab w:val="clear" w:pos="8459"/>
              <w:tab w:val="right" w:pos="9026" w:leader="dot"/>
            </w:tabs>
            <w:rPr/>
          </w:pPr>
          <w:hyperlink w:anchor="__RefHeading___Toc1623880_237004111">
            <w:r>
              <w:rPr>
                <w:webHidden/>
                <w:rStyle w:val="IndexLink"/>
              </w:rPr>
              <w:t>3</w:t>
            </w:r>
            <w:r>
              <w:rPr>
                <w:rStyle w:val="IndexLink"/>
                <w:rtl w:val="true"/>
              </w:rPr>
              <w:t xml:space="preserve"> - </w:t>
            </w:r>
            <w:r>
              <w:rPr>
                <w:rStyle w:val="IndexLink"/>
                <w:rtl w:val="true"/>
              </w:rPr>
              <w:t>قدرت غیر مستقل و بإذن‌الله</w:t>
            </w:r>
            <w:r>
              <w:rPr>
                <w:rStyle w:val="IndexLink"/>
                <w:rtl w:val="true"/>
              </w:rPr>
              <w:tab/>
            </w:r>
            <w:r>
              <w:rPr>
                <w:rStyle w:val="IndexLink"/>
              </w:rPr>
              <w:t>28</w:t>
            </w:r>
          </w:hyperlink>
        </w:p>
        <w:p>
          <w:pPr>
            <w:pStyle w:val="Contents3"/>
            <w:tabs>
              <w:tab w:val="clear" w:pos="8459"/>
              <w:tab w:val="right" w:pos="9026" w:leader="dot"/>
            </w:tabs>
            <w:rPr/>
          </w:pPr>
          <w:hyperlink w:anchor="__RefHeading___Toc1623882_237004111">
            <w:r>
              <w:rPr>
                <w:webHidden/>
                <w:rStyle w:val="IndexLink"/>
              </w:rPr>
              <w:t>4</w:t>
            </w:r>
            <w:r>
              <w:rPr>
                <w:rStyle w:val="IndexLink"/>
                <w:rtl w:val="true"/>
              </w:rPr>
              <w:t xml:space="preserve"> - </w:t>
            </w:r>
            <w:r>
              <w:rPr>
                <w:rStyle w:val="IndexLink"/>
                <w:rtl w:val="true"/>
              </w:rPr>
              <w:t>اداره سازمان کائنات به اذن خدا</w:t>
            </w:r>
            <w:r>
              <w:rPr>
                <w:rStyle w:val="IndexLink"/>
                <w:rtl w:val="true"/>
              </w:rPr>
              <w:tab/>
            </w:r>
            <w:r>
              <w:rPr>
                <w:rStyle w:val="IndexLink"/>
              </w:rPr>
              <w:t>32</w:t>
            </w:r>
          </w:hyperlink>
        </w:p>
        <w:p>
          <w:pPr>
            <w:pStyle w:val="Contents3"/>
            <w:tabs>
              <w:tab w:val="clear" w:pos="8459"/>
              <w:tab w:val="right" w:pos="9026" w:leader="dot"/>
            </w:tabs>
            <w:rPr/>
          </w:pPr>
          <w:hyperlink w:anchor="__RefHeading___Toc1623884_237004111">
            <w:r>
              <w:rPr>
                <w:webHidden/>
                <w:rStyle w:val="IndexLink"/>
              </w:rPr>
              <w:t>5</w:t>
            </w:r>
            <w:r>
              <w:rPr>
                <w:rStyle w:val="IndexLink"/>
                <w:rtl w:val="true"/>
              </w:rPr>
              <w:t xml:space="preserve"> - </w:t>
            </w:r>
            <w:r>
              <w:rPr>
                <w:rStyle w:val="IndexLink"/>
                <w:rtl w:val="true"/>
              </w:rPr>
              <w:t>پیرامون غلوّ</w:t>
            </w:r>
            <w:r>
              <w:rPr>
                <w:rStyle w:val="IndexLink"/>
                <w:rtl w:val="true"/>
              </w:rPr>
              <w:tab/>
            </w:r>
            <w:r>
              <w:rPr>
                <w:rStyle w:val="IndexLink"/>
              </w:rPr>
              <w:t>37</w:t>
            </w:r>
          </w:hyperlink>
        </w:p>
        <w:p>
          <w:pPr>
            <w:pStyle w:val="Contents3"/>
            <w:tabs>
              <w:tab w:val="clear" w:pos="8459"/>
              <w:tab w:val="right" w:pos="9026" w:leader="dot"/>
            </w:tabs>
            <w:rPr/>
          </w:pPr>
          <w:hyperlink w:anchor="__RefHeading___Toc1623886_237004111">
            <w:r>
              <w:rPr>
                <w:webHidden/>
                <w:rStyle w:val="IndexLink"/>
              </w:rPr>
              <w:t>6</w:t>
            </w:r>
            <w:r>
              <w:rPr>
                <w:rStyle w:val="IndexLink"/>
                <w:rtl w:val="true"/>
              </w:rPr>
              <w:t xml:space="preserve"> - </w:t>
            </w:r>
            <w:r>
              <w:rPr>
                <w:rStyle w:val="IndexLink"/>
                <w:rtl w:val="true"/>
              </w:rPr>
              <w:t>مجاری فیض</w:t>
            </w:r>
            <w:r>
              <w:rPr>
                <w:rStyle w:val="IndexLink"/>
                <w:rtl w:val="true"/>
              </w:rPr>
              <w:tab/>
            </w:r>
            <w:r>
              <w:rPr>
                <w:rStyle w:val="IndexLink"/>
              </w:rPr>
              <w:t>44</w:t>
            </w:r>
          </w:hyperlink>
        </w:p>
        <w:p>
          <w:pPr>
            <w:pStyle w:val="Contents3"/>
            <w:tabs>
              <w:tab w:val="clear" w:pos="8459"/>
              <w:tab w:val="right" w:pos="9026" w:leader="dot"/>
            </w:tabs>
            <w:rPr/>
          </w:pPr>
          <w:hyperlink w:anchor="__RefHeading___Toc1623888_237004111">
            <w:r>
              <w:rPr>
                <w:webHidden/>
                <w:rStyle w:val="IndexLink"/>
              </w:rPr>
              <w:t>7</w:t>
            </w:r>
            <w:r>
              <w:rPr>
                <w:rStyle w:val="IndexLink"/>
                <w:rtl w:val="true"/>
              </w:rPr>
              <w:t xml:space="preserve"> - </w:t>
            </w:r>
            <w:r>
              <w:rPr>
                <w:rStyle w:val="IndexLink"/>
                <w:rtl w:val="true"/>
              </w:rPr>
              <w:t>خوارق عادات</w:t>
            </w:r>
            <w:r>
              <w:rPr>
                <w:rStyle w:val="IndexLink"/>
                <w:rtl w:val="true"/>
              </w:rPr>
              <w:tab/>
            </w:r>
            <w:r>
              <w:rPr>
                <w:rStyle w:val="IndexLink"/>
              </w:rPr>
              <w:t>50</w:t>
            </w:r>
          </w:hyperlink>
        </w:p>
        <w:p>
          <w:pPr>
            <w:pStyle w:val="Contents3"/>
            <w:tabs>
              <w:tab w:val="clear" w:pos="8459"/>
              <w:tab w:val="right" w:pos="9026" w:leader="dot"/>
            </w:tabs>
            <w:rPr/>
          </w:pPr>
          <w:hyperlink w:anchor="__RefHeading___Toc1623890_237004111">
            <w:r>
              <w:rPr>
                <w:webHidden/>
                <w:rStyle w:val="IndexLink"/>
                <w:rtl w:val="true"/>
              </w:rPr>
              <w:t>بررسی این آرا</w:t>
            </w:r>
            <w:r>
              <w:rPr>
                <w:rStyle w:val="IndexLink"/>
                <w:rtl w:val="true"/>
              </w:rPr>
              <w:tab/>
            </w:r>
            <w:r>
              <w:rPr>
                <w:rStyle w:val="IndexLink"/>
              </w:rPr>
              <w:t>54</w:t>
            </w:r>
          </w:hyperlink>
        </w:p>
        <w:p>
          <w:pPr>
            <w:pStyle w:val="Contents3"/>
            <w:tabs>
              <w:tab w:val="clear" w:pos="8459"/>
              <w:tab w:val="right" w:pos="9026" w:leader="dot"/>
            </w:tabs>
            <w:rPr/>
          </w:pPr>
          <w:hyperlink w:anchor="__RefHeading___Toc1623892_237004111">
            <w:r>
              <w:rPr>
                <w:webHidden/>
                <w:rStyle w:val="IndexLink"/>
              </w:rPr>
              <w:t>8</w:t>
            </w:r>
            <w:r>
              <w:rPr>
                <w:rStyle w:val="IndexLink"/>
                <w:rtl w:val="true"/>
              </w:rPr>
              <w:t xml:space="preserve"> - </w:t>
            </w:r>
            <w:r>
              <w:rPr>
                <w:rStyle w:val="IndexLink"/>
                <w:rtl w:val="true"/>
              </w:rPr>
              <w:t>ولایت شخص بر نفس و آنچه مسخّر بشر است</w:t>
            </w:r>
            <w:r>
              <w:rPr>
                <w:rStyle w:val="IndexLink"/>
                <w:rtl w:val="true"/>
              </w:rPr>
              <w:tab/>
            </w:r>
            <w:r>
              <w:rPr>
                <w:rStyle w:val="IndexLink"/>
              </w:rPr>
              <w:t>59</w:t>
            </w:r>
          </w:hyperlink>
        </w:p>
        <w:p>
          <w:pPr>
            <w:pStyle w:val="Contents2"/>
            <w:tabs>
              <w:tab w:val="clear" w:pos="8743"/>
              <w:tab w:val="right" w:pos="9026" w:leader="dot"/>
            </w:tabs>
            <w:rPr/>
          </w:pPr>
          <w:hyperlink w:anchor="__RefHeading___Toc1623894_237004111">
            <w:r>
              <w:rPr>
                <w:webHidden/>
                <w:rStyle w:val="IndexLink"/>
                <w:rtl w:val="true"/>
              </w:rPr>
              <w:t>ولایت تکوینی و تشریعی</w:t>
            </w:r>
            <w:r>
              <w:rPr>
                <w:rStyle w:val="IndexLink"/>
                <w:rtl w:val="true"/>
              </w:rPr>
              <w:tab/>
            </w:r>
            <w:r>
              <w:rPr>
                <w:rStyle w:val="IndexLink"/>
              </w:rPr>
              <w:t>62</w:t>
            </w:r>
          </w:hyperlink>
        </w:p>
        <w:p>
          <w:pPr>
            <w:pStyle w:val="Contents2"/>
            <w:tabs>
              <w:tab w:val="clear" w:pos="8743"/>
              <w:tab w:val="right" w:pos="9026" w:leader="dot"/>
            </w:tabs>
            <w:rPr/>
          </w:pPr>
          <w:hyperlink w:anchor="__RefHeading___Toc1623896_237004111">
            <w:r>
              <w:rPr>
                <w:webHidden/>
                <w:rStyle w:val="IndexLink"/>
                <w:rtl w:val="true"/>
              </w:rPr>
              <w:t>معنای ولایت تکوینی</w:t>
            </w:r>
            <w:r>
              <w:rPr>
                <w:rStyle w:val="IndexLink"/>
                <w:rtl w:val="true"/>
              </w:rPr>
              <w:tab/>
            </w:r>
            <w:r>
              <w:rPr>
                <w:rStyle w:val="IndexLink"/>
              </w:rPr>
              <w:t>64</w:t>
            </w:r>
          </w:hyperlink>
        </w:p>
        <w:p>
          <w:pPr>
            <w:pStyle w:val="Contents2"/>
            <w:tabs>
              <w:tab w:val="clear" w:pos="8743"/>
              <w:tab w:val="right" w:pos="9026" w:leader="dot"/>
            </w:tabs>
            <w:rPr/>
          </w:pPr>
          <w:hyperlink w:anchor="__RefHeading___Toc1623898_237004111">
            <w:r>
              <w:rPr>
                <w:webHidden/>
                <w:rStyle w:val="IndexLink"/>
                <w:rtl w:val="true"/>
              </w:rPr>
              <w:t>مفهوم و مدلول لفظی ولایت تکوینی</w:t>
            </w:r>
            <w:r>
              <w:rPr>
                <w:rStyle w:val="IndexLink"/>
                <w:rtl w:val="true"/>
              </w:rPr>
              <w:tab/>
            </w:r>
            <w:r>
              <w:rPr>
                <w:rStyle w:val="IndexLink"/>
              </w:rPr>
              <w:t>65</w:t>
            </w:r>
          </w:hyperlink>
        </w:p>
        <w:p>
          <w:pPr>
            <w:pStyle w:val="Contents2"/>
            <w:tabs>
              <w:tab w:val="clear" w:pos="8743"/>
              <w:tab w:val="right" w:pos="9026" w:leader="dot"/>
            </w:tabs>
            <w:rPr/>
          </w:pPr>
          <w:hyperlink w:anchor="__RefHeading___Toc1623900_237004111">
            <w:r>
              <w:rPr>
                <w:webHidden/>
                <w:rStyle w:val="IndexLink"/>
                <w:rtl w:val="true"/>
              </w:rPr>
              <w:t>احتمال دیگر</w:t>
            </w:r>
            <w:r>
              <w:rPr>
                <w:rStyle w:val="IndexLink"/>
                <w:rtl w:val="true"/>
              </w:rPr>
              <w:tab/>
            </w:r>
            <w:r>
              <w:rPr>
                <w:rStyle w:val="IndexLink"/>
              </w:rPr>
              <w:t>80</w:t>
            </w:r>
          </w:hyperlink>
        </w:p>
        <w:p>
          <w:pPr>
            <w:pStyle w:val="Contents2"/>
            <w:tabs>
              <w:tab w:val="clear" w:pos="8743"/>
              <w:tab w:val="right" w:pos="9026" w:leader="dot"/>
            </w:tabs>
            <w:rPr/>
          </w:pPr>
          <w:hyperlink w:anchor="__RefHeading___Toc1623902_237004111">
            <w:r>
              <w:rPr>
                <w:webHidden/>
                <w:rStyle w:val="IndexLink"/>
                <w:rtl w:val="true"/>
              </w:rPr>
              <w:t>تفسیری از ولایت تکوینی</w:t>
            </w:r>
            <w:r>
              <w:rPr>
                <w:rStyle w:val="IndexLink"/>
                <w:rtl w:val="true"/>
              </w:rPr>
              <w:tab/>
            </w:r>
            <w:r>
              <w:rPr>
                <w:rStyle w:val="IndexLink"/>
              </w:rPr>
              <w:t>85</w:t>
            </w:r>
          </w:hyperlink>
        </w:p>
        <w:p>
          <w:pPr>
            <w:pStyle w:val="Contents2"/>
            <w:tabs>
              <w:tab w:val="clear" w:pos="8743"/>
              <w:tab w:val="right" w:pos="9026" w:leader="dot"/>
            </w:tabs>
            <w:rPr/>
          </w:pPr>
          <w:hyperlink w:anchor="__RefHeading___Toc1623904_237004111">
            <w:r>
              <w:rPr>
                <w:webHidden/>
                <w:rStyle w:val="IndexLink"/>
                <w:rtl w:val="true"/>
              </w:rPr>
              <w:t>توضیحی پیرامون مجاری فیض</w:t>
            </w:r>
            <w:r>
              <w:rPr>
                <w:rStyle w:val="IndexLink"/>
                <w:rtl w:val="true"/>
              </w:rPr>
              <w:tab/>
            </w:r>
            <w:r>
              <w:rPr>
                <w:rStyle w:val="IndexLink"/>
              </w:rPr>
              <w:t>88</w:t>
            </w:r>
          </w:hyperlink>
        </w:p>
        <w:p>
          <w:pPr>
            <w:pStyle w:val="Contents2"/>
            <w:tabs>
              <w:tab w:val="clear" w:pos="8743"/>
              <w:tab w:val="right" w:pos="9026" w:leader="dot"/>
            </w:tabs>
            <w:rPr/>
          </w:pPr>
          <w:hyperlink w:anchor="__RefHeading___Toc1623906_237004111">
            <w:r>
              <w:rPr>
                <w:webHidden/>
                <w:rStyle w:val="IndexLink"/>
                <w:rtl w:val="true"/>
              </w:rPr>
              <w:t>نظر صحیح در معنای ولایت تکوینی</w:t>
            </w:r>
            <w:r>
              <w:rPr>
                <w:rStyle w:val="IndexLink"/>
                <w:rtl w:val="true"/>
              </w:rPr>
              <w:tab/>
            </w:r>
            <w:r>
              <w:rPr>
                <w:rStyle w:val="IndexLink"/>
              </w:rPr>
              <w:t>100</w:t>
            </w:r>
          </w:hyperlink>
        </w:p>
        <w:p>
          <w:pPr>
            <w:pStyle w:val="Contents2"/>
            <w:tabs>
              <w:tab w:val="clear" w:pos="8743"/>
              <w:tab w:val="right" w:pos="9026" w:leader="dot"/>
            </w:tabs>
            <w:rPr/>
          </w:pPr>
          <w:hyperlink w:anchor="__RefHeading___Toc1623908_237004111">
            <w:r>
              <w:rPr>
                <w:webHidden/>
                <w:rStyle w:val="IndexLink"/>
                <w:rtl w:val="true"/>
              </w:rPr>
              <w:t>بیان دیگر</w:t>
            </w:r>
            <w:r>
              <w:rPr>
                <w:rStyle w:val="IndexLink"/>
                <w:rtl w:val="true"/>
              </w:rPr>
              <w:tab/>
            </w:r>
            <w:r>
              <w:rPr>
                <w:rStyle w:val="IndexLink"/>
              </w:rPr>
              <w:t>105</w:t>
            </w:r>
          </w:hyperlink>
        </w:p>
        <w:p>
          <w:pPr>
            <w:pStyle w:val="Contents2"/>
            <w:tabs>
              <w:tab w:val="clear" w:pos="8743"/>
              <w:tab w:val="right" w:pos="9026" w:leader="dot"/>
            </w:tabs>
            <w:rPr/>
          </w:pPr>
          <w:hyperlink w:anchor="__RefHeading___Toc1623910_237004111">
            <w:r>
              <w:rPr>
                <w:webHidden/>
                <w:rStyle w:val="IndexLink"/>
                <w:rtl w:val="true"/>
              </w:rPr>
              <w:t>سخن نهایی و معقول</w:t>
            </w:r>
            <w:r>
              <w:rPr>
                <w:rStyle w:val="IndexLink"/>
                <w:rtl w:val="true"/>
              </w:rPr>
              <w:tab/>
            </w:r>
            <w:r>
              <w:rPr>
                <w:rStyle w:val="IndexLink"/>
              </w:rPr>
              <w:t>111</w:t>
            </w:r>
          </w:hyperlink>
        </w:p>
        <w:p>
          <w:pPr>
            <w:pStyle w:val="Contents2"/>
            <w:tabs>
              <w:tab w:val="clear" w:pos="8743"/>
              <w:tab w:val="right" w:pos="9026" w:leader="dot"/>
            </w:tabs>
            <w:rPr/>
          </w:pPr>
          <w:hyperlink w:anchor="__RefHeading___Toc1623912_237004111">
            <w:r>
              <w:rPr>
                <w:webHidden/>
                <w:rStyle w:val="IndexLink"/>
                <w:rtl w:val="true"/>
              </w:rPr>
              <w:t>تذکّر یک مطلب مهم</w:t>
            </w:r>
            <w:r>
              <w:rPr>
                <w:rStyle w:val="IndexLink"/>
                <w:rtl w:val="true"/>
              </w:rPr>
              <w:tab/>
            </w:r>
            <w:r>
              <w:rPr>
                <w:rStyle w:val="IndexLink"/>
              </w:rPr>
              <w:t>114</w:t>
            </w:r>
          </w:hyperlink>
        </w:p>
        <w:p>
          <w:pPr>
            <w:pStyle w:val="Contents2"/>
            <w:tabs>
              <w:tab w:val="clear" w:pos="8743"/>
              <w:tab w:val="right" w:pos="9026" w:leader="dot"/>
            </w:tabs>
            <w:rPr/>
          </w:pPr>
          <w:hyperlink w:anchor="__RefHeading___Toc1623914_237004111">
            <w:r>
              <w:rPr>
                <w:webHidden/>
                <w:rStyle w:val="IndexLink"/>
                <w:rtl w:val="true"/>
              </w:rPr>
              <w:t>معنای ولایت تشریعی</w:t>
            </w:r>
            <w:r>
              <w:rPr>
                <w:rStyle w:val="IndexLink"/>
                <w:rtl w:val="true"/>
              </w:rPr>
              <w:tab/>
            </w:r>
            <w:r>
              <w:rPr>
                <w:rStyle w:val="IndexLink"/>
              </w:rPr>
              <w:t>126</w:t>
            </w:r>
          </w:hyperlink>
        </w:p>
        <w:p>
          <w:pPr>
            <w:pStyle w:val="Contents2"/>
            <w:tabs>
              <w:tab w:val="clear" w:pos="8743"/>
              <w:tab w:val="right" w:pos="9026" w:leader="dot"/>
            </w:tabs>
            <w:rPr/>
          </w:pPr>
          <w:hyperlink w:anchor="__RefHeading___Toc1623916_237004111">
            <w:r>
              <w:rPr>
                <w:webHidden/>
                <w:rStyle w:val="IndexLink"/>
                <w:rtl w:val="true"/>
              </w:rPr>
              <w:t>معنای دیگر ولایت تشریعی</w:t>
            </w:r>
            <w:r>
              <w:rPr>
                <w:rStyle w:val="IndexLink"/>
                <w:rtl w:val="true"/>
              </w:rPr>
              <w:tab/>
            </w:r>
            <w:r>
              <w:rPr>
                <w:rStyle w:val="IndexLink"/>
              </w:rPr>
              <w:t>136</w:t>
            </w:r>
          </w:hyperlink>
        </w:p>
        <w:p>
          <w:pPr>
            <w:pStyle w:val="Contents2"/>
            <w:tabs>
              <w:tab w:val="clear" w:pos="8743"/>
              <w:tab w:val="right" w:pos="9026" w:leader="dot"/>
            </w:tabs>
            <w:rPr/>
          </w:pPr>
          <w:hyperlink w:anchor="__RefHeading___Toc1623918_237004111">
            <w:r>
              <w:rPr>
                <w:webHidden/>
                <w:rStyle w:val="IndexLink"/>
                <w:rtl w:val="true"/>
              </w:rPr>
              <w:t>خلاصه برخی از مطالب کتاب</w:t>
            </w:r>
            <w:r>
              <w:rPr>
                <w:rStyle w:val="IndexLink"/>
                <w:rtl w:val="true"/>
              </w:rPr>
              <w:tab/>
            </w:r>
            <w:r>
              <w:rPr>
                <w:rStyle w:val="IndexLink"/>
              </w:rPr>
              <w:t>146</w:t>
            </w:r>
          </w:hyperlink>
        </w:p>
        <w:p>
          <w:pPr>
            <w:pStyle w:val="Contents2"/>
            <w:tabs>
              <w:tab w:val="clear" w:pos="8743"/>
              <w:tab w:val="right" w:pos="9026" w:leader="dot"/>
            </w:tabs>
            <w:rPr/>
          </w:pPr>
          <w:hyperlink w:anchor="__RefHeading___Toc1623920_237004111">
            <w:r>
              <w:rPr>
                <w:webHidden/>
                <w:rStyle w:val="IndexLink"/>
                <w:rtl w:val="true"/>
              </w:rPr>
              <w:t>کتاب‌نامه</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49_41364"/>
      <w:bookmarkStart w:id="1" w:name="pg6249_41364"/>
      <w:bookmarkEnd w:id="1"/>
    </w:p>
    <w:p>
      <w:pPr>
        <w:pStyle w:val="Heading2"/>
        <w:numPr>
          <w:ilvl w:val="1"/>
          <w:numId w:val="1"/>
        </w:numPr>
        <w:rPr/>
      </w:pPr>
      <w:bookmarkStart w:id="2" w:name="pg6249_41364"/>
      <w:bookmarkStart w:id="3" w:name="__RefHeading___Toc1623858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تکوینی و ولایت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مباحث امامت و مهدویت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۳۲۴۸۷۷۷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3860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 و ولایت تشریعی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صافی گلپایگانی </w:t>
      </w:r>
      <w:bookmarkStart w:id="7" w:name="pg6249_41368"/>
    </w:p>
    <w:p>
      <w:pPr>
        <w:pStyle w:val="Heading2"/>
        <w:numPr>
          <w:ilvl w:val="1"/>
          <w:numId w:val="1"/>
        </w:numPr>
        <w:rPr/>
      </w:pPr>
      <w:bookmarkStart w:id="8" w:name="__RefHeading___Toc1623862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تذکّر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پیرامون مقام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بررسی و تذکّر چند مطلب مهم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پرهیز از شرک و غلوّ</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تفویض، شرک و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غیر مستقل و بإذن‌الله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اداره سازمان کائنات به اذن خدا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پیرامون غلوّ</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مجاری فیض</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خوارق 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بررسی این آرا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شخص بر نفس و آنچه مسخّر بشر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ولایت تکوینی و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معنای ولایت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مفهوم و مدلول لفظی ولایت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تفسیری از ولایت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پیرامون مجاری فیض</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صحیح در معنای ولایت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سخن نهایی و 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تذکّر یک مطلب مهم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معنای ولایت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معنای دیگر ولایت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خلاصه برخی از مطالب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آیت الله العظمی صافی گلپایگانی مدظله‌الوارف در یک نگاه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0" w:name="pg6249_41372"/>
    </w:p>
    <w:p>
      <w:pPr>
        <w:pStyle w:val="Heading2"/>
        <w:numPr>
          <w:ilvl w:val="1"/>
          <w:numId w:val="1"/>
        </w:numPr>
        <w:rPr/>
      </w:pPr>
      <w:bookmarkStart w:id="11" w:name="__RefHeading___Toc1623864_237004111"/>
      <w:bookmarkStart w:id="12" w:name="_Toc4"/>
      <w:bookmarkEnd w:id="10"/>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 xml:space="preserve">با استعانت از خداوند متعال و در ظلّ عنایات خاصه حضرت مولی‌الوری، بقیّة‌الله فی الأرضین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العالمین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مقالات و تألیفات حقیر که پیش از این مکرر چاپ شده، برحسب درخواست علاقه‌مندان تجدید طبع می‌شود که باز هم ران ملخی از این مور ریزه‌خوار سفره گسترده احسان آن حضرت به ملازمان درگاه و چاکران پیشگاه سلیمان‌پناهی آن قطب عالم امکان و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افضل التحیّة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الهدایا علی مقدار مهدیها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فرجه وسهل مخرجه وقرب زمانه واهلک اعدائه واجعلنا من مقوی سلطانه وانصاره ومن المستشهدین بین یدیه بحق محمّد وآله الطاهرین صلوات‌الله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رجب‌المرجب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صافی گلپایگانی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249_41376"/>
      <w:bookmarkStart w:id="14" w:name="pg6249_41376"/>
      <w:bookmarkEnd w:id="14"/>
    </w:p>
    <w:p>
      <w:pPr>
        <w:pStyle w:val="Heading2"/>
        <w:numPr>
          <w:ilvl w:val="1"/>
          <w:numId w:val="1"/>
        </w:numPr>
        <w:rPr/>
      </w:pPr>
      <w:bookmarkStart w:id="15" w:name="pg6249_41376"/>
      <w:bookmarkStart w:id="16" w:name="__RefHeading___Toc1623866_237004111"/>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اگرچه مسلمانان در تمام ازمنه و اعصار و امکنه و اقطار، همواره به اتّحاد، اتفاق، برادری، وفاق و پرهیز از جدال و نفاق احتیاج داشته و دارند؛ امّا در کمتر عصری مانند عصر حاضر، درمان دردهای اجتماعی، سیاسی، اقتصادی و حل مشکلات مادّی و معنوی آنها، به وحدت کلمه محتاج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هیچ عصری مانند عصر ما، از جهت وسایل ارتباطی، تحقق وحدت کامل اسلامی و اتّحاد مسلمانان زمینه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 جدید، خودبه‌خود مسلمانان را به‌هم نزدیک کرده و از حال هم باخبر ساخته، و فاصله زمان و مکان را از میان برداشته و مسائلی را که مسلمانان در هر منطقه و کشوری با آن درگیری دارند، به عموم مسلمانان عرضه و همه را به همکاری و هم‌صدایی دعوت می‌کند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اتّحاد اسلامی، می‌تواند بیش از یک‌میلیارد مسلمان</w:t>
      </w:r>
      <w:r>
        <w:rPr>
          <w:rStyle w:val="FootnoteAnchor"/>
          <w:rtl w:val="true"/>
        </w:rPr>
        <w:footnoteReference w:id="2"/>
      </w:r>
      <w:r>
        <w:rPr>
          <w:rFonts w:ascii="IRNazanin" w:hAnsi="IRNazanin" w:eastAsia="IRNazanin"/>
          <w:color w:val="111111"/>
          <w:sz w:val="28"/>
          <w:sz w:val="28"/>
          <w:szCs w:val="28"/>
          <w:rtl w:val="true"/>
          <w:lang w:bidi="fa-IR"/>
        </w:rPr>
        <w:t xml:space="preserve">کشورها و قارّه‌های مختلف را به‌هم پیوند داده و در خود بگنجاند، و در آنِ واحد از همه، برای همه و در راه تحقق اهداف عالی و انسانی اسلام و دفاع از عدالت و آزادی، یاری و کمک بگیرد و همه را درعین‌حالی که گرفتار حکومت‌های </w:t>
      </w:r>
    </w:p>
    <w:p>
      <w:pPr>
        <w:pStyle w:val="BookText"/>
        <w:rPr/>
      </w:pPr>
      <w:r>
        <w:rPr>
          <w:rFonts w:ascii="IRNazanin" w:hAnsi="IRNazanin" w:eastAsia="IRNazanin"/>
          <w:color w:val="111111"/>
          <w:sz w:val="28"/>
          <w:sz w:val="28"/>
          <w:szCs w:val="28"/>
          <w:rtl w:val="true"/>
          <w:lang w:bidi="fa-IR"/>
        </w:rPr>
        <w:t>مختلف و متنازع شده‌اند،</w:t>
      </w:r>
      <w:r>
        <w:rPr>
          <w:rStyle w:val="FootnoteAnchor"/>
          <w:rtl w:val="true"/>
        </w:rPr>
        <w:footnoteReference w:id="3"/>
      </w:r>
      <w:r>
        <w:rPr>
          <w:rFonts w:ascii="IRNazanin" w:hAnsi="IRNazanin" w:eastAsia="IRNazanin"/>
          <w:color w:val="111111"/>
          <w:sz w:val="28"/>
          <w:sz w:val="28"/>
          <w:szCs w:val="28"/>
          <w:rtl w:val="true"/>
          <w:lang w:bidi="fa-IR"/>
        </w:rPr>
        <w:t xml:space="preserve">تحت حکومت و قیادت اسلام رهبری نماید و حکومت اسلام را مافوق هر حکومت و رژیمی قرار داده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اعتصام به حبل‌الله را در برابر چشم بصیرت هر مسلمان افراشته سازد؛ اتحادی که در مشترکاتی چون قرآن و احکام آن، قبله، مساجد، مآذن، نماز، روزه، حج و شعایر اسلامی دیگر، پس از چهارده قرن، هنوز نظایرش به‌قوّت جلوه‌گر است، گسترش دهد و به یک اتّحاد نیرومند تمام‌عیار فرهنگی، آموزشی، سیاسی، مالی و اقتصادی اسلامی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امروز صدای یکدیگر را می‌شنوند و می‌توانند به استغاثه یک نفر مسلمان و یک نفر همنوع که در دورترین نقاط جهان گرفتار فشار و تبعیض‌نژادی و طبقاتی و سلب آزادی شده باشد، جواب دهند و دنیای اسلام را برای یاری و کمک او بسیج نمایند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تحقق و حصول این هدف عالی، وجود یک مرکز مطمئن و خودساخته و مورد اعتماد که مجهّز به تمام وسایل ارتباط با مسلمانان جهان باشد، بسیار لازم و مؤثر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 اینکه این‌کار چگونه باید انجام شود، چه کسانی باید شروع و اقدام نمایند، محل این مرکز کجا باید باشد و برنامه کار چگونه باید تنظیم شود، مطالب مهمّی است که در این رساله جای بررسی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باید همه در این مطلبی که پیشنهاد می‌کنم و از مسائل بسیار حیاتی عالم اسلام است، فکر کنند و طرح بدهند و کوشش نمایند که هرچه زودتر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عقلا و دوراندیشان و مخلصان شیعه و اهل‌سنّت آن را تصویب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بپوشد و بحث در این موضوع، موجب اختلاف تازه یا تشدید آن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تنها از جانب خداوند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مسلمانان هستند که با نیروی اتّحاد، هم‌اکنون با مسلمانان اریتره، فلسطین، فیلیپین، بلغارستان، یوگسلاوی، سومالی، برمه، چین</w:t>
      </w:r>
      <w:r>
        <w:rPr>
          <w:rStyle w:val="FootnoteAnchor"/>
          <w:rtl w:val="true"/>
        </w:rPr>
        <w:footnoteReference w:id="6"/>
      </w:r>
      <w:r>
        <w:rPr>
          <w:rFonts w:ascii="IRNazanin" w:hAnsi="IRNazanin" w:eastAsia="IRNazanin"/>
          <w:color w:val="111111"/>
          <w:sz w:val="28"/>
          <w:sz w:val="28"/>
          <w:szCs w:val="28"/>
          <w:rtl w:val="true"/>
          <w:lang w:bidi="fa-IR"/>
        </w:rPr>
        <w:t>و نقاط دیگر همدردی کرده و در مجامع رسمی بین‌المللی، یکدیگر را تأیید و پشتیبانی می‌نمایند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هر روز زمینه برای مستحکم‌تر شدن وحدت اسلامی که اساس و پایه وحدت آزاد و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است، فراهم‌تر می‌شود </w:t>
      </w:r>
    </w:p>
    <w:p>
      <w:pPr>
        <w:pStyle w:val="BookText"/>
        <w:rPr/>
      </w:pPr>
      <w:r>
        <w:rPr>
          <w:rFonts w:ascii="IRNazanin" w:hAnsi="IRNazanin" w:eastAsia="IRNazanin"/>
          <w:color w:val="111111"/>
          <w:sz w:val="28"/>
          <w:sz w:val="28"/>
          <w:szCs w:val="28"/>
          <w:rtl w:val="true"/>
          <w:lang w:bidi="fa-IR"/>
        </w:rPr>
        <w:t>و روزبه‌روز جنبش طرد برنامه‌ها و نظامات غیراسلامی و مطالبه برقراری نظام اسلامی در مسلمانان قوی‌تر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صدها‌میلیون مسلمان، در آفریقا و آسیا، استعمار را از سرزمین‌های خود بیرون رانده‌اند، و این ملت مصر است که با بیرون کردن بیش از بیست‌هزار کارشناس و افراد روسی، خود را از خطر سلطه کمونیسم نجات داده و بازگشت خود را به نظام اسلامی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ملّت پاکستان است که حکومت غرب‌پرست را ساقط می‌کند و تعطیلی یکشنبه را لغو و به‌جای آن تعطیلی جمعه را رسمی می‌نماید و اجرای کامل نظامات اسلامی را عنوان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این ملّت ترکیه و دانشجویان مسلمان آن هستند که پس از پنجاه سال اختناق رژیم تحمیلی و ضدّاسلامی و استعمارگر، به‌پا خاسته و شعایر اسلام را احیا می‌کنند و به‌سوی اسلام می‌روند و بازگرداندن مسجد ایاصوفیه را به اسلام و اخراج رهبر اخلال‌گر دولت ملّیون مسیحی را از اسلامبول مطالبه می‌نمایند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تقریباً در همه‌جا، چه در کشورهای به‌اصطلاح آزادشده اسلامی؛ مثل پاکستان، بنگلادش، مصر و اندونزی و چه در کشورهای آزادنشده، جنبش اسلام‌خواهی و مطالبه عمل به احکام اسلام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اسلام، برای اسلام و مسلمانان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کم‌وبیش دیده می‌شود</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مسلمانان لازم است که از فرصت استفاده کرده و به وحدت اسلامی تمسّک جویند تا رسالت جهانی اسلام را به جهانیان برسانند و ناتوانی و ضعفی را که در اثر اختلافات و بدگمانی‌ها و جهل به حقایق دین، و خیانت‌ها و تحریکات و تلقینات سوء و اضلال استعمار، پیکر جامعه مسلمان را رنجور و نحیف ساخته با اتّحاد و اتفاق و حسن ظنّ و حمل به صحّت و گذشت و اصلاح ذات‌البین و رعایت حقوق اخوت، برطرف سازند و مسائل و مباحث سیاسی، اقتصادی، اجتماعی و اعتقادی را فقط‌وفقط به منظور تحقیق و کاوش و ظاهر شدن اندیشه‌های اصیل اسلامی و کمک به پیشرفت و ترقّی نسل معاصر، طرح و در چهارچوب تعالیم جامع اسلامی بررسی نمایند و در این باب جاه‌طلبی و شهرت‌خواهی و عناد و لجاج و خودرأیی را کنار گذاشته و از مکتب‌های بیگانگان و مزدوران استعمار الهام نگیرند و از مطرح کردن مسائلی که فعلاً طرح آن لزومی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جامعه از بررسی آن، زیانی به جایی نمی‌زند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موجب اختلاف و جدایی و جدال گردد، خودداری نمایند و بی‌سبب دودستگی و تفرّق ایجاد نکنند و به اسم تحقیق و روشن کردن افکار، جامعه‌ای را که باید به جبران عقب‌ماندگی‌های خود بپردازد و در رشته‌هایی از صنعت و علوم‌تجربی که از دیگران عقب مانده، هرچه زودتر و سریع‌تر پیش برود، از کار و تلاش باز ندارند</w:t>
      </w:r>
      <w:r>
        <w:rPr>
          <w:rFonts w:eastAsia="IRNazanin" w:cs="IRNazanin"/>
          <w:color w:val="111111"/>
          <w:sz w:val="28"/>
          <w:szCs w:val="28"/>
          <w:rtl w:val="true"/>
          <w:lang w:bidi="fa-IR"/>
        </w:rPr>
        <w:t xml:space="preserve">. </w:t>
      </w:r>
      <w:bookmarkStart w:id="18" w:name="pg6249_41386"/>
    </w:p>
    <w:p>
      <w:pPr>
        <w:pStyle w:val="Heading2"/>
        <w:numPr>
          <w:ilvl w:val="1"/>
          <w:numId w:val="1"/>
        </w:numPr>
        <w:rPr/>
      </w:pPr>
      <w:bookmarkStart w:id="19" w:name="__RefHeading___Toc1623868_237004111"/>
      <w:bookmarkStart w:id="20" w:name="_Toc6"/>
      <w:bookmarkEnd w:id="18"/>
      <w:bookmarkEnd w:id="19"/>
      <w:r>
        <w:rPr>
          <w:rtl w:val="true"/>
        </w:rPr>
        <w:t>تذکّر دیگر</w:t>
      </w:r>
      <w:bookmarkEnd w:id="20"/>
    </w:p>
    <w:p>
      <w:pPr>
        <w:pStyle w:val="BookText"/>
        <w:rPr/>
      </w:pPr>
      <w:r>
        <w:rPr>
          <w:rFonts w:ascii="IRNazanin" w:hAnsi="IRNazanin" w:eastAsia="IRNazanin"/>
          <w:color w:val="111111"/>
          <w:sz w:val="28"/>
          <w:sz w:val="28"/>
          <w:szCs w:val="28"/>
          <w:rtl w:val="true"/>
          <w:lang w:bidi="fa-IR"/>
        </w:rPr>
        <w:t>هوشیاری و بیداری ملّت اسلام، دشمنان را نگران ساخته و منافع استعمارگرانه آنها را سخت در خطر انداخته است، پس افراد مزدوری را استخدام کرده‌اند که بر وحدت اسلامی و اتّحاد مسلمانان ضربه وارد کنند و مسلمانان را به خود مشغول، و از مسیر ترقّی و حرکت و جهاد خارج نمایند و مسائلی را طرح کنند که موجب گمراهی افکار و حمله به عقاید و تاریخ و مقدّسات و قلب و تحریف حقایق باشد، تا فکر و قلم اندیشمندان و علما و نویسندگان و گویندگان را متوجّه دفع شبهات و گمراهی‌ها و جلوگیری از انحراف افکار و دفاع از حقایق و عقاید و تاریخ و معارف گرداند، و از پرداختن به مسائل دیگر که استعمار را به‌سوی جهنم سقوط می‌برد،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حتی به اسم توحید و اتّحاد اسلامی و دعوت به ترک شرک و نفی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الفاظ و مفاهیم که مورد قبول هر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 یک بار، آتش اختلافی را روشن می‌نمایند، و پس از آنکه در اثر بیداری مردم، آن آتش خاموش و آن نغمه فراموش شد، آتش دیگری روشن، و نغمه تازه‌ای را ساز می‌کنند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مسلمانان است تا این صداها و فریادهای تفرقه‌انداز را از هر حلقومی که بلند شود، ساکت کنند، و کلام حکمت نظام </w:t>
      </w:r>
      <w:bookmarkStart w:id="21" w:name="pg6249_41388"/>
    </w:p>
    <w:p>
      <w:pPr>
        <w:pStyle w:val="BookText"/>
        <w:rPr/>
      </w:pPr>
      <w:bookmarkEnd w:id="21"/>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درنظر گرفته تا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کُلِّ ناعِق</w:t>
      </w:r>
      <w:r>
        <w:rPr>
          <w:rStyle w:val="FootnoteAnchor"/>
          <w:rtl w:val="true"/>
        </w:rPr>
        <w:footnoteReference w:id="8"/>
      </w:r>
      <w:r>
        <w:rPr>
          <w:rFonts w:ascii="IRNazanin" w:hAnsi="IRNazanin" w:eastAsia="IRNazanin"/>
          <w:color w:val="111111"/>
          <w:sz w:val="28"/>
          <w:sz w:val="28"/>
          <w:szCs w:val="28"/>
          <w:rtl w:val="true"/>
          <w:lang w:bidi="fa-IR"/>
        </w:rPr>
        <w:t>از هر صدایی پیروی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و مفاهیم و الفاظ و اصطلاحات و برنامه‌های اسلام را از راه‌هایی که صحّت آن تضمین و به گواهی رهبر اسلام رسیده، فراگیرند</w:t>
      </w:r>
      <w:r>
        <w:rPr>
          <w:rFonts w:eastAsia="IRNazanin" w:cs="IRNazanin"/>
          <w:color w:val="111111"/>
          <w:sz w:val="28"/>
          <w:szCs w:val="28"/>
          <w:rtl w:val="true"/>
          <w:lang w:bidi="fa-IR"/>
        </w:rPr>
        <w:t>.</w:t>
      </w:r>
    </w:p>
    <w:p>
      <w:pPr>
        <w:pStyle w:val="Heading2"/>
        <w:numPr>
          <w:ilvl w:val="1"/>
          <w:numId w:val="1"/>
        </w:numPr>
        <w:rPr/>
      </w:pPr>
      <w:bookmarkStart w:id="22" w:name="__RefHeading___Toc1623870_237004111"/>
      <w:bookmarkStart w:id="23" w:name="_Toc7"/>
      <w:bookmarkEnd w:id="22"/>
      <w:r>
        <w:rPr>
          <w:rtl w:val="true"/>
        </w:rPr>
        <w:t>پیرامون مقام ولایت</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چندی است که عوامل مزدور و مغرض و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هویت آنها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قدسیه انبیا و اوصیا، متهتّکانه و بی‌ادبانه جسارت کرده و شئون و مراتب مسلّم و معلوم آنها را انکار می‌کنند و می‌خواهند از این راه جنگ داخلی برپا‌کرده، تشکّل و هم‌بستگی نیرومند مسلمانان را در برابر دشمنان اسلام و مزدوران الحاد و استعمار ضعیف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برمی‌انگیزند تا فضایل و علوم لدُنّی آنها را انکار کند، و دیگری را مأمور حمله به حریم ولایت آنها می‌سازند و شئونی را که خداوند متعال به آن بزرگواران عطا کرده است، حاشا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پای جسارت را فراتر گذاشته، با نواصب و دشمنان اهل‌بیت رسالت هم‌صدا شده، پیروی از یزید، معاویه، زیاد، ابن‌زیاد، حجّاج و متوکّل را شعار خود ساخته، و آیین بنی‌امیه و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نوسازی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پاره‌ای هم با تأویلات و تفسیرهای نادرستی در پیرامون مسائلی مانند عصمت، طهارت، شفاعت، ولایت، وصایت و امامت می‌خواهند خود را روشن‌فکر جلوه دهند، تا تنی چند از افراد خام و روشن‌فکرزده را به دور خود جمع کرده، در مقاصد جاه‌طلبانه خود از آنها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ولایت تکوینی و تشریعی نیز باب بحث و انکار را باز کرده، و خوشبختانه یا متأسفانه، بیشتر آنان که در انکار آن مبالغه دارند، معنای صحیح آن را درک نکرده و ندانسته و متعصّبانه و از راه لجاج و عناد انکار می‌کنند، چنان‌که بسیاری از معترضان و مخالفان آنها نیز از ناحیه علم و آگاهی هم‌طراز آنها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ازاین‌جهت بسا می‌شود که سلب و ایجاب طرفین وارد بر دو موضوع شده و آنچه یک نفر اثبات و از آن دفاع می‌نماید، غیر آن چیزی است که دیگری انکار و ردّ کرده است و مفهوم ولایت تکوینی و ولایت تشریعی نزد کسی که آن را ردّ می‌کند، مفهومی است که اثبات‌کننده ولایت تکوینی و تشریعی هم آن را ردّ می‌نمایند و در نظر اثبات‌کننده نیز مفهومی است که ردّکننده هم آن را اثبات می‌کند و اگر طرفین بفهمند نفی و اثبات آنها در دو مورد است و به‌هم ارتباط ندارد، می‌فهمند که نزاع آنها لفظی بوده و ناآگاهی و ترک تحقیق باعث آن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پاسخ‌هایی پیرامون این دو جمله داده شده است؛ ولی به نظر می‌رسد به‌طور کافی روشن‌کننده این مطلب نیست و محلّ بحث را تعیین نمی‌کنند و موارد لفظی بودن این بحث و موارد حقیقی بودن آن را آشکار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پاره‌ای هستند که عامدانه و مغرضانه و مأمورانه، راه خلاف را می‌پویند و حتی ادعیه‌ای مثل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تمامش ذکر خدا و اسماء‌الحسنی و توحید است و کتاب‌هایی مثل الغدیر را خرافات می‌گویند و ولایت تکوینی و تشریعی را به هر معنایی انکار می‌کنند، حتی از ابن‌تیمیه‌ها و ابن‌قیّم‌ها و ابن‌حطان‌ها و نواصب دیگر هم در دشمنی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افتاده‌اند؛ ولی بیشتر کسانی که در میدان این مجادلات کشیده شده‌اند، فریفته الفاظ گردید‌ه‌اند که اگر بفهمند منکران مأمور و مزدور چه قصدی داشته و چه حقایق مقدّس و ثابتی را انکار می‌کنند، از آنها بیزاری می‌جویند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این کتاب به‌طور اختصار، توضیحی است راجع به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بخش تنظیم شده؛ در بخش اوّل که به‌منزله مقدمه است، بعضی از مطالب بسیار مهم و اصولی تذکّر داده شده که در درک حقیقت این بحث و اطراف و جوانب آن مفید بوده و دانستن آن، با قطع نظر از این بحث نیز کمال لزوم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w:t>
      </w:r>
    </w:p>
    <w:p>
      <w:pPr>
        <w:pStyle w:val="BookText"/>
        <w:rPr/>
      </w:pPr>
      <w:r>
        <w:rPr>
          <w:rFonts w:ascii="IRNazanin" w:hAnsi="IRNazanin" w:eastAsia="IRNazanin"/>
          <w:color w:val="111111"/>
          <w:sz w:val="28"/>
          <w:sz w:val="28"/>
          <w:szCs w:val="28"/>
          <w:rtl w:val="true"/>
          <w:lang w:bidi="fa-IR"/>
        </w:rPr>
        <w:t>و تحقیقات پیرامون ولایت تکوینی و ولایت تشریعی به عرض پژوهشگران و جویندگان حقایق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برای روشن شدن اذهان و حفظ وحدت کلمه مسلمین و جلوگیری از تفرقه، مؤثّر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إِلاَّ الاِصْلاحَ مَا اسْتَطَعْتُ وَما تَوْفِیقِی إِلاّ بِاللّهِ عَلَیْهِ تَوَکَّلْتُ وَإِلَیْهِ أُنِیبُ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جز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توانایی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من جز به خدا نیست؛ بر او توکّل کردم و به‌سوی او بازمی‌گردم</w:t>
      </w:r>
      <w:r>
        <w:rPr>
          <w:rFonts w:eastAsia="IRNazanin" w:cs="IRNazanin"/>
          <w:color w:val="111111"/>
          <w:sz w:val="28"/>
          <w:szCs w:val="28"/>
          <w:rtl w:val="true"/>
          <w:lang w:bidi="fa-IR"/>
        </w:rPr>
        <w:t xml:space="preserve">». </w:t>
      </w:r>
      <w:bookmarkStart w:id="24" w:name="pg6249_41397"/>
    </w:p>
    <w:p>
      <w:pPr>
        <w:pStyle w:val="Heading2"/>
        <w:numPr>
          <w:ilvl w:val="1"/>
          <w:numId w:val="1"/>
        </w:numPr>
        <w:rPr/>
      </w:pPr>
      <w:bookmarkStart w:id="25" w:name="__RefHeading___Toc1623872_237004111"/>
      <w:bookmarkStart w:id="26" w:name="_Toc8"/>
      <w:bookmarkEnd w:id="24"/>
      <w:bookmarkEnd w:id="25"/>
      <w:r>
        <w:rPr>
          <w:rtl w:val="true"/>
        </w:rPr>
        <w:t>بررسی و تذکّر چند مطلب مهم</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1623874_237004111"/>
      <w:bookmarkStart w:id="28" w:name="_Toc9"/>
      <w:bookmarkEnd w:id="27"/>
      <w:r>
        <w:rPr>
          <w:rtl w:val="true"/>
        </w:rPr>
        <w:t>اشاره</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6249_41400"/>
      <w:bookmarkStart w:id="30" w:name="pg6249_41400"/>
      <w:bookmarkEnd w:id="30"/>
    </w:p>
    <w:p>
      <w:pPr>
        <w:pStyle w:val="BookText"/>
        <w:rPr/>
      </w:pPr>
      <w:bookmarkStart w:id="31" w:name="pg6249_41400"/>
      <w:bookmarkEnd w:id="31"/>
      <w:r>
        <w:rPr>
          <w:rFonts w:ascii="IRNazanin" w:hAnsi="IRNazanin" w:eastAsia="IRNazanin"/>
          <w:color w:val="111111"/>
          <w:sz w:val="28"/>
          <w:sz w:val="28"/>
          <w:szCs w:val="28"/>
          <w:rtl w:val="true"/>
          <w:lang w:bidi="fa-IR"/>
        </w:rPr>
        <w:t>پیش از ورود در اصل بحث، بررسی چند موضوع مهم لازم است؛ زیرا این بررسی، هم در روشن شدن حقیقت و اطراف و جوانب این بحث مؤثّر است و هم مستقلاً شامل چند رشته از مسائل بزرگ و اساسی اعتقادی و فکری است که در متن معارف توحیدی و اسلامی قرار دارد</w:t>
      </w:r>
      <w:r>
        <w:rPr>
          <w:rFonts w:eastAsia="IRNazanin" w:cs="IRNazanin"/>
          <w:color w:val="111111"/>
          <w:sz w:val="28"/>
          <w:szCs w:val="28"/>
          <w:rtl w:val="true"/>
          <w:lang w:bidi="fa-IR"/>
        </w:rPr>
        <w:t>:</w:t>
      </w:r>
    </w:p>
    <w:p>
      <w:pPr>
        <w:pStyle w:val="Heading3"/>
        <w:numPr>
          <w:ilvl w:val="2"/>
          <w:numId w:val="1"/>
        </w:numPr>
        <w:rPr/>
      </w:pPr>
      <w:bookmarkStart w:id="32" w:name="__RefHeading___Toc1623876_237004111"/>
      <w:bookmarkStart w:id="33" w:name="_Toc10"/>
      <w:bookmarkEnd w:id="32"/>
      <w:r>
        <w:rPr/>
        <w:t>1</w:t>
      </w:r>
      <w:r>
        <w:rPr>
          <w:rtl w:val="true"/>
        </w:rPr>
        <w:t xml:space="preserve"> - </w:t>
      </w:r>
      <w:r>
        <w:rPr>
          <w:rtl w:val="true"/>
        </w:rPr>
        <w:t>توحید و پرهیز از شرک و غلوّ</w:t>
      </w:r>
      <w:bookmarkEnd w:id="33"/>
    </w:p>
    <w:p>
      <w:pPr>
        <w:pStyle w:val="BookText"/>
        <w:rPr/>
      </w:pPr>
      <w:r>
        <w:rPr>
          <w:rFonts w:ascii="IRNazanin" w:hAnsi="IRNazanin" w:eastAsia="IRNazanin"/>
          <w:color w:val="111111"/>
          <w:sz w:val="28"/>
          <w:sz w:val="28"/>
          <w:szCs w:val="28"/>
          <w:rtl w:val="true"/>
          <w:lang w:bidi="fa-IR"/>
        </w:rPr>
        <w:t xml:space="preserve">در میان مسائل و اصولی که دعوت اسلام بر آن قرار دارد، موضوع و پایه‌ای مهم‌تر و اساسی‌تر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عقیده‌ای خطرناک‌تر فاسدتر و باطل‌تر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نیست، آن را باید اثبات کرد و هرچه روشن‌تر و وسیع‌تر و خالص‌تر و پاک‌تر فراگرفت و این را باید طرد کرد و از صُور و مظاهر و نمایش‌های گوناگونی که دارد، فکراً و عملاً پرهیز کرد و جلوگیری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یُشْرِکْ بِاللّهِ فَکَأَنَّما خَرَّ مِنَ السَّمآءِ فَتَخْطَفُهُ الطَّیْرُ أَوْ تَهْوِی بِهِ الرِّیحُ فِی مَکان سَحِیق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همتایی برای خدا قرار دهد، گویی از آسمان </w:t>
      </w:r>
    </w:p>
    <w:p>
      <w:pPr>
        <w:pStyle w:val="BookText"/>
        <w:rPr/>
      </w:pPr>
      <w:r>
        <w:rPr>
          <w:rFonts w:ascii="IRNazanin" w:hAnsi="IRNazanin" w:eastAsia="IRNazanin"/>
          <w:color w:val="111111"/>
          <w:sz w:val="28"/>
          <w:sz w:val="28"/>
          <w:szCs w:val="28"/>
          <w:rtl w:val="true"/>
          <w:lang w:bidi="fa-IR"/>
        </w:rPr>
        <w:t xml:space="preserve">سقوط کرده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ربایند و یا تندباد او را به‌جای دوردستی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ولایت تکوینی و تشریعی و مقامات و فضایل انبیا و اولیا باید کمال توجّه را به این دو موضوع داشت، تا توحید با تمام شُعب و اقسامی که دارد، صددرصد محفوظ باشد و به حریم آن تجاوزی نشده و از خلوص آن، چیزی کم‌وکاست نگردد، و مخلوق در مرتبه خالق و ممکن در مرتبه واجب شناخته نشود، و شرک و غلوّی پیش نیاید و از افراط در عقیده به شئون انبیا و اولیا و نبوّت و ولایت که فکر و عمل شخص را به شرک و غلوّ گرایش می‌دهد،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تفریط نیز باید پرهیز کرد و به نام گریز از شرک یا غلوّ، نباید فضایل و مقامات و مناصب و شئونی را که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انکار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خود نیز شعبه‌ای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کمالات و مقامات انسان‌های نمونه و برتر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از آنها کسب معارف توحیدی کرد، و کشتی نجات بشریت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مطلوب، دقیق و حسّاس است و در این میان، شناخت صراط مستقیم کمال لزوم را دارد، و در بعضی از موارد و دقایق آن، فقط علمای متفطّن و متبحّر و زحمت‌کشیده در قرآن و 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اظهارنظر نمایند، و راه میانه و منزّه و پاک را از افراط و تفریط </w:t>
      </w:r>
      <w:bookmarkStart w:id="34" w:name="pg6249_41404"/>
    </w:p>
    <w:p>
      <w:pPr>
        <w:pStyle w:val="BookText"/>
        <w:rPr/>
      </w:pPr>
      <w:bookmarkEnd w:id="34"/>
      <w:r>
        <w:rPr>
          <w:rFonts w:ascii="IRNazanin" w:hAnsi="IRNazanin" w:eastAsia="IRNazanin"/>
          <w:color w:val="111111"/>
          <w:sz w:val="28"/>
          <w:sz w:val="28"/>
          <w:szCs w:val="28"/>
          <w:rtl w:val="true"/>
          <w:lang w:bidi="fa-IR"/>
        </w:rPr>
        <w:t>مشخص سازند و به دیگران هم نشان دهند، که متأسفانه هم افراط و هم تفریط، بسیاری را گمراه کرده است و بعضی مسائلی را غلوّ پنداشته‌اند که اعتقاد به آنها در حقّ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غلوّ نیست؛ بلکه در حقّ دیگران هم جواز و امکان آن مسلّم است و از سوی دیگر، برخی هم به‌اندازه‌ای بی‌پروایی و بی‌احتیاطی کرد‌ه‌اند که گرفتار تعطیل و تشبیه و شرک و حلول و اتّحاد و تاریکی‌ها و گمراهی‌های گوناگون گردید‌ه‌اند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نوری برای او قرار نداده، نوری برای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أَعاذَنَا اللهُ مِنَ الشِّرْکِ وَالْغُلُوِّ وَالْاِلْحادِ وَالتَّشْبِیهِ وَالتَّعْطِیلِ، وَمِنَ التَّقْصِیرِ فِی مَعْرِفَةِ أَوْلِیآئِهِ وَمَناصِبِهِمْ وَمَقاماتِهِمْ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623878_237004111"/>
      <w:bookmarkStart w:id="36" w:name="_Toc11"/>
      <w:bookmarkEnd w:id="35"/>
      <w:r>
        <w:rPr/>
        <w:t>2</w:t>
      </w:r>
      <w:r>
        <w:rPr>
          <w:rtl w:val="true"/>
        </w:rPr>
        <w:t xml:space="preserve"> - </w:t>
      </w:r>
      <w:r>
        <w:rPr>
          <w:rtl w:val="true"/>
        </w:rPr>
        <w:t>تفویض، شرک و باطل است</w:t>
      </w:r>
      <w:bookmarkEnd w:id="36"/>
    </w:p>
    <w:p>
      <w:pPr>
        <w:pStyle w:val="BookText"/>
        <w:rPr/>
      </w:pPr>
      <w:r>
        <w:rPr>
          <w:rFonts w:ascii="IRNazanin" w:hAnsi="IRNazanin" w:eastAsia="IRNazanin"/>
          <w:color w:val="111111"/>
          <w:sz w:val="28"/>
          <w:sz w:val="28"/>
          <w:szCs w:val="28"/>
          <w:rtl w:val="true"/>
          <w:lang w:bidi="fa-IR"/>
        </w:rPr>
        <w:t>تفویضی که باطل و خلاف توحید است، دو معنا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در کارهای خود مستقل و فاعل بالاستقلال باشند و قضاوقدر الهی در کار نباشد، افعال عباد از حیطه اراده و نظم عامّ الهی در عالم خلقت خارج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خلق، رزق، اماته، احیا، شفای بیماران، برقراری نظامات و تدبیر کائنات، به حجج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غیر ایشان واگذار شده باشد که فاعل بالاستقلال در این امور باشند و خدا از تدبیر امور و افعال کناره‌گیری کرده و عالم را به غیر خود سپرده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واضح است که تفویض به این دو معنا، خلاف براهین عقلی و ادلّه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از‌نظر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که استقلال غیرخدا در افعال و تدبیر امور کائنات، هرچند به اقدارِ خدا باشد و حادث بوده و ازلی نباشد، منافی با ذاتِ ممکن است که بی‌استقلال و عینِ وابستگی و تعلق و ارتباط به واجب‌الوجود است؛ خواه مجعول بالذات، ماهیات باشند یا حقایق وجودیه، و فرض وجودی غیر از خدا که به نحو استقلال و استبداد، منشأ جعل و خلق و مبدأ وجود باشد، مستلزم خُلف و خروج آن از امکان به وجوب، و از ارتباط به استبداد و از تعلق به استقلال است و این، علاوه‌براینکه محال است، عین شرک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مستقل و فاعل بالاستقلال شناختن غیرخدا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افعال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است؛ زیرا فاعل بالاستقلال و وجود مستقل </w:t>
      </w:r>
    </w:p>
    <w:p>
      <w:pPr>
        <w:pStyle w:val="BookText"/>
        <w:rPr/>
      </w:pPr>
      <w:r>
        <w:rPr>
          <w:rFonts w:ascii="IRNazanin" w:hAnsi="IRNazanin" w:eastAsia="IRNazanin"/>
          <w:color w:val="111111"/>
          <w:sz w:val="28"/>
          <w:sz w:val="28"/>
          <w:szCs w:val="28"/>
          <w:rtl w:val="true"/>
          <w:lang w:bidi="fa-IR"/>
        </w:rPr>
        <w:t>مطلق، منحصر به خداست و فرض استقلال برای غیرخدا، اگرچه در حیثیتی از حیثیّات باشد، فرض محال و شرک است، هرچند آن استقلال به جعل الهی باشد، خواه به جعل تألیفی و ترکیبی باشد و خواه به جعل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امور مستحیله متعلق هیچ‌گونه جعل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ازنظر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کافی است در ردّ آن،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دستهایشان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 سخن از رحمت الهی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کسانی که در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فانی می‌شوند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زیادی که راجع به امر رزق و خلق، کشف ضرّ، وجوب توکّل به خدا و غیر اینها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روایات بسیاری مثل حدیث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تَفْوِیضَ وَلکِنْ أَمْرٌ بَیْنَ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تفویض؛ بلکه امری است میان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عَزَّوَجَلَّ یَفْعَلُ أَفْعالَنا، ثُمَّ یُعَذِّبُنا عَلَیْها، فَقَدْ قالَ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اللهَ فَوَّضَ أَمْرَ الْخَلْقِ وَالرِّزْقِ إِلی حُجَجِهِ، فَقَدْ قالَ بِالتَّفْوِیضِ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وَالْقآئِلُ بِالْجَبْرِ کافِرٌ، وَالْقآئِلُ بِالتَّفْوِیضِ مُشْرِکٌ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گمان کند خداوند عزوجل کارهای ما را انجام می‌دهد، سپس ما را برانجام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می‌کند قائل به جبر شده است؛ و هرکس گمان کند که امر آفرینش و روزی به حجت‌های خداوند واگذار شده است، به سمت تفویض رفته است؛ درحالی‌که قائل به جبر کافر است و قائل به تفویض مشرک است</w:t>
      </w:r>
      <w:r>
        <w:rPr>
          <w:rFonts w:eastAsia="IRNazanin" w:cs="IRNazanin"/>
          <w:color w:val="111111"/>
          <w:sz w:val="28"/>
          <w:szCs w:val="28"/>
          <w:rtl w:val="true"/>
          <w:lang w:bidi="fa-IR"/>
        </w:rPr>
        <w:t xml:space="preserve">». </w:t>
      </w:r>
      <w:bookmarkStart w:id="37" w:name="pg6249_41412"/>
    </w:p>
    <w:p>
      <w:pPr>
        <w:pStyle w:val="Heading3"/>
        <w:numPr>
          <w:ilvl w:val="2"/>
          <w:numId w:val="1"/>
        </w:numPr>
        <w:rPr/>
      </w:pPr>
      <w:bookmarkStart w:id="38" w:name="__RefHeading___Toc1623880_237004111"/>
      <w:bookmarkStart w:id="39" w:name="_Toc12"/>
      <w:bookmarkEnd w:id="37"/>
      <w:bookmarkEnd w:id="38"/>
      <w:r>
        <w:rPr/>
        <w:t>3</w:t>
      </w:r>
      <w:r>
        <w:rPr>
          <w:rtl w:val="true"/>
        </w:rPr>
        <w:t xml:space="preserve"> - </w:t>
      </w:r>
      <w:r>
        <w:rPr>
          <w:rtl w:val="true"/>
        </w:rPr>
        <w:t>قدرت غیر مستقل و بإذن‌الله</w:t>
      </w:r>
      <w:bookmarkEnd w:id="39"/>
    </w:p>
    <w:p>
      <w:pPr>
        <w:pStyle w:val="BookText"/>
        <w:rPr/>
      </w:pPr>
      <w:r>
        <w:rPr>
          <w:rFonts w:ascii="IRNazanin" w:hAnsi="IRNazanin" w:eastAsia="IRNazanin"/>
          <w:color w:val="111111"/>
          <w:sz w:val="28"/>
          <w:sz w:val="28"/>
          <w:szCs w:val="28"/>
          <w:rtl w:val="true"/>
          <w:lang w:bidi="fa-IR"/>
        </w:rPr>
        <w:t>اعتقاد به قادر بودن عبد، به‌طور ارتباط و غیرمستقل و بإذن‌الله، بر اماته و احیا و شفای بیماران و خلق و رزق، نه به‌عنوان اداره امور و خلق خلایق و ترتیب دادن نظام کلّی ارزاق و برقرار داشتن سازمان کائنات؛ بلکه طبق حِکم و مصالح عارضی و ثانوی، که در داخل این سازمان مناسب می‌شود، شرک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تسلط و قوه و نیرویی بخشیده شود که بتواند به اذن خدا کارهایی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مطیع و فرمان‌بر او گردند و به قدرت و اذن خدا به نحوی گردند که عبد در آنها تصرّف نماید؛ مانند نرم‌شدن آهن برای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بااین‌حال، اطلاق بعضی از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آن به خدا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چنین قدرتی به او اعطا شده و همچنین استناد افعالی که به‌طور حقیقت به خدا استناد داده می‌شود، به کسی که در شرایط مذکور، فعلی از او صادر می‌گردد، توقیفی و محتاج به دلیل و اذن شرع است، و حداقل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جایز است که قراین یا قرینه ظاهری از حال و مقال باشد که به‌هیچ‌وجه شائبه شرک و استقلال در بین نیاید، لذا قرآن مجید در یک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 نفُسَ حینَ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به هنگام مرگ قبض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ما جان او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تَتَوَفّیهُمُ الْمَلآئِکَةُ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می‌گیرند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اطلاق بعضی از اسماء‌الحسنی،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غیرخدا به‌طوراطلاق، خواه آن غیر، ملائکه باشد یا غیرملائکه جایز نیست، و جواز و عدم جواز آن برحسب موارد، و برحسب اسماء‌الله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 بر اساس همین جهت که بیان شد، می‌بینیم به کسی که زمین موات را احیا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شائبه و توهم شرک در آن نیست؛ زیرا قرینه است که معنایی که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اطلاق آن بر خدا اراده می‌شود از آن اراده نشده، بلکه مَجاز است؛ زیرا به لحاظ اینکه او اسباب و معدات زنده‌شدن زمین را برای روییدن نبات در آن، فراهم می‌سازد، به او مُحیی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زمین هم، به لحاظ آنکه در </w:t>
      </w:r>
    </w:p>
    <w:p>
      <w:pPr>
        <w:pStyle w:val="BookText"/>
        <w:rPr/>
      </w:pPr>
      <w:r>
        <w:rPr>
          <w:rFonts w:ascii="IRNazanin" w:hAnsi="IRNazanin" w:eastAsia="IRNazanin"/>
          <w:color w:val="111111"/>
          <w:sz w:val="28"/>
          <w:sz w:val="28"/>
          <w:szCs w:val="28"/>
          <w:rtl w:val="true"/>
          <w:lang w:bidi="fa-IR"/>
        </w:rPr>
        <w:t xml:space="preserve">آن اشیای زنده روییده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22"/>
      </w:r>
      <w:r>
        <w:rPr>
          <w:rFonts w:ascii="IRNazanin" w:hAnsi="IRNazanin" w:eastAsia="IRNazanin"/>
          <w:color w:val="111111"/>
          <w:sz w:val="28"/>
          <w:sz w:val="28"/>
          <w:szCs w:val="28"/>
          <w:rtl w:val="true"/>
          <w:lang w:bidi="fa-IR"/>
        </w:rPr>
        <w:t>امّا زنده‌ساختن زمین و رویاندنِ نبات، فعل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غرض این است که در امثال این موارد، قراین در کار است و هیچ شائبه و توهم شرکی در بین نیست، و اگر به احیاکننده زمین مُحیی بگویند و عمل احیا را به او نسبت دهند، با احیای ارضی که در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زمین را بعد از مرگ آن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لَهُمُ الأَرْضُ الْمَیْتَةُ أَحْیَیْناها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مرده برای آنها آیتی است، ما آن را زنده کردیم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نسبت داده شده، اشتباه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مفهوم این دو اطلاق را، هرکس اندک ذوق و معرفتی داشته باشد، به‌وضوح درک می‌کند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گاه مانع از جواز اطلاق بعضی از اسماء‌الحسنی، بر صاحب قدرت ارتباطی و اذنی و غیرمستقل است، این است که برخی از این اسماء، عندالاطلاق، دلالت بر استمرار تلبّس ذات به آن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ظهور قدرت اذنی، چون برحسب مصالح و حکمت‌های خاصّه است، موارد آن بسیار نادر، بلکه در برابر ظهور قدرت استقلالی و ذاتی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من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پیوسته و لایزال نیست و این مقدار، مجوّز صحّت اطلاق این اسما به‌طورمطلق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از اطلاق این اسماء بر خدا چیزی فهمیده می‌شود که از اطلاق آن بر غیرخدا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فرض کردیم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طبیب، دوا، دعاکننده و کسی که به اذن خدا می‌تواند بیماران را شفا دهد، مانند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 از این اطلاق آن معنایی که هنگام اطلاق آن بر خداوند متعال اراده می‌شود، اراده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شافی مطلق و بالذّات و شافی بالاستقلال است و پزشک و دارو و تشخیص پزشک و اثر دارو و دعا و استجابت و اذن در شفا همه‌وهمه اسبابی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ساخته است و آنجا هم که دوا اثر می‌کند، و پزشک بیماری را معالجه می‌کند و دعا مستجاب می‌شود،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مادرزاد را شفا می‌دهد، شافی اوست، امّا تشخیص پزشک و تأثیر دارو و دعا و فعل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اسباب عادی یا غیرعادی شِفا می‌باشند که تشخیص پزشک به توفیق و هدایت </w:t>
      </w:r>
      <w:bookmarkStart w:id="40" w:name="pg6249_41422"/>
    </w:p>
    <w:p>
      <w:pPr>
        <w:pStyle w:val="BookText"/>
        <w:rPr/>
      </w:pPr>
      <w:bookmarkEnd w:id="40"/>
      <w:r>
        <w:rPr>
          <w:rFonts w:ascii="IRNazanin" w:hAnsi="IRNazanin" w:eastAsia="IRNazanin"/>
          <w:color w:val="111111"/>
          <w:sz w:val="28"/>
          <w:sz w:val="28"/>
          <w:szCs w:val="28"/>
          <w:rtl w:val="true"/>
          <w:lang w:bidi="fa-IR"/>
        </w:rPr>
        <w:t xml:space="preserve">خدا و تأثیر دارو به جعل خدا و اثر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غیرطبیعی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استجابت آن از جانب خدا و فعل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غیرعادی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هم کسی این اشیا را شافی خواند، مفهومش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خداوند اطلاق می‌شود، از زمین تا آسمان و از ممکن تا واجب تفاوت داشته و با یکدیگر اشتباه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شفا، اثر عالم‌غیب و غیبِ این عالم است و این شفا، اثر اسباب طبیعی یا عادی است که این اسباب نیز مثل خود شفا، آیه و نشانه و اثر عالم غیب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ناحیه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درک تفاوت و مغایرت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غیرخدا اطلاق شود، خصوصاً اگر اطلاق‌کننده، موحّد و خداشناس باشد، با مفهوم آن وقتی بر خدا اطلاق می‌شود، مثل درک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گفتیم هر صاحب ذوق آن را درک می‌نماید</w:t>
      </w:r>
      <w:r>
        <w:rPr>
          <w:rFonts w:eastAsia="IRNazanin" w:cs="IRNazanin"/>
          <w:color w:val="111111"/>
          <w:sz w:val="28"/>
          <w:szCs w:val="28"/>
          <w:rtl w:val="true"/>
          <w:lang w:bidi="fa-IR"/>
        </w:rPr>
        <w:t>.</w:t>
      </w:r>
    </w:p>
    <w:p>
      <w:pPr>
        <w:pStyle w:val="Heading3"/>
        <w:numPr>
          <w:ilvl w:val="2"/>
          <w:numId w:val="1"/>
        </w:numPr>
        <w:rPr/>
      </w:pPr>
      <w:bookmarkStart w:id="41" w:name="__RefHeading___Toc1623882_237004111"/>
      <w:bookmarkStart w:id="42" w:name="_Toc13"/>
      <w:bookmarkEnd w:id="41"/>
      <w:r>
        <w:rPr/>
        <w:t>4</w:t>
      </w:r>
      <w:r>
        <w:rPr>
          <w:rtl w:val="true"/>
        </w:rPr>
        <w:t xml:space="preserve"> - </w:t>
      </w:r>
      <w:r>
        <w:rPr>
          <w:rtl w:val="true"/>
        </w:rPr>
        <w:t>اداره سازمان کائنات به اذن خدا</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مدیریت کلی سازمان کائنات را، به نحوی که مستلزم شرک نباشد، به این‌گونه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مانعی ندارد که اداره سازمان </w:t>
      </w:r>
    </w:p>
    <w:p>
      <w:pPr>
        <w:pStyle w:val="BookText"/>
        <w:rPr/>
      </w:pPr>
      <w:r>
        <w:rPr>
          <w:rFonts w:ascii="IRNazanin" w:hAnsi="IRNazanin" w:eastAsia="IRNazanin"/>
          <w:color w:val="111111"/>
          <w:sz w:val="28"/>
          <w:sz w:val="28"/>
          <w:szCs w:val="28"/>
          <w:rtl w:val="true"/>
          <w:lang w:bidi="fa-IR"/>
        </w:rPr>
        <w:t>کائنات را به اذن خدا، انسان کاملی مانند نبیّ و ولیّ وقت عهده‌دار باشد، نه به نحو استقلال که اشکالات عقلی لازم بیاید و محاذیر عقیده یهود که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بیاید، بلکه به این نحو که فرد مذکور جزء جنود حقّ و مظهر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روز در شأن و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و اداره امور کائنات توسط او، ظهور مدیریت مستقل ازلی و غیرمنقطع دائمی الهی باشد، و چنان‌که این منصب به‌طورجزئی برای ملائکه ثابت است و هرکدام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پُستی انجام وظیفه و مأموریت می‌کنند و آیات قرآن مجید،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امور را تدبیر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فرشتگان که کارها را تقسیم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احادیث بر آن دلالت دارند، مانعی ندارد که به‌طورکلّی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همان نحو که برای ملائکه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فردی از افراد بشر، که اکمل خلایق باشد،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شرک نبوده و اعتقاد به آن کفر و خلاف ضرورت نیست، و چه‌بسا که بعضی از اخبار ضعیف هم دلیل آن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و دلیل محکمی از قرآن کریم و احادیث صحیح و معتبر، بر اینکه سازمان کائنات به‌طورکلی به نبیّ یا ولیّ واگذار شده، و نبیّ یا ولیّ، عامل مطلق مشیّة‌الله و ارادة‌الله است وجود ندارد؛ هرچند ممکن است بعضی از اطلاقات را عدّه ای دلیل بگیرند، امّا آنچه به نظر حقیر رسیده و فعلاً در نظر است، این اطلاقات برای اثبات این مطلب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علاوه‌برآنکه ظواهر آیات زیادی دلالت دارند که بسیاری از افعال را خداوند متعال بلاواسطه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چنین است که هرگاه چیزی را اراده کند، تنها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آن نیز بی‌درنگ موجود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هم قابل حمل بر فعل به‌واسطه بدانیم، یا حمل بر مجرّد صدور فعل از او بنماییم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باواسطه باشد یا بدون‌واسطه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باتوجّه‌به اینکه موارد بسیاری در قرآن و حدیث است که با عدم قرینه، اطلاق و استناد فعل به خدا داده شده است و ظاهر در فعل بدون‌واسطه است، این همه ظواهر را نمی‌توان توجیه و برخلاف ظاهر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این ادّعا دلیل محکمی ندارد، و قولِ به آن قول به غیرعلم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بعضی از احادیث،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نَزِّلُونا عَنِ 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فِی فَضْلِنا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مرتبه ربوبیت و خدایی پایین آورید، سپس هرچه می‌خواهید در فضل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و منصب برای آن بزرگواران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حدیث محقّق نیست و ضعیف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ندارد بر اینکه مناصب و افعالی را که شک در تلبّس و صدور آن از آنان داریم، بر ایشان ثابت کنیم و محقّق‌الوقوع بگیریم، مثلاً معجزه‌ای را که شک در صدور آن داریم، جهت وجود </w:t>
      </w:r>
    </w:p>
    <w:p>
      <w:pPr>
        <w:pStyle w:val="BookText"/>
        <w:rPr/>
      </w:pPr>
      <w:r>
        <w:rPr>
          <w:rFonts w:ascii="IRNazanin" w:hAnsi="IRNazanin" w:eastAsia="IRNazanin"/>
          <w:color w:val="111111"/>
          <w:sz w:val="28"/>
          <w:sz w:val="28"/>
          <w:szCs w:val="28"/>
          <w:rtl w:val="true"/>
          <w:lang w:bidi="fa-IR"/>
        </w:rPr>
        <w:t>این خبر، صادر بدانیم یا هر بخشش و اعطا و هر صدقه و هر فعل مستحب را به آنها نسبت دهیم، بلکه فقط در این موارد، نفی امکان این منصب یا نفی صدور معجزه کذایی از آنها جایز نیست، امّا مسئله این است که امکان، غیر از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این منصب از نبیّ و امام، دلیل بر عدم کمال نفس قدسی آنها، و عدم صلاحیّت و شایستگی نفسانی آنها برای این منصب نیست؛ زیرا ممکن است به رعایت مصالحی که خدا داناتر است، یا موانعی این منصب برای آنها نباشد، تا مردم غرق در توجّه به واسطه نشده و از ذی‌الواسطه غافل نگردند و قبل از واسطه و با واسطه و بعد از واسطه و بدون واسطه، خدا را دیده و به او توجّه کنند و او را قاضی‌الحاجات و کافی‌المهمات و مجیب‌الدعوات و اقرب من حبل‌الورید،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گفتیم، توجیه و حملِ تمام ظواهر قرآن که دلالت بر این دارند که صدور بسیاری از افعال از خداوند متعال بدون‌واسطه است، عرفی نیست و دلالت فی‌الجمله آنها بر صدور افعالی از خدا بدون‌واسطه قابل‌انکار نیست، بنابراین با اتکا به مدارکی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فی فَضْلِنا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می‌خواهید در فضل ما بگویید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دست از این ظاهر برداشت</w:t>
      </w:r>
      <w:r>
        <w:rPr>
          <w:rFonts w:eastAsia="IRNazanin" w:cs="IRNazanin"/>
          <w:color w:val="111111"/>
          <w:sz w:val="28"/>
          <w:szCs w:val="28"/>
          <w:rtl w:val="true"/>
          <w:lang w:bidi="fa-IR"/>
        </w:rPr>
        <w:t xml:space="preserve">. </w:t>
      </w:r>
      <w:bookmarkStart w:id="43" w:name="pg6249_41431"/>
    </w:p>
    <w:p>
      <w:pPr>
        <w:pStyle w:val="Heading3"/>
        <w:numPr>
          <w:ilvl w:val="2"/>
          <w:numId w:val="1"/>
        </w:numPr>
        <w:rPr/>
      </w:pPr>
      <w:bookmarkStart w:id="44" w:name="__RefHeading___Toc1623884_237004111"/>
      <w:bookmarkStart w:id="45" w:name="_Toc14"/>
      <w:bookmarkEnd w:id="43"/>
      <w:bookmarkEnd w:id="44"/>
      <w:r>
        <w:rPr/>
        <w:t>5</w:t>
      </w:r>
      <w:r>
        <w:rPr>
          <w:rtl w:val="true"/>
        </w:rPr>
        <w:t xml:space="preserve"> - </w:t>
      </w:r>
      <w:r>
        <w:rPr>
          <w:rtl w:val="true"/>
        </w:rPr>
        <w:t>پیرامون غلوّ</w:t>
      </w:r>
      <w:bookmarkEnd w:id="45"/>
    </w:p>
    <w:p>
      <w:pPr>
        <w:pStyle w:val="BookText"/>
        <w:rPr/>
      </w:pPr>
      <w:r>
        <w:rPr>
          <w:rFonts w:ascii="IRNazanin" w:hAnsi="IRNazanin" w:eastAsia="IRNazanin"/>
          <w:color w:val="111111"/>
          <w:sz w:val="28"/>
          <w:sz w:val="28"/>
          <w:szCs w:val="28"/>
          <w:rtl w:val="true"/>
          <w:lang w:bidi="fa-IR"/>
        </w:rPr>
        <w:t xml:space="preserve">اعتقاد به امکان اینکه خداوند، ممکنات را مطیع و فرمان‌بر بشری قرار دهد، یا بشر مانند فرشته، مناصب یا مأموریت‌هایی در داخل سازمان کائنات و رتق‌وفتق امور و امر خلق و رزق داشته باشد، مثل ملائکه صورت‌گر، یا ملائکه موکَّل بر امطار و سحاب و حتی حاملان عرش، شرک نیست؛ ولی بعضی ممکن است ازطریق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عقاید را مورد اشکال قرار دهند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مناصب از خواصّ ذاتی ملائکه است و بشر این خواص را ندارد و اعتقاد به اینکه فردی از افراد بشر این مناصب را دارد، اعتقاد به ارتفاع و خروج او از عالم بشریّت است، مانند اینکه کسی بگوید، انبیا مثل ملائکه بالذات خوردن و خوابیدن و خسته‌شدن و بیماری و گرسنگی و تشنگی و رنج و درد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اگرچه شرک نیست؛ چون ملائکه این عوارض را ندارند، ولی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کار و عملی که مقتضای ذات بشری نیست، از نبیّ و ولیّ ظاهر شود، خرق عادت بوده و حقیقتاً فعل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از این توهم این است که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می‌گویید مداخله ملائکه در اموری که مأموریت دارند، و مناصبی که برعهده دارند، از خواص ذات آنهاست، تا بنابر اینکه خاصه مشترک بین آنها و انسان نباشد، قول به آن نسبت به بشر غلوّ </w:t>
      </w:r>
    </w:p>
    <w:p>
      <w:pPr>
        <w:pStyle w:val="BookText"/>
        <w:rPr/>
      </w:pPr>
      <w:r>
        <w:rPr>
          <w:rFonts w:ascii="IRNazanin" w:hAnsi="IRNazanin" w:eastAsia="IRNazanin"/>
          <w:color w:val="111111"/>
          <w:sz w:val="28"/>
          <w:sz w:val="28"/>
          <w:szCs w:val="28"/>
          <w:rtl w:val="true"/>
          <w:lang w:bidi="fa-IR"/>
        </w:rPr>
        <w:t>باشد؟ بلکه ممکن است مأموریت و منصب باشد و بعضی از افراد بشر نیز مانند آنها مناصب غیبی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بنده‌ای که در سوره کهف، شرح ملاقات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مذکور است، و مأموریت‌های غیبی و باطنی و غیرعادی انجام می‌دهد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مؤید اینکه این مناصب خاصیت ذات ملائکه نیست، این است که هرکدام از ملائکه، قائم به منصبی و مختص به مأموریتی هستند؛</w:t>
      </w:r>
      <w:r>
        <w:rPr>
          <w:rStyle w:val="FootnoteAnchor"/>
          <w:rtl w:val="true"/>
        </w:rPr>
        <w:footnoteReference w:id="34"/>
      </w:r>
      <w:r>
        <w:rPr>
          <w:rFonts w:ascii="IRNazanin" w:hAnsi="IRNazanin" w:eastAsia="IRNazanin"/>
          <w:color w:val="111111"/>
          <w:sz w:val="28"/>
          <w:sz w:val="28"/>
          <w:szCs w:val="28"/>
          <w:rtl w:val="true"/>
          <w:lang w:bidi="fa-IR"/>
        </w:rPr>
        <w:t>درحالی‌که اگر خاصیت ذات آنها بود، باید همه دارای تمام این مناصب باشند، و قول به اینکه هر فردی از ملائکه خاصیت ذاتی جداگانه‌ای دارد که اقتضای مقام خاصی را دارد، مستلزم قول به این است که ملائکه انواع مختلف هستند و چه انواع مختلف باشند و چه نباشند، این جهت که مداخله آنها در امور کائنات، خاصیت ذات آنها باشد، آن‌هم نه خاصیت مشترک بین آنها و انسان، مردود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خواص ذات آنها باشد، خاصیت مشترک بین آنها و بشر است؛ زیرا چنان‌که گفته شد بعضی از افراد بشر نیز از این‌گونه مناصب سرّی و مخفی و غیرعادی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تمام افراد بشر این مداخله را ندارند؟ ممکن است جواب داده شود که اصل این خاصیت، در بشر هست ولی ممکن است ظهور آن شرایطی داشته </w:t>
      </w:r>
    </w:p>
    <w:p>
      <w:pPr>
        <w:pStyle w:val="BookText"/>
        <w:rPr/>
      </w:pPr>
      <w:r>
        <w:rPr>
          <w:rFonts w:ascii="IRNazanin" w:hAnsi="IRNazanin" w:eastAsia="IRNazanin"/>
          <w:color w:val="111111"/>
          <w:sz w:val="28"/>
          <w:sz w:val="28"/>
          <w:szCs w:val="28"/>
          <w:rtl w:val="true"/>
          <w:lang w:bidi="fa-IR"/>
        </w:rPr>
        <w:t>باشد، یا موانعی از ظهور آن منع کنند، یا عللی اصل آن را فاسد و باطل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حکما و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عادت و قدرت بر تصرّف در اکوان را لازم ذات نبیّ و ولیّ می‌دانند، و حداقل این رأی، این است که قدرت بر تصرّف، از لوازم ذوات و نفوس کامله است، خواه مَلَک باشد، خواه بشر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غیرعادی بر تصرّف در اکوان و اطاعت و فرمان‌بری مخلوقات، از بشر، ذاتی او نیست، از کجا بگوییم حصول این قدرت یا اطاعت، و فرمان‌بری کائنات از بشر، منافی با ذات اوست،</w:t>
      </w:r>
      <w:r>
        <w:rPr>
          <w:rStyle w:val="FootnoteAnchor"/>
          <w:rtl w:val="true"/>
        </w:rPr>
        <w:footnoteReference w:id="35"/>
      </w:r>
      <w:r>
        <w:rPr>
          <w:rFonts w:ascii="IRNazanin" w:hAnsi="IRNazanin" w:eastAsia="IRNazanin"/>
          <w:color w:val="111111"/>
          <w:sz w:val="28"/>
          <w:sz w:val="28"/>
          <w:szCs w:val="28"/>
          <w:rtl w:val="true"/>
          <w:lang w:bidi="fa-IR"/>
        </w:rPr>
        <w:t>چنان‌که در عوارض دیگر نیز همین‌طور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سهو و نسیان برای بشر امکان دارد، امّا ضروری نیست و چنان نیست که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واجب‌السهو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مراتب و موارد سهو و نسیان و همچنین تذکّر و توجّه، به‌حسب همه افراد امکان دارد، ولی این مراتب برای همه واجب نبوده و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چنین تحقیقی، می‌توان بین قولی که قائل به سهو نفوس کامله است، که مراد او امکان ذاتی سهو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خلاف ظاهر کلام او و استدلال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قولی که قائل به عدم جواز سهو است، به اینکه مراد او </w:t>
      </w:r>
    </w:p>
    <w:p>
      <w:pPr>
        <w:pStyle w:val="BookText"/>
        <w:rPr/>
      </w:pPr>
      <w:r>
        <w:rPr>
          <w:rFonts w:ascii="IRNazanin" w:hAnsi="IRNazanin" w:eastAsia="IRNazanin"/>
          <w:color w:val="111111"/>
          <w:sz w:val="28"/>
          <w:sz w:val="28"/>
          <w:szCs w:val="28"/>
          <w:rtl w:val="true"/>
          <w:lang w:bidi="fa-IR"/>
        </w:rPr>
        <w:t>نفی امکان وقوعی آن است، وفق و سازگاری داد؛ و این نظر در ملائکه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مانعی ندارد که انبیا و اولیا، تحت رعایت‌های خاصی این مناصب را داشته باشند، و مثلاً از سهو و نسیان مصون باشند و غلوی در این فرض نمی‌شود و احتمال غلو ناشی از عدم تحقیق و بررسی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راجع‌به پیغمبر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قاصعه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مِنْ لَدُنْ أَنْ کَانَ فَطِیماً أَعْظَمَ مَلَک مِنْ مَلآئِکَتِهِ یَسْلُکُ بِهِ طَرِیقَ الْمَکارِمِ وَمَحاسِنَ أَخْلاقِ الْعالَمِ لَیْلَهُ وَنَهارَهُ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بزرگ‌ترین فرشته از فرشتگانش را از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گرفته شده بود همنشین آن حضرت گردانید که او را در شب و روز به راه بزرگواری‌ها و خوی‌های نیکو سیر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یک نفر تحت‌نظر خاص تربیت و رعایت الهی یا جنود غیبی حقّ باشد و دیگری نباشد، امر نادری نیست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آگاه‌تر است که رسالت خویش را کجا قراردهد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یک نفر صدقه می‌دهد، یا صله رحم می‌کند، یا دعا می‌نماید، بلا از او دفع می‌گردد، و جنود غیبی الهی از او نگهداری می‌نمایند و به او کمک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نفر صدقه نداده و قطع رحم کرده است، عمرش کوتاه گردیده و ملائکه‌ای که از او محافظت می‌نمایند، او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غلوّ نیست بلکه مسائلی است که در نظام تدبیر امور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قائم به آن خداوند قیوم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 از اسرار قضاوقدر الهی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ریشه تمام کمالاتی که برای موجود ممکن، متصور و معقول باشد، در تمام انسان‌ها نهفته است، و مراتب ظهور آن به‌حسب وجود اسباب و شرایط و عدم آنها و همچنین وجود یا عدم موانع، مختلف و متکثّر است و شدت و ضعف دارد،و اختلاف مراتب به‌قدری است که بعضی از مراتب عالی آن مافوق مرتبه انسان جلوه می‌کند، چون اُنس اغلب با مراتب مادون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استعداد تعلّم غیوب، به وحی و الهام الهی و حتی ازطریق خواب و تفرّسات، نیرویش در وجود بشر هست، هرچند بالذات عالم به غیب نیست؛ لذا می‌بینیم بسیاری حتی با خواب، از امور غیبی و آینده مطلّع می‌شوند؛ حال اگر افرادی باشند که تحت رعایت و عنایت الهی، و در اثر ریاضات و عبادات و خلوص نیت و کمال معرفت با الهامات و عنایت‌هایی از غیب مطّلع باشند، جایز است و غلو نیست و فوق </w:t>
      </w:r>
    </w:p>
    <w:p>
      <w:pPr>
        <w:pStyle w:val="BookText"/>
        <w:rPr/>
      </w:pPr>
      <w:r>
        <w:rPr>
          <w:rFonts w:ascii="IRNazanin" w:hAnsi="IRNazanin" w:eastAsia="IRNazanin"/>
          <w:color w:val="111111"/>
          <w:sz w:val="28"/>
          <w:sz w:val="28"/>
          <w:szCs w:val="28"/>
          <w:rtl w:val="true"/>
          <w:lang w:bidi="fa-IR"/>
        </w:rPr>
        <w:t>مرتبه بشری نمی‌باشد، اگرچه خارق عادت است؛ آنچه فوق مرتبه بشر است، علم غیب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روایات معتبر، انوار و ارواح رسول اکرم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عوالم قبل از این عالم، همیشه مشمول عنایت های الهی، و دارای کیفیات خاص و خصوصیات ممتاز و واجد شئون و مراتب و مقامات عالی بود‌ه‌اند که احدی آن مراتب و مقامات را نیافته است و سوابق آفرینش و سیر آنها در عوالم مختلف و ظهور انوارشان، حاکی از کمالات وجودی ایشان است و هرچند سرّ اختصاص آنها را به این عنایت‌ها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نکنیم، ولی اختصاص آنها به مقامات و درجات و کمالات و مناصب رفیع و علوم غیبی و قدرت تصرّف در کائنات و اطاعت و فرمان‌بری مخلوقات از آنها، امری مسلّم و واقع شده است و محل استبعاد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در عصر خود دیده‌ایم، برخی از اهل‌عبادت و تقوا را که با خواندن قرآن و دعا و کشیدن دست بر محل درد، درد را آرام می‌کردند، از ذوات مقدّس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نخبه کائنات و علّت غایی مخلوقات می‌باشند و مراتب و مقاماتی که خدا به آنها اعطا کرده است، استبعاد ندارد و درعین‌حال با آیه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بشری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منافات ندارد و لازمه این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نه برتر از بشر بودن و غیربشر بودن، تا غلوّ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نکته‌ای که در این قسمت متذکّر می‌شویم این است که اعتقاد به اینکه نبیّ و ولیّ پاره‌ای از خصائص ملائکه را دارند، غلو نیست؛</w:t>
      </w:r>
      <w:r>
        <w:rPr>
          <w:rStyle w:val="FootnoteAnchor"/>
          <w:rtl w:val="true"/>
        </w:rPr>
        <w:footnoteReference w:id="39"/>
      </w:r>
      <w:r>
        <w:rPr>
          <w:rFonts w:ascii="IRNazanin" w:hAnsi="IRNazanin" w:eastAsia="IRNazanin"/>
          <w:color w:val="111111"/>
          <w:sz w:val="28"/>
          <w:sz w:val="28"/>
          <w:szCs w:val="28"/>
          <w:rtl w:val="true"/>
          <w:lang w:bidi="fa-IR"/>
        </w:rPr>
        <w:t xml:space="preserve">زیرا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ملائکه افضل هستند و بلکه سایر انبیا نیز از ملائکه افضلند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خواجه‌نصیر طوسی در تجریدالاعتقاد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أفضلُ مِنَ المَلائِکَةِ وَ کَذا غَیرُه من الأنبِیاءِ أفضَلُ من المَلائِکَةِ لِوُجُودِ الْمُضآدِّ لِلقُوَّةِ العقلیة وَ قَهرِهِ عَلَی الإنقِیادِ عَلَیها</w:t>
      </w:r>
      <w:r>
        <w:rPr>
          <w:rFonts w:eastAsia="IRNazanin" w:cs="IRNazanin"/>
          <w:color w:val="111111"/>
          <w:sz w:val="28"/>
          <w:szCs w:val="28"/>
          <w:rtl w:val="true"/>
          <w:lang w:bidi="fa-IR"/>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چون بشر بودن انبیا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ضروریات است، انکار بشر بودن ایشان چون انکار ضروری دین است، کفر می‌باشد و امّا غلوی که در کتب فقه و کلام از آن بحث شده و قائل به آن کافر و نجس </w:t>
      </w:r>
      <w:bookmarkStart w:id="46" w:name="pg6249_41445"/>
    </w:p>
    <w:p>
      <w:pPr>
        <w:pStyle w:val="BookText"/>
        <w:rPr/>
      </w:pPr>
      <w:bookmarkEnd w:id="46"/>
      <w:r>
        <w:rPr>
          <w:rFonts w:ascii="IRNazanin" w:hAnsi="IRNazanin" w:eastAsia="IRNazanin"/>
          <w:color w:val="111111"/>
          <w:sz w:val="28"/>
          <w:sz w:val="28"/>
          <w:szCs w:val="28"/>
          <w:rtl w:val="true"/>
          <w:lang w:bidi="fa-IR"/>
        </w:rPr>
        <w:t xml:space="preserve">شمرده شده این است که پیغمبر اکرم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و معبود بداند، یا ایشان را در الوهیت و ربوبیت و خالقیت و رازقیت شریک خدا بداند یا اینکه بگوید خدا در ایشان حلول کرده یا متّحد شده است یا اینکه بدون تعلیم خدا و افاضه او عالم به غیوب هستند، یا آنکه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مقام پیغمبری و نبوّت قائل باشد، یا اینکه معتقد باشد که با ولایت و محبّت خاندان رسالت، حاجتی به عبادت و اطاعت، و پرهیز از معاصی نیست، و امثال این عقاید که یا شرک است و یا انکار ضروری که در هر دو صورت کفر است</w:t>
      </w:r>
      <w:r>
        <w:rPr>
          <w:rFonts w:eastAsia="IRNazanin" w:cs="IRNazanin"/>
          <w:color w:val="111111"/>
          <w:sz w:val="28"/>
          <w:szCs w:val="28"/>
          <w:rtl w:val="true"/>
          <w:lang w:bidi="fa-IR"/>
        </w:rPr>
        <w:t>.</w:t>
      </w:r>
    </w:p>
    <w:p>
      <w:pPr>
        <w:pStyle w:val="Heading3"/>
        <w:numPr>
          <w:ilvl w:val="2"/>
          <w:numId w:val="1"/>
        </w:numPr>
        <w:rPr/>
      </w:pPr>
      <w:bookmarkStart w:id="47" w:name="__RefHeading___Toc1623886_237004111"/>
      <w:bookmarkStart w:id="48" w:name="_Toc15"/>
      <w:bookmarkEnd w:id="47"/>
      <w:r>
        <w:rPr/>
        <w:t>6</w:t>
      </w:r>
      <w:r>
        <w:rPr>
          <w:rtl w:val="true"/>
        </w:rPr>
        <w:t xml:space="preserve"> - </w:t>
      </w:r>
      <w:r>
        <w:rPr>
          <w:rtl w:val="true"/>
        </w:rPr>
        <w:t>مجاری فیض</w:t>
      </w:r>
      <w:bookmarkEnd w:id="48"/>
    </w:p>
    <w:p>
      <w:pPr>
        <w:pStyle w:val="BookText"/>
        <w:rPr/>
      </w:pPr>
      <w:r>
        <w:rPr>
          <w:rFonts w:ascii="IRNazanin" w:hAnsi="IRNazanin" w:eastAsia="IRNazanin"/>
          <w:color w:val="111111"/>
          <w:sz w:val="28"/>
          <w:sz w:val="28"/>
          <w:szCs w:val="28"/>
          <w:rtl w:val="true"/>
          <w:lang w:bidi="fa-IR"/>
        </w:rPr>
        <w:t>بعضی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وصول فیض خدا به ماسوا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بیان، اگر جمع بین نظر حکما و اهل معقول و روایات و احادیث باشد، بدین ترتیب که بخواهند، میان این رأی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صادر اوّل و معلول اوّل و علّت ثانیه، عقل اوّل است و پس از آن عقول و علل دیگر تا عقل عام‌تر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احادیثی که دلالت دارند بر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خَلَقَ اللهُ، نُورُ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چیزی که خداوند خلق کرد، نور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بدهند، که هم نظر حکما را در چگونگی حصول کثیر از واحد و ربط حادث به قدیم حفظ نمایند، و هم این احادیث را قبول کرده باشند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خلقت اشیا، غیر از صادر اوّل یا عقل اوّل یا نور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تعبیری که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بدون‌واسطه، محال و غیرمقدور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واسطه‌ای نیز در رساندن فیض به واسطه بعد از خود که معلول او هم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ایجاب یا غیر 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علّت اوّلی، مؤثر و مفیض است و افاضه فیض از ناحیه فیّاض حقیقی، بدون تأثیر و توسط این وسایط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به‌عبارت‌دیگر، این وسایط را به ایجاب یا غیرایجاب، جزء علل فاعلی معلولات بگیرند، این معنا خلاف آیات و روایات زیادی است که دلالت دارند بر اینکه علّت فاعلی ایجاد کائنات و خالق مخلوقات، خداوند متعال است و هرکجا نیز وسایط و فواعلی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او در بین آمده باشد، برحسب مصالحی است، و آن فاعلیت و واسطه‌بودن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قول حکما در عقول عشره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آن فواعل و وسایط نیست که در نتیجه صدور افعال و افاضه فیوض، منحصراً بالایجاب، و لزوماً از مجرای آنها صورت‌پذیر باشد و گذشته از این قول به فاعلیت ذاتی صوادر و وسایط در برابر فاعلیت ذاتی حقّ، شرک است خواه از فاعل تعبیر به عقل‌شود و یا به نور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بر اینکه همان‌طور که هر بنده می‌تواند بدون‌واسطه با خدا مرتبط شود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أَخْلُو بِهِ حَیْثُ شِئْتُ لِسِرِّی بِغَیْرِ شَفِیع فَیَقْضی لِی حاجَتِی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خلوت کنم با او هرجا بخواهم برای راز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به‌طریق‌اولی می‌تواند فیض خود را درهرحال و هر مکان، بدون‌واسطه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اینها، بین این نظر و روایات و احادیث، نمی‌توان سازگاری کامل داد؛ زیرا اگر صادر اوّل، نور جمیع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صادر دوم نور کیست؟ و اگر نور شخص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سلسله مراتب صادر باشند، به‌طورمستقیم با کلام حکما تطبیق نمی‌کند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اگر مبانی حکما در این مورد به نحوی تقریر شود که اشکالی پیش نیاید، و شرک و ایجاب و محاذیر دیگر لازم نشود و برهان قاطع هم بر آن اقامه شود و دانستن این مباحث؛ یعنی چگونگی ربط حادث به قدیم و صدور کثیر از واحد هم لازم باشد و نظیر مباحثی که منتهی به بحث از ذات الهی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منهیٌّ‌عنه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بدیهی است که دراین‌صورت این سازگاری بین این نظر و احادیث بجا و معقول است</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به‌طورمسلّم می‌توان گفت این است که ورود در این مباحث لزومی ندارد، خصوصاً که شناختن پیغمبر و امام در این اوج و حدّ واجب نیست و عرفان و معرفت مقامات آنان، با معرفت این مباحث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شکی نیست که صادر اکمل و اتمّ و اشرف، نور رسول خدا و ائمه طاهرین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برحسب روایات زیادی صادر اوّل نیز انوار ایشان است، چنان‌که بنابر احادیث معتبر دیگر، خدا نور پیغمبر را از نور خود، و نور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w:t>
      </w:r>
      <w:r>
        <w:rPr>
          <w:rStyle w:val="FootnoteAnchor"/>
          <w:rtl w:val="true"/>
        </w:rPr>
        <w:footnoteReference w:id="43"/>
      </w:r>
      <w:r>
        <w:rPr>
          <w:rFonts w:ascii="IRNazanin" w:hAnsi="IRNazanin" w:eastAsia="IRNazanin"/>
          <w:color w:val="111111"/>
          <w:sz w:val="28"/>
          <w:sz w:val="28"/>
          <w:szCs w:val="28"/>
          <w:rtl w:val="true"/>
          <w:lang w:bidi="fa-IR"/>
        </w:rPr>
        <w:t>که بدیهی است این معانی و تعبیرات، که اشاره به حقایق و مطالبی راجع به غیب این عالم و غیب وجود آن ذوات مقدّس است، منافاتی با عقاید توحیدی نداشته و اشکالی ندارد؛ زیرا همان‌طور که خدا این عالم ماده و ظاهر را از عناصر و بسائط می‌آفریند، باطن عالم و ارواح را نیز از انوار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فرماید و از آن عالم معنا به این عالم غیب مدد بدهد، چنان‌که از نور آفتاب و هوا و مواد زمین، به انسان و جنبندگان دیگر و نباتات مدد می‌بخشد، هرچند ما این روابط عینی را درک نکنیم و عاجز از فهم چگونگی آن باشیم، ولی اگر صادق مصدّق از آن خبر داد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غایی خلقت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فاعلی ایجاد سایر ممکنات، به ایجاب یا غیرایجاب باشند خواه </w:t>
      </w:r>
    </w:p>
    <w:p>
      <w:pPr>
        <w:pStyle w:val="BookText"/>
        <w:rPr/>
      </w:pPr>
      <w:r>
        <w:rPr>
          <w:rFonts w:ascii="IRNazanin" w:hAnsi="IRNazanin" w:eastAsia="IRNazanin"/>
          <w:color w:val="111111"/>
          <w:sz w:val="28"/>
          <w:sz w:val="28"/>
          <w:szCs w:val="28"/>
          <w:rtl w:val="true"/>
          <w:lang w:bidi="fa-IR"/>
        </w:rPr>
        <w:t>آنان را مستقل در ایجاد بشمارند و تأثیر آنها را در ایجاد ذاتی آنها بگویند یا غیرمستقل بگویند و منصب و مأموریت بدانند، این‌گونه عقاید یا شرک است و خلاف توحید افعالی، و یا خلاف مطلب چهارم از مطالب مذکور در این مقدمه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این مقدار جایز است که کسی بگوید، فیض وجود و رحمت و هدایت و سایر فیوض، از آنها و به‌واسطه آنها به مفاض می‌رسد و آنها با امر خدای تعالی و تقدیر او، فیوضش را به دیگران می‌رسانند و واسطه در ایصال‌اند، چنان‌که در مورد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تصریح دارد که خداوند به آدم اسماء را تعلیم فرمود و سپس به آدم امر فرمود که به ملائکه خبر دهد؛ و به‌عبارت‌دیگر گفته شود که ارادة‌الله و مشیة‌الله بر این تعلق گرفته است که فیض او از این مجاری به دیگران برسد، چنان‌که مشیة‌الله بر این جاری شده است که تکثیر ذریّه آدم و هر حیوان و جنبنده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بعضی از موارد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توالد و تناسل انجام بگیرد؛ هرچند بدون آن هم خدا قادر است، و ظاهراً این بیان هم بازگشت به همان بیانات گذشته دارد؛ اگر مقصود این باشد که آنان در ایجاد مخلوقات، منزلتی مثل منزلتی که خدا برای پدر و مادر در پیدایش فرزند قرار داده دارند، که به‌هیچ‌وجه علّت فاعلی شمرده نمی‌شود؛ بلکه نظیر اسباب معدّه می‌باشند، و صرف جریان مشیت خدا و تقدیر او در پیدایش مخلوقات به این نحو است، </w:t>
      </w:r>
    </w:p>
    <w:p>
      <w:pPr>
        <w:pStyle w:val="BookText"/>
        <w:rPr/>
      </w:pPr>
      <w:r>
        <w:rPr>
          <w:rFonts w:ascii="IRNazanin" w:hAnsi="IRNazanin" w:eastAsia="IRNazanin"/>
          <w:color w:val="111111"/>
          <w:sz w:val="28"/>
          <w:sz w:val="28"/>
          <w:szCs w:val="28"/>
          <w:rtl w:val="true"/>
          <w:lang w:bidi="fa-IR"/>
        </w:rPr>
        <w:t xml:space="preserve">شرک نبوده و مخالف توحید افعالی نمی‌شود، امّا چنان‌که در مطلب چهارم گفته شد دلیلی قاطع از قرآن و احادیث، بر این مطلب که مشیة‌الله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قرار گرفته و بدون‌واسطه، ایجاد و خلق و امور و افعال دیگر، از خدا صادر نمی‌شود، نداریم بلکه ظواهر زیادی از آیات و احادیث، خلاف آن را ثابت می‌نماید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مقصود این است که آنان اگرچه فاعل مستقل نمی‌باشند، ولی به اذن خدا و امر او، مأمور و مأذونند که فیض را به دیگران برسانند و رساندن فیض فعل آنهاست، هرچند مأمور خدا و عامل اجرای مشیت او باشند، چنان‌که در مورد تعلیم آدم به ملائکه،</w:t>
      </w:r>
      <w:r>
        <w:rPr>
          <w:rStyle w:val="FootnoteAnchor"/>
          <w:rtl w:val="true"/>
        </w:rPr>
        <w:footnoteReference w:id="44"/>
      </w:r>
      <w:r>
        <w:rPr>
          <w:rFonts w:ascii="IRNazanin" w:hAnsi="IRNazanin" w:eastAsia="IRNazanin"/>
          <w:color w:val="111111"/>
          <w:sz w:val="28"/>
          <w:sz w:val="28"/>
          <w:szCs w:val="28"/>
          <w:rtl w:val="true"/>
          <w:lang w:bidi="fa-IR"/>
        </w:rPr>
        <w:t>رساندن فیض عالم به ملائکه، آن افعال فعل ملائکه است، هرچند مأمور و مجری مشیّت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منصب نیز به‌طورکلی و مطلق، برای احدی از بشر و ملائکه ثابت نیست، مع‌ذلک اگر کسی بعضی از اخبار را در این موارد، از حیث متن و دلالت، بی‌خدشه بداند و به آن معتقد شود، کفر و غلو نمی‌باشد و مطلب محالی نگفته است؛ هرچند محال نبودن و امکان، اعم از وقوع است، چنان‌که وقوع اخصّ از امکان است و اولی در این مورد سکوت و نفی‌نکردن و پرهیز از قول به غیرعلم است</w:t>
      </w:r>
      <w:r>
        <w:rPr>
          <w:rFonts w:eastAsia="IRNazanin" w:cs="IRNazanin"/>
          <w:color w:val="111111"/>
          <w:sz w:val="28"/>
          <w:szCs w:val="28"/>
          <w:rtl w:val="true"/>
          <w:lang w:bidi="fa-IR"/>
        </w:rPr>
        <w:t xml:space="preserve">. </w:t>
      </w:r>
      <w:bookmarkStart w:id="49" w:name="pg6249_41457"/>
    </w:p>
    <w:p>
      <w:pPr>
        <w:pStyle w:val="Heading3"/>
        <w:numPr>
          <w:ilvl w:val="2"/>
          <w:numId w:val="1"/>
        </w:numPr>
        <w:rPr/>
      </w:pPr>
      <w:bookmarkStart w:id="50" w:name="__RefHeading___Toc1623888_237004111"/>
      <w:bookmarkStart w:id="51" w:name="_Toc16"/>
      <w:bookmarkEnd w:id="49"/>
      <w:bookmarkEnd w:id="50"/>
      <w:r>
        <w:rPr/>
        <w:t>7</w:t>
      </w:r>
      <w:r>
        <w:rPr>
          <w:rtl w:val="true"/>
        </w:rPr>
        <w:t xml:space="preserve"> - </w:t>
      </w:r>
      <w:r>
        <w:rPr>
          <w:rtl w:val="true"/>
        </w:rPr>
        <w:t>خوارق عادات</w:t>
      </w:r>
      <w:bookmarkEnd w:id="51"/>
    </w:p>
    <w:p>
      <w:pPr>
        <w:pStyle w:val="BookText"/>
        <w:rPr/>
      </w:pPr>
      <w:r>
        <w:rPr>
          <w:rFonts w:ascii="IRNazanin" w:hAnsi="IRNazanin" w:eastAsia="IRNazanin"/>
          <w:color w:val="111111"/>
          <w:sz w:val="28"/>
          <w:sz w:val="28"/>
          <w:szCs w:val="28"/>
          <w:rtl w:val="true"/>
          <w:lang w:bidi="fa-IR"/>
        </w:rPr>
        <w:t>ظهور خوارق عادات و حوادث و وقایع و افعالِ خارج از قلمرو و اسباب و مسببات عادی و متعارف و مألوف، به دست گروهی از افراد بشر، مسلّم و غیرقابل‌انکار است و به‌طور تواتر و فوق تواتر نقل شده، و قرآن هم باصراحت آن را اثبات نموده است، و نه فقط ملّیّون و پیروان ادیان آسمانی و عقیده‌مندان به عالم غیب، این موضوع را قبول دارند، و شواهد و وقایع حسّی و عینی آن را نقل می‌نمایند؛ بلکه آنچه بین متکلّمان و دانشمندان علم کلام، و فلاسفه و حکما، محلّ نظر واقع شده است، چگونگی صدور این خوارق، و مستند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بزرگ و فلاسفه الهی معتقدند که خوارق عادات فعلِ نبیّ و ولیّ و به‌عبارت‌دیگر شخص صاحب نفس کامل و قدسی است، و قدرت او بر فعل خارق، و اطاعت اکوان از او، از خواصّ ذاتی نفس کامل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 نفس نبیّ و ولیّ، دارای خواص و خصائصی است که ازجمله قدرت بر اظهار این خوارق و اطاعت تکوینی عناصر از اوست و خلاصه از ذاتیات نفس نبیّ و ولیّ، قدرت تصرّف در اکوان و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صدور خارق عادت از نبیّ و ولیّ جایز است؛ چه برای تحدّی باشد و چه نباشد و این اطاعت اکوان و کائنات از او، شاهد صدق اوست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ابن‌خلدون، فیلسوف و جامعه‌شناس، بعد از آنکه به صدور خوارق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نبیّ و ولیّ اعتراف می‌کند، بین نبیّ و ولیّ در این جهت، به این نحو فرق می‌گذارد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خوارق نبیّ، مانند صعود به آسمان و نفوذ در اجسام و احیای موتی و سخن‌گفتن با ملائکه است، امّا از ولیّ، کمتر و محدودتر است، مثل تکثیر قلیل و خبر از غیب و امثال آن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با اینکه نسبت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ادب خارج شده و تحت‌تأثیر سیاست امویان و تربیت اموی خود سخن رانده است، علم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غیوب تصدیق کرده است</w:t>
      </w:r>
      <w:r>
        <w:rPr>
          <w:rStyle w:val="FootnoteAnchor"/>
          <w:rtl w:val="true"/>
        </w:rPr>
        <w:footnoteReference w:id="46"/>
      </w:r>
      <w:r>
        <w:rPr>
          <w:rFonts w:ascii="IRNazanin" w:hAnsi="IRNazanin" w:eastAsia="IRNazanin"/>
          <w:color w:val="111111"/>
          <w:sz w:val="28"/>
          <w:sz w:val="28"/>
          <w:szCs w:val="28"/>
          <w:rtl w:val="true"/>
          <w:lang w:bidi="fa-IR"/>
        </w:rPr>
        <w:t>و غرضش این است که دایره قدرت صاحب خارق عادت، به کمال نفس او ارتباط دارد و لذا چون در نظرش مطلق نبیّ از ولیّ، در کمال نفس، اکمل است، این‌گونه فرق گذارده است و الاّ باید بگوید، قدرت صاحب خارق به‌حسب اشخاص و نفوس آنها، و اطاعت تکوینی اشیا و عناصر از آنها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هم محدَّث بودند و ملائکه با آنها حدیث می‌گفتند، چنان‌که با مریم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گفتند و قرآن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الْمَلآئِکَةُ یا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این‌نظر، باتوجه‌به مطلب پنجم از مطالبی که در این مقدمه بیان شد، خالی از اشکال عقلی باشد، یعنی به شرک و غلو برخوردی ندارد؛ زیرا اگر مقصود ایشان این باشد که این قدرت از خواصّ کمال نفس ولیّ و نبیّ است و کمال نفس مستقیماً افاضه و موهبت الهی است، این قدرت هم بالعرض موهبت الهی خواهد بود و مانعی ندارد که خدا چنین قدرتی را به عبدی از عباد خود اعطا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این باشد که کمال نفس انبیا و اولیا، کسبی است و کمال نفس مقدّمه قدرت بر تصرف در اکوان است، و به‌عبارت‌دیگر، لازم و ملزوم یکدیگر هستند، باز هم در حدود همان مطلب پنجم، اشکالی پیدا نمی‌کند و نظیر این می‌شود که شخصی توسّط اکمال علم، بر اظهار صنایع کوچک و بزرگ قدرت پیدا کند و در هر دو صورت نبیّ و ولی فاعل بالاستقلال نمی‌باشند و جریان کار و تصرّف آنها، مانند تصرفات عادی ایشان، از مسیر تقدیر و قضاوقدر الهی خارج نیست و به آنچه در مطلب دوم و سوم، بطلان آن ثابت شد، ارتباط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هم گفته‌اند که فعل خارق، چنان‌که حکما گفته‌اند، فعل نبیّ و ولیّ است، ولی قدرت بر اظهار آن، و اطاعت اکوان از نبیّ و ولیّ، </w:t>
      </w:r>
    </w:p>
    <w:p>
      <w:pPr>
        <w:pStyle w:val="BookText"/>
        <w:rPr/>
      </w:pPr>
      <w:r>
        <w:rPr>
          <w:rFonts w:ascii="IRNazanin" w:hAnsi="IRNazanin" w:eastAsia="IRNazanin"/>
          <w:color w:val="111111"/>
          <w:sz w:val="28"/>
          <w:sz w:val="28"/>
          <w:szCs w:val="28"/>
          <w:rtl w:val="true"/>
          <w:lang w:bidi="fa-IR"/>
        </w:rPr>
        <w:t>خاصه کمال ذات آنها نیست، هرچند نفس آنها در مرتبه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انبیا و اولیا در هر مورد که مصلحت بداند، این قدرت را اعطا می‌فرماید، یا به بعضی از آنها به‌طورمطلق این قدرت را می‌دهد، و اکوان را مطیع و فرمان‌بر آنها می‌سازد، تا هر تصرّفی را که مصلحت باشد، طبق آنچه در مطلب پنجم مرقوم شد،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از متکلمان و غیرایشان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خوارق فعل خداوند متعال است که برحسب مصلحت، به تقاضای نبیّ و ولیّ یا بدون درخواست آنها، برای اثبات صدق نبی، یا اظهار و تأیید مقام ولیّ یا مصالح دیگر، اظهار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نبیّ در موقع تحدّی ظاهر شود، دلیل بر صدق نبوّت اوست و به‌منزله تصدیق قولی و صریح خداست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این نظر، آیاتی را که دلالت دارند بر اینکه خوارق فعل نبیّ است، به این نحو تفسیر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آوردن و نشان‌دادن فعل خارق، یا توسط نبیّ و ولیّ و یا به خواست و اراده و دعای آنها انجام می‌شود، نسبت دادن آن به‌طور مجاز به نبیّ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به‌سبب عرفی یا فاعل ظاهری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چنان‌که اگر کسی فعلی را به امر و فرمان دیگری انجام دهد، آن فعل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فاعل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 نسبت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الامیر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فرقی بین آمر و ملتمس و تقاضاکننده نیست</w:t>
      </w:r>
      <w:r>
        <w:rPr>
          <w:rFonts w:eastAsia="IRNazanin" w:cs="IRNazanin"/>
          <w:color w:val="111111"/>
          <w:sz w:val="28"/>
          <w:szCs w:val="28"/>
          <w:rtl w:val="true"/>
          <w:lang w:bidi="fa-IR"/>
        </w:rPr>
        <w:t xml:space="preserve">. </w:t>
      </w:r>
      <w:bookmarkStart w:id="52" w:name="pg6249_41465"/>
    </w:p>
    <w:p>
      <w:pPr>
        <w:pStyle w:val="Heading3"/>
        <w:numPr>
          <w:ilvl w:val="2"/>
          <w:numId w:val="1"/>
        </w:numPr>
        <w:rPr/>
      </w:pPr>
      <w:bookmarkStart w:id="53" w:name="__RefHeading___Toc1623890_237004111"/>
      <w:bookmarkStart w:id="54" w:name="_Toc17"/>
      <w:bookmarkEnd w:id="52"/>
      <w:bookmarkEnd w:id="53"/>
      <w:r>
        <w:rPr>
          <w:rtl w:val="true"/>
        </w:rPr>
        <w:t>بررسی این آرا</w:t>
      </w:r>
      <w:bookmarkEnd w:id="54"/>
    </w:p>
    <w:p>
      <w:pPr>
        <w:pStyle w:val="BookText"/>
        <w:rPr/>
      </w:pPr>
      <w:r>
        <w:rPr>
          <w:rFonts w:ascii="IRNazanin" w:hAnsi="IRNazanin" w:eastAsia="IRNazanin"/>
          <w:color w:val="111111"/>
          <w:sz w:val="28"/>
          <w:sz w:val="28"/>
          <w:szCs w:val="28"/>
          <w:rtl w:val="true"/>
          <w:lang w:bidi="fa-IR"/>
        </w:rPr>
        <w:t>آنچه به تحقیق، پیرامون این آرا و نظرات می‌توان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تصرف انبیا و اولیا در اکوان و صدور خوارق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انحای مذکور، فی‌الجمله جایز است و عقلاً و شرعاً شرکِ خلاف توحید نیست و غلوّ 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در سعه و ضیق این مقام و حدود و مراتب آن، بحث و گفتگو کرد و انبیا و اولیا را نیز دارای درجات متفاضلات دانست، چنان‌که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الرُّسُلُ فَضَّلْنا بَعْضَهُمْ عَلی بَعْض مِنْهُمْ مَن کَلَّمَ اللّهُ وَرَفَعَ بَعْضَهُمْ دَرَجات وَآتَیْنا عِیسَی ابْنَ مَرْیَمَ الْبَیِّناتِ وَأَیَّدْناهُ بِرُوحِ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رسولان را بر بعضی دیگر برتری دادیم برخی از آنها، خدا با او سخن می‌گفت و بعضی را درجاتی برتر داد و به عیسی بن مریم، نشانه‌های روشن دادیم و او را با روح‌القدس تأیید نمودیم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چنان‌که کامل‌ترین مراتب این مقام و مرتبت، برای حضرت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چنان‌که مراتب انبیا و اولیا به‌حسب آنچه به آنها از علوم تعلیم شده و از حروف اسم اعظم اعطا شده نیز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مع‌ذلک، بعضی از خوارق عادات، مسلّم است که فعل خداست؛ مانند قرآن که آیات متعدده، صراحت دارند بر اینکه فعل خداست و آنچه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وحی‌شده و نازل گردیده است، همین آیات و سور است که قرآن مکتوب، وجود کتبی آن است؛ چنان‌که یک خطابه یا یک قصیده نوشته شده، وجود کتبی گفتار گوینده آن است 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الأنسُ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کنند که همانند این قرآن را بیاورند همانند آن را نخواهند آورد هرچند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دارد که تمام افراد انس و جنّ، حتی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لَاُمَرآءُ الْکَلامِ، وَفِینا تَنَشَّبَتْ عُرُوقُهُ وَعَلَیْنا تَهَدَّلَتْ غُصُونُهُ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امیران سخن هستیم و ریشه‌های آن در ما فرو رفته و شاخه‌هایش بر ما گسترده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بلکه شخص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به فرض محال، وارد این میدان شوند که بخواهند مثل قرآن را بیاورند، عاجز خواهند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فعل خارق و 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بُعد و یک نظر دارای صد و چهارده معجزه است، فعل خداست و دلیل بر این است که قرآن وحی خداست و خود دلیل و برهان خود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خداست که الفاظ و کلمات و جمله‌هایش دلیل معانی و مطالب و مقاصد بلند و با‌عظمت و انسان‌ساز آن است و کیفیت و چگونگی ترکیب کلمات و جمله‌ها و جهات دیگر آن، دلیل وحی‌بودن آن می‌باشد؛ به‌عبارت‌دیگر همان چیزی که معجزه و خارق و فعل خداست، همان نبوّت و وحی و دعوت و رسالت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کامل‌بودن دعوت قرآن و جامعیت آن، که کسی نتواند عالی‌تر و کامل‌تر از آن را عرضه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حجتی از خود برای خود است؛ برخلاف معجزات سایر پیغمبران و معجزات دیگر حضرت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دلیل، خود مدلول نیست، بلکه غیرمدلول است، مثل تبدیل عصا به اژدها و آیات تسع</w:t>
      </w:r>
      <w:r>
        <w:rPr>
          <w:rStyle w:val="FootnoteAnchor"/>
          <w:rtl w:val="true"/>
        </w:rPr>
        <w:footnoteReference w:id="53"/>
      </w:r>
      <w:r>
        <w:rPr>
          <w:rFonts w:ascii="IRNazanin" w:hAnsi="IRNazanin" w:eastAsia="IRNazanin"/>
          <w:color w:val="111111"/>
          <w:sz w:val="28"/>
          <w:sz w:val="28"/>
          <w:szCs w:val="28"/>
          <w:rtl w:val="true"/>
          <w:lang w:bidi="fa-IR"/>
        </w:rPr>
        <w:t>که معجزات نبوّت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وحی‌بودن تورات بود و مثل شقّ‌القمر</w:t>
      </w:r>
      <w:r>
        <w:rPr>
          <w:rStyle w:val="FootnoteAnchor"/>
          <w:rtl w:val="true"/>
        </w:rPr>
        <w:footnoteReference w:id="54"/>
      </w:r>
      <w:r>
        <w:rPr>
          <w:rFonts w:ascii="IRNazanin" w:hAnsi="IRNazanin" w:eastAsia="IRNazanin"/>
          <w:color w:val="111111"/>
          <w:sz w:val="28"/>
          <w:sz w:val="28"/>
          <w:szCs w:val="28"/>
          <w:rtl w:val="true"/>
          <w:lang w:bidi="fa-IR"/>
        </w:rPr>
        <w:t xml:space="preserve">و معجزات </w:t>
      </w:r>
    </w:p>
    <w:p>
      <w:pPr>
        <w:pStyle w:val="BookText"/>
        <w:rPr/>
      </w:pPr>
      <w:r>
        <w:rPr>
          <w:rFonts w:ascii="IRNazanin" w:hAnsi="IRNazanin" w:eastAsia="IRNazanin"/>
          <w:color w:val="111111"/>
          <w:sz w:val="28"/>
          <w:sz w:val="28"/>
          <w:szCs w:val="28"/>
          <w:rtl w:val="true"/>
          <w:lang w:bidi="fa-IR"/>
        </w:rPr>
        <w:t>دیگر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که اگرچه دلیل صدق نبوّت آن حضرت و وحی‌بودن قرآن بود، ولی دلیل، غیر از مدلول بود و مانند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سلام‌شدن آتش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که فعل خدا بود، ولی غیر چیزی بود که معجزه برای آن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بعضی از خوارقی که گفته شد فعل خداست،از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صادر شده است و ظاهر این است که فعل خود آن بزرگواران بوده است، مثل معجزه و تصرّف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شیر پرده</w:t>
      </w:r>
      <w:r>
        <w:rPr>
          <w:rStyle w:val="FootnoteAnchor"/>
          <w:rtl w:val="true"/>
        </w:rPr>
        <w:footnoteReference w:id="57"/>
      </w:r>
      <w:r>
        <w:rPr>
          <w:rFonts w:ascii="IRNazanin" w:hAnsi="IRNazanin" w:eastAsia="IRNazanin"/>
          <w:color w:val="111111"/>
          <w:sz w:val="28"/>
          <w:sz w:val="28"/>
          <w:szCs w:val="28"/>
          <w:rtl w:val="true"/>
          <w:lang w:bidi="fa-IR"/>
        </w:rPr>
        <w:t>و نشستن آن شخص در آتش به 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نظایر آن، بنابراین علّت آنکه بعضی از این خوارق به فعل نبیّ یا ولیّ انجام شده، و بعضی دیگر به فعل خدا، چیست؟؛ زیرا پاسخ داده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معجزات به هر دو نحو جایز است و مانعة‌الجمع نمی‌باشند یعنی هم جایز است نبیّ ادعای نبوّت کند و تحدّی نماید به معجزه‌ای که به او عطا شده و مستقیماً و بدون‌واسطه احدی، فعل خدا باشد و هم تحدی نماید به معجزه‌ای که خدا قدرت اظهار آن را به او داده باشد </w:t>
      </w:r>
    </w:p>
    <w:p>
      <w:pPr>
        <w:pStyle w:val="BookText"/>
        <w:rPr/>
      </w:pPr>
      <w:r>
        <w:rPr>
          <w:rFonts w:ascii="IRNazanin" w:hAnsi="IRNazanin" w:eastAsia="IRNazanin"/>
          <w:color w:val="111111"/>
          <w:sz w:val="28"/>
          <w:sz w:val="28"/>
          <w:szCs w:val="28"/>
          <w:rtl w:val="true"/>
          <w:lang w:bidi="fa-IR"/>
        </w:rPr>
        <w:t>و در یک مورد معجزه‌ای مستقیماً و بی‌واسطه فعل خدا باشد، و در مورد دیگر همان معجزه به اقدار و اعطای قدرت بر اظهار آن به نبیّ، فعل نبی باشد، هرچند صورت اوّل در تصدیق و اثبات صدق، صریح‌تر باشد؛ زیرا بلاواسطه فعل خداست که پیغمبر از جانب او و فرستاده اوست، ولی در صورت دوم، فعل شخص مدّعی نبوّت است که به اعطای قدرت از جانب خدا به او، آن را اظهار داشته است، ولی معلوم است که این تفاوت، غالباً مورد نظر عرف نیست و هر دو را یک حدّ خارق و معجز و دلیل صدق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جهات و تفاوت‌ها و وجود واسطه و عدم واسطه، مصالحی نیز مؤثر است و چنان‌که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أَعْلَمُ حَیْثُ یَجْعَلُ رِسالَتَهُ</w:t>
      </w:r>
      <w:r>
        <w:rPr>
          <w:rStyle w:val="FootnoteAnchor"/>
          <w:rtl w:val="true"/>
        </w:rPr>
        <w:footnoteReference w:id="59"/>
      </w:r>
      <w:r>
        <w:rPr>
          <w:rFonts w:ascii="IRNazanin" w:hAnsi="IRNazanin" w:eastAsia="IRNazanin"/>
          <w:color w:val="111111"/>
          <w:sz w:val="28"/>
          <w:sz w:val="28"/>
          <w:szCs w:val="28"/>
          <w:rtl w:val="true"/>
          <w:lang w:bidi="fa-IR"/>
        </w:rPr>
        <w:t>خدا هم داناتر است که پیغمبران و اولیا را چگونه و از چه طریق تأیید و تصدیق کند و آنها را با امر، خارق و معجزه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 ندارد که آتش به فعل خدا و بدون واسطه احدی سرد و سالم شود و به قدرتی که خدا به امام اعطا کرده و اکوان را مطیع او قرار داده است، به کسی اثر نکند یا آنکه عصا تبدیل به اژدها شود، و با قدرتی که به امام موهبت فرموده است، صورت شیری که در پرده بود، قلب به شیر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بین معجزات انبیا، معجزه‌ای که بی‌رقیب است و به کسی از ایشان قدرتی به مثل آن اعطا نشده و نخواهد شد، قرآن مجید است</w:t>
      </w:r>
      <w:r>
        <w:rPr>
          <w:rFonts w:eastAsia="IRNazanin" w:cs="IRNazanin"/>
          <w:color w:val="111111"/>
          <w:sz w:val="28"/>
          <w:szCs w:val="28"/>
          <w:rtl w:val="true"/>
          <w:lang w:bidi="fa-IR"/>
        </w:rPr>
        <w:t xml:space="preserve">. </w:t>
      </w:r>
      <w:bookmarkStart w:id="55" w:name="pg6249_41475"/>
    </w:p>
    <w:p>
      <w:pPr>
        <w:pStyle w:val="Heading3"/>
        <w:numPr>
          <w:ilvl w:val="2"/>
          <w:numId w:val="1"/>
        </w:numPr>
        <w:rPr/>
      </w:pPr>
      <w:bookmarkStart w:id="56" w:name="__RefHeading___Toc1623892_237004111"/>
      <w:bookmarkStart w:id="57" w:name="_Toc18"/>
      <w:bookmarkEnd w:id="55"/>
      <w:bookmarkEnd w:id="56"/>
      <w:r>
        <w:rPr/>
        <w:t>8</w:t>
      </w:r>
      <w:r>
        <w:rPr>
          <w:rtl w:val="true"/>
        </w:rPr>
        <w:t xml:space="preserve"> - </w:t>
      </w:r>
      <w:r>
        <w:rPr>
          <w:rtl w:val="true"/>
        </w:rPr>
        <w:t>ولایت شخص بر نفس و آنچه مسخّر بشر است</w:t>
      </w:r>
      <w:bookmarkEnd w:id="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مسئله ولایت شخص بر نفس خویش، و آنچه که خدا مسخّر انسان قرار داده است، غیر از تفویض است که در مسئله جبر و تفویض از آن بحث می‌شود و این ولایت با امر بین 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متعددی که از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زیرا اگرچه فعل به اختیار عبد واقع می‌شود، و فاعل بلاواسطه آن عبد است، امّا چنان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کار، معزول و عبد مستقل باشد و دست خدا منقطع و رعایت مطلقه الهی نباشد، بلکه صدور فعل اختیاری از عبد، طبق مشیت مطلق الهی است و درعین‌حالی که عبد ولایت دارد، قضا و قدر الهی در رفع موانع و حصول شرایط و تأثیر مقتضی همه برجا و برقرار است و طبق قواعدی که خدا مقرّر کرده است، انجام می‌پذیرد و خارج از آن قواعد و بیرون از سلطنت و قیمومیّت و تدبیر الهی چیزی واقع نخواهد شد و دایره قدرت و اختیار عبد، محدود به این سنن و قواعد است و بیرون از آن، عبد را قدرت و اختیاری نیست؛ بنابراین اِعمال اختیار هم، در دایره قضاوقدر الهی، مقدور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اِعمال اختیار در این دایره، محدود و بلکه مضطر و ناچار است، هرچند در این دایره، مخیّر در فعل و ترک و اختیار چگونگی عمل است، انسان قدرت و اختیار دارد که از راه گوش بشنود، امّا از شنیدن از راه چشم عاجز است، علیهذا در طریق قراردادن گوش برای استماع، </w:t>
      </w:r>
    </w:p>
    <w:p>
      <w:pPr>
        <w:pStyle w:val="BookText"/>
        <w:rPr/>
      </w:pPr>
      <w:r>
        <w:rPr>
          <w:rFonts w:ascii="IRNazanin" w:hAnsi="IRNazanin" w:eastAsia="IRNazanin"/>
          <w:color w:val="111111"/>
          <w:sz w:val="28"/>
          <w:sz w:val="28"/>
          <w:szCs w:val="28"/>
          <w:rtl w:val="true"/>
          <w:lang w:bidi="fa-IR"/>
        </w:rPr>
        <w:t>ناچار و مضطر است و در شنیدن یا نشنیدن توسط گوش و گفتن و نگفتن توسط زبان مختار است، می‌تواند بشنود، می‌تواند نشنود، می‌تواند بگوید، می‌تواند نگوید</w:t>
      </w:r>
      <w:r>
        <w:rPr>
          <w:rFonts w:eastAsia="IRNazanin" w:cs="IRNazanin"/>
          <w:color w:val="111111"/>
          <w:sz w:val="28"/>
          <w:szCs w:val="28"/>
          <w:rtl w:val="true"/>
          <w:lang w:bidi="fa-IR"/>
        </w:rPr>
        <w:t>.</w:t>
      </w:r>
      <w:r>
        <w:rPr>
          <w:rStyle w:val="FootnoteAnchor"/>
          <w:rtl w:val="true"/>
        </w:rPr>
        <w:footnoteReference w:id="6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دانستن این مطالب و معرفت به اطراف و حدود آنها نیز از جهات متعددی لازم و اهمیّت آنها کمتر از بحثی که ما در نظر داریم نیست و بلکه بعضی از این مطالب لازم ‌تر و اساسی‌تر است تصدیق می‌فرمایند که در این بخش مهم به مطالب فرعی نپرداخته‌ایم و همان را که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جان بحث است در این مطالب بررسی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الاّ بالله العلی العظیم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6249_41481"/>
      <w:bookmarkStart w:id="59" w:name="pg6249_41481"/>
      <w:bookmarkEnd w:id="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pg6249_41481"/>
      <w:bookmarkStart w:id="61" w:name="__RefHeading___Toc1623894_237004111"/>
      <w:bookmarkStart w:id="62" w:name="_Toc19"/>
      <w:bookmarkEnd w:id="60"/>
      <w:bookmarkEnd w:id="61"/>
      <w:r>
        <w:rPr>
          <w:rtl w:val="true"/>
        </w:rPr>
        <w:t>ولایت تکوینی و تشریعی</w:t>
      </w:r>
      <w:bookmarkEnd w:id="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6249_41485"/>
      <w:bookmarkStart w:id="64" w:name="pg6249_41485"/>
      <w:bookmarkEnd w:id="64"/>
    </w:p>
    <w:p>
      <w:pPr>
        <w:pStyle w:val="Heading2"/>
        <w:numPr>
          <w:ilvl w:val="1"/>
          <w:numId w:val="1"/>
        </w:numPr>
        <w:rPr/>
      </w:pPr>
      <w:bookmarkStart w:id="65" w:name="pg6249_41485"/>
      <w:bookmarkStart w:id="66" w:name="__RefHeading___Toc1623896_237004111"/>
      <w:bookmarkStart w:id="67" w:name="_Toc20"/>
      <w:bookmarkEnd w:id="65"/>
      <w:bookmarkEnd w:id="66"/>
      <w:r>
        <w:rPr>
          <w:rtl w:val="true"/>
        </w:rPr>
        <w:t>معنای ولایت تکوینی</w:t>
      </w:r>
      <w:bookmarkEnd w:id="67"/>
    </w:p>
    <w:p>
      <w:pPr>
        <w:pStyle w:val="BookText"/>
        <w:rPr/>
      </w:pPr>
      <w:r>
        <w:rPr>
          <w:rFonts w:ascii="IRNazanin" w:hAnsi="IRNazanin" w:eastAsia="IRNazanin"/>
          <w:color w:val="111111"/>
          <w:sz w:val="28"/>
          <w:sz w:val="28"/>
          <w:szCs w:val="28"/>
          <w:rtl w:val="true"/>
          <w:lang w:bidi="fa-IR"/>
        </w:rPr>
        <w:t xml:space="preserve">بدیهی است بحث ما در این رساله، بحثی علمی، اعتقادی و دینی است و بحث لفظی نیست و فرقی نمی‌کند که خصوص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و احادیث شریفه باشد یا نباشد؛ زیرا اگر لفظ و اصطلاحی در قرآن و حدیث نباشد، دلیل بر آن نیست که معنایی که از آن اراده می‌شود و برای آن اصطلاح کرد‌ه‌اند، به الفاظ و تعابیر دیگر در قرآن و حدیث بیان نشده و مورد نفی و اثبات قرار نگرفته باشد و نتوان حقّ یا باطل‌بودن آن معنا را از کتاب و سنّت استفاده نمود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بعضی از علمای اعلام در جواب سؤالی که از ایشان شده، طفره 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احادیث وارد نشده است و معنایشان را از کسانی بپرسید که آنها را اصطلاح و اختراع کرد‌ه‌اند؛</w:t>
      </w:r>
      <w:r>
        <w:rPr>
          <w:rStyle w:val="FootnoteAnchor"/>
          <w:rtl w:val="true"/>
        </w:rPr>
        <w:footnoteReference w:id="61"/>
      </w:r>
      <w:r>
        <w:rPr>
          <w:rFonts w:ascii="IRNazanin" w:hAnsi="IRNazanin" w:eastAsia="IRNazanin"/>
          <w:color w:val="111111"/>
          <w:sz w:val="28"/>
          <w:sz w:val="28"/>
          <w:szCs w:val="28"/>
          <w:rtl w:val="true"/>
          <w:lang w:bidi="fa-IR"/>
        </w:rPr>
        <w:t xml:space="preserve">زیرا غرض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جویای حقیقت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این دو لفظ شرح و تفسیر شوند و دلالت آنها، برحسب لفظ یا اصطلاح معلوم گردد؛ بلکه مقصود این </w:t>
      </w:r>
      <w:bookmarkStart w:id="68" w:name="pg6249_41487"/>
    </w:p>
    <w:p>
      <w:pPr>
        <w:pStyle w:val="BookText"/>
        <w:rPr/>
      </w:pPr>
      <w:bookmarkEnd w:id="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از آن در عرف یا اصطلاح اراده می‌کنند و مورد نفی و اثبات قرار می‌دهند، برحسب عقل و کتاب و سنّت، حقّ است یا باطل؟ و اگر سائل اهل فتنه و اضلال باشد، همین‌گونه جواب‌ها را دستاویز قرار داده و آن را نشانه عجز علما و دانشمندان از ردّ شبهات معرفی می‌کند و بر اضلال و اغوا، جری‌تر و گستاخ‌تر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یاری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توضیح مطلب اشتباهی روی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تمام معانی و مفاهیمی که ممکن است مدلول و مفهوم 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اشاره می‌نماییم، سپس حقّ یا باطل بودن هر معنایی را بررسی و تحقیق می‌کنیم</w:t>
      </w:r>
      <w:r>
        <w:rPr>
          <w:rFonts w:eastAsia="IRNazanin" w:cs="IRNazanin"/>
          <w:color w:val="111111"/>
          <w:sz w:val="28"/>
          <w:szCs w:val="28"/>
          <w:rtl w:val="true"/>
          <w:lang w:bidi="fa-IR"/>
        </w:rPr>
        <w:t>.</w:t>
      </w:r>
    </w:p>
    <w:p>
      <w:pPr>
        <w:pStyle w:val="Heading2"/>
        <w:numPr>
          <w:ilvl w:val="1"/>
          <w:numId w:val="1"/>
        </w:numPr>
        <w:rPr/>
      </w:pPr>
      <w:bookmarkStart w:id="69" w:name="__RefHeading___Toc1623898_237004111"/>
      <w:bookmarkStart w:id="70" w:name="_Toc21"/>
      <w:bookmarkEnd w:id="69"/>
      <w:r>
        <w:rPr>
          <w:rtl w:val="true"/>
        </w:rPr>
        <w:t>مفهوم و مدلول لفظی ولایت تکوینی</w:t>
      </w:r>
      <w:bookmarkEnd w:id="70"/>
    </w:p>
    <w:p>
      <w:pPr>
        <w:pStyle w:val="BookText"/>
        <w:rPr/>
      </w:pPr>
      <w:r>
        <w:rPr>
          <w:rFonts w:ascii="IRNazanin" w:hAnsi="IRNazanin" w:eastAsia="IRNazanin"/>
          <w:color w:val="111111"/>
          <w:sz w:val="28"/>
          <w:sz w:val="28"/>
          <w:szCs w:val="28"/>
          <w:rtl w:val="true"/>
          <w:lang w:bidi="fa-IR"/>
        </w:rPr>
        <w:t>در ولایت تکوینی، ممکن است تکوین صفت ولایت باشد و در مقابلِ ولایت ازلی قدیمی و غیرحادث و غیرتکوینی الهی اطلاق شود و به‌عبارت‌دیگر، به آن ولایت غیرتکوینی الهی اطلاق شود و به‌عبارت‌دیگر، از آن ولایت حادث و ایجادشده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احتمال، ولایت تکوینی چند نوع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ولایت تکوینی شخص بر نفس خود و بر آنچه مسخّر هر انسان است که متعلق احکام شرعی و متعلق ولایت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معانی آن، که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مثلاً </w:t>
      </w:r>
    </w:p>
    <w:p>
      <w:pPr>
        <w:pStyle w:val="BookText"/>
        <w:rPr/>
      </w:pPr>
      <w:r>
        <w:rPr>
          <w:rFonts w:ascii="IRNazanin" w:hAnsi="IRNazanin" w:eastAsia="IRNazanin"/>
          <w:color w:val="111111"/>
          <w:sz w:val="28"/>
          <w:sz w:val="28"/>
          <w:szCs w:val="28"/>
          <w:rtl w:val="true"/>
          <w:lang w:bidi="fa-IR"/>
        </w:rPr>
        <w:t>شخص بر نفس خود قدرت دارد و می‌تواند آن را نابود کند؛ ولی شرعاً القای نفس در هلاکت و خودکشی حرام بوده و ولایت شرعی بر آن ندارد و اعمال ولایت تکوینی و صرف قدرت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تکویناً قدرت و ولایت هست؛ ولی صرف قدرت با نهی شرع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اصطلاح ولایت تکوینی و بحث‌هایی که در آن می‌شود، این قسم ولایت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در مطلب هشتم از مطالب بخش نخست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تفویض نیست و با امر بین امرین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به‌طور تکوین الهی و احداث و ایجاد خدا، بر تمام ممکنات و اداره و رتق‌وفتق دقیق امور آنها، از خلق و رزق و تدبیر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استقلال ولایت و سلطنت داشته باشد؛ خواه در موارد آن، تعلّق احکام شرعی و نهی و ترخیص و وجوب و تحریم فرض شود یا نه، و خواه صاحب این ولایت، اعمال ولایت بنماید یا 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این ولایت با ولایت الهی، ذاتی‌نبودن و تکوینی‌بودن و حادث‌بودن آن 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مطلب دوم از مطالب بخش نخست هم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 نوع ولایت، باطل و شرک و تفویض است و عقل و نقل بر بطلان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توالی و نتایج فاسد </w:t>
      </w:r>
    </w:p>
    <w:p>
      <w:pPr>
        <w:pStyle w:val="BookText"/>
        <w:rPr/>
      </w:pPr>
      <w:r>
        <w:rPr>
          <w:rFonts w:ascii="IRNazanin" w:hAnsi="IRNazanin" w:eastAsia="IRNazanin"/>
          <w:color w:val="111111"/>
          <w:sz w:val="28"/>
          <w:sz w:val="28"/>
          <w:szCs w:val="28"/>
          <w:rtl w:val="true"/>
          <w:lang w:bidi="fa-IR"/>
        </w:rPr>
        <w:t>و نادرست تفویض، قول به انحصار مرزوق و مخلوق خدا به صاحبان این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این نوع و نوع اوّل که خدا شخص را بر نفس خود و اعضا و جوارح خویش ولایت و اختیار و استقلال داده است؟ و چرا همین ولایت را در مورد مدیریت کائنات و سلطنت بر اداره امر خلق و رزق و میراندن و زنده‌کردن نمی‌گویید؟ زیرا در هر دو نوع، ولایت و استقلال ازلی و ذاتی نیست؛ بلکه اعطایی و حادث و در طول ولایت مطلق مستقل الهی بر جمیع اشیا و تمام امور است که اگر اراده فرماید، می‌تواند در هر دو صورت، سلب استقلال و ولایت را از مخلوق خود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ولایت تکوینی حادث هبه‌شده، به شرک ارتباطی پیدا نمی‌کند؟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آنچه در مطلب دوم از مطالب بخش اوّل بیان شد، این استقلال، شرک و اعطای آن به ممکن، محال و مستلزم خروج ممکن از امکان است که استحاله آن بدیهی است و ولایت شخص بر نفس خود، نظیر ولایت نوع سوم است که پس از این درباره آن بحث خواهد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مطلب هشتم گفته شد، استقلال و ولایت شخص بر نفس خود و هر آنچه مسخر او شده است، استقلال و اختیاری است </w:t>
      </w:r>
    </w:p>
    <w:p>
      <w:pPr>
        <w:pStyle w:val="BookText"/>
        <w:rPr/>
      </w:pPr>
      <w:r>
        <w:rPr>
          <w:rFonts w:ascii="IRNazanin" w:hAnsi="IRNazanin" w:eastAsia="IRNazanin"/>
          <w:color w:val="111111"/>
          <w:sz w:val="28"/>
          <w:sz w:val="28"/>
          <w:szCs w:val="28"/>
          <w:rtl w:val="true"/>
          <w:lang w:bidi="fa-IR"/>
        </w:rPr>
        <w:t>که با امر بین امرین منافات ندارد و قضاوقدر الهی در تمام موارد اِعمال این استقلال و اختیار محفوظ است؛ امّا در این استقلالی که در مدیریت امور کائنات فرض می‌شود، مجالی برای قضاوقدر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ولایتی بر نظام اسباب و تغییر و تبدیل آن نیست؛ بلکه ولایت در دایره نظام اسباب و مسبّبات و طبق سنّت‌های مقرّر انجام و اِعمال می‌شود و مداخله‌ای در امر اسباب و مسبّبات و خلق اشیا و مواد و اجسام و رزق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و ولایت عبد بر نفس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گفته شد استقلال و ولایت مطلق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و اموری است که خدا از آن کارها منزّه است، مثل اکل و شرب و نشستن و برخاستن و فکرکردن و با زبان گفتن و با گوش شنیدن و با دست گرفتن؛ امّا ولایت مطلقه بر نظام کائنات و مداخله بدون وسایط و اسباب به‌طور استقلال در رتق‌وفتق و اداره امور اکوان، کار خداست و دیگری را متصدی‌شمردن شرک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زیادی از آیات و احادیث دلالت صریح دارند بر اینکه این ولایت فقط شأن خداست و برای غیر او ثابت نیست و فقط دست خدا در اداره امور کائنات و خلق و رزق باز و گشاده و مستقل است و در تمام اَحیان و اَزمان، دست او در کار اداره شئون خلق و افاضه و اِعطا و اِماته و اِحیاست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هرروز در شأن و 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دستهایشان بسته باد و به‌خاطر این سخن از رحمت الهی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یُصَوِّرُکُمْ فِی الأَرْحامِ کَیْفَ یَشآءُ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می‌خواهد تصویر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فالِقُ الْحَبِّ وَالنَّوی یُخْرِجُ الْحَیَّ مِنَ الْمَیِّتِ وَمُخْرِجُ الْمَیِّتِ مِنَ الْحَیِّ ذلِکُمُ اللّهُ فَأَنّی </w:t>
      </w:r>
    </w:p>
    <w:p>
      <w:pPr>
        <w:pStyle w:val="BookText"/>
        <w:rPr/>
      </w:pPr>
      <w:r>
        <w:rPr>
          <w:rFonts w:ascii="Amiri" w:hAnsi="Amiri" w:eastAsia="Amiri" w:cs="Amiri"/>
          <w:color w:val="111111"/>
          <w:sz w:val="28"/>
          <w:sz w:val="28"/>
          <w:szCs w:val="28"/>
          <w:rtl w:val="true"/>
          <w:lang w:bidi="ar-SA"/>
        </w:rPr>
        <w:t xml:space="preserve">تُؤْفَکُونَ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الأَصْباحِ وَجَعَلَ اللَّیْلَ سَکَناً وَالشَّمْسَ وَالْقَمَرَ حُسْباناً ذلِکَ تَقْدِیرُ الْعَزِیزِ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شکافندة دانه و هسته است، زنده را از مرده خارج می‌سازد و مرده را از زنده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حق منحرف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شکافنده صبح است و شب را مایه آرامش و خورشید و ماه را وسیله حساب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اندازه‌گیری خداوند توانای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این‌گونه آیات که در قرآن بسیار است، دیگر مجال برای توهّم صحّت این ولایت برای غیر خدا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عامّه حادث و غیرمستقل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در مطلب چهارم از مطالب بخش نخست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شرک نیست و از آن محذور تفویض لازم نمی‌آید؛ ولی مخالف ظواهر و اطلاقات کثیری از آیات قرآن است و دلیل کافی و قاطعی بر آن نداریم تا ظواهری را که دلالت بر افعال بدون‌واسطه دارند و لااقل اطلاق دارند، به افعال مع‌الواسطه حمل نماییم یا مقیّد به آن نماییم، چنان‌که در بعضی از موارد، خود آیات قرآن قرینه بر عدم اطلاق آیات دیگر و صَرف ظاهر آن می‌شود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قطب‌بودن ولیّ و اینکه زمین به وجود حجت باقی و برقرار است و خالی از حجت نخواهد ماند، و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نسبت به عالَم کبیر، مثل قلب است نسبت به عالم صغیر، چیست؟ چرا همان‌گونه که قلب متصرف در عالم صغیر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مشتمل بر عالم‌های بسیار است، مثل عالم گلبول‌های قرمز که شامل تقریباً سی‌هزار میلیارد گلبول قرمز است و عالم گلبول‌های سفید که شامل حدود پنجاه میلیارد گلبول سفید است و عالم سلّول‌ها که حدود ده میلیون میلیارد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کبیر این برنامه و تقدیر الهی را قبول نکنیم، با‌اینکه عالم کبیر به داشتن چنین مرکز ارتباط و همگامی و یک واحد بودن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همان‌طور که این واحدها نیز واحدهای بزرگ‌تر و مرکب را تشکیل می‌دهند و واحدها نیز واحدهای دیگر و بزرگ‌تر را و از مجموع تمام این واحدهای کوچک و بزرگ، عالم تشکیل شده است و در تمام این واحدها، ملاک و معیار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قلب و روح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تمام عالم نیز این قانون به تقدیر خدا وجود دارد که عالم، واحد خاصّی است و امام قلب و مرکز آن است که اگر نباشد، ارتباط اجزای عالم برهم می‌خورد و نظام عالم به وجود او باقی است، چنان‌که وقتی تصرف روح از بدن قطع گردد، از صلاحیت ارتباط با یکدیگر ساقط می‌شوند؛ بلکه صورت و هیئت آنها از میان می‌رود، و واحدهایی که تقوّمشان به روح و حیات نبوده، باقی می‌مانند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بیان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قطبیت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این باشد که به تقدیر عزیز علیم، ولیّ و امام درکائنات به‌منزله مدار و هسته مرکزی است که تکویناً حرکات متحرک و اوضاع کائنات و بقای ثوابت و سیارات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اتم‌ها تا منظومه‌ها و کهکشان‌ها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او ارتباط دارد و خواست و اراده خدا بر این تعلّق گرفته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محور عالم امکان و قلب آن باشد و بقای همه مرتبط به او باشد، چنان‌که بقای انسان و اعضا و جوارح او را به قلب و کار آن ارتباط داده است و چنان‌که سازنده یک ماشین و دستگاه، بقا و کار آن را به اجزای مهم آن ارتباط می‌دهد، این معنا قابل تصدیق است؛ بلکه ادلّه و شواهدی بر آن می‌توان اقامه کرد،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تَقْدِیرُ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ثابتِ عالم، به تقدیر خدای مقتدر و داناست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بقای نظام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بِإِرادَةِ اللهِ بِوُجُودِ الْاِمامِ لا بِإِرادَةِ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مسئله ولایت ارتباط ندارد؛ زیرا در ارتباط بقای نظام به وجود مبارک ولیّ و امام، خواست و اراده خدا مداخله‌ای ندارد و با عدم اراده و اختیار شخص ولیّ، اطلاق ولایت بر او به این ملاحظه معنا پیدا نمی‌کند و اگر هم کسی به‌طور مسامحه این خصوصیت را ولایت بگوید، اشکالی پیدا نمی‌شود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قبول می‌کنیم با این بیان که انسان عالم صغیر است و هرجنبنده و متحرکی یک واحد است و حفظ اعضا و بقای آنها، مثلاً مربوط به قلب و مغز و اعضای رئیسه دیگر است؛ مجموع عالم نیز این چنین است و بقای آن ارتباط به وجود امام و ولیّ دارد؛ اثبات ولایت به معنای مذکور و مدیریت غیرمستقل نمی‌شود؛ امّا مقام ولایت نسبت به این عالم، مقام روح و غیب وجود انسان است نسبت به اعضا و جوارح، که همکاری‌های اعضا و جوارح و افعالی که از آنها صادر می‌شود، تحت ولایت و تصرّف روح است و جهت وحدت این اعضا و همکاری آنها با یکدیگر روح است، که اگر روح نباشد، این اعضا باهم همکاری ندارند و بی‌اثر و بی‌خاصیت می‌گردند؛ ولی چون به تقدیر و امر خدا، همه تحت فرمان روح هستند، منافع و فواید هرکدام ظاهر می‌شود؛ هرچند دست یا چشم درک این معنا را که تحت ولایت روح است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منزلت ولیّ قطب چنین منزلتی باشد که به اذن خدا و تقدیر او، ترتب منافع و فواید تمام اکوان و اشیا و ارتباط آنها با یکدیگر به اراده و تصرف او متوقف باشد، هرچند این تصرفات از دایره سنن الهی خارج نبوده و نظام و برنامه آن الهی باشد و شخص ولی خارج از آن تصرفی نداشته باشد؛ بلکه قادر به تصرّف نباشد و یک نحو امر بین امرین به جعل و اِعطای خدا برقرار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بیان لطیفی است و اِشکال شرک و تفویض و غلوّ در آن نیست؛ امّا با ظواهر آیات بسیاری خالی از منافات نیست؛ آیاتی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یُمْسِکُ السَّماواتِ وَالأَرْضَ أَن تَزُولا وَلَئِن زالَتا إِنْ أَمْسَکَهُما مِنْ أَحَد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آسمان‌ها و زمین را نگاه می‌دارد تا از نظام خود منحرف نشوند و هرگاه منحرف گردند، کسی جز او نمی‌تواند آنها را نگاه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یُرْسِلُ الرِّیَاحَ بُشْرًا بَیْنَ یَدَیْ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بادها را بشارت‌دهنده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شکافنده دانه و هسته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اگر قرینه‌ای باشد، حمل این افعال بر اعم از باواسطه و بی واسطه جایز است؛ امّا با عدم دلیل، وجهی برای حمل آن نیست، خصوصاً که این آیات متعدّد است و رفع ید از این ظواهر کثیر جایز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و مشیّت الهی است که حافظ وحدت عالم و حافظ ارتباط بین اکوان و تمام حادثات و ممکنات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قطبیت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ولیّ و امام و خلیفة‌الله، ممکنات دیگر به کمال نمی‌رسند و غرض از آفرینش آنها حاصل نمی‌شود و از برکت و پرتو انوار وجود امام و ولیّ و خلیفة‌الله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غایی ایجاد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روشنایی و لَمَعان خورشید هدایت و تربیت او، اشخاص و افراد دیگر به‌حسب مراتب استعدادات و اکتسابات مستفیض می‌شوند و همان غرض از آفرینش امام و ولیّ که معرفت و خداشناسی و خداپرستی است، در 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مراتب استفاده آنها از هدایت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نیز صحیح و مورد تصدیق است و کلام بلیغ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اشاره به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تربیت‌یافته پروردگارمان هستیم و مردم تربیت‌یافته ما 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لفظ حدیث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بَعْدُ 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معنای اوّل یا معنایی است که مقارب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تشبیه ولیّ و امام و عالم کبیر، به قلب و عالم صغیر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تشبیه به ملاحظه جهات تکوینی نباشد؛</w:t>
      </w:r>
      <w:r>
        <w:rPr>
          <w:rStyle w:val="FootnoteAnchor"/>
          <w:rtl w:val="true"/>
        </w:rPr>
        <w:footnoteReference w:id="72"/>
      </w:r>
      <w:r>
        <w:rPr>
          <w:rFonts w:ascii="IRNazanin" w:hAnsi="IRNazanin" w:eastAsia="IRNazanin"/>
          <w:color w:val="111111"/>
          <w:sz w:val="28"/>
          <w:sz w:val="28"/>
          <w:szCs w:val="28"/>
          <w:rtl w:val="true"/>
          <w:lang w:bidi="fa-IR"/>
        </w:rPr>
        <w:t>چون مراد از قلب، عقل است و بدیهی است که عقل، جهات تکوینی وجود انسان را اداره نمی‌کند؛ بلکه این تشبیه به ملاحظه امور غیر‌تکوینی و جهاتی است که متعلق تکالیف واقع می‌شود و در آن، انتظام و ترتیب و حساب و حفظ نظام و امر به معروف و نهی از منکر و تعلیم و تربیت و رتق‌وفتق و تعاون و رفع خصومات و اختلافات لازم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خداوند در وجود انسان یک قوّه آمر و حاکم و زمامدار و حافظ نظم و برانگیزنده و بازدارنده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باطن و حقیقت وجود انسان است و آن را به ملاحظه شئون و مشاغلی که دارد، گاهی به نفس و گاهی به روح و گاهی به عقل و گاهی به قلب و نام‌های دیگر یاد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 و جوارح بدون آنکه در تحت فرماندهی این قوه و کارمند آن باشند مفید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انسانی نیز با مدیر صالح و بالیاقتی که از جانب خدا منصوب و معیّن شده باشد، حکم پیکر واحد را خواهد یافت و مدینه فاضله انسانیت، آن زمان تأسیس می‌شود که تمام افراد </w:t>
      </w:r>
    </w:p>
    <w:p>
      <w:pPr>
        <w:pStyle w:val="BookText"/>
        <w:rPr/>
      </w:pPr>
      <w:r>
        <w:rPr>
          <w:rFonts w:ascii="IRNazanin" w:hAnsi="IRNazanin" w:eastAsia="IRNazanin"/>
          <w:color w:val="111111"/>
          <w:sz w:val="28"/>
          <w:sz w:val="28"/>
          <w:szCs w:val="28"/>
          <w:rtl w:val="true"/>
          <w:lang w:bidi="fa-IR"/>
        </w:rPr>
        <w:t>اجتماع، مانند اعضای بدن واحد، هرکدام تحت راهنمایی آسمانی و معلّم شدیدالقوی الهی کار و وظیفه خود را انجام دهند و بدون چنان رهبر عالی‌مقام، مدینه فاضله تأسیس نخواهد شد، و لذا خدایی که نظام وجود یک فرد را تأمین فرموده و قوّه آمر و حاکم در آن قرار داده است، هرگز نظام مجتمع بزرگی را که این افراد عضو آن هستند، مهمل و گرفتار هرج‌ومرج و اختلال نخواهد گذاشت و حتماً رهبری صالح و جامع که هدایت و حکومتش، نمایش هدایت و حکومت الهی باشد، برای آنها منصوب و معین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هرچند در جای خود و در شناختن مقام امام، اهمّیت شایان دارد و چنان‌که در بحث ولایت تشریعی خواهیم گفت ولایت شرعی است؛ امّا غیر از مسئله ولایت تکوینی که مورد بحث ما باشد، امام و ولیّ، قطب و قلب عالم کبیر است؛ امّا ولایت تکوینی مقام دیگری است هرچند لازم و ملزوم یکدیگر باشند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و حادث است بر تصرف در کائنات، به‌واسطه علومی که شخص، به‌طور اکتساب یا افاضه و الهام و وحی دارا می‌شود، چنان‌که در مورد آن کسی که علمی از کتاب داشت، در قرآن مجید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چشم برهم زنی، آن تخت را 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علم چه علمی بوده است، علم به یک حرف از حروف اسم اعظم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بعضی از روایات و تفاسیر است</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به چیز دیگر، فعلاً در آن بحث وارد نمی‌شویم، چنان‌که علم کتاب ممکن است علم به کتاب آفرینش و کلمات آن باشد، که صاحب آن روابط مخلوقات و کائنات را با یکدیگر می‌شناسد و روی این شناسایی می‌تواند کارهایی را انجام دهد و این علم است که هم موهوبی است و هم کسبی و تحصیلی که رشته کسبی آن در عصر ما ترقّی و توسعه پیدا کرده و بر اثر اطّلاعاتی است که از خواصّ اشیا به‌طور بسیار شگفت‌انگیزی روزبه‌روز بیشتر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ممکن است از چنین ولایتی مورد ردّ و قبول واقع شود، ولایتی است که از علم موهوبی و لدنّی و تأیید مِن عند‌الله حاصل شود؛ ولی اجمالاً عقیده به چنین ولایت و تصرفاتی در حقّ اولیا، به شرک و تفویض ارتباطی ندارد؛ چون ولایت بر تغییر نظام نیست؛ بلکه علم به </w:t>
      </w:r>
    </w:p>
    <w:p>
      <w:pPr>
        <w:pStyle w:val="BookText"/>
        <w:rPr/>
      </w:pPr>
      <w:r>
        <w:rPr>
          <w:rFonts w:ascii="IRNazanin" w:hAnsi="IRNazanin" w:eastAsia="IRNazanin"/>
          <w:color w:val="111111"/>
          <w:sz w:val="28"/>
          <w:sz w:val="28"/>
          <w:szCs w:val="28"/>
          <w:rtl w:val="true"/>
          <w:lang w:bidi="fa-IR"/>
        </w:rPr>
        <w:t>نظام و روابط است با تعلّم از عالم غیب، و وقتی قرآن در مورد بعضی افراد بشر بر آن صراحت داشته باشد، فرض غلوّ هم در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در تصرّف در کائنات ممکن است، نه به عنوان نظم و تدبیر؛ بلکه برحسب مصالح و مقتضیات خاص و عارض و ثانوی و خرق عادت، چنان‌که تحقیق آن در مطلب سوم از مطالب بخش نخست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این ولایت و قدرت به دو نحو تصور می‌شود؛ یکی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ولیّ تأثیری اعطا شود که بتواند این تصرفات را بنماید، و دیگر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اکوان را مطیع و فرمان‌بر و مسخّر او قرار دهد، مانند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وَأَلَنّا لَهُ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برای او نرم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چنان شوند که او بتواند در آنها تصرّف نماید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بنابر این احتمال که تکوین صفت ولایت باشد، این پنج نوع ولایت تکوینی که مذکور شد، همه در مقابل ولایت ازلی ذاتی و غیرتکوینی الهی است، چنان‌که ولایت تشریعی جعلی یا به‌عبارت‌دیگر، ولایت شرعی، مثل ولایت جدّ و پدر که به تشریع و جعل و اعتبار شارع، به‌طور تأسیس یا امضا حاصل می‌شود، نیز غیر از این ولایت‌های پنجگانه است</w:t>
      </w:r>
      <w:r>
        <w:rPr>
          <w:rFonts w:eastAsia="IRNazanin" w:cs="IRNazanin"/>
          <w:color w:val="111111"/>
          <w:sz w:val="28"/>
          <w:szCs w:val="28"/>
          <w:rtl w:val="true"/>
          <w:lang w:bidi="fa-IR"/>
        </w:rPr>
        <w:t xml:space="preserve">. </w:t>
      </w:r>
      <w:bookmarkStart w:id="71" w:name="pg6249_41517"/>
    </w:p>
    <w:p>
      <w:pPr>
        <w:pStyle w:val="Heading2"/>
        <w:numPr>
          <w:ilvl w:val="1"/>
          <w:numId w:val="1"/>
        </w:numPr>
        <w:rPr/>
      </w:pPr>
      <w:bookmarkStart w:id="72" w:name="__RefHeading___Toc1623900_237004111"/>
      <w:bookmarkStart w:id="73" w:name="_Toc22"/>
      <w:bookmarkEnd w:id="71"/>
      <w:bookmarkEnd w:id="72"/>
      <w:r>
        <w:rPr>
          <w:rtl w:val="true"/>
        </w:rPr>
        <w:t>احتمال دیگر</w:t>
      </w:r>
      <w:bookmarkEnd w:id="73"/>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صفت به حال متعلّق موصوف باشد و از آن، ولایت بر تصرّفات عینی خارجی در امور تکوینی اراده شود، که بنابراین، در مقابل ولایت شرعی مثل ولایت جدّ و پدر و ولایت شرعی بر نفس و مال و همچنین ولایت بر تشریع و جعل قانون و اعتبارات واقع می‌شود و شامل آنها نمی‌شود؛ ولی به‌طریق‌اولی شامل ولایت و قدرت مطلق و سلطنت کلّی و عام ازلی الهی بر امور کائنات و خلق و رزق و غیر اینها می‌شود، چنان‌که شامل انواع پنج‌گانه ولایت تکوینی و غیرازلی عبد، که بنابر احتمال اوّل گفته شد،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معلوم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صفت ولایت باشد یا مانند صفت به حال متعلّق موصوف تفاوتی نمی‌کند، جز آنکه در صورت دوم شامل ولایت ذاتی ازلی الهی نیز می‌شود؛ ولی در صورت اوّل شامل ولایت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ازلی و غیرحادث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مجموع این توضیحات معلوم شد که ولایت تکوینی شخص بر نفس خود و آنچه مسخّر هر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تکوین، صفت ولایت باشد، یا صفت به حال متعلق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نزاع و بحث نبوده؛ بلکه مورد اتفاق است، چنان‌که ولایت ازلی الهی بر </w:t>
      </w:r>
    </w:p>
    <w:p>
      <w:pPr>
        <w:pStyle w:val="BookText"/>
        <w:rPr/>
      </w:pPr>
      <w:r>
        <w:rPr>
          <w:rFonts w:ascii="IRNazanin" w:hAnsi="IRNazanin" w:eastAsia="IRNazanin"/>
          <w:color w:val="111111"/>
          <w:sz w:val="28"/>
          <w:sz w:val="28"/>
          <w:szCs w:val="28"/>
          <w:rtl w:val="true"/>
          <w:lang w:bidi="fa-IR"/>
        </w:rPr>
        <w:t>تکوین اشیا و تصرّف در امور تکوینی و امر خلق و رزق و تدبیر امور و غیر اینها نیز مورد اتّفاق بوده و در آن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نوع دوم از انواع پنج‌گانه‌ای که درضمن بیان احتمال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ولایت باشد، به آن اشاره شد، اگرچه ممکن است توهم خلافی در آن شده باشد و بلکه بعضی از جهّال و غُلات به آن قائل شده باشند، این قابل‌توجّه نبوده و آن را نمی‌توان بین علما و اهل تحقیق محلّ اختلاف دانست و حق در آن همان است که درضمن بیان آن و مطلب دوم از مطالب مقدّمه بررسی شد، که چنان ولایتی برای احدی از خلق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چهارم نیز با صراحتی که قرآن در مورد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مجال انکار نیست، چنان‌که در مورد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الأَسْمآءَ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آفرینش و نام‌گذاری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همگی به آدم 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بنده‌ای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دیدار یافت،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خویش دانش به او آموخته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یَجْتَبِیکَ رَبُّکَ وَیُعَلِّمُکَ مِن تَأْوِیلِ الأَحادِیثِ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 پروردگارت تو را برمی‌گزیند و تعبیر احادیث را تعلیمت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این آیه تتمّه کلام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الاّ خطاب به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شأن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 ما لَمْ تَکُن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به تو آموخته که نه می‌دانستی و نه می‌توانستی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شأن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احادیث</w:t>
      </w:r>
      <w:r>
        <w:rPr>
          <w:rStyle w:val="FootnoteAnchor"/>
          <w:rtl w:val="true"/>
        </w:rPr>
        <w:footnoteReference w:id="83"/>
      </w:r>
      <w:r>
        <w:rPr>
          <w:rFonts w:ascii="IRNazanin" w:hAnsi="IRNazanin" w:eastAsia="IRNazanin"/>
          <w:color w:val="111111"/>
          <w:sz w:val="28"/>
          <w:sz w:val="28"/>
          <w:szCs w:val="28"/>
          <w:rtl w:val="true"/>
          <w:lang w:bidi="fa-IR"/>
        </w:rPr>
        <w:t>و تفاسیر</w:t>
      </w:r>
      <w:r>
        <w:rPr>
          <w:rStyle w:val="FootnoteAnchor"/>
          <w:rtl w:val="true"/>
        </w:rPr>
        <w:footnoteReference w:id="84"/>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خاصّ خدا به بندگان شایسته و صالح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ازطریق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بنابراین ولایت بر تصرّف در کائنات، با علمی همچون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برای انبیا و اولیا، به‌خصوص رسول خاتم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افضل و اعلم خلق خدا هستند، ثابت و مسلّم است و اگر کسی هم ولایت تکوینی را به بعضی از معانی صحیح و جایز آن قبول نکند، این معنا را نمی‌تواند انکار کند و بالاخره این شأن و مقام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تصرّف در کائنات به اذن خدا و طبق مصالح ثانوی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کند؛ امّا اینکه منشأ آن چه نحو عنایتی می‌باشد، مطلب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سوم، اگرچه منافی با توحید و نفی غلوّ و آیاتی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تَقْدِیرُ الْعَزِیزِ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اندازه‌گیری خدای توانای داناست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امّا چنان‌که گفتیم، دلیل قاطعی بر آن نیست و به‌علاوه در مورد بعضی از ملائکه، آیات و روایات دلالت دارند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قائم به بعضی امورند، مثلاً جبرئیل مأمور و امین وحی خداست، یا عزرائیل مأمور قبض ارواح است، یا ملائکه‌ای مدبّرات</w:t>
      </w:r>
      <w:r>
        <w:rPr>
          <w:rStyle w:val="FootnoteAnchor"/>
          <w:rtl w:val="true"/>
        </w:rPr>
        <w:footnoteReference w:id="87"/>
      </w:r>
      <w:r>
        <w:rPr>
          <w:rFonts w:ascii="IRNazanin" w:hAnsi="IRNazanin" w:eastAsia="IRNazanin"/>
          <w:color w:val="111111"/>
          <w:sz w:val="28"/>
          <w:sz w:val="28"/>
          <w:szCs w:val="28"/>
          <w:rtl w:val="true"/>
          <w:lang w:bidi="fa-IR"/>
        </w:rPr>
        <w:t>و ملائکه دیگر مقسّمات</w:t>
      </w:r>
      <w:r>
        <w:rPr>
          <w:rStyle w:val="FootnoteAnchor"/>
          <w:rtl w:val="true"/>
        </w:rPr>
        <w:footnoteReference w:id="88"/>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مناصبی که ملائکه دارند، ظاهر این است که اختصاص به او داشته و دیگری آن را ندارد، هرچند ملائکه نیز مأمور باشند که طبق ولایت نوع پنجم، از صاحبان آن ولایت اطاعت کنند؛ امّا اجرا و انفاذ مشیت الهی در اموری که به آنها واگذار شده است، اختصاص به خودشان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به این مناصب ملائکه، تصوّر ولایت نوع سوم ممکن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تقدیر الهی، جزء اعوان و انصار اولیا و مأموران آنها هستند، چنان‌که حضرت عزرائیل نیز جنود و اعوانی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اثبات این‌گونه ولایت و وساطت و دخالت در تمام سازمان کائنات برای ایشان و غیر ایشان در نهایت اشکال است و اگر دلیل قاطعی بر آن اقامه نشود، قول به غیرعلم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پنجم، ولایتی است که برای رسول اکرم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محقّق است و تصرفات ایشان و وقایع مسلّمی که تاریخ و احادیث متواتر آنها را حفظ کرده است، قابل‌انکار و تردید نیست؛ </w:t>
      </w:r>
      <w:bookmarkStart w:id="74" w:name="pg6249_41526"/>
    </w:p>
    <w:p>
      <w:pPr>
        <w:pStyle w:val="BookText"/>
        <w:rPr/>
      </w:pPr>
      <w:bookmarkEnd w:id="74"/>
      <w:r>
        <w:rPr>
          <w:rFonts w:ascii="IRNazanin" w:hAnsi="IRNazanin" w:eastAsia="IRNazanin"/>
          <w:color w:val="111111"/>
          <w:sz w:val="28"/>
          <w:sz w:val="28"/>
          <w:szCs w:val="28"/>
          <w:rtl w:val="true"/>
          <w:lang w:bidi="fa-IR"/>
        </w:rPr>
        <w:t>بلکه از گروه بسیاری از بزرگان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دست‌پروردگان و خواص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زهّاد نیز، تصرّفات و خوارق صادر شده است و هر شبهه‌ای که شبهه‌کنندگان عرضه بدارند، باوجود این وقایع و امور خارجی و عینی و حسّی پذیرفته نمی‌شود، بااینکه این ولایت قابل ابداء شبهه‌ای نیست؛ زیرا نه شرک و تفویض و غلوّ است، و نه منافی با توحید می‌باشد</w:t>
      </w:r>
      <w:r>
        <w:rPr>
          <w:rFonts w:eastAsia="IRNazanin" w:cs="IRNazanin"/>
          <w:color w:val="111111"/>
          <w:sz w:val="28"/>
          <w:szCs w:val="28"/>
          <w:rtl w:val="true"/>
          <w:lang w:bidi="fa-IR"/>
        </w:rPr>
        <w:t>.</w:t>
      </w:r>
    </w:p>
    <w:p>
      <w:pPr>
        <w:pStyle w:val="Heading2"/>
        <w:numPr>
          <w:ilvl w:val="1"/>
          <w:numId w:val="1"/>
        </w:numPr>
        <w:rPr/>
      </w:pPr>
      <w:bookmarkStart w:id="75" w:name="__RefHeading___Toc1623902_237004111"/>
      <w:bookmarkStart w:id="76" w:name="_Toc23"/>
      <w:bookmarkEnd w:id="75"/>
      <w:r>
        <w:rPr>
          <w:rtl w:val="true"/>
        </w:rPr>
        <w:t>تفسیری از ولایت تکوینی</w:t>
      </w:r>
      <w:bookmarkEnd w:id="76"/>
    </w:p>
    <w:p>
      <w:pPr>
        <w:pStyle w:val="BookText"/>
        <w:rPr/>
      </w:pPr>
      <w:r>
        <w:rPr>
          <w:rFonts w:ascii="IRNazanin" w:hAnsi="IRNazanin" w:eastAsia="IRNazanin"/>
          <w:color w:val="111111"/>
          <w:sz w:val="28"/>
          <w:sz w:val="28"/>
          <w:szCs w:val="28"/>
          <w:rtl w:val="true"/>
          <w:lang w:bidi="fa-IR"/>
        </w:rPr>
        <w:t xml:space="preserve">در خاتمه این فصل، لازم به تذکّر است که یکی از بزرگان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از معنای ولایت کلّی و ولایت تکوینی،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از ولایت تکوینی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فی‌الجمله مجرای فیض بودن نسبت به کائنات که عموم انبیا و اوصیا داشته‌اند؛ و قسم دیگر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کلّی تکوینی که مجرای فیض بودن نسبت به جمیع عالم امکان است که در حقّ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و دلیل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خود صاحبان ولایت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باتوجّه‌به آنچه در مطلب ششم از مطالب بخش اوّل بیان شد،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فرمایش برای شرح ولایت تکوینی کافی نبوده و سؤال‌کننده را بیشتر متحیّر می‌سازد؛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را به مجرای فیض تفسیرکردن، تفسیری است که عرف و لغت آن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فیض بودن، ولایت نبوده؛ بلکه حرف دیگری است، چنان‌که پیغمبران همه مجرای فیض هدایت الهی بود‌ه‌اند؛ ولی از این شأن آنها کسی تعبیر به ولایت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ولایت تکوینی را اثر و لازم مجرای فیض بودن گرفت؛ امّا عین آن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مجرای فیض و وسایط صدور فیض بودن، از قماش سخنان فلاسفه باشد که منبع آن سلسله ربط حادث به قدیم و قاعده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لا یَصْدُرُ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إِلاَّ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جز یکی صادر نمی‌شود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تصویر عقول عشره است که فلاسفه مسلمان خواسته‌اند از این طریق جمع بین آرای فلاسفه و مضامین بعضی از احادیث بنمایند، دراین‌صورت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اصل چگونگی صدور حادث از قدیم، در مقام معرفت خدا و صفات و افعال او واجب نیست، تا چه رسد به اینکه در مقام شناخت شئون ولایت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چنان‌که کراراً تذکّر دادیم، ظواهر آیات قرآن و احادیث متواتر دلالت دارند بر خلق و ایجاد بدون‌واسطه و اینکه خلق و ایجاد، فعل بلاواسطه خداوند متعال بوده و صادر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آیاتی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چنین است که هرگاه چیزی را اراده کند، تنها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بی‌درنگ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بر این معنا دارد که اگر خدا چیزی را اراده کند،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و به وجود می‌آورد، نه اینکه اوّل عقل را بیافریند و بعد به آن نحوی که فلاسفه در نزول فیض وجود می‌گویند، مراتب سافل به تأثیر علل یکی پس از دیگری در معلولات ایجاد شود تا برسد به عالم ماده و طبیعت یک شیء مادی مثلاً موجود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لازمه این سخن، قول به تعدّد فواعل و علل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نمی‌خواهیم انکار کنیم اگر برهان قاطع عقلی اقامه شود، قرینه بر مجاز بودن برخی از ظواهر، یا تقیید اطلاق آنها نمی‌شود؛ بلکه غرض این است که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فیض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ازهرجهت بشناسیم و منبع آن را ازنظر یک حکیم و فیلسوف نشان بدهیم و در اینجا به مفاسد این آرا برحسب نظر مخالفان آن از متکلّمان و محدّثان کاری نداریم</w:t>
      </w:r>
      <w:r>
        <w:rPr>
          <w:rFonts w:eastAsia="IRNazanin" w:cs="IRNazanin"/>
          <w:color w:val="111111"/>
          <w:sz w:val="28"/>
          <w:szCs w:val="28"/>
          <w:rtl w:val="true"/>
          <w:lang w:bidi="fa-IR"/>
        </w:rPr>
        <w:t xml:space="preserve">. </w:t>
      </w:r>
      <w:bookmarkStart w:id="77" w:name="pg6249_41532"/>
    </w:p>
    <w:p>
      <w:pPr>
        <w:pStyle w:val="BookText"/>
        <w:rPr/>
      </w:pPr>
      <w:bookmarkEnd w:id="77"/>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اخبار متواتر دلالت داشته باشند که آن بزرگواران مجرای فیض و وسایط آن می‌باشند، ثابت نیست و اگر بازگشت این سخن به این باشد که بالایجاب خداوند متعال از این مجاری افاضه فیض وجود می‌نماید، یا هریک از مجاری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آنها را عقول بگویند یا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بالایجاب یا بالاختیار، علل و فواعل هستند، صحیح نیست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اخبار کثیری دلالت دارند بر اینکه ایشان علّت غایی خلقت هستند و فیض وجود و برکات برای آنها و به طفیل وجودشان به تمام ممکنات رسیده و می‌رسد و اخبار به این معنا از حدّ تواتر گذشته و از مسلّمات مذهب است، چنان‌که اخباری نیز دلالت دارند که خدای تعالی از نور آنها عالم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مجاری فیض این گونه معانی باشد که علّت و فاعل و خالق خدا باشد، اشکالی در آن به نظر نمی‌رسد، امّا باز هم ولایت تکوینی، غیر از این معناست</w:t>
      </w:r>
      <w:r>
        <w:rPr>
          <w:rFonts w:eastAsia="IRNazanin" w:cs="IRNazanin"/>
          <w:color w:val="111111"/>
          <w:sz w:val="28"/>
          <w:szCs w:val="28"/>
          <w:rtl w:val="true"/>
          <w:lang w:bidi="fa-IR"/>
        </w:rPr>
        <w:t>.</w:t>
      </w:r>
    </w:p>
    <w:p>
      <w:pPr>
        <w:pStyle w:val="Heading2"/>
        <w:numPr>
          <w:ilvl w:val="1"/>
          <w:numId w:val="1"/>
        </w:numPr>
        <w:rPr/>
      </w:pPr>
      <w:bookmarkStart w:id="78" w:name="__RefHeading___Toc1623904_237004111"/>
      <w:bookmarkStart w:id="79" w:name="_Toc24"/>
      <w:bookmarkEnd w:id="78"/>
      <w:r>
        <w:rPr>
          <w:rtl w:val="true"/>
        </w:rPr>
        <w:t>توضیحی پیرامون مجاری فیض</w:t>
      </w:r>
      <w:bookmarkEnd w:id="79"/>
    </w:p>
    <w:p>
      <w:pPr>
        <w:pStyle w:val="BookText"/>
        <w:rPr/>
      </w:pPr>
      <w:r>
        <w:rPr>
          <w:rFonts w:ascii="IRNazanin" w:hAnsi="IRNazanin" w:eastAsia="IRNazanin"/>
          <w:color w:val="111111"/>
          <w:sz w:val="28"/>
          <w:sz w:val="28"/>
          <w:szCs w:val="28"/>
          <w:rtl w:val="true"/>
          <w:lang w:bidi="fa-IR"/>
        </w:rPr>
        <w:t xml:space="preserve">علاّمه محقّق شیخ محمّد حسین اصفهانی قدس سره در تعلیقات خود بر مکاسب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فَالْوِلایَةُ حَقِیقَتُها؛ کَوْنُ زِمامِ أمرِ شیءٍ بِیَدِ شَخْص مِنْ وَلِیِّ الْاَمْرِ وَیَلِیهِ، وَالنَّبِیُّ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وَالْاَئِمَّةُ لَهُمُ الْوِلایَةُ الْمَعْنَوِیَّةُ وَالسَّلْطَنَةُ الْباطِنِیَّةُ عَلی جَمِیعِ الْاُمُورِ </w:t>
      </w:r>
    </w:p>
    <w:p>
      <w:pPr>
        <w:pStyle w:val="BookText"/>
        <w:rPr/>
      </w:pPr>
      <w:r>
        <w:rPr>
          <w:rFonts w:ascii="Amiri" w:hAnsi="Amiri" w:eastAsia="Amiri" w:cs="Amiri"/>
          <w:color w:val="111111"/>
          <w:sz w:val="28"/>
          <w:sz w:val="28"/>
          <w:szCs w:val="28"/>
          <w:rtl w:val="true"/>
          <w:lang w:bidi="ar-SA"/>
        </w:rPr>
        <w:t>التَّکْوِینِیَّةِ والتَّشْرِیعِیَّةِ فلمّا فکما ﺃانّهم مَجارِی الْفُیُوضاتِ، فَهُمْ وَسائِطُ التَّکْوِینِ وَالتَّشْرِیعِ، وَفِی نُعُوتِ سَیِّدِ</w:t>
      </w:r>
    </w:p>
    <w:p>
      <w:pPr>
        <w:pStyle w:val="BookText"/>
        <w:rPr/>
      </w:pPr>
      <w:r>
        <w:rPr>
          <w:rFonts w:ascii="Amiri" w:hAnsi="Amiri" w:eastAsia="Amiri" w:cs="Amiri"/>
          <w:color w:val="111111"/>
          <w:sz w:val="28"/>
          <w:sz w:val="28"/>
          <w:szCs w:val="28"/>
          <w:rtl w:val="true"/>
          <w:lang w:bidi="ar-SA"/>
        </w:rPr>
        <w:t>الْاَنْبِیآءِ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 إِلَیْهِ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هذِهِ الْوِلایَةَ غَیْرُ الْوِلایَةِ الظّاهِرِیَّةِ الَّتِی هِیَ مِنَ الْمَناصِبِ الْمَجْعُولَةِ دُونَ الأُولَی الَّتِی هِیَ لازِمُ ذَواتِهِمِ النُّورِیَّةِ نَظِیرُ وِلایَتِهِ تَعالی؛ فَإِنَّها مِنْ شئون شؤون ذاتِهِ تَعالی لا مِنَ الْمَناصِبِ الْمَجْعُولَةِ بِنَفْسِهِ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وَالْکَلامُ فِی الثّانِیَةِ، وَلا مُلازَمَةَ بَیْنَهُما؛ إِذْ لَیْسَتِ الثّانِیَةُ مِنْ مَراتِبِ الْاُولی حَتّی یَکُونَ مِنْ بابِ وِجْدانِهِمْ لِلْمَرْتَبَةِ الْقَوِیَّةِ یَحْکُمُ بِوِجْدانِهِمْ لِلْمَرْتَبَةِ الضَّعِیفَةِ؛ بَلِ الْاُولی حَقِیقِیَّةٌ وَالثّانِیَةُ اعْتِبارِیَّةٌ، فَهُما مُتَبایِنانِ لا مُنْدَرَجانِ تَحْتَ حَقِیقَة واحِدَة حَتّی یَجْرِیَ فِیهِ التَّشْکِیکُ بِالشِّدَّةِ وَالضَّعْفِ، فَلابُدَّ مِنْ إِقامَةِ الدَّلِیلِ عَلی جَعْلِ هذَا الاْعْتِبارِ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9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عالی قدر، بعد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ولایت این است که زمام چیزی به دست کسی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 امر یا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معنوی و سلطه باطنی بر جمیع امور تکوینی و تشریعی دارند، چنان‌که ایشان مجاری فیوضات تکوینند، مجاری فیوضات تشریع نیز بوده و وسایط تکوین </w:t>
      </w:r>
    </w:p>
    <w:p>
      <w:pPr>
        <w:pStyle w:val="BookText"/>
        <w:rPr/>
      </w:pPr>
      <w:r>
        <w:rPr>
          <w:rFonts w:ascii="IRNazanin" w:hAnsi="IRNazanin" w:eastAsia="IRNazanin"/>
          <w:color w:val="111111"/>
          <w:sz w:val="28"/>
          <w:sz w:val="28"/>
          <w:szCs w:val="28"/>
          <w:rtl w:val="true"/>
          <w:lang w:bidi="fa-IR"/>
        </w:rPr>
        <w:t>و تشریع می‌باشند، و در توصیف حضرت سیّدالانبیاء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 إِلَیْهِ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دین خدا به او تفویض 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ولایت غیر از ولایت ظاهری است که از مناصب مجعوله است؛ زیرا ولایت تکوینی و تشریعی، لازم ذات نوری ایشان است، مانند ولایت الهی که شئون ذات باری تعالی است، نه از مناصب مجعوله بنفسه لنفسه، و ملازمه ای هم بین این دو ولایت نبوده و دوّمی از مراتب اوّلی نمی‌باشد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مرتبه قوی را دارا باشند، مرتبه ضعیف را نیز دارا می‌باشند؛ بلکه دومی اعتباری است، پس این دو ولایت متباین هستند و تحت یک حقیقت واحد قرار ندارند تا تشکیک به شدت و ضعف در آنها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موارد سخن در بیان این محقّق بزرگ، از بیانات گذشته و آنچه پیرامون کلام شاگرد بزرگوارش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معلوم می‌شود، امّا برای روشن‌تر شدن مطلب، این موارد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موجب تکرار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بعون‌الله تعالی توضیح می‌دهیم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ولایت، زمامداری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تمامی است، چنان‌که تقسیم آن به ولایت تکوینی و تشریعی و حقیقی و اعتباری نیز صحیح است؛ امّا این سخن مجمل و نارسا است؛ چون حدود ولایت و سلطنت بر جمیع امور تکوین، و نحوه </w:t>
      </w:r>
    </w:p>
    <w:p>
      <w:pPr>
        <w:pStyle w:val="BookText"/>
        <w:rPr/>
      </w:pPr>
      <w:r>
        <w:rPr>
          <w:rFonts w:ascii="IRNazanin" w:hAnsi="IRNazanin" w:eastAsia="IRNazanin"/>
          <w:color w:val="111111"/>
          <w:sz w:val="28"/>
          <w:sz w:val="28"/>
          <w:szCs w:val="28"/>
          <w:rtl w:val="true"/>
          <w:lang w:bidi="fa-IR"/>
        </w:rPr>
        <w:t xml:space="preserve">آن را شرح نمی‌دهد، و اگر به طور مستقل و مطلق زمامداری امور تکوین را کسی به غیر خدا بگوید، خصوصاً اگر هم لازم ذات آن غیر بداند، سر از تفویض در‌ر می‌آورد که بطلان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 دوم از مطالب بخش اوّل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و به نحو و مذکور در مطلب چهارم نیز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به نحو قدرت بر تصرف و زمامداری و سلطنت بر امور تکوینی باشد، که طبق مصالح ثانوی و عارضی و خرق عادت، تصرفاتی بنمایند، آن مطلب دیگری است که در مطلب سوم و پنجم و هفتم از مطالب بخش اوّل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سلطنت معنوی و ولایت باطنی بر جمیع امور، باید حدود و چگونگی اش معلوم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گفتیم مجاری فیوضات، تکوین و تشریع می‌باشند، حدود و چگونگی این ولایت معلوم می‌گردد،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مجاری فیوضات تکوینیه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کراراً در این رساله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مطالبی است که حکما و فلاسفه به زعم خود، در تصحیح صدور کثیر از واحد و ربط حادث به قدیم و 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اشرف و سنخیت بین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می‌گویند، لذا به عقول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خودشان قواهر 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صادر اوّل و ثانی و ثالث و علل و فواعل </w:t>
      </w:r>
    </w:p>
    <w:p>
      <w:pPr>
        <w:pStyle w:val="BookText"/>
        <w:rPr/>
      </w:pPr>
      <w:r>
        <w:rPr>
          <w:rFonts w:ascii="IRNazanin" w:hAnsi="IRNazanin" w:eastAsia="IRNazanin"/>
          <w:color w:val="111111"/>
          <w:sz w:val="28"/>
          <w:sz w:val="28"/>
          <w:szCs w:val="28"/>
          <w:rtl w:val="true"/>
          <w:lang w:bidi="fa-IR"/>
        </w:rPr>
        <w:t>قائل هستند که بگویند فیض وجود در قوس نزولی خود با وسایط و سیر سلسله مراتب نزولی از مراتب اعلی به مراتب اسفل نزول می‌نماید و به تمام ممکنات می‌رسد، اگر این را نسبت به وسایط بالایجاب بگویند، زمامداری و ولایت نیست و اگر بالاختیار باشد، نسبت به ساحت قدس ربوبی، مستلزم تحدید قدرت مطلقه است، و با آیات بسیار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دارد و در نهایت سر از تفویض درمی آورد، و مسلّم است همان طور که ابداع و خلق شیء از لا شیء و ایجاد معدوم جایز است، ایجاد بدون واسطه و وسایط نیز جایز است و به علاوه، اگر نزول فیض و مجرای فیض بودن از جانب وسایط، بالاختیار و از جانب خدا بالایجاب باشد، لازم می‌آید که وسایط اکمل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فیض از خدا و فیض رسانی وسایط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مجرای فیض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بالایجاب نیست، چنان‌که مثلاً عدم امکان خوردن از راه چشم، موجب اختیاری نبودن خوردن از راه دهان نیست، همچنین استحاله نزول فیض بدون واسطه، موجب ایجاب صدور فیض از خدا و فیض رسانی مجاری و وسایط نیست و ولایت </w:t>
      </w:r>
    </w:p>
    <w:p>
      <w:pPr>
        <w:pStyle w:val="BookText"/>
        <w:rPr/>
      </w:pPr>
      <w:r>
        <w:rPr>
          <w:rFonts w:ascii="IRNazanin" w:hAnsi="IRNazanin" w:eastAsia="IRNazanin"/>
          <w:color w:val="111111"/>
          <w:sz w:val="28"/>
          <w:sz w:val="28"/>
          <w:szCs w:val="28"/>
          <w:rtl w:val="true"/>
          <w:lang w:bidi="fa-IR"/>
        </w:rPr>
        <w:t>حقیقی ذاتی ازلی و غیر تکوینی الهی بر هرچه امکان آن معقول باشد، احاطه دارد و مجاری فیض نیز این ولایت را به تقدیر خدا دارند، و به</w:t>
      </w:r>
    </w:p>
    <w:p>
      <w:pPr>
        <w:pStyle w:val="BookText"/>
        <w:rPr/>
      </w:pPr>
      <w:r>
        <w:rPr>
          <w:rFonts w:ascii="IRNazanin" w:hAnsi="IRNazanin" w:eastAsia="IRNazanin"/>
          <w:color w:val="111111"/>
          <w:sz w:val="28"/>
          <w:sz w:val="28"/>
          <w:szCs w:val="28"/>
          <w:rtl w:val="true"/>
          <w:lang w:bidi="fa-IR"/>
        </w:rPr>
        <w:t xml:space="preserve">اراده و اختیار فیض رسانی می‌نمایند که از این ولایت، می‌توان به ولایت فیض رسانی تعبیر کرد؛ زیرا به فرمایش محقق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ولایت را لازم ذات نوری آنها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ذات نوری آنها فیض‌رسانی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لازم ذات الهی فیّاضیت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به تقدیر و امر خدا فیض رسانی می‌کنند و در هر دو صورت به ایجاب ارتباط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اشکال تفویض باقی می‌ماند که آن نیز به این نحو مرتفع می‌شود که واسطه‌بودن با تفویض و استقلال‌داشتن منافات دارد؛ چون در واسطه همیشه صاحب واسطه دیده می‌شود، و واسطه فیض بودن که دائماً فیّاضیت حقّ در کار باشد و آنی و لحظه ای مقطوع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مقطوع شود، فیض‌رسان و فیض‌گیرنده، همه نابود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مفاد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هر روزی در شان شأن و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که گفته شد، وسایط بدان سان که فلاسفه گفته‌اند، جزء فواعل و علل به شمار نمی‌روند و این همان </w:t>
      </w:r>
    </w:p>
    <w:p>
      <w:pPr>
        <w:pStyle w:val="BookText"/>
        <w:rPr/>
      </w:pPr>
      <w:r>
        <w:rPr>
          <w:rFonts w:ascii="IRNazanin" w:hAnsi="IRNazanin" w:eastAsia="IRNazanin"/>
          <w:color w:val="111111"/>
          <w:sz w:val="28"/>
          <w:sz w:val="28"/>
          <w:szCs w:val="28"/>
          <w:rtl w:val="true"/>
          <w:lang w:bidi="fa-IR"/>
        </w:rPr>
        <w:t>فیض خدا است که علّت است و فاعل، هرچند از این وسایط و مجاری به معلولات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مجاری فیض بودن آن بزرگواران به نحوی تقریر شود که هیچ گونه اشکالی پیش نیاید و خلاف ظواهر قاطع ادلّه نقلی نباشد، و رایحه شرک و غلوّ و تفویض و اثبات نقص از آن استشمام نگردد و از اذهان متشرّعه و کسانی که غور و بررسی کامل در آیات کریمه و احادیث شریفه دارند، بعید نباشد، قابل‌قبول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بنا باشد که قول به عقول و علل و فواعل طولی و اینکه صادر اوّل، عقل اوّل است، پذیرفته شود، تفسیر و تأویل و تطبیق آن با انوار قدسیه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مانند بیان اخیر، یا بیاناتی که تمام تر و کامل تر باشد، لازم است؛ زیرا برحسب روایات و احادیث شریفه، خدا خلقی اعظم و اشرف و اکمل از این ذوات مقدّسه نیافریده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بی اشکال ترین تقریر در مورد مجاری فیض این 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این قرار گرفته است که فیض خود را از این مجاری که مکلف به فیض رسانی هستند، به فیض گیرندگان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اثبات این معنا و اینکه خدا بدون وسایط، به کسی فیض‌بخشی نمی‌کند و جمیع امور تکوینی از این مجاری انجام می‌شود، محتاج به ادلّه قوی صریح نقلی است که چه بسا خلاف آن از ادلّه ای استظهار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با پیشنهاد بررسی بیشتر، فعلاً این موضوع را در اینجا به این نحو تمام می‌کنیم که هرچه تأمّل می‌شود، اگر واسطه در فیض به اوبرسد و او در فیض رسانی اختیار داشته باشد، هرچند فیض دهنده هم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او فیض ندهد، فیض‌رسانی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تفویض در جای خود باققی ای است، و وجوهی که برای تصحیح مجاری فیض گفته شود، در رفع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کسی بگوید، در ر صورتی شبهه تفویض باققیی ا است که فیض رسان، چه فیض را برساند یا نرساند، ازطریق دیگر امکان افاضه فیض نباشد، امّا اگر امکان افاضه ازطریق دیگر، در فرض فیض نرساندن این واسطه محقّق باشد، تفویض نیست و امر به دست قدرت خدا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از مجاری فیض این باشد که ایشان در باطن وسایل و اسباب و وسایط تربیت و رسیدن فیض الهی به ممکنات می‌باشند که همه از آنان کسب استعداد و صلاحیت می‌نمایند، چنان‌که در ظاهر بسیاری مخلوقات از آفتاب استفاده می‌نمایند و در ادامه بقا و رشد و نموّ از آن مدد می‌گیرند و اسباب و مسبّبات همه به اذن خدا در فعل و انفعال و تأثیر‌ر و تأثرند، وجود صاحب ولایت و ولی ولیّ نیز در باطن مؤثر است و نسبت او به این عالم امکان، نسبت قطب است به سنگ آسیا، که آسیای عالم امکان به دور او در گردش است، مطلب صحیحی است و شائبه شرک و تفویض و غلوّ در آن </w:t>
      </w:r>
    </w:p>
    <w:p>
      <w:pPr>
        <w:pStyle w:val="BookText"/>
        <w:rPr/>
      </w:pPr>
      <w:r>
        <w:rPr>
          <w:rFonts w:ascii="IRNazanin" w:hAnsi="IRNazanin" w:eastAsia="IRNazanin"/>
          <w:color w:val="111111"/>
          <w:sz w:val="28"/>
          <w:sz w:val="28"/>
          <w:szCs w:val="28"/>
          <w:rtl w:val="true"/>
          <w:lang w:bidi="fa-IR"/>
        </w:rPr>
        <w:t xml:space="preserve">نیست و اخباری مثل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آن را تأیید می‌نماید؛ ولی از آن به ولایت تعبیر کردن، که به قول محقّق مذکور زمامداری است،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معنای صحیح است و وجود پیغمبر و ولیّ و امام در بقای عالم و نظام آن، همان اثری را دارد که منظومه شمسی و جاذبه آن، در بقای نظام منظومه، و جاذبه زمین، در حیات و بقای موجودات ارضی و قلب در حیات و بقای انسان دارد، هرچند ما حقیقت و نحوه ارتباط این نظام را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لازم ذوات نوری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رأی حکما در مورد خوارق صادره از انبیا است که در بخش اوّل بیان کردیم، و مثل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میوه را شیرین می‌آفریند یا آب را شیرین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میوه شیرین و آب شیرین را می‌آفریند و این در مانند جمادات و مخلوقاتی که مرید و مختار نیستند، هر نوع تعبیر شود و واقع امر به هر نحوی باشد، تفاوت می‌کند؛ زیرا از خود و برای خود، مالک چیزی و خیر و شرّی نیستند؛ امّا در مورد موجودی چون انسان، اگرچه اصل وجود و هستی اش از خدا و آفرینش خدا است، اثبات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از خود و برای خود، مالک نفع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با آیاتی مانند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مملوکی را که قادر بر هیچ چیز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کَلٌّ 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سربار صاحبش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یَمْلِکُونَ لاِنفُسِهِمْ لأنفُسِهِمْ ضَرّاً وَلا نَفْعاً وَلا یَمْلِکُونَ مَوْتاً وَلا حَیاةً وَلا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زیان زیان و سود خویش خویش نیستندنیستند، و نه مالک مرگ و حیات حیات و رستاخیز رستاخیز خویشندخویشند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خالی از منافات نیست و هرچند با بیاناتی بخواهند رفع تنافی نمایند که با بشربودن آنها سازگار باشد، به اینکه لازم ذات افراد خاصی از بشر بگیرند که فرد مافوق باشند، نه مافوق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ذوات، هرچند ممکن می‌باشند، بالذّات دارای قدرت و اختیار شمرده می‌شوند و در این جهت، نظیر خدا محسوب می‌شوند و با فقر و احتیاج تام و تمام ممکن منافات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انسان قدرت تصرّف در کائنات می‌دهد، یا ولایت به او عطا می‌کند، یا او را قادر بر تصرف در کائنات می‌آفریند و یا ممکنات را فرمان‌بر او قرار می‌دهد، اولی و اقرب به معارف توحیدی و ابعد از شائبه شرک است، تا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متصرّف در کائنات می‌آفریند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شما از ولایت بر جمیع امور تشریعیه چیست؟ اگر مقصود ولایت کلیّه شرعی بر تمام امور و سرپرستی و زعامت و امارت و زمامداری است که آن جعلی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ولایت ذاتی حقیقی بر جمیع امور و احکام و تشریعیات و جعل قوانین و نظامات باشد که آن برای احدی غیر از خدا نیست، فقط چنان‌که در معنای ولایت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بعضی موارد برحسب برخی روایات و طبق دومین احتمالی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روایات بیان فرموده است،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است؛ امّا ولایت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جعل احکام و تشریع قوانین، به طریق‌اولی ثابت نیست و حتی در همان مواردی هم که بر حسب روایات، برای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 برای ایشان ثابت نمی‌باشد</w:t>
      </w:r>
      <w:r>
        <w:rPr>
          <w:rFonts w:eastAsia="IRNazanin" w:cs="IRNazanin"/>
          <w:color w:val="111111"/>
          <w:sz w:val="28"/>
          <w:szCs w:val="28"/>
          <w:rtl w:val="true"/>
          <w:lang w:bidi="fa-IR"/>
        </w:rPr>
        <w:t>.</w:t>
      </w:r>
      <w:r>
        <w:rPr>
          <w:rStyle w:val="FootnoteAnchor"/>
          <w:rtl w:val="true"/>
        </w:rPr>
        <w:footnoteReference w:id="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این فرمایش که ولایت دوّمی جعلی و اعتباری است و از مراتب ولایت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فرموده ایشان حقیقی و ذاتی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نمی‌باشد، مطلبی است تمام،؛ چه آنکه این ولایت، ذاتی و از لوازم ذات نوری ایشان باشد، و چه آنکه تکوینی و متعلق جعل تألیفی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 ولایت ذاتی را دلیل بر ولایت جعلی قرار داد و از باب وجدان مرتبه قوی، حکم به وجدان مرتبه ضعیف نمود؛ چون این دو ولایت متباین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استدلال برای اثبات ولایت اعتباری را به ولایت حقیقی رد نمی‌کند؛ زیرا صحیح است که از باب وجدان مرقوم حکم جایز نیست؛ امّا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حقیقی کاشف از ولایت جعلی و اعتباری است؛ یعنی اگر بنده ای این چنین ولایتی را بر جمیع کائنات داشت، از آن کشف می‌شود که ولایت اعتباری نیز برای او جعل شده است و از هر‌ر کسی که این ولایت را ندارد، اولی و احقّ به آن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از تفویض،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 إِلَیْهِ دِینُ اللهِ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 یا همان ولایت تشریعی است که بر حسب اخبار در بعضی موارد و برخی جهات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بحث ولایت تشریعی بیان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شده است که در این صورت شأنی از شئون خاص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معنیا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و نگاه داری و قیام به امور و جهات و مصالح و مدافعه از حریم آن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شأنی است که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بوده و امام، قیّم و سرپرست و قائم به آنچه موجب بقای دین است، می‌باشد</w:t>
      </w:r>
      <w:r>
        <w:rPr>
          <w:rFonts w:eastAsia="IRNazanin" w:cs="IRNazanin"/>
          <w:color w:val="111111"/>
          <w:sz w:val="28"/>
          <w:szCs w:val="28"/>
          <w:rtl w:val="true"/>
          <w:lang w:bidi="fa-IR"/>
        </w:rPr>
        <w:t xml:space="preserve">. </w:t>
      </w:r>
      <w:bookmarkStart w:id="80" w:name="pg6249_41555"/>
    </w:p>
    <w:p>
      <w:pPr>
        <w:pStyle w:val="Heading2"/>
        <w:numPr>
          <w:ilvl w:val="1"/>
          <w:numId w:val="1"/>
        </w:numPr>
        <w:rPr/>
      </w:pPr>
      <w:bookmarkStart w:id="81" w:name="__RefHeading___Toc1623906_237004111"/>
      <w:bookmarkStart w:id="82" w:name="_Toc25"/>
      <w:bookmarkEnd w:id="80"/>
      <w:bookmarkEnd w:id="81"/>
      <w:r>
        <w:rPr>
          <w:rtl w:val="true"/>
        </w:rPr>
        <w:t>نظر صحیح در معنای ولایت تکوینی</w:t>
      </w:r>
      <w:bookmarkEnd w:id="82"/>
    </w:p>
    <w:p>
      <w:pPr>
        <w:pStyle w:val="BookText"/>
        <w:rPr/>
      </w:pPr>
      <w:r>
        <w:rPr>
          <w:rFonts w:ascii="IRNazanin" w:hAnsi="IRNazanin" w:eastAsia="IRNazanin"/>
          <w:color w:val="111111"/>
          <w:sz w:val="28"/>
          <w:sz w:val="28"/>
          <w:szCs w:val="28"/>
          <w:rtl w:val="true"/>
          <w:lang w:bidi="fa-IR"/>
        </w:rPr>
        <w:t>اگرچه از بیانات گذشته، نظر صحیح در معنای ولایت تکوینی معلوم شد؛ امّا جهت مزید بصیرت و توضیح بیشتر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استقلال و اختیار رتق و فتق و تدبیر کائنات و امر خلق و رزق و میراندن و زنده کردن و 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مساک و حفظ کرات و آسمان و زمین، و اداره شئون وجودی عالم امکان و سازمان ممکنات، مخصوص ذات بی‌ی زوال یگانه خداوند سبحان بوده و شریک و نظیری برای او نیست، و ادّعای شرکت و اعتقاد به شرکت کسی با خدا، در هر یک از این امور کفر و شرک است و فقط خدا است که بر کائنات سلطنت و حکمرانی و فرمانروایی دارد و غیر از او کسی حاکم مطلق و سلطان نبوده و ملکوت هرچیز به دست او است؛ ملائکه و انبیا و اوصیا همه تحت سیطره قدرت و ولایت او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یَمْلِکُونَ للاِ أنفُسِهِمْ ضَرّاً وَلا نَفْعاً وَلا یَمْلِکُونَ مَوْتاً وَلا حَیاةً وَلا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زیان زیان و سودخویش سودخویش نیستندنیستند، و نه مالک مرگ و حیات حیات و رستاخیز رستاخیز خویشندخویشند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مملوک و مخلوق و مطیع و منقاد و تسلیم اوامر او هستند؛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لّهِ یَسْجُدُ مَن فِی السَّماواتِ وَالاْرْضِ وَالأَرْضِ طَوْعاً وَکَرْهاً وَظِلالُهُمْ بِالْغُدُوِّ وَالْاصالِ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کسانی که در آسمان‌ها و زمین زمین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اطاعت یا یا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همچنین سایه‌هایشانسایه‌هایشان، هرر صبح و عصر برای خدا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قول به اینکه خلق و رزق و تربیت و اماته و احیا و جمیع این گونه امور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و در آن ولایت دارند، به این معنای که خدا این کارها را مقارن اراده آنها انجام می‌دهد، باطل است و چنان‌که علاّمه مجلسی رحمه الله در بحارالانوار</w:t>
      </w:r>
      <w:r>
        <w:rPr>
          <w:rStyle w:val="FootnoteAnchor"/>
          <w:rtl w:val="true"/>
        </w:rPr>
        <w:footnoteReference w:id="102"/>
      </w:r>
      <w:r>
        <w:rPr>
          <w:rFonts w:ascii="Amiri" w:hAnsi="Amiri" w:eastAsia="Amiri" w:cs="Amiri"/>
          <w:color w:val="111111"/>
          <w:sz w:val="28"/>
          <w:sz w:val="28"/>
          <w:szCs w:val="28"/>
          <w:rtl w:val="true"/>
          <w:lang w:bidi="ar-SA"/>
        </w:rPr>
        <w:t>و مرآة العقول</w:t>
      </w:r>
      <w:r>
        <w:rPr>
          <w:rStyle w:val="FootnoteAnchor"/>
          <w:rtl w:val="true"/>
        </w:rPr>
        <w:footnoteReference w:id="103"/>
      </w:r>
      <w:r>
        <w:rPr>
          <w:rFonts w:ascii="IRNazanin" w:hAnsi="IRNazanin" w:eastAsia="IRNazanin"/>
          <w:color w:val="111111"/>
          <w:sz w:val="28"/>
          <w:sz w:val="28"/>
          <w:szCs w:val="28"/>
          <w:rtl w:val="true"/>
          <w:lang w:bidi="fa-IR"/>
        </w:rPr>
        <w:t>تصریح فرموده است، اگرچه عقلاًا مانعی ندارد، اخبار بسیار مانع از آن است؛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 جایز نیست؛ زیرا اگر این افعال را خدای تعالی غیر مقارن به اراده آنها انجام می‌دهد، پس در تمام موارد به آنها تفویض نشده است، و اگر فقط مقارن آنها انجام می‌دهد، این خلاف شأن ربوبیت و الوهیت و متبوعیت مطلق و اسماءالحسنی و صفات کمال الهی است، و قول به انعزال خدا از تصرف در امور، خلاف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روز در شأن و کاری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با حفظ این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مطلب سوم، پنجم و هفتم از مطالب بخش اوّل، و در ضمن بیان نوع پنجم از انواع ولایت تکوینی به وضوح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شرعاً امکان دارد که خداوند متعال به خاصّ از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فرشته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به‌ه جهت اظهار رفعت و علوّ شأن یا تأیید آنها و اتمام حجت بر دیگران، یا مصالح دیگر ولایت و قدرت در تصرّف در کائنات یا مأموریت های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تدبیر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کند تا در مواردی که فقط مأمورند، مأموریت خود را انجام دهند و در موارد دیگر، برحسب مصالح و جهات ثانوی که در داخل نظام کائنات پیش می‌آید، طبق آن مصلحت تصرفاتی بنمایند، یا اینکه کائنات را مطیع و فرمان بر آنها سازد تا بر حسب اقتضا و مصلحت، هر تصرّفی را که مصلحت دیدند، بنمایند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اقدار و اعطای اختیار از جانب خدا، با نفوذ و جریان اراده و مشیت او منافی نیست و کناره گیری از تمشیت امور و اداره عالم امکان نمی‌باشد، چنان‌که منافی با بطلان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معنایی که علاّمه مجلسی رحمه الله آن را معقول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Style w:val="FootnoteAnchor"/>
          <w:rtl w:val="true"/>
        </w:rPr>
        <w:footnoteReference w:id="105"/>
      </w:r>
      <w:r>
        <w:rPr>
          <w:rFonts w:ascii="IRNazanin" w:hAnsi="IRNazanin" w:eastAsia="IRNazanin"/>
          <w:color w:val="111111"/>
          <w:sz w:val="28"/>
          <w:sz w:val="28"/>
          <w:szCs w:val="28"/>
          <w:rtl w:val="true"/>
          <w:lang w:bidi="fa-IR"/>
        </w:rPr>
        <w:t xml:space="preserve">زیرا خلق، آفرینش، اصلاح، انتظام، اداره کائنات، تدبیر امور خلق و رزق و اَعمار، تقدیر آجال و موت و حیات و امور دیگر از این قبیل امور است و اعطای </w:t>
      </w:r>
    </w:p>
    <w:p>
      <w:pPr>
        <w:pStyle w:val="BookText"/>
        <w:rPr/>
      </w:pPr>
      <w:r>
        <w:rPr>
          <w:rFonts w:ascii="IRNazanin" w:hAnsi="IRNazanin" w:eastAsia="IRNazanin"/>
          <w:color w:val="111111"/>
          <w:sz w:val="28"/>
          <w:sz w:val="28"/>
          <w:szCs w:val="28"/>
          <w:rtl w:val="true"/>
          <w:lang w:bidi="fa-IR"/>
        </w:rPr>
        <w:t xml:space="preserve">قدرت و ولایت به بنده ای در تصرّف در کائنات، در مواردی که مصالح ثانوی و لطف و مقتضیات خاصّه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اظهار معجزه و اتمام حجت و قوّت و نفوذ کلام و تبلیغ نبیّ و وصیّ و اطمینان قلوب مؤمنین امری دیگر است و تفویض نمی‌باشد؛ بلکه این اذن و اعطای اختیار و فرمان‌بر ساختن کائنات و اقدار عبد، از رشته‌های همان تدبیر کلّی الهی و تنظیم امور و قیام به امر مُلک و ملکوت است که برر حسب حکمت و قاعده لطف لازم می‌باشد، و احادیث و روایات کثیره متواتری از طرق خاصّه و عامّه دلالت دارند 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 و اذن و قدرت را دارا و تصرفات آنها در کائنات به صورت اعجاز و خوارق، در موارد بسیار از حقایق مسلّم تاریخ است و انکار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واقع شده است و نزد ارباب اطّلاع از تاریخ و کتب معتبر حدیث تردیدناپذیر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خردمندانه نیست، چنان‌که اعتراض به اعطای این ولایت از جانب خدا، گستاخی بزرگ و خلاف تسلیم و حاکی از جهل و بی معرفتی می‌باشد، که خداوند در این زمینه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نُزِّلَ هذا الْقُرْآنُ عَلی رَجُل مِنَ الْقَرْیَتَیْنِ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یَقْسِمُونَ رَحْمَتَ رَبِّکَ نَحْنُ قَسَمْنا بَیْنَهُمْ مَعِیشَتَهُمْ فِی الْحَیاةِ الدُّنْیا وَرَفَعْنا بَعْضَهُمْ فَوْقَ بَعْض دَرَجات لِیَتَّخِذَ بَعْضُهُم بَعْضاً </w:t>
      </w:r>
    </w:p>
    <w:p>
      <w:pPr>
        <w:pStyle w:val="BookText"/>
        <w:rPr/>
      </w:pPr>
      <w:r>
        <w:rPr>
          <w:rFonts w:ascii="Amiri" w:hAnsi="Amiri" w:eastAsia="Amiri" w:cs="Amiri"/>
          <w:color w:val="111111"/>
          <w:sz w:val="28"/>
          <w:sz w:val="28"/>
          <w:szCs w:val="28"/>
          <w:rtl w:val="true"/>
          <w:lang w:bidi="ar-SA"/>
        </w:rPr>
        <w:t>سُخْرِیّاً وَرَحْمَتُ رَبِّکَ خَیْرٌ مِمّا یَجْمَعُونَ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چرا این این قرآن بر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است؟ آیا آیا آنها رحمت پروردگارت را تقسیم تقسیم می‌کنند؟ ما معیشت آنها را در دنیا دنیا تقسیم تقسیم کردیم کردیم و بعضی را بر بعضی برتری دادیم،یکدیگر را مسخّر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باهم تعاون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پروردگارت از تمام آنچه جمع‌آوری می‌کنند، بهتر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توضیحی که داده شد، رفع هر شبهه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مورد ملائکه نیز این تصرفات بر حسب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کراراً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همان نحو که ولایت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اموری که به آنها مأموریت داده شده و مناصب و مقاماتی که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منافی با توحید و موجب اشکالی نیست، در ولایت پیغمبر و امام به نحوی که تحقیق شد، اشکالی پیش نمی‌آید و این گونه اعطای اختیارات و ولایت ها از جانب خدا داخل در اداره امور کائنات و قیام به شئون عوالم ممکنات است که قائم به آن فقط خدای واحد اَحد است و در مقابل، شرک و تفویض نافی آنها است و راجع به مجاری فیض هم، چون مکرّر توضیح دادیم، نظر صحیح و تحقیق در آن، همان است که در بررسی کلام محقق اصفهانی قدس سره بیان کردیم</w:t>
      </w:r>
      <w:r>
        <w:rPr>
          <w:rFonts w:eastAsia="IRNazanin" w:cs="IRNazanin"/>
          <w:color w:val="111111"/>
          <w:sz w:val="28"/>
          <w:szCs w:val="28"/>
          <w:rtl w:val="true"/>
          <w:lang w:bidi="fa-IR"/>
        </w:rPr>
        <w:t>.</w:t>
      </w:r>
      <w:r>
        <w:rPr>
          <w:rStyle w:val="FootnoteAnchor"/>
          <w:rtl w:val="true"/>
        </w:rPr>
        <w:footnoteReference w:id="107"/>
      </w:r>
      <w:bookmarkStart w:id="83" w:name="pg6249_41565"/>
    </w:p>
    <w:p>
      <w:pPr>
        <w:pStyle w:val="Heading2"/>
        <w:numPr>
          <w:ilvl w:val="1"/>
          <w:numId w:val="1"/>
        </w:numPr>
        <w:rPr/>
      </w:pPr>
      <w:bookmarkStart w:id="84" w:name="__RefHeading___Toc1623908_237004111"/>
      <w:bookmarkStart w:id="85" w:name="_Toc26"/>
      <w:bookmarkEnd w:id="83"/>
      <w:bookmarkEnd w:id="84"/>
      <w:r>
        <w:rPr>
          <w:rtl w:val="true"/>
        </w:rPr>
        <w:t>بیان دیگر</w:t>
      </w:r>
      <w:bookmarkEnd w:id="85"/>
    </w:p>
    <w:p>
      <w:pPr>
        <w:pStyle w:val="BookText"/>
        <w:rPr/>
      </w:pPr>
      <w:r>
        <w:rPr>
          <w:rFonts w:ascii="IRNazanin" w:hAnsi="IRNazanin" w:eastAsia="IRNazanin"/>
          <w:color w:val="111111"/>
          <w:sz w:val="28"/>
          <w:sz w:val="28"/>
          <w:szCs w:val="28"/>
          <w:rtl w:val="true"/>
          <w:lang w:bidi="fa-IR"/>
        </w:rPr>
        <w:t xml:space="preserve">شکی نیست که حضرت احدیت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جلالیه و جمالیه متوحّد و متفرّد و یگانه و بی همتا است، و شریک و عدیل و نظیر ندارد و هیچ کس و هیچ چیز در عرض او و بدون اعطا و افاضه او، واجد صفت کمالی نیست و او به تنهایی قیّوم آسمان و زمین و عوالم ملک و ملکوت و مدبّر شئون و معطی و خالق و رازق و مالک و صاحب اختیار آنها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شَریکَ لَهُ وَلا مُعینَ لَهُ وَلا نَصیرَ لَهُ وَلا وَزیرَ لَهُ وَلا شَبیهَ لَهُ مِن خَلقِه لیس لَیس َکَمِثلِه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خداوند شریک و یارویاور و وزیر و شبیهی از مخلوقاتش نیست و هیچ چیزی مثل او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دآبَّة فِی الاْرْضِ الأَرْضِ إِلاّ عَلَی اللّهِ رِزْقُها وَیَعْلَمُ مُسْتَقَرَّها وَمُسْتَوْدَعَها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جنبنده‌ای در زمین نیست مگر اینکه اینکه روزیِی او بر خدا است و او قرارگاه و محل نقل و انتقالش را می‌داند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شئون الوهیت و ربوبیت خود را به احدی واگذار نفرموده و کسی را وکیل و کفیل امور خلایق قرار نداده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حَسْبِیَ اللّهُ عَلَیْهِ یَتَوَکَّلُ الْمُتَوَکِّلُونَ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مرا کافی ای است و همه متوکلان تنها بر او توکل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توانا و حکیم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الْحَیُّ الْقَیُّومُ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و قائم به ذات خویش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الرَّحْمانُ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بخشنده و 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اوخداوندی ای است خالق، آفریننده‌ای آفریننده‌ای بی سابقه و صورتگری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بی‌نظیربی‌نظیر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الْحَکِیمُ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حکیم حکیم و داناست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چیز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چیزی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مسایل مسائل توحیدی همه بر حسب عقل و قرآن مجید و احادیث مسلّم است، و شک و تردیدی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مسئله دیگری که در اینجا از آن بحث می‌شود، این است که در طول این صفات و به اقتضای این صفات و به اعطا و بخشش و تقدیر خداوند متعال، اتّصاف ممکنات به نحو واقعی یا اعتباری به این صفات جایز است، هرچند در ممکنات، وصف مانند موصوف، ممکن و حادث و محدود و متناهی، و در معرض زوال و تغیّر و سایر عوارض امکان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ممکنات به بعضی از این صفات اتّصاف دارند، چنان‌که شکی نیست که این اتصاف آنها، خود دلیل بر وجود ذاتی، است که این اوصاف را به طور کامل و تمام و نامحدود و بالذات و از خود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صفات و اوصاف، اختصاص به ذات الوهیت دارد و اتصاف غیر او به آن محال است، مانند احدیت </w:t>
      </w:r>
    </w:p>
    <w:p>
      <w:pPr>
        <w:pStyle w:val="BookText"/>
        <w:rPr/>
      </w:pPr>
      <w:r>
        <w:rPr>
          <w:rFonts w:ascii="IRNazanin" w:hAnsi="IRNazanin" w:eastAsia="IRNazanin"/>
          <w:color w:val="111111"/>
          <w:sz w:val="28"/>
          <w:sz w:val="28"/>
          <w:szCs w:val="28"/>
          <w:rtl w:val="true"/>
          <w:lang w:bidi="fa-IR"/>
        </w:rPr>
        <w:t>و واحدیت حقیقیه که غیر از خدا کسی این دو صفت را ندارد؛ امّا بعضی صفات را ممکنات نیز واجدند که اتصاف آنها به این صفات ضروری و غیرقابل‌انکار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صفات حقیقیه الهیه،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ایزد تعالی و تقدّس، به آن متفرّد و یگانه است و شریک و نظیر ندارد؛ امّا اتصاف ممکن به این صفت، به تقدیر و تعلیم خدا، بلاواسطه یا باواسطه، به طور موهبی یا کسبی و افاضه علم به او یا اقدار او به تعلّم در حدود استعداد و گنجایش و ظرفیت او جایز است و ظهور و تجلّی قدرت و علم الهی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یکی از اسمای الهی،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 تعالی در صفت سلطنت و حکومت، متفرّد و متوحّد است و کسی در عرض او و از پیش خود، سلطنت و حکومتی بر هیچ چیز ندارد و کسی را در عرض او و بدون جعل یا اعطای او سلطان و حاکم‌دانستن، شرک و منافی با توحید است؛ امّا سلطنت و حکومت تکوینیه یا جعلیه و اعتباریه به ایجاد یا جعل خدا برای فرد یا افرادی منافی توحید نیست؛ بلکه شعبه ای از شُعب حکومت و سلطنت واقعیه حقیقیه الهیه است، لذا تکویناً انسان حاکم بر خود و مسلّط بر خود است، چنان‌که بر آنچه خداوند مسخّر او قرار داده است، نیز به ایجاد و تکوین او حاکم است و سلطنت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ازلیه حقیقیه الهی است و خدا را در آن شریک و نظیری نیست و هیچ کس و هیچ چیز، در عرض خداوند قادر متعال و از پیش خود، قادر و توانا نیست؛ ولی در طول این قدرت و در اثر ظهور آن و به تدبیر و تقدیر الهی، قدرت‌یافتن غیر و مطیع‌ساختن اکوان نسبت به غیر، منازعه با خدا در صفات کمالیه او نمی‌باشد؛ بلکه اثبات کمال برای ذات بی زوال او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می‌دانیم، یکی از اسمای حُسنی و صفات علیای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معنیای صاحب اختیار و زمامدار مطلق و متصرّف مطلق و قائم به امور و شئون ممکنات و این گونه معانی مشابه؛ در این صفت نیز، خداوند قادر سبحان متفرّد و یگانه و یکتا است و همتا و شریک و نظیر ندارد و کسی قائم مقام او نمی‌شود و این صفت را هم از صفات ذات باید دانست و هم از صفات فعل؛ زیرا به اعتبار اینکه خدا قدرت دارد و صاحب اختیار است و امر خلق و رزق و انتظام امور کائنات و تدبیر و تقدیر امور و شئون آنها با او است، از صفات ذات و از شئون صفت قدرت و بازگشت به صفت علم و قدرت می‌کند و از جهت قیام ذات الوهیت به تدبیر امور و تصرّف در شئون کائنات و خلق و رزق و اماته و احیا و اعطا از صفات فعل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به هر دو جهت، خدا ذاتاً و فعلاً ولیّ و مولی است و هیچ کس و هیچ ممکنی با خدا در این صفت شریک نیست؛ امّا اعطای ولایت تکویناً و احداثاً یا جعلاً و تشریعاً، به نحوی که همان ظهور ولایت مطلقه الهی ذاتاً و فعلاً، و استمرار فعلی آن باشد و تفویض هم نباشد، جایز است و ظهور سعه همان ولایت الهی خواهد بود، و فی الواقع اولیاء‌الله عاملان اجرای اراده و مشیت الهی و مشیّة‌الله و وسایط انفاذ و اجرای آن می‌باشند که اگرچه به اختیار و ولایتی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نوع چهارم و پنجم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تصرّفات و اظهار خوارق، واسطه و عامل ارادةالله و متحرک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آیه یا روایت یا فقره ای از زیارتی، دلالتی بر این گونه ولایت ها نسبت به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إِیابُ الْخَلْقِ إِلَیْکُمْ وَحِسابُهُمْ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وَعَزائِمُهُ فِیکُمْ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خلق به سوی شما و حساب آنها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تصمیمات پروردگار درباره شما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آن را به اسم غلوّ یا شرک یا تفویض، و علی رغم واقعیات و وقایع مسلّم تاریخ ردّ کرد؛ بلکه باید در سند و دلالت آن بر اساس </w:t>
      </w:r>
      <w:bookmarkStart w:id="86" w:name="pg6249_41576"/>
    </w:p>
    <w:p>
      <w:pPr>
        <w:pStyle w:val="BookText"/>
        <w:rPr/>
      </w:pPr>
      <w:bookmarkEnd w:id="86"/>
      <w:r>
        <w:rPr>
          <w:rFonts w:ascii="IRNazanin" w:hAnsi="IRNazanin" w:eastAsia="IRNazanin"/>
          <w:color w:val="111111"/>
          <w:sz w:val="28"/>
          <w:sz w:val="28"/>
          <w:szCs w:val="28"/>
          <w:rtl w:val="true"/>
          <w:lang w:bidi="fa-IR"/>
        </w:rPr>
        <w:t xml:space="preserve">موازین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در این بحث ها اشاره ای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نمود،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مِنْ عائِب قَوْلا صَحِیحا وَآفَتُهُ مِنَ الْفَهْمِ السَّقِیم</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چو بشنوی سخن اهل دل، مگو که خطاست</w:t>
      </w:r>
    </w:p>
    <w:p>
      <w:pPr>
        <w:pStyle w:val="BookText"/>
        <w:rPr/>
      </w:pPr>
      <w:r>
        <w:rPr>
          <w:rFonts w:ascii="IRNazanin" w:hAnsi="IRNazanin" w:eastAsia="IRNazanin"/>
          <w:color w:val="111111"/>
          <w:sz w:val="28"/>
          <w:sz w:val="28"/>
          <w:szCs w:val="28"/>
          <w:rtl w:val="true"/>
          <w:lang w:bidi="fa-IR"/>
        </w:rPr>
        <w:t>سخن شناس نه ای، دلبرا خطا اینجاست</w:t>
      </w:r>
    </w:p>
    <w:p>
      <w:pPr>
        <w:pStyle w:val="Heading2"/>
        <w:numPr>
          <w:ilvl w:val="1"/>
          <w:numId w:val="1"/>
        </w:numPr>
        <w:rPr/>
      </w:pPr>
      <w:bookmarkStart w:id="87" w:name="__RefHeading___Toc1623910_237004111"/>
      <w:bookmarkStart w:id="88" w:name="_Toc27"/>
      <w:bookmarkEnd w:id="87"/>
      <w:r>
        <w:rPr>
          <w:rtl w:val="true"/>
        </w:rPr>
        <w:t>سخن نهایی و معقول</w:t>
      </w:r>
      <w:bookmarkEnd w:id="88"/>
    </w:p>
    <w:p>
      <w:pPr>
        <w:pStyle w:val="BookText"/>
        <w:rPr/>
      </w:pPr>
      <w:r>
        <w:rPr>
          <w:rFonts w:ascii="IRNazanin" w:hAnsi="IRNazanin" w:eastAsia="IRNazanin"/>
          <w:color w:val="111111"/>
          <w:sz w:val="28"/>
          <w:sz w:val="28"/>
          <w:szCs w:val="28"/>
          <w:rtl w:val="true"/>
          <w:lang w:bidi="fa-IR"/>
        </w:rPr>
        <w:t>کسانی که در قبول ولایت تکوینی و تصرفات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تکوینی از بیم وقوع در شرک و تفویض و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به علّت جهل به معنایی ولایت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دارند، نهایت چیزی را که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وقایع عینی و مسلّم خارجی که هرر یک حکایت از ولایت آن بزرگواران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احتمال دهند و بیش از آن نمی‌توانند، این است که بگویند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نظر ما تصرّف و اختیار و ولایت بر کائنات است، تصرف و اختیار به نحوی که مردم بر خود و افعال خود و آنچه مسخّر آنها است دارند، نمی‌باشد؛ بلکه در این تصرّفات فاعل بلاواسطه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اشاعره از اهل سنّت، در مورد افعال عباد همین حرف را زده‌اند </w:t>
      </w:r>
    </w:p>
    <w:p>
      <w:pPr>
        <w:pStyle w:val="BookText"/>
        <w:rPr/>
      </w:pPr>
      <w:r>
        <w:rPr>
          <w:rFonts w:ascii="IRNazanin" w:hAnsi="IRNazanin" w:eastAsia="IRNazanin"/>
          <w:color w:val="111111"/>
          <w:sz w:val="28"/>
          <w:sz w:val="28"/>
          <w:szCs w:val="28"/>
          <w:rtl w:val="true"/>
          <w:lang w:bidi="fa-IR"/>
        </w:rPr>
        <w:t xml:space="preserve">و در مقام مبالغه در توحید افعالی، اثبات نقص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دعا و توجّه یا اراده و خواست نبیّ یا وصیّ، فعل را انجام می‌دهد؛ مثلاً شقّ القمر می‌نماید، یا درخت را به سوی پیغمبر سیر می‌دهد، یا سوسمار را به نطق در می‌آورد، یا بیمار را شفا می‌دهد، یا مرده را زنده می‌سازد، یا خود ولیّ یا کسی را که او خواسته است طیّ الارض می‌دهد، یا جمع کثیری را با طعام قلیلی اشباع و سیر می‌نماید، و امثال این کارها را انجام می‌دهد و نسبت این افعال به نبیّ یا وصیّ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افراد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خداوند متعال خود در مورد حضرت 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نبینا و آله و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تُبْرِئُ الْاَکْمَهَ وَالْاَبْرَصَ بِإِذْنِی وَإِذْ تُخْرِجُ الْمَوْتی بِإِذْنِی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مادرزاد و مبتلا به بیماری بیماری پیسی پیسی را به فرمان من شفا می‌دادی دادی و مردگان را به فرمان من زنده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ملائکه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تَتَوَفّیهُمُ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می‌گیرند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ما جان او را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لاَهَبَ لَکِ غُلاماً زَکِیّاً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پسر پاکیزه‌ای پاکیزه‌ای به تو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افعال را به آنها نسبت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افعال عباد را در</w:t>
      </w:r>
    </w:p>
    <w:p>
      <w:pPr>
        <w:pStyle w:val="BookText"/>
        <w:rPr/>
      </w:pPr>
      <w:r>
        <w:rPr>
          <w:rFonts w:ascii="IRNazanin" w:hAnsi="IRNazanin" w:eastAsia="IRNazanin"/>
          <w:color w:val="111111"/>
          <w:sz w:val="28"/>
          <w:sz w:val="28"/>
          <w:szCs w:val="28"/>
          <w:rtl w:val="true"/>
          <w:lang w:bidi="fa-IR"/>
        </w:rPr>
        <w:t xml:space="preserve">آیات بسیار به خودشان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در تمام این موارد منافی با توحید افعالی نیست، تا قرینه بر مجاز باشد؛ بلکه مقتضای عموم قدرت خدا، بدون اینکه موجب اثبات صفت نقصی گردد، صحّت این ولایت و اقدار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تمامی برای صحّت این تفسیر و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 این حال، اگر کسی به گمان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حذراً من القول بالتفویض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تصدیق نکند، با او سخنی نداریم؛ زیرا این گونه ناباوری ها در تحقیق ولایت و شئون و مقامات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اعتراف به اصل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ایمان و تشیّع و ولایت نیست، هرچند با کمال آن منافی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اظهار و صدور این تصرّفات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 به ولایت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است، هرچند در تفسیر و توجیه آن اختلاف نظر باشد</w:t>
      </w:r>
      <w:r>
        <w:rPr>
          <w:rFonts w:eastAsia="IRNazanin" w:cs="IRNazanin"/>
          <w:color w:val="111111"/>
          <w:sz w:val="28"/>
          <w:szCs w:val="28"/>
          <w:rtl w:val="true"/>
          <w:lang w:bidi="fa-IR"/>
        </w:rPr>
        <w:t xml:space="preserve">. </w:t>
      </w:r>
      <w:bookmarkStart w:id="89" w:name="pg6249_41582"/>
    </w:p>
    <w:p>
      <w:pPr>
        <w:pStyle w:val="BookText"/>
        <w:rPr/>
      </w:pPr>
      <w:bookmarkEnd w:id="89"/>
      <w:r>
        <w:rPr>
          <w:rFonts w:ascii="IRNazanin" w:hAnsi="IRNazanin" w:eastAsia="IRNazanin"/>
          <w:color w:val="111111"/>
          <w:sz w:val="28"/>
          <w:sz w:val="28"/>
          <w:szCs w:val="28"/>
          <w:rtl w:val="true"/>
          <w:lang w:bidi="fa-IR"/>
        </w:rPr>
        <w:t xml:space="preserve">در پایان این بحث، قسمتی از مطالب رساله توحیدیه کتاب الهیات در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تألیفات نویسنده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تصرّف در عبارات، برای تتمیم فایده در اینجا درج می‌شود و مشروح و مبسوط این مطالب را به آن کتاب حواله می‌دهیم</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90" w:name="__RefHeading___Toc1623912_237004111"/>
      <w:bookmarkStart w:id="91" w:name="_Toc28"/>
      <w:bookmarkEnd w:id="90"/>
      <w:r>
        <w:rPr>
          <w:rtl w:val="true"/>
        </w:rPr>
        <w:t>تذکّر یک مطلب مهم</w:t>
      </w:r>
      <w:bookmarkEnd w:id="91"/>
    </w:p>
    <w:p>
      <w:pPr>
        <w:pStyle w:val="BookText"/>
        <w:rPr/>
      </w:pPr>
      <w:r>
        <w:rPr>
          <w:rFonts w:ascii="IRNazanin" w:hAnsi="IRNazanin" w:eastAsia="IRNazanin"/>
          <w:color w:val="111111"/>
          <w:sz w:val="28"/>
          <w:sz w:val="28"/>
          <w:szCs w:val="28"/>
          <w:rtl w:val="true"/>
          <w:lang w:bidi="fa-IR"/>
        </w:rPr>
        <w:t>مطلبی که تذکّرش در اینجا لازم است، این است که افعال و کارهای خدا، مثل خلق و رزق و اماته و احیا و سایر افعالی که اسمای حُسنی بر آنها دلالت دارند، گاهی به واسطه یا وسایطی انجام می‌گیرد و در این صورت به واسطه نیز مستند می‌شود و منافی با توحید نیست؛ خواه آنکه واسطه عاقل و ذی شعور نباشد، یا عاقل و صاحب شعور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مورد غیر ذی شعور،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الَّذِینَ ظَلَمُوا الصَّیْحَةُ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ستم کرده بودند، صیحه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 ما فِی یَمِینِکَ تَلْقَفْ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دست داری بیفکنبیفکن، تمام آنچه را ساخته‌اند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مورد ذی شعور نیز آیات بسیاری است، مثل این آیات درباره ملائکه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تَتَوَفّیهُمُ الْمَلآئِکَةُ طَیِّبِینَ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می‌گیرند می‌گیرند درحالی که پاک و پاکیزه‌اندپاکیزه‌اند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تَتَوَفّیهُمُ الْمَلآئِکَةُ ظالِمِی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می‌گیرند می‌گیرند در حالی که به خود ظلم کرده بودند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یَتَوَفَّی الَّذِینَ کَفَرُوا الْمَلآئِکَةُ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ببینی ببینی کافران را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را می‌گیرندمی‌گیرند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فرشتگانیکه به فرمان حقّ، به تدبیر نظام خلق می‌کوشند و آنها که امور را تدبیر تدبیر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فرشتگانی فرشتگانی که کارها را تقسیم تقسیم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یُدَبِّرُ الأاْمْرَ مِنَ السَّمآءِ إِلَی الأاْرْضِ ثُمَّ یَعْرُجُ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را از آسمان به سوی زمین تدبیر می‌کند، سپس به‌سوی او بالا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لاهَبَ لَکِ غُلاماً زَکِیّاً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تاپسر پاکیزه‌ای پاکیزه‌ای به تو ببخشم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عَلَیْهِمْ حِجارَةً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آنها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بنده ای که شرح دیدار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سوره کهف مذکور است، که مأموریت هایی غیبی نظیر مأموریت ملائکه دارد، و گاهی افعال را به خود نسبت می‌دهد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أَنْ أَعِیبَها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خواستم آن را معیوب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این‌رو،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خدا نسبت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هم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فَعَلْتُهُ عَنْ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الطِّینِ کَهَیْئَةِ الطَّیْرِ بِإِذْنِی فَتَنفُخُ فِیها فَتَکُونُ طَیْراً بِإِذْنِی وَتُبْرِئُ الأکْمَهَ وَالأبْرَصَ بِإِذْنی وَإِذْ تُخْرِجُ الْمَوْتی بِإِذْنِی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خلق را در این آیه و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معنای اندازه گیری و ساختن گرفته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معنای احداث و ایجاد و آفریدن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گاهی اطلاق می‌شود و از آن ابداع و آفرینشاز عدم اراده می‌شود، و گاهی اطلاق می‌شود و از آن اراده می‌شود آفرینش چیزی از چیز دیگر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بر غیر‌خدا اطلاق نمی‌شود؛ امّا به معنای دوم اطلاق آن بر غیر‌خدا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تَخْلُقُ مِنَ الطِّینِ 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الطَّیْرِ بِإِذْنِیِ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از گل، مانند پرنده و به هیئت پرنده می‌آفرید، نه اینکه مانند یک نفر که با گل بازی کند یا تمرین صنعت مجسّمه 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مورد، همان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یک شیء از شیء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و الاّ اگر مراد ساختن هیأت هیئت پرنده بود که از هر صورتگر و مجسّمه سازی صادر می‌شود،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نبود؛ زیرا همه چیز و همه کارها در یک حساب کلّی به اذن خدا است؛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مراد است؛ اذن و رعایت خاص و قدرت حقّ است و راجع به ابداع و خلق شیء از لا شیء نیز، اگرچه اطلاق آن به بعضی معانی ولایت و آثار آن، که مشیة الله بر آن جاری شده است، اشکال عقلی ندارد؛ امّا علی الظاهر جواز آن شرعاً ثابت نیست؛ بلکه نسبت به اجسام شرعاً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فرمان من، ازگل چیزی چیزی به صورت پرنده می‌ساختی و در آن می‌دمیدیمی‌دمیدی، و به فرمان من، پرنده‌ای می‌شد و کور مادر زاد ، و مبتلا به بیماری پیسی را به فرمان من، شفا میدادی می‌دادی و مردگان را به فرمان من زنده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أَخْلُقُ لَکُمْ مِنَ الطِّینِ کَهَیئةِ الطَّیر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 چیزی چیزی به شکل پرنده می‌سازم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هم این وسایط و تأثیر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استقلال ندارند و به مشیت الهی است، هرچند واسطه بالاختیار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 الغا می‌شود و فعلی که فعل عبد است، به خدا نسبت داده می‌شود، چنان‌که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رَمَیْتَ إِذْ رَمَیْتَ وَلکِنَّ اللّهَ 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پیامبر که خاک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 بلکه خدا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نکته، اعضال و اشکالی که بعضی در فهم برخی از آیات دارند،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وَیُضِلُّ اللّهُ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ستمگران را گمراه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وَلکِنَّ اللّهَ یَهْدِی مَن یَشآءُ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کسی را که دوست داری هدایت کنی ولی خداوند هرکس را بخواهد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مرتفع می‌گردد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اطلاق این اسماء بر غیر خدا، در هر مورد که منع شرعی نداشته باشد و یا اذن شرعی وجود داشته باشد، مانعی ندارد و برحسب لغت هم صحیح است، و استناد این افعال به وسایط و عاملاین آن نیز شرک نمی‌باشد، و گفتن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یا وصیّ یا مَلَک او </w:t>
      </w:r>
    </w:p>
    <w:p>
      <w:pPr>
        <w:pStyle w:val="BookText"/>
        <w:rPr/>
      </w:pPr>
      <w:r>
        <w:rPr>
          <w:rFonts w:ascii="IRNazanin" w:hAnsi="IRNazanin" w:eastAsia="IRNazanin"/>
          <w:color w:val="111111"/>
          <w:sz w:val="28"/>
          <w:sz w:val="28"/>
          <w:szCs w:val="28"/>
          <w:rtl w:val="true"/>
          <w:lang w:bidi="fa-IR"/>
        </w:rPr>
        <w:t>را زنده گردانیده، به این ملاحظات اشکال ندارد، چنان‌که شفا را که به واسطه دوا حاصل می‌شود، به دوا نسبت می‌دهند، شفایی را هم که بدون وسایط طبیعی، در اثر توسّل به نبیّ یا ولیّ حاصل می‌شود و عامل و واسطه آن نبیّ یا ولیّ است، به آن عامل؛ مثل عیسی بن مریم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نسبت می‌دهند و حتی به قرآن و سوره حمد و دعا نیز مستند می‌سازند، هرچند شافی حقیقی و کسی که این کلمه بر او بدون هیچ گونه مسامحه و تجویز اطلاق می‌شود،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مسئله که ملائکه با یا افرادی از بشر، با علم و اختیار و توجّه خودشان یا با عدم علم، در مسیر اجرای مشیت الهی قرار می‌گیرند و به آنها قدرت اماته و احیا و خلق اعطا می‌شود، تفویض نمی‌باشد</w:t>
      </w:r>
    </w:p>
    <w:p>
      <w:pPr>
        <w:pStyle w:val="BookText"/>
        <w:rPr/>
      </w:pPr>
      <w:r>
        <w:rPr>
          <w:rFonts w:ascii="IRNazanin" w:hAnsi="IRNazanin" w:eastAsia="IRNazanin"/>
          <w:color w:val="111111"/>
          <w:sz w:val="28"/>
          <w:sz w:val="28"/>
          <w:szCs w:val="28"/>
          <w:rtl w:val="true"/>
          <w:lang w:bidi="fa-IR"/>
        </w:rPr>
        <w:t>و منافات با بطلان آن ندارد؛ زیرا تفویض به دو معنا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تفویضی که در مبحث جبر و تفویض نفی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تَفْوِیضَ</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قلم بطلان بر آن کشیده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مشیت خدا در افعال عباد و استقلال تامّ عباد در افعال، و این عقیده خلاف توحید در افعال و شرک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تفویضی است که نسبت به حجج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نفی آن شده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امر خلق و رزق و سایر امور از جانب خدا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واگذار شده و خدا را در آن، مشیّت و تصرّف و دخالت و قضاوقدر و تدبیری نیست، که این عقیده نیز شرک و منافی با توحید در افعال و دوام فیض و افاضه، و آیات کثیره صریحه قرآن و روایات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واسطه بودن در انفاذ مشیت الهی و امر خلق و رزق و شفای بیماران، شرک نیست که واسطه بودن و وسیله گشتن واسطه نیز، کار خدا و به اذن او باشد؛ خواه واسطه شعور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توجّه و مسألت مسئلت از وسایط صاحب شعور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حدود همین انفاذ مشیّت الهی و به نحوی که خارج از مشیت و قضاوقدر او نباشد، امری را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نیست و با عدم منع شرعی یا به شرط اذن شرع جایز است و تأثیر این توجّه و مسألت مسئلت و درخواست شفاعت، نظیر صدقه دادن و دعا و مسألت مسئلت مستقیم از خداوند متعال است که امر را بر وفق حکمت و مصلحت جریان می‌دهد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دعا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این وسایط و استشفاع به آنها نیز برحسب مشیت الهی مؤثر و موجب دفع بلا یا شفا یا زیادتی رزق می‌گردد، که وقتی کسی از آنها درخواستی کرد، آنان به مشیت و اذن خدای تعالی آن درخواست را انجام می‌دهند و بسا که مأمور باشند انجام دهند،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تغذیه طفل و استفاده او از خزاین ارزاق الهی است که به مشیت الهی، شیر در پستان او آفریده شده است؛ ولی اگر طفل گریه </w:t>
      </w:r>
    </w:p>
    <w:p>
      <w:pPr>
        <w:pStyle w:val="BookText"/>
        <w:rPr/>
      </w:pPr>
      <w:r>
        <w:rPr>
          <w:rFonts w:ascii="IRNazanin" w:hAnsi="IRNazanin" w:eastAsia="IRNazanin"/>
          <w:color w:val="111111"/>
          <w:sz w:val="28"/>
          <w:sz w:val="28"/>
          <w:szCs w:val="28"/>
          <w:rtl w:val="true"/>
          <w:lang w:bidi="fa-IR"/>
        </w:rPr>
        <w:t>کند و از مادر بخواهد و پستان او را بمکد، مادر به او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اسراری است که عقول افراد عادی به پایان آن نمی‌رسد و از درک تفاصیل آن عاجز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هم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تحقیق، این نیست که تمام افعال و کارهای الهی توسط وسایط انجام می‌شود و وسایط به اختیار خود و به امر خدا، آنها را انجام می‌دهند؛ بلکه غرض این است که خداوند متعال با وسایط شاعره شاعره و مختاره هم افعالی را انجام می‌دهد که خود، عالم به مصالح و موارد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ملائکه، مانند اینکه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مَلآئِکَةُ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ارْفَقُوا بِی یا مَلآئِکَةُ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مدارا 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توسّل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نظامی که اجمالی از آن بیان شد و از دایره قضاوقدر حقّ خارج نیست، شرک نمی‌باشد و هر شأنی از این شئون که بر حسب دلیل معتبر برای ایشان ثابت شود، معقول و در مسیر عقاید محکم و متقن و منطق توحیدی مقبول است و آنچه شرک است، این است که کسی یا چیزی بالذّات در عرض خدا و فاعل افعال خدا و خالق و یا مستقل در افعال و اداره خود یا خلق شمرده شود، </w:t>
      </w:r>
    </w:p>
    <w:p>
      <w:pPr>
        <w:pStyle w:val="BookText"/>
        <w:rPr/>
      </w:pPr>
      <w:r>
        <w:rPr>
          <w:rFonts w:ascii="IRNazanin" w:hAnsi="IRNazanin" w:eastAsia="IRNazanin"/>
          <w:color w:val="111111"/>
          <w:sz w:val="28"/>
          <w:sz w:val="28"/>
          <w:szCs w:val="28"/>
          <w:rtl w:val="true"/>
          <w:lang w:bidi="fa-IR"/>
        </w:rPr>
        <w:t>این گونه معانی شرک است، هرچند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قدرت را به عبد داده و او را مستقل قرار داده و خود کناره گیری کرده است، چنان‌که در طیّ مطالب گذشته به تفصیل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باذن‌الله و به قضاوقدر او، عامل ارادة‌الله و به حول و قوه و مشیت او، فعلی را که به او مستند می‌شود، انجام دهد و اگر فعلی که ممکن است بلاواسطه از خدا صادر شود، به واسطه غیری از بشر یا فرشته، به اذن خدا و امر خدا صدور یابد، مانند شفای بیماران به اذن‌الله یا احیای اموات یا خبر از غیوب یا قبض ارواح، منافات با توحید ندارد و عین سَرَیان مشیّة‌الله و جریان و نفوذ ارادة‌الله است که به هر نحوی بخواهد امر خود را اجرا می‌کند و کسی نمی‌تواند مانع از اراده او 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عَمّا یَفْعَلُ، وَلا یُمْنَعُ عَمّا یُرِیدُ؛ بَلْ هُوَ فَعّالٌ لِما یُرِیدُ، وَعَلی ما یَشآءُ وَعَلی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آنچه انجام دهد مورد سؤال واقع نمی‌شود و از آنچه اراده کند منع نمی‌گردد؛ بلکه هر چه او اراده کند و بخواهد انجام می‌دهد و بر هر چیزی توانا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از این،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قادر به احیا و اماته و افعال دیگر بدون واسطه است، اثبات عجز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 می‌تواند کاری را بلاواسطه و بدون اسباب انجام دهد، با واسطه و وسایط و اسباب هم می‌تواند انجام دهد و همان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واسطه پدر و مادر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پدر می‌آفریند، دیگران را با واسطه پدر و مادر </w:t>
      </w:r>
    </w:p>
    <w:p>
      <w:pPr>
        <w:pStyle w:val="BookText"/>
        <w:rPr/>
      </w:pPr>
      <w:r>
        <w:rPr>
          <w:rFonts w:ascii="IRNazanin" w:hAnsi="IRNazanin" w:eastAsia="IRNazanin"/>
          <w:color w:val="111111"/>
          <w:sz w:val="28"/>
          <w:sz w:val="28"/>
          <w:szCs w:val="28"/>
          <w:rtl w:val="true"/>
          <w:lang w:bidi="fa-IR"/>
        </w:rPr>
        <w:t>و اجداد و جدّات آفریده است، تفاوت نمی‌کند که واسطه، فاعل عاقل شاعر مختار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 با آیاتی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تَدْعُونَ مِن دُونِ اللّهِ لَن یَخْلُقُوا ذُباباً وَلَوِ اجْتَمَعُوا لَهُ وَإِن یَسْلُبْهُمُ الذُّبابُ شَیْئاً لا یَسْتَنقِذُوهُ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غیراز غیر از خدا می‌خوانیدمی‌خوانید، هرگز نمی‌توانند مگسی بیافرینندبیافرینند، هرچند بر این این کار دست به دست هم دهند؛ و اگر مگس چیزی چیزی را از آنها بربایدبرباید، نمیتوانند نمی‌توانند آن را باز پس گیرندگیرند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منافی نمی‌باشد؛ زیرا به قرینه آیاتی دیگر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 مِنَ الطِّینِ کَهَیئَةِ الطَّیرِ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ازگل چیزی چیزی به شکل پرنده می‌سازم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آن اثبات عجز معبودهای غیر حقّ است، و اینکه مورد نفی در آیه استقلال در خلقت و خارج از اراده و مشیّت و اذن و قضاوقدر و تسبیب الهی است که بدیهی و مسلّم است</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6249_41605"/>
      <w:bookmarkStart w:id="93" w:name="pg6249_41605"/>
      <w:bookmarkEnd w:id="93"/>
    </w:p>
    <w:p>
      <w:pPr>
        <w:pStyle w:val="Heading2"/>
        <w:numPr>
          <w:ilvl w:val="1"/>
          <w:numId w:val="1"/>
        </w:numPr>
        <w:rPr/>
      </w:pPr>
      <w:bookmarkStart w:id="94" w:name="pg6249_41605"/>
      <w:bookmarkStart w:id="95" w:name="__RefHeading___Toc1623914_237004111"/>
      <w:bookmarkStart w:id="96" w:name="_Toc29"/>
      <w:bookmarkEnd w:id="94"/>
      <w:bookmarkEnd w:id="95"/>
      <w:r>
        <w:rPr>
          <w:rtl w:val="true"/>
        </w:rPr>
        <w:t>معنای ولایت تشریعی</w:t>
      </w:r>
      <w:bookmarkEnd w:id="96"/>
    </w:p>
    <w:p>
      <w:pPr>
        <w:pStyle w:val="BookText"/>
        <w:rPr/>
      </w:pPr>
      <w:r>
        <w:rPr>
          <w:rFonts w:ascii="IRNazanin" w:hAnsi="IRNazanin" w:eastAsia="IRNazanin"/>
          <w:color w:val="111111"/>
          <w:sz w:val="28"/>
          <w:sz w:val="28"/>
          <w:szCs w:val="28"/>
          <w:rtl w:val="true"/>
          <w:lang w:bidi="fa-IR"/>
        </w:rPr>
        <w:t xml:space="preserve">شکی نیست که ولایت حقیقی بر تشریع احکام و جعل قوانین و نظامات عبادی، معاملاتی، مالی، اقتصادی، سیاسی، قضایی، کیفری، اجتماعی و احوال شخصی و تعلیم وتربیت و امور دیگر، فقط و فقط اختصاص به ذات بی زوال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خداوند متعال را در این مورد نیز شریک و عدیل و همتایی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نه به عنوان فردی و مقام مادّی یا معنوی و نه به عنوان عموم و نمایندگی از جانب عموم، حقّ قانون گذاری و انشای نظامات و مقررات را ندارد، و بدترین استعبادها و کثیف ترین قبول استعبادها که کرامت و شرافت انسانیت از آن ابا دارد و بزرگ ترین ننگ جامعه و دلیل انحطاط افراد و بی شخصیتی و ضایع شدن ارزش های انسانی است، این است که فردی بخواهد، احکام و فرمان های خود را، نظام زندگی و حیات دیگران قرار دهد و افراد استثمار و استعباد شده هم او را صاحب این حقّ بشمارند، و فکر و حکم او را بر خود و نوامیس خود حاکم بشمارند و خود را مُجری اوامر و پیرو منویات او بگویند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حقایق آزادی بخش توحیدی اسلام که درک آن دلیل رشد فکری است، همین است که فردی مالک مقدّرات فرد دیگر نیست و حق استضعاف احدی را ندارد، و حدود و نظامات فقط از جانب </w:t>
      </w:r>
    </w:p>
    <w:p>
      <w:pPr>
        <w:pStyle w:val="BookText"/>
        <w:rPr/>
      </w:pPr>
      <w:r>
        <w:rPr>
          <w:rFonts w:ascii="IRNazanin" w:hAnsi="IRNazanin" w:eastAsia="IRNazanin"/>
          <w:color w:val="111111"/>
          <w:sz w:val="28"/>
          <w:sz w:val="28"/>
          <w:szCs w:val="28"/>
          <w:rtl w:val="true"/>
          <w:lang w:bidi="fa-IR"/>
        </w:rPr>
        <w:t>خدا تعیین می‌شود و جاری ساختن نظامات دیگر، خروج از عبودیت خدا و تجاوز به حریم حکومت و قوانین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للّهِ أَمَرَ أَلاّ تَعْبُدُوا إِلاّ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تنها از آن خداست، فرمان دان داده که غیر غیر از او را نپرستیدنپرستید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یَتَحاکَمُوا إِلَی الطّاغُوتِ وَقَدْ أُمِرُوا أَن یَکْفُرُوا بِهِ وَیُرِیدُ الشَّیْطانُ أَن یُضِلَّهُمْ ضَلالا بَعِیداً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قِیلَ لَهُمْ تَعالَوْا إِلی ما أَنزَلَ اللّهُ وَإِلَی الرَّسُولِ رَأَیْتَ الْمُنافِقِینَ یَصُدُّونَ عَنکَ صُدُوداً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کسانی را که گمان می‌کنند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تو و به آنچه پیش پیش از تو نازل شده، ایمان آورده‌اند، ولی باز می‌خواهند برای داوری نزد طاغوت و حکام باطل بروند؛ با اینکه به آنها دستور داده شده که به طاغوت کافر شوند اما شیطان می‌خواهد آنان را گمراه کند و به بیراهه‌های </w:t>
      </w:r>
    </w:p>
    <w:p>
      <w:pPr>
        <w:pStyle w:val="BookText"/>
        <w:rPr/>
      </w:pPr>
      <w:r>
        <w:rPr>
          <w:rFonts w:ascii="IRNazanin" w:hAnsi="IRNazanin" w:eastAsia="IRNazanin"/>
          <w:color w:val="111111"/>
          <w:sz w:val="28"/>
          <w:sz w:val="28"/>
          <w:szCs w:val="28"/>
          <w:rtl w:val="true"/>
          <w:lang w:bidi="fa-IR"/>
        </w:rPr>
        <w:t>دوردستی بیفکند؛ و 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آنچه خدا نازل کرده و به سوی پیامبر پیامبر بیاییدبیایید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را می‌بینی می‌بینی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تو،اعراض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نظامات غیر شرعی، یک نوع پرستش و عبادت غیر و مشرکانه و خلاف عقیده توحید و نظاماتی است که منشأ و منبع آن توحید است و با خالص کردن اطاعت برای خدا نیز مخالف است، و فکراً و عملاً شرک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لِیَعْبُدُوا اللّهَ مُخْلِصِینَ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دستوری داده نشده بود جز اینکه اینکه خدا را بپرستند درحالی‌که دین دین خود را برای او خالص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نشدند مگر بر اینکه خدا را به اخلاص کامل در دین اسلام پرستش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دین خالص از آنن خداست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ولایت بر قانون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صحّت جعل آن برای غیرخدا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به جعل و اعطای خدا باشد، و ولایت تشریعی بر جعل احکام و تشریع قوانین و نظامات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تشریعیه از باب صفت به حال متعلق موصوف صفت ولایت باشد و یا اینکه صفت خود </w:t>
      </w:r>
    </w:p>
    <w:p>
      <w:pPr>
        <w:pStyle w:val="BookText"/>
        <w:rPr/>
      </w:pPr>
      <w:r>
        <w:rPr>
          <w:rFonts w:ascii="IRNazanin" w:hAnsi="IRNazanin" w:eastAsia="IRNazanin"/>
          <w:color w:val="111111"/>
          <w:sz w:val="28"/>
          <w:sz w:val="28"/>
          <w:szCs w:val="28"/>
          <w:rtl w:val="true"/>
          <w:lang w:bidi="fa-IR"/>
        </w:rPr>
        <w:t xml:space="preserve">ولایت باشد، و مراد آن گونه ولایت بر قانون گذاری باشد که با جعل و تشریع اعطا شده باشد که در مقابل ولایت حقیقیه الهیه بر تشریع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جانب خدا باشد و از جانب غیرخدا اگرچه تمام افراد جامعه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مداخله در شئون و اختصاصات الهی و مشرکانه است، چنان‌که در تعیین زمامدار و ولیّ امور خلق نیز همین معیار را باید رعایت کرد و از منطقه حکومت و سلطنت الهی به اندازه سر مویی نباید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اینکه یک معنای ولایت تشریعی، ولایت به نحو جعل و تشریع بر امور تشریعی و جعل قانون است، شبهه ای نیست، چنان‌که در اینکه این ولایت از جانب خدا به طور کلّی و در جعل تمام قوانین و احکام،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اعطا نشده است، سخنی نیست و عقل و نقل بر آن اتفاق دارند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بحث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بعضی از موارد، این ولایت به پیغمبر اکرم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و مانع شرعی و عقلی دارد یا نه؟ این مطلبی است محتاج به تأمّل و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شریف الکافی، بابی است به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التفویض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متضمن بر ده روایت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الغلوّ فی النبیّ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معانی التفویض وما لا ینبغی أن ینسب إلیهم منها وما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بیان التفویض ومعانیه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کتب دیگر حدیث،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الوافی</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نیز این 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تفویض امر دین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امر دین را تفویض کرده باشد که بدون وحی و الهام، هرچه را بخواهند حلال و هرچه را بخواهند حرام کنند و آنچه را بخواهند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آن را نمی‌گوید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تعیین بعضی از امور را به پیغمبر تفویض فرموده، که اصل تعیین به وحی و اختیار به الهام باشد </w:t>
      </w:r>
    </w:p>
    <w:p>
      <w:pPr>
        <w:pStyle w:val="BookText"/>
        <w:rPr/>
      </w:pPr>
      <w:r>
        <w:rPr>
          <w:rFonts w:ascii="IRNazanin" w:hAnsi="IRNazanin" w:eastAsia="IRNazanin"/>
          <w:color w:val="111111"/>
          <w:sz w:val="28"/>
          <w:sz w:val="28"/>
          <w:szCs w:val="28"/>
          <w:rtl w:val="true"/>
          <w:lang w:bidi="fa-IR"/>
        </w:rPr>
        <w:t>و باوجود این، اختیار پیغمبر به وسیله وحی تأکید شود و این نحو تفویض مدلول نصوص مستفیضه است و ظاهر کلینی قدس سره و اکثر محدّثین، اختیار این قول است و عقلاً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مطلق به نبیّ یا وصیّ در امر تحلیل و تحریم و جعل و تشریع احکام 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احتمال آن ملغی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پیغمبران و تاریخ حیات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است از دلایل و شواهدی که آن را ردّ می‌کند، و آیات شریفه قرآن و احادیث متواتره نیز بطلان این احتمال را ثابت می‌نماید و بالجمله بطلان آن از ضروریات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تفویض بیان حکم به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أوحی الله به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وقت مصلحت دید بیان کند، سخن دیگری است و بعضی اخبار باب را می‌توان بر آن حمل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تفویض به معنای دوم که علاّمه مجلسی احتمال داد‌ه‌اند، ممکن است به این نحو تقریر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نفس کامل نبیّ، تحت رعایت خاصّه خدا است و القائاتی که به قلب مقدّس و قدسی او می‌شود، همگی الهی است و احادیث متواتری بر این مدّعی دلالت دارد، مثل روایات کثیره باب ارواح و انوار پیغمبر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و احادیثی که دلالت دارد بر اینکه ایشان مؤید به روح القدس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بعضی موارد به همان نحو دوم که مجلسی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فرموده است؛ تفویض احکام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اختیار آن حضرت به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مایلقی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 نهی به آن مانعی ندارد، و جایز است که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رسول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نهی نهی کرده خودداری نماییدنمایید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این شأن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عصمت و طهارت قلب پیغمبر همین اقتضا را دارد که هرچه در قلب او القا می‌شود، از هوا نبوده و از جانب خدا باشد؛ بنابراین اشکالی ندارد در مواردی که در روایات هم به برخی از آنها اشاره شده است، این نحو تفویض شرعی را در مورد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باشیم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این تفویض را به این معنا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اشیا حظر و منع می‌باشد، در غیر مواردی که شریعت به آن تقوّم دارد و فقط این اصل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منعی که از این اصل استفاده می‌شود و ابقای آن، با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اینکه این احتمال هم اگرچه فی حدّ نفسه جایز است، ولی شاید خبری که آن را تأیید کند، نداشته باشیم و کسی هم این احتمال را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فی الجمله و در موارد معدوده و مقتضیه، برحسب روایات که مصلحت آزمایش و تربیت عباد، یا مصلحت نبوات و پیامبران اقتضا نماید، بلامانع است و به هر مقدار و در هر مورد دلیل قطعی اقامه شد، پذیرفته می‌شود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مقام عصمت و طهارت قلبی و قدس ذاتی پیغمبر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تفویض مشکل و به فرمایش علاّمه مجلسی قدس سره در شرح حدیث هشتم این باب در 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تکلّف است؛</w:t>
      </w:r>
      <w:r>
        <w:rPr>
          <w:rStyle w:val="FootnoteAnchor"/>
          <w:rtl w:val="true"/>
        </w:rPr>
        <w:footnoteReference w:id="160"/>
      </w:r>
      <w:r>
        <w:rPr>
          <w:rFonts w:ascii="IRNazanin" w:hAnsi="IRNazanin" w:eastAsia="IRNazanin"/>
          <w:color w:val="111111"/>
          <w:sz w:val="28"/>
          <w:sz w:val="28"/>
          <w:szCs w:val="28"/>
          <w:rtl w:val="true"/>
          <w:lang w:bidi="fa-IR"/>
        </w:rPr>
        <w:t>زیرا با ضرورت خاتمیت دین اسلام و اکمال دین و پایان قانون گذاری و تغییر نیافتن احکام تا روز قیامت، 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إِلی یَوْمِ الْقِیامَةِ وَحَرامُهُ حَرامٌ أَبَداً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حلال و حرامش تا روز قیامت حرام می‌باشدمی‌باشد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توجیه قول به این گونه تفویض به امام، در هر حدّی فرض شود، به نحوی که با این معانی منافی نباشد،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اخباری مشعر یا ظاهر در این نوع مقالات ولایت تشریعی برای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محمول بر تفویض اظهار بعضی از احکام مخزونه نزد ایشان است و یا مراد واگذاری تشخیص مصادیق و تبیین جهات و حدود احکام به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و ملهم و ضمیر مؤید و روشن و صاف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بسا با استنباط افراد عادی درک نمی‌شود و در موارد بسیار، در فقه و تفسیر و مسایل مسائل مشکلی که جلو آمد، درک عالی و ضمیر روشن و مؤیّد آنها حلاّل مشکلات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مطالب روشن گردید که ولایت تشریعی به احتمال دوم علاّمه مجلسی قدس سره در معنایی تفویض در امر دین نسبت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است و احادیث مستفیضه به اطلاق یا </w:t>
      </w:r>
    </w:p>
    <w:p>
      <w:pPr>
        <w:pStyle w:val="BookText"/>
        <w:rPr/>
      </w:pPr>
      <w:r>
        <w:rPr>
          <w:rFonts w:ascii="IRNazanin" w:hAnsi="IRNazanin" w:eastAsia="IRNazanin"/>
          <w:color w:val="111111"/>
          <w:sz w:val="28"/>
          <w:sz w:val="28"/>
          <w:szCs w:val="28"/>
          <w:rtl w:val="true"/>
          <w:lang w:bidi="fa-IR"/>
        </w:rPr>
        <w:t>به صراحت، و بلکه آیات قرآن نیز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چون مورد از مواردی است که خبر واحد در آن حجت نیست، اگر برای کسی از جهت دلالت آیه، و یا سند و دلالت احادیث قطع حاصل نشود و احادیث را در معانی دیگر ظاهر بداند، در اجتهاد خود آزاد است؛ زیرا گمان نمی‌رود این مسئله از ضروریّات دین یا مذهب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محذوراتی که به آن اشاره شد، توجیه قول به آن مشکل است و اخباری را که در مورد تفویض امر دین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با فرض صحّت سند، می‌توان با اعتماد بر قرینه عقلیه محمول بر یکی از مطالب ذیل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تشریعی بر بیان احکام در مواقع مقتضی و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بر بیان مصادیق و صُغریات و خصوصیات و حدود احکام، به نحوی که در ذهن روشن و صاف آن بزرگواران منعکس گردد، به طوری که در بسیاری از موارد، پس از بیان دیگران هم آنچه را قبلاً از درکش عاجز بودند، درک و تصدیق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بر امور حکم و اداره و شئونی که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به مقتضای مقام حکومت عامه ولایت داشتند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بر امور مالی و تفویض آن به ایشان و محامل دیگر</w:t>
      </w:r>
      <w:r>
        <w:rPr>
          <w:rFonts w:eastAsia="IRNazanin" w:cs="IRNazanin"/>
          <w:color w:val="111111"/>
          <w:sz w:val="28"/>
          <w:szCs w:val="28"/>
          <w:rtl w:val="true"/>
          <w:lang w:bidi="fa-IR"/>
        </w:rPr>
        <w:t xml:space="preserve">. </w:t>
      </w:r>
      <w:bookmarkStart w:id="97" w:name="pg6249_41624"/>
    </w:p>
    <w:p>
      <w:pPr>
        <w:pStyle w:val="Heading2"/>
        <w:numPr>
          <w:ilvl w:val="1"/>
          <w:numId w:val="1"/>
        </w:numPr>
        <w:rPr/>
      </w:pPr>
      <w:bookmarkStart w:id="98" w:name="__RefHeading___Toc1623916_237004111"/>
      <w:bookmarkStart w:id="99" w:name="_Toc30"/>
      <w:bookmarkEnd w:id="97"/>
      <w:bookmarkEnd w:id="98"/>
      <w:r>
        <w:rPr>
          <w:rtl w:val="true"/>
        </w:rPr>
        <w:t>معنای دیگر ولایت تشریعی</w:t>
      </w:r>
      <w:bookmarkEnd w:id="99"/>
    </w:p>
    <w:p>
      <w:pPr>
        <w:pStyle w:val="BookText"/>
        <w:rPr/>
      </w:pPr>
      <w:r>
        <w:rPr>
          <w:rFonts w:ascii="IRNazanin" w:hAnsi="IRNazanin" w:eastAsia="IRNazanin"/>
          <w:color w:val="111111"/>
          <w:sz w:val="28"/>
          <w:sz w:val="28"/>
          <w:szCs w:val="28"/>
          <w:rtl w:val="true"/>
          <w:lang w:bidi="fa-IR"/>
        </w:rPr>
        <w:t>معنای دیگر ولایت تشریعیه، ولایتی است که کسی بر حسب تشریع و حکم خدا، بر چیزی یا شخص یا اشخاصی داشته باشد، که از آن تعبیر به ولایت شرعیه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ولایت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نماییم، در مقابل ولایت تکوینیه است که به تکوین و احداث خارجی موجود شده، نه به تکوین انشایی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کنیم، در مقابل ولایت های غیر‌ر شرعیه و جائره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بی اشکال به اقسامی که دارد، ثابت است و آیات قرآن و صدها حدیث معتبر بر آن دلالت دارند، و بخش مهمی از فقه اسلام، راجع به این ولایت و اقسام و حدود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شخص بر نفس خود، از اقسام این ولایت است که مثلاً تسلّط دارد خود را اجیر دیگری کند و ولایت شخص بر اموال خود و ولایت پدر و جدّ پدری بر فرزندان صغار خود، و ولایت قاضی و امیر و والی شرعی بر حکم و قضا و رتق و فتق امور که عموم مسلمانان از شیعه و سنّی اتفاق دارند و حکم سلطان و والی را شرعاً واجب الطاعه می‌دانند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اختلافی که بین خاصه و عامه است، در شرایط حاکم و اوصاف او است و اینکه باید به تعیین و نصب خدا و پیغمبر باشد، چنان‌که شیعه معتقدند، یا به اجماع و انتخاب امّت و یا به اکثریت آرا برگزیده </w:t>
      </w:r>
    </w:p>
    <w:p>
      <w:pPr>
        <w:pStyle w:val="BookText"/>
        <w:rPr/>
      </w:pPr>
      <w:r>
        <w:rPr>
          <w:rFonts w:ascii="IRNazanin" w:hAnsi="IRNazanin" w:eastAsia="IRNazanin"/>
          <w:color w:val="111111"/>
          <w:sz w:val="28"/>
          <w:sz w:val="28"/>
          <w:szCs w:val="28"/>
          <w:rtl w:val="true"/>
          <w:lang w:bidi="fa-IR"/>
        </w:rPr>
        <w:t xml:space="preserve">می‌شود، چنان‌که اهل سنّت گفته‌اند، هرچند حتی در مورد ابوبکر و عمر و عثمان اجماعی در کار نبود و بر اساس تزویر و حیله و تبانی و قرارهای سیاسی، ولایت عهدی و انتخاب شورای شش نفری انجام شد و در خلفای بنی امیه و بنی عباس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اجماع هیچ مفهومی نداشت و اگر هم مردم از روی ترس و اجبار بیعت نمی‌کردند، حاکم خود را حاکم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 صورت اصل وجوب اطاعت زمامدار، و ولایت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تشریعیه بنامیم یا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این ولایت تشریعیه یا شرعیه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شُعب ولایت و حکومت و سلطنت الهی است، و از عصر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آن تا حال باقی و برقرار است، مستمر و غیر منقطع دانسته، هم اکنون نیز خود را تحت این نظام و حکومت و ولایت تشریعی می‌داند، و در هر زمان و هر کجا باشد، باید مطیع این نظام باشد، و اطاعت از این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فاضل ترین وسیله تقرّب به خدا می‌شناسد، و خروج از این ولایت و دخول در ولایت و حکومت دیگران را، خروج از ولایت و حکومت خدا و دخول در ولایت غیر خدا می‌داند، و هر نظامی غیر از این نظام را فاسد و باطل می‌داند و آن را طرد می‌کند و امتناع از اطاعت آن را واجب می‌شمارد و می‌گوید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دانَ اللهَ بِوِلایَةِ إِمام جآئِر لَیْسَ مِنَ اللهِ وَلا عُتْبَ عَلی مَنْ دانَ اللهُ بِوِلایَةِ إِمام عادِل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کس خدا را با پیروی پیروی از امام ستمگری ستمگری که از جانب خدا نیست دینداری دین‌داری کند، دین ندارد و سرزنش نیست بر کسی که با پیروی پیروی از امام عادل از جانب خدا دینداری دین‌داری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برر اساس این نظام عالی الهی مقدّس و منزه است که شیعه در عصر حاضر اوامر حکّام شرع و فقهای عادل و علمای عامل را واجب الاطاعه دانسته و مطیع فرمان و فرمان بر آنها است، و اطاعت آنان را رمز تشیّع و نشانه ولایت و تسلیم و ایمان خود به نظام امامت و بیزاری از نظامات دیگر می‌داند و تخطّی از این نظام و مخالفت احکام فقها را استخفاف به حکم خدا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خلاصة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اموال و نفوس و امور مردم، و ریاست آنها بر جمیع شئون عمومی دین و دنیا از جانب خدا مسلّم و مورد هیچ گونه شبهه ای نیست و از آیات کریمه قرآن مثل آیات ذیل استفاده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و زن با اییمانی حق ندارند هنگامی که خدا و پیامبرش پیامبرش امری را لازم بدانند، اختیاری اختیاری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ایی کسانی کسانی که ایمان آورد‌ه‌اید، اطاعت کنید کنید خدا را؛ و اطاعت کنید کنید پیامبر پیامبر خدا و اولوا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اوصیای پیامبرپیامبر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 است و پیامبر پیامبر او و آنها که ایمان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آیات شریفه ای مثل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نباید جز به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احدی حتی فقها تفسیر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بعضی از مفسّرین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به فقها تفسیر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روایات معتبر در تفسیر این آیات رسیده است که</w:t>
      </w:r>
    </w:p>
    <w:p>
      <w:pPr>
        <w:pStyle w:val="BookText"/>
        <w:rPr/>
      </w:pPr>
      <w:r>
        <w:rPr>
          <w:rFonts w:ascii="IRNazanin" w:hAnsi="IRNazanin" w:eastAsia="IRNazanin"/>
          <w:color w:val="111111"/>
          <w:sz w:val="28"/>
          <w:sz w:val="28"/>
          <w:szCs w:val="28"/>
          <w:rtl w:val="true"/>
          <w:lang w:bidi="fa-IR"/>
        </w:rPr>
        <w:t>برحسب آن روایات، مراد ائمه ائمة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تفسیر آن به دیگران از فقها و سلاطین و زمامداران و کسانی که خود را به عنوان خلیفه یا القاب دیگر خواندند، تفسیر به رأی است و هم از آنجا که این آیات دلالت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 غیر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ندارند؛ زیرا در بین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ایشان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دارای مقام عصمت نیست و برای غیر ایشان ادّعای عصمت نشده است، مثلاً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 برحسب روایات، تفسیر به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از دو جهت دلالت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که امر به اطاعت مطلق است و متعلّق خاصّی برای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امر به اطاعت مطلق از غیر معصوم جایز نیست و خلاف حکمت و معرض وقوع در خطا و خلاف واقع است، پس باید مورد آن پیغمبر و امام معصوم باشد که در اطاعت از آنها خطا و خلافی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اطاعت اولی الامر مقرون به اطاعت رسول شده است و اطاعت رسول به طور مطلق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نکاتی که در امر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شده و در امر به اطاعت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آورده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نشده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اطاعت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است و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و تعبّدی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یا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این آیه واجب شده و غرضش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آیه شامل آنها هم می‌شود، به صواب و درستی سخن نگفته و تفسیر به رأی نموده است؛ ولی اگر غرضش این باشد که چون به حکم آیه شریفه، اطاعت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نیز چون عصر حضور واجب است و فقهای </w:t>
      </w:r>
    </w:p>
    <w:p>
      <w:pPr>
        <w:pStyle w:val="BookText"/>
        <w:rPr/>
      </w:pPr>
      <w:r>
        <w:rPr>
          <w:rFonts w:ascii="IRNazanin" w:hAnsi="IRNazanin" w:eastAsia="IRNazanin"/>
          <w:color w:val="111111"/>
          <w:sz w:val="28"/>
          <w:sz w:val="28"/>
          <w:szCs w:val="28"/>
          <w:rtl w:val="true"/>
          <w:lang w:bidi="fa-IR"/>
        </w:rPr>
        <w:t>عادل نوّاب عامّ آن حضرت و از جانب او مأذون و برای رتق و فتق امور معین شده و مرجع مردم می‌باشند و اگر کسی مخالفت حکم آنها را بنماید؛ چون امام حکم به اطاعت از آنها فرموده است، مخالفت حکم آنها در حکم مخالفت حکم امام می‌باشد که در این آیه اطاعت از آن واجب شده است، سخن صحیح و مطابق با صواب و واقع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احادیثی که دلالت دارند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همان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علاوه بر روایات بسیاری که ازطرف شیعه روایت شده است، حدیثی است که حافظ امیر حسین بدر الدین که از علمای بزرگ زیدیه است، از مؤید بالله مسنداً روایت کرده است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این حدیث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أَوْلی بِکُمْ مِنْ أَنْفُسِکُمْ؟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خود شما به خود شما اولی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من مولای او هستم، علی مولای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معنای آن سؤال شد،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مَوْلایَ أَوْلی بِی مِنْ نَفْسِی لا أَمْرَ لِی مَعَهُ </w:t>
      </w:r>
    </w:p>
    <w:p>
      <w:pPr>
        <w:pStyle w:val="BookText"/>
        <w:rPr/>
      </w:pPr>
      <w:r>
        <w:rPr>
          <w:rFonts w:ascii="Amiri" w:hAnsi="Amiri" w:eastAsia="Amiri" w:cs="Amiri"/>
          <w:color w:val="111111"/>
          <w:sz w:val="28"/>
          <w:sz w:val="28"/>
          <w:szCs w:val="28"/>
          <w:rtl w:val="true"/>
          <w:lang w:bidi="ar-SA"/>
        </w:rPr>
        <w:t>وَأَنَا وَلِیُّ الْمُؤْمِنِینَ أَوْلی بِهِمْ مِنْ أَنْفُسِهِمْ لا أَمْرَ لَهُمْ مَعِی، وَمَنْ کُنْتُ مَوْلاهُ أَوْلی بِهِ مِنْ نَفْسِهِ لا أَمْرَ لَهُ مَعِی، فَعَلِیٌّ مَوْلاهُ أَوْلی بِهِ مِنْ نَفْسِهِ لا أَمْرَ 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مناقب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ابن بدرالدین، العقدالثمین،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مولا و صاحب اختیار و مالک امر من است، اولی و برتر و صاحب اختیارتر به من است از خود من، امری از برای من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ولایت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 من ولیّ و صاحب اختیار مؤمنین هستم، سزاوارتر و صاحب اختیارتر از خودشان به خودشانم، از برای ایشان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عرض اختیار و ولایت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و اختیاری نیست و هر کس را من مولا و صاحب اختیارتر به او از خود او هستم که امری و اختیاری از برای او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عرض اختیار و 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علی مولا و صاحب اختیار او است که سزاوارتر و صاحب اختیارتر به او از خود او است،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عرض اختیار و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روایات نیز به ملاحظه اطلاقی که دارند و بیانی که از مفهوم ولایت و ولیّ می‌نمایند، جز به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انطباق نمی‌باشند، و با توجّه به این استفاده منطقی و صحیح از آیات و روایات </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اداره امور دین و دنیا و رتق و فتق امور و حکومت بین الناس در حدّی که در حکمت واجب است، و طبق قاعده لطف نیز لازم است و مختل و مهمل گذاردن آن موجب نقض غرض استت، یکی از ابعاد این ولایت تشریعیه مطلقه پیغمبر و امام است، و ولایتی که فقیه دارد، از این بُعد ولایت امام مایه می‌گیرد و از این بُعد ولایت تشریعی، امام، فقها را در عصر غیبت، ولایت و مرجعیت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ولایت تشریعیه مطلقه، چنان‌که مستفاد از آیات و روایات است، برای غیر معصوم ثابت نیست؛ بلکه چنان‌که توضیح داده شد،جایز و صحیح نمی‌باشد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ولایت تشریعی به این معنا؛ به مفهوم عامّ آن که اهل سنّت نیز قبول دارند، یکی از ضروریات دین است که انکار آن با شرایطی که در کتب فقه بیان شده، موجب کفر می‌شود؛ و به مفهوم خاصّش که بسیار حسّاس و آزادی بخش و مکتب جهاد و مبارزه است، جوهر مذهب شیعه به آن تقوّم دارد و اسلام خالص و توحید حقیقی عملی و روح دین است و انکار آن، انکار مذهب و خروج از حریم مقدّس تشیّع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خداوند متعال می‌خواهیم که مسلمانان، مخصوصاً شیعیان را به این مفهوم ارزنده و نجات دهنده ولایت تشریعی بیشتر آشنا سازد و نظام امامت را در تمام شئون حیات مادّی و معنوی و فردی و اجتماعی و سیاسی و فکری شیعه به طور کامل استقرار دهد و ما را به انجام تعهّداتی که برای حفظ این نظام و برقرارکردن آن و شیعه‌بودن بر عهده داریم، موفّق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دل‌هایمان را، بعد از آنکه ما را هدایت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 و از سوی خود، رحمتی بر ما ببخش، زیرا زیرا تو بخشنده‌ای</w:t>
      </w:r>
      <w:r>
        <w:rPr>
          <w:rFonts w:eastAsia="IRNazanin" w:cs="IRNazanin"/>
          <w:color w:val="111111"/>
          <w:sz w:val="28"/>
          <w:szCs w:val="28"/>
          <w:rtl w:val="true"/>
          <w:lang w:bidi="fa-IR"/>
        </w:rPr>
        <w:t xml:space="preserve">». </w:t>
      </w:r>
      <w:bookmarkStart w:id="100" w:name="pg6249_41644"/>
    </w:p>
    <w:p>
      <w:pPr>
        <w:pStyle w:val="Heading2"/>
        <w:numPr>
          <w:ilvl w:val="1"/>
          <w:numId w:val="1"/>
        </w:numPr>
        <w:rPr/>
      </w:pPr>
      <w:bookmarkStart w:id="101" w:name="__RefHeading___Toc1623918_237004111"/>
      <w:bookmarkStart w:id="102" w:name="_Toc31"/>
      <w:bookmarkEnd w:id="100"/>
      <w:bookmarkEnd w:id="101"/>
      <w:r>
        <w:rPr>
          <w:rtl w:val="true"/>
        </w:rPr>
        <w:t>خلاصه برخی از مطالب کتاب</w:t>
      </w:r>
      <w:bookmarkEnd w:id="102"/>
    </w:p>
    <w:p>
      <w:pPr>
        <w:pStyle w:val="BookText"/>
        <w:rPr/>
      </w:pPr>
      <w:r>
        <w:rPr>
          <w:rFonts w:ascii="IRNazanin" w:hAnsi="IRNazanin" w:eastAsia="IRNazanin"/>
          <w:color w:val="111111"/>
          <w:sz w:val="28"/>
          <w:sz w:val="28"/>
          <w:szCs w:val="28"/>
          <w:rtl w:val="true"/>
          <w:lang w:bidi="fa-IR"/>
        </w:rPr>
        <w:t>اکنون که به حول و قوه خدا، بحث ما در این کتاب به پایان رسید، مناسب است خلاصه‌ای از بعضی مطالب کتاب را یادآور شویم، و خلاصه‌گیری کامل را بر عهده خوانندگان آگاه و اندیشمند می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 از بعضی مطالب کتاب را یادآور شویم، و خلاصه گیری کامل را بر عهده خوانندگان آگاه و اندیشمندمی‌گذاریم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غلوّ و شرک واجب است و ضلالتی از آن بدتر و تاریک 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های نمونه و بشرهای مافوقند، باید فضایل و مقامات و درجات بلند آنان را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استقلال بندگان در افعال و کارها، شرک و تفویض و باطل و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غیر خدا در امر خلق و رزق و اماته و احیا و تدبیر امور کائنات کلّاً یا بعضاً،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تکوینیه مستقلّه مطلقه عامّه یا غیر عامّه، تفویض و شرک و غلوّ و باطل و محال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و ولایت عبد به طور غیر مستقیم و باذن‌الله و برحسب نظام متقن الهی بر اماته و احیا و شفای بیماران، و خلق و رزق و تصرف در اکوان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اداره امور و خلق خلایق وسازمان دادن کائنات؛ بلکه طبق حکم مصالح عارضی و ثانوی در داخل این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غلوّ و تفویض نیست، و اعطای این قدرت به بعضی از بندگان، طبق </w:t>
      </w:r>
    </w:p>
    <w:p>
      <w:pPr>
        <w:pStyle w:val="BookText"/>
        <w:rPr/>
      </w:pPr>
      <w:r>
        <w:rPr>
          <w:rFonts w:ascii="IRNazanin" w:hAnsi="IRNazanin" w:eastAsia="IRNazanin"/>
          <w:color w:val="111111"/>
          <w:sz w:val="28"/>
          <w:sz w:val="28"/>
          <w:szCs w:val="28"/>
          <w:rtl w:val="true"/>
          <w:lang w:bidi="fa-IR"/>
        </w:rPr>
        <w:t xml:space="preserve">حکمت و مصلحت لازم است و اطلاق برخی از اسماء الحسنی بر عبد، به لحاظ افعالی که از عبد طبق این قدرت و ولایت صادر می‌شود، با وجود قرینه حالیه یا مقالیه ای که نحوه اطلاق آن اسم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به ملاحظه اتّصاف ذات به طور استقلال به مبدأ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سازد، جایز است، چنان‌که عهده دار بودن بشر مناصبی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نمی‌باشد و با بشریت او منافی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تصرّف و ولایت مذکور در بند پنجم، به اعطای قدرت بر تصرّف از جانب خدا جایز است، به واسطه علوم اکتسابی و یا به تعلیم خدا و علوم لدنّی به اسباب و مسبّبات نیز به طور کلّی یا جزئی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و قدرت تصرّف در اکوان، به این نحو که خداوند متعال اشیا را تکویناً فرمان بر و مطیع او قرار دهد، مانند نرم شدن آهن برای داوود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شرک و تفویض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عهده دار بودن اداره تمام سازمان کائنات، به طور ر غیر مستقل و طبق قضاوقدر الهی و به عنوان مأموریت از جانب خدا، و عامل اجرای اراده حقّ و وسیله و واسطه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ملائکه مقسّمات و مدبّرات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غلوّ و منافی با توحید نیست؛ امّا چون با بسیاری از آیات قرآن و احادیث منافات دارد، قول به آن در حقّ نبیّ و ولیّ، محتاج به دلیل قاطعی است که قرینه بر صرف آیات و روایات مزبور از ظواهرشان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طور موجبه جزئیه، این مقام برای ملائکه و بشر ثابت است و شکّی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شخص بر نفس خود و آنچه مسخّر بشر است، تفویض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خوارق و معجزاتی که به وسیله انبیا و اولیا اظهار می‌شود، فعل خدا است و برخی معجزات، فعل شخص نبیّ یا 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تکوینیه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تکوینیه صفت ولایت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قسم و به هر نحو فرض و تصوّر شود، حتی مستقلّه و ذاتیه، حادث و غیر ازلی و تکوینی خواهد بود، و از سنخ ولایت ازلیه و غیر حادثه نیست و اگر تکوینیه صفت به حال متعلق موصوف گرفته شود، شامل ولایت ازلیه الهیه بر امور تکوینیه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فاعلی آفرینش، اراده خداوند متعال است، و پیغمبر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می‌باشند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اینکه وجود امام و منزلت و اثر او در عالم کبیر، تکویناً به منزلت و اثر قلب در عالم صغیر و هسته مرکزی اتم و شمس در منظومه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پیغمبر و امام تکویناً در تربیت و رسیدن فیض الهی به سایر ممکنات و بقا و فعلیت استعدادها و رشد و کمال آنها مؤثر است، غلوّ و شرک و تفویض نیست و احادیث معتبر بر آن دلالت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عقل انسان عالم صغیر و غیب وجود بشر را اداره می‌نماید و بر آن حکومت دارد، همین طور امام برای اداره امور عباد و رتق و فتق و حلّ و فصل و تنظیم شئون آنها، حکومت و ولایت دارد، که جامعه را به سوی فلاح و رستگاری رهبری نماید؛، هرچند این رهبری و ولایت، جعلی، و رهبری عقل و فرمانبری اعضا و جوارح از آن تکوینی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حسب ظواهر آیات و احادیث، خلق مجردات و ارواح مادّیات و اجسام از عدم، بلاواسطه فعل خدا است و تمام اینها خلق او می‌باشند و فاعل و علّت حقیقی، فقط ذات بی زوال او است، و اطلاق علّت به معنای مؤثر در وجود و خلق شیء در حقّ چیزی و کسی جز او جایز نیست؛ امّا خلق چیزی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پرنده از گل، یا شیر از صورت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طبق مصالح ثانوی و عارضی جایز است و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و امام مجاری فیض خدا می‌باشند، به این معنای که علّت غایی آفرینش هستند، و عالم برای آنها و به طفیل وجود آنها آفریده شده و به طفیل و برکت وجود آنها، فیض وجود به تمام کائنات می‌رسد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 مجاری فیض هستند؛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الهیه بر این قرار گرفته که فیض خود را طبق تقدیرات </w:t>
      </w:r>
    </w:p>
    <w:p>
      <w:pPr>
        <w:pStyle w:val="BookText"/>
        <w:rPr/>
      </w:pPr>
      <w:r>
        <w:rPr>
          <w:rFonts w:ascii="IRNazanin" w:hAnsi="IRNazanin" w:eastAsia="IRNazanin"/>
          <w:color w:val="111111"/>
          <w:sz w:val="28"/>
          <w:sz w:val="28"/>
          <w:szCs w:val="28"/>
          <w:rtl w:val="true"/>
          <w:lang w:bidi="fa-IR"/>
        </w:rPr>
        <w:t xml:space="preserve">الهیه و واقعیه از این مجاری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و مکلّف و بلکه مفطور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حدّ الجاء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فیض رسانی هستند، به فیض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کند، غلوّ و تفویض نیست و با مطالب حکما در صدور واحد از کثیر و ربط حادث به قدیم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أُمُورِهِ تَهْبِطُ إِلَیْکُمْ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مؤید این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اختیار فیض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شائبه تفویض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تفویض است که به فرض عدم فیض رسانی، مستقیماً یا از مجاری دیگر، امکان افاضه فیض نباشد و اختیار آنها تمام علّت در رسیدن فیض به سایرین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حقیقی بر تشریع احکام و جعل قوانین و کلّیه نظامات و در تمام شئون، مختص به ذات احدیّت است، و قبول نظام های غیرشرعی، و آنچه منبع آن احکام و قواعد شرع و اوامر و نواهی و مقررات دینی نباشد،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تفویض مطلق امر دین به پیغمبر و امام، که به طور کلّی و بدون وحی و الهام، هرچه را بخواهند حلال و هرچه را بخواهند حرام نمایند، باطل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تفویض بیان حکم به امام که هر وقت مصلحت بداند،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أَوْحَی اللهُ بِهِ إِلَی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بیان کند، جایز است و اشکالی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تفویض تشریع، فی الجمله و در موارد معدوده و مقتضیه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تعیین بعضی امور که برحسب روایات، مصلحت آزمایش و تربیت عباد یا مصلحت دیگر نُبوات اقتضا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پیغمبر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امامت و حکومت شرعی و اسلام، از عصر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حال باقی و مستمر و برقرار است، و در هیچ عصر و زمان و در هیچ نقطه و مکان منقطع نشده و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مسلمان واجب است که از این نظام پیروی نموده و آن را حاکم بداند و فقط اطاعت از این نظام نماید، و هرکس از اطاعت این نظام بیرون باشد، از ولایت و اطاعت خدا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گرامی، خودشان سایر مطالب کتاب را که هر یک در خور کمال توجّه و اهمّیت است، با دقّت خلاصه گیری فرمایند و نواقص آن را تکمیل کنند و بر لغزش های این کمترین، قلم عفو بکشند و برایم طلب مغفرت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ما را به راه راست هدایت 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نَسْأَلُکَ إِیماناً لا أَجَلَ لَهُ دُونَ لِقآءِکَ، أَحْیِنا ما أَحْیَیْتَنا عَلَیْهِ وَتَوَفَّنا إِذا تَوَفَّیْتَنا عَلَیْهِ، وَابْعَثْنا إِذا بَعَثْتَنا، وَصَلِّ عَلی سَیِّدِنا وَنَبِیِّنا أَبِی الْقاسِمِ مُحَمَّد وَآلِهِ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دَعْوانا أَنِ الْحَمْدُ للهِ رَبِّ الْعالَمِینَ </w:t>
      </w:r>
      <w:bookmarkStart w:id="103" w:name="pg6249_41659"/>
    </w:p>
    <w:p>
      <w:pPr>
        <w:pStyle w:val="Heading2"/>
        <w:numPr>
          <w:ilvl w:val="1"/>
          <w:numId w:val="1"/>
        </w:numPr>
        <w:rPr/>
      </w:pPr>
      <w:bookmarkStart w:id="104" w:name="__RefHeading___Toc1623920_237004111"/>
      <w:bookmarkStart w:id="105" w:name="_Toc32"/>
      <w:bookmarkEnd w:id="103"/>
      <w:bookmarkEnd w:id="104"/>
      <w:r>
        <w:rPr>
          <w:rtl w:val="true"/>
        </w:rPr>
        <w:t>کتاب‌نامه</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الشریف‌الرضی،الامام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شرح محمد عبده، بیروت، دار المعرفة،</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محمدباقر موسوی خرسان، النجف‌الاشرف،</w:t>
      </w:r>
    </w:p>
    <w:p>
      <w:pPr>
        <w:pStyle w:val="BookText"/>
        <w:rPr/>
      </w:pPr>
      <w:r>
        <w:rPr>
          <w:rFonts w:ascii="IRNazanin" w:hAnsi="IRNazanin" w:eastAsia="IRNazanin"/>
          <w:color w:val="111111"/>
          <w:sz w:val="28"/>
          <w:sz w:val="28"/>
          <w:szCs w:val="28"/>
          <w:rtl w:val="true"/>
          <w:lang w:bidi="fa-IR"/>
        </w:rPr>
        <w:t xml:space="preserve">دارالنعمان،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طوسی،محمد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حسن موسوی خرسان، تهران، دارالکتب الاسلامیۀالاسلامیة،</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الهیات در نهج‌البلاغه، صافیگلپایگانی، لطف‌الله،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طوسی،محمد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مؤسسة البعثة، قم، دارالثقافة،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الانوارالعلویة و الاسرارالمرتضویه، نقدی،جعفر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النجف‌الاشرف، المکتبة الحیدریة،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بحارالانوارالجامعة لدرراخبار الائمة‌الاطهار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محمدباقر بهبودی، بیروت، داراحیاء التراث العربی،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تفسیرالقرآن، بحرانی،سید 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بصائرالدرجات الکبریفی‌فضائل آل محمد ، صفار،محمد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میرزا محسن کوچه‌باغی، تهران، موسسة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تاریخابن خلدون، ابن‌خلدون،عبدالرحمن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فی‌تفسیرالقرآن، طوسی،محمد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احمد قصیر عاملی، بیروت، داراحیاء</w:t>
      </w:r>
    </w:p>
    <w:p>
      <w:pPr>
        <w:pStyle w:val="BookText"/>
        <w:rPr/>
      </w:pP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تحف‌العقول عن آل الرسول ، ابن‌شعبه حرانی،حسن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تفسیرالقمی، قمی،علی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طیب موسوی جزائری، قم،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التلخیص‌الحبیر فی تخریج الرافعی‌الکبیر، ابن‌حجرعسقلانی،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تهذیب‌الاحکام، طوسی،محمد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حسن موسوی خرسان، تهران، دارالکتب الاسلامیة،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الثاقبفی المناقب، ابن‌حمزه طوسی،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نبیل رضا علوان، قم، انتشارات 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حاشیةالمکاسب، غروی اصفهانی،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عباس محمد آل سباع قطیفی، قم، انتشاراتانوارالهدی،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صدوق،محمد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دلائل‌الامامه، طبری امامی،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فیاثبات کرامات الاولیاء،سجاعی، شهاب الدین احمد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اثبات کرامات الاولیاء ، استانبول، مکتبةایشیق،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رسائل‌الکرکی،کرکی، 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حسون، قم، کتابخانه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ابن‌ماجه، ابن‌ماجه 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فؤاد عبدالباقی،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سننابی داوود، ابوداوودسجستانی،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سعید محمد لحام، بیروت، دار الفکر،</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سنن‌الترمذی، ترمذی،محمد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عبدالوهاب عبداللطیف،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السنن‌الکبری، نسائی،احمد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سلیمان بنداری، سید کسروی حسن، بیروت، دارالکتب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شرح‌الاخبار فی فضائل الائمةالاطهار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مغربی،قاضی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حسینی جلالی، قم، نشراسلامی،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شواهدالتنزیل، حاکمحسکانی، عبیدالله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محمدباقر محمودی، تهران، وزارت</w:t>
      </w:r>
    </w:p>
    <w:p>
      <w:pPr>
        <w:pStyle w:val="BookText"/>
        <w:rPr/>
      </w:pPr>
      <w:r>
        <w:rPr>
          <w:rFonts w:ascii="IRNazanin" w:hAnsi="IRNazanin" w:eastAsia="IRNazanin"/>
          <w:color w:val="111111"/>
          <w:sz w:val="28"/>
          <w:sz w:val="28"/>
          <w:szCs w:val="28"/>
          <w:rtl w:val="true"/>
          <w:lang w:bidi="fa-IR"/>
        </w:rPr>
        <w:t xml:space="preserve">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صحیح‌البخاری، بخاری،محمد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العقدالثمین فی معرفةرب‌العالمین،ابن بدرالدین، حسین بن بدرالدین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یحی سالم عزان، صنعا، دارالتراث الیمنی،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عوالی‌اللئالی العزیزیة فی الاحادیث‌الدینیه، ابن ابی‌جمهور احسائی،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مجتبی عراقی، قم، مطبعة سیدالشهداء،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اعلمی، بیروت، مؤسسة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الغیبه، نعمانی،محمد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فارس حسون کریم، قم، انتشارات انوارالهدی،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الفصول‌المهمةفی اصول‌الائمه، حرعاملی،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بن محمد حسن قائینی، مؤسسه معارف اسلامی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قواعدالمرام فی علم‌الکلام، ابن‌میثم بحرانی، میثم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احمد حسینی، قم،</w:t>
      </w:r>
    </w:p>
    <w:p>
      <w:pPr>
        <w:pStyle w:val="BookText"/>
        <w:rPr/>
      </w:pPr>
      <w:r>
        <w:rPr>
          <w:rFonts w:ascii="IRNazanin" w:hAnsi="IRNazanin" w:eastAsia="IRNazanin"/>
          <w:color w:val="111111"/>
          <w:sz w:val="28"/>
          <w:sz w:val="28"/>
          <w:szCs w:val="28"/>
          <w:rtl w:val="true"/>
          <w:lang w:bidi="fa-IR"/>
        </w:rPr>
        <w:t xml:space="preserve">کتابخانه مرعشی نجفی،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،کلینی،محمد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تهران، 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کامل‌الزیارات، ابن‌قولویه قمی،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هلالی عامری،سلیم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انصاری، قم، نشر الهادی،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کشف‌المراد فی شرح تجریدالاعتقاد، علامهحلی،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حسن حسن‌زاده آملی، قم،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مجمع‌البیان فی‌تفسیر‌القرآن، طبرسی،فضل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ناصرخسرو،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معاجز الائمةالاثنی‌عشر و دلائل الحجج علی البشر، بحرانی، سید 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عزت الله مولائی، قم،مؤسسة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مرآة‌العقول فی شرح اخبار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مجلسی،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رسولی محلاتی، تهران، دارالکتب الاسلامیة،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المزارالکبیر،مشهدی، محمدبن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نشر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حاکم نیشابوری،محمد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یوسف مرعشلی، بیروت، دارالمعرفه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مصباح‌المتهجد، طوسی،محمد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فقه الشیعة،</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مفاتیح‌الجنان، محدث قمی،عباس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مهدی الهی قمشه‌ای،قم، انتشارات آیین دانش،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مقتضب‌الاثر فی النص علی الائمةالاثنی‌عشر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جوهری،بن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نزار منصوری، قم، مکتبة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منلایحضره الفقیه، صدوق، محمد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اکبر غفاری، قم،نشر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ابی‌طالب، ابن‌شهرآشوب،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گروهی از اساتید نجف اشرف، النجف‌الاشرف، المکتبة الحیدریة،</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الامام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،کوفی،محمد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محمدباقر محمودی، قم، مجمع احیاء الثقافة الاسلامیة،</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منهاج‌البراعةفی شرح نهج‌البلاغه، هاشم یخوئی، 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المکتبة الاسلامیة،</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نوادرالمعجزات فی مناقب الائمةالهداة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امامی،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امام مهدی عجل الله تعالی فرجه الشریف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الهدایةالکبری، خصیبی،حسین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مؤسسةالبلاغ،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ضیاء الدین حسینی،اصفهان، کتابخانه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بعضی آمارها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لیبی، مصر، سودان، مغرب، الجزایر، عراق، سوریه، اردن، فلسطین، عربستان سعودی و حکومت‌های به‌اصطلاح آزاد، یمن جنوبی و شمالی و حکومت‌های دیگری که شاید از چهل حکومت بیشتر باشد که اکثراً متمایل به شرق یا غرب بوده و تحت نفوذ آنها و مکتب‌های استعماری و الحادی آنها می‌باشند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در اثر انقلاب اسلامی ایران، عملی‌شدن و دست‌یافتن به اهداف اسلام و کارسازی اسلام در بازسازی جوامع بشری، بر اساس ایمان به خدا و حکومت احکام خدا و لغو کامل استعباد و استضعاف، آشکار شده و دنیای متحیّر به ویژگی‌های مکتب اسلام در رفع سرگردانی‌های کنونی، تا حدّی متوجّه گردیده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اخیراً با مسلمانان مظلوم افغانستان، که گرفتار وحشیانه‌ترین هجوم‌ها از سوی روسیه شدند، مسلمانان جهان، غیر از معدود سرانی که با روسیه بندوبست داشته یا نوکر روسیه هستند، با آنها همدردی می‌نمایند و مصائب آنها را مصیبت خود می‌دانند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سرزمین‌های عرب، یا نفت عرب، برای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اسلامی نیست و برای منحرف کردن افکار مسلمانان در جهت مبارزه با شعار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سرزمین‌ها و معادن اسلام، برای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صدوق، الخصال،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اعمّ از شرک است؛ مثلاً قول به تقدیس انبیا از اکل و شرب و منافات آن با مقام نبوّت، غلوّ است؛ امّا شرک نیست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تفویض در امور تشریعی و جعل و وضع تکالیف نیز آمده است که در آینده، جداگانه از آن بحث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ابن ابی‌جمهور احسائی، عوالی‌اللئالی،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اعطای این قدرت به عبد، به دو نحو متصوّر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معنایی مشترک است بین تمام موجودات زنده و آن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مبدئیّت شیء برای ظهور آثار و خواصّ خود، ازاین‌جهت چون محیی و معطی این مبدئیت خداست لذا محیی تمام موجودات اوست و چون عمل محیی، این مبدئیت را به ظاهر فعلیت می‌دهد، به او محیی و به زمین محیات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به‌هرحال این اطلاق مجاز باشد یا حقیقت، در آنچه ما درصدد تحقیق آن هستیم تفاوت نمی‌کند و مثال را تغییر نمی‌دهد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بصائرالدرجات،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ابن شعبه حرانی، تحف‌العقول،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ملائکه نیز بعضی از مناصب و صفاتی که دارند، بیشتر از اینکه منافی با ذات آنها نیست، ثابت نمی‌باشد و ذاتی‌بودن تمام مناصب و صفات آنها معلوم نیست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با اعتراف به اینکه خصوصیتی که از خصائص ملائکه است، برای غیرملائکه به غیر‌خرق‌عادت و اعجاز، قابل اثبات نباشد، ولی به‌هرحال این اعتقاد غلوی نیست که در فقه، حکم به کفر آن می‌شود، مگر آنکه چنان که اشاره کردیم، به انکار ضروری دین برگشت کند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برتر از ملائکه است و همچنین پیامبران دیگر نیز، برتر از ملائکه هستند؛ به دلیل برخورداری از قوایی که ضد قوة عقلیه‌اند اما این قوا را مقهور و فرمانبردار عقل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کشف‌المراد،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ابی‌جمهور احسائی، عوالی‌اللئالی،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خصیبی، الهدایة‌الکبری،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طبری امامی، دلائل‌الامامه،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جوهری، مقتضب‌الاثر،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ششم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الاختصاص،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طوسی، الامالی،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هلالی عامری، کتاب سلیم بن قیس،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طبری امامی، دلائل‌الامامه،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بحرانی،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بحرانی، مدینة معاجز الائمة الاثنی‌عشر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ابن‌حمزه طوسی، الثاقب فی المناقب،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بحرانی، مدینة معاجز الائمة الاثنی‌عشر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آگاه‌تر است که رسالت خویش را در کجا قرار دهد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خوانندگان عزیز، این بخش را در این رساله، فقط مقدمه‌ای برای موضوع مورد بحث بشمارند و آن را مانند فرع زائد بر اصل، فرض نمایند، امّا باتوجّه‌به ارتباط مطالب مرقوم با موضوع بحث و اینکه بررسی آن، پرسش از این مطالب را نیز جلو می‌آورد، و باتوجّه‌به</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گمان کرده، مصلحت در سکوت و سخن نگفتن باشد، غافل از اینکه مغرضان و مزدورانی که عمداً سم‌پاشی می‌کنند، آن را غنیمت شمرده و از سکوت علما و روشن‌نبودن اطراف موضوع، بیشتر سوء‌استفاده می‌نمایند، و بدون مانع، کار و مأموریت خود را انجام می‌دهند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از مباحثه هشام با عمرو بن عبید نیز استفاده می‌شود، هرچند این تشبیه برای بیان ولایت بر اداره امور اکوان و ممکنات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بیان آن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اوفق و اولی است، ولی چنان‌که گفتیم این ولایت به‌طور استقلال برای غیر‌خدا باطل و تفویض بوده و به نحو غیر‌مستقل و در دایره نظام و قضاوقدر الهی، خلاف ظواهر قرآن است، به‌علاوه از مثل مباحثه هشام نیز استفاده می‌شود که غرض از این تشبیه، بیان ولایت شرعی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این بحث به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وابستگی جهان به وجود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نویسنده مراجعه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طوسی، التبیان،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شرح‌الاخبار،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طبری امامی، نوادرالمعجزات،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حاکم حسکانی، شواهدالتنزیل،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ابن‌میثم بحرانی، قواعدالمرام،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غروی اصفهانی، حاشیه حاشیة‌حاشیهِِ‌المکاسب،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کلینیکلیینی،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مرآهةالعقول،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 همو، الغیبهالغیبه،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مشهدی، النرارا المزارالکبییرکبیر،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التفویض ﺇلی الله و ﺇلی 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أمر الدین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مفهوم وابستگی جهان به وجود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توضیحاتی داده‌ایم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ذاریات،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یحضره الفقیهالفقیه،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مشهدی، المزار الکبییر،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محدث قمی، عباس، مفاتیح مفاتیح‌الجنان؛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جامعه جامعة کبیره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کرکی، رسائل،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گلپایگانیگلپایگانی، الهیات الهیات در نهج البلاغه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شافعی میی‌گوید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 موسی الکاظم التریاق المجرب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سجاعی،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اثبات کرامات الاولیاء،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سجاعی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ارفقوا بی یا ملائکة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هاشمی خوئی، منهاج البراعة فی شرح نهج‌البلاغة، ج</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نقدی، الانوار العلویه،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ولایتی ولایتی را که به اجماع مسلمین و دلالت آیات و احادیث، پیغمبر خدا هم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اینکه جایز است در بعضی بعضی امور داشته باشد نیز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شورای شورای به اصطلاح ملّی ملّی در اغلب کشورهای کشورهای مسلمان نشین، به پیروی پیروی از بیگانگان و غرب پرستان نادان و استعمارگران و انجمن هایی مختلف برای برای خود ثابت شمرده و علناً راه شرک را پیش گرفته و احکام مسلّم اسلام را متروک و مهجور ساخته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تؤاخذنا باعمالهم و ادفع عن بلادک شرورهم و مکرهم و اجعل کلمتهم السّفلی السّفلی و کلمتک العلیا، انک انت العزیز القدیر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صفار، بصائرالدرجات،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مرآةالعقول،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حر عالمیعاملی، الفصول المهمه فی اصول الائمه،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مخفی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روایاتی روایاتی که دلالت بر این تفویض به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ازطریق شیعه و سنی،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أن أشقّ أو إنّی أخاف علی أمّتی لأخّرت العتمة أو صلوة العشاة الآخرة إلی ثلث اللیل أو إلی نصف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طوسی، تهذیب تهذیب‌الاحکام،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أن أشقّ علی أمّتی لأمرتهم بالسواک مع کلّ 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طوسی،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لفرضت علیهم السواک مع کلّ 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نسائی، السنن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صدوق، من لا یحضره یحضره الفقیهالفقیه،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صحیح؛ ترمذی، سنن؛ ابن ماجه قزوینی، سنن؛ ابوداوود سجستانی؛، سنن؛ حاکم نیشابوری،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است روایات متضمن جواب حضرت رسول صلی الله علیه وآله به سراقة بن مالک و اقرع بن حابس راجع به حج که آیا در هر سال واجب است؟ در جواب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قلتها لوجبت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ابن حجر عسقلانی، التلخیص الحبیر،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ابن ابی جمهور احسائی،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روایت استثنای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تحریم نبات 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کندن گیاهان حرم مکّه حرام است؛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 نوع گیاهی گیاه است، استثنا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نعمانی، الغیبتهالغیبه،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معلوم شد فرمایشی که از یک نفر دیگر از بزرگان عصر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ولایت تکوینی و تشریعی نقل شده است که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تکوینی حقّ و ثابت است و ولایت تشریعی ثابت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به اصلاح و توضیح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عصمنا الله تعالی من جمیع الزلاّت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طوسی، تهذیب تهذیب‌الاحکام،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29430</Words>
  <Characters>114815</Characters>
  <CharactersWithSpaces>143407</CharactersWithSpaces>
  <Paragraphs>1177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2026-08-19T19:55:27Z</dcterms:created>
  <dc:creator>ghaemiyeh.com</dc:creator>
  <dc:description/>
  <dc:language>en-US</dc:language>
  <cp:lastModifiedBy/>
  <dcterms:modified xsi:type="dcterms:W3CDTF">2026-08-19T23:25:31Z</dcterms:modified>
  <cp:revision>1</cp:revision>
  <dc:subject/>
  <dc:title>سلسله مباحث امامت و مهدویت 3 ولایت تکوینی و ولایت تشریعی</dc:title>
</cp:coreProperties>
</file>

<file path=docProps/custom.xml><?xml version="1.0" encoding="utf-8"?>
<Properties xmlns="http://schemas.openxmlformats.org/officeDocument/2006/custom-properties" xmlns:vt="http://schemas.openxmlformats.org/officeDocument/2006/docPropsVTypes"/>
</file>