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بلوغ دختران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882_237004111">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8884_237004111">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8886_23700411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88888_237004111">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88890_237004111">
            <w:r>
              <w:rPr>
                <w:webHidden/>
                <w:rStyle w:val="IndexLink"/>
                <w:rtl w:val="true"/>
              </w:rPr>
              <w:t>پیش گفتار</w:t>
            </w:r>
            <w:r>
              <w:rPr>
                <w:rStyle w:val="IndexLink"/>
                <w:rtl w:val="true"/>
              </w:rPr>
              <w:tab/>
            </w:r>
            <w:r>
              <w:rPr>
                <w:rStyle w:val="IndexLink"/>
              </w:rPr>
              <w:t>25</w:t>
            </w:r>
          </w:hyperlink>
        </w:p>
        <w:p>
          <w:pPr>
            <w:pStyle w:val="Contents2"/>
            <w:tabs>
              <w:tab w:val="clear" w:pos="8743"/>
              <w:tab w:val="right" w:pos="9026" w:leader="dot"/>
            </w:tabs>
            <w:rPr/>
          </w:pPr>
          <w:hyperlink w:anchor="__RefHeading___Toc188892_237004111">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29</w:t>
            </w:r>
          </w:hyperlink>
        </w:p>
        <w:p>
          <w:pPr>
            <w:pStyle w:val="Contents3"/>
            <w:tabs>
              <w:tab w:val="clear" w:pos="8459"/>
              <w:tab w:val="right" w:pos="9026" w:leader="dot"/>
            </w:tabs>
            <w:rPr/>
          </w:pPr>
          <w:hyperlink w:anchor="__RefHeading___Toc188894_237004111">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88896_237004111">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188898_237004111">
            <w:r>
              <w:rPr>
                <w:webHidden/>
                <w:rStyle w:val="IndexLink"/>
                <w:rtl w:val="true"/>
              </w:rPr>
              <w:t>گفتار اول</w:t>
            </w:r>
            <w:r>
              <w:rPr>
                <w:rStyle w:val="IndexLink"/>
                <w:rtl w:val="true"/>
              </w:rPr>
              <w:t xml:space="preserve">: </w:t>
            </w:r>
            <w:r>
              <w:rPr>
                <w:rStyle w:val="IndexLink"/>
                <w:rtl w:val="true"/>
              </w:rPr>
              <w:t>بلوغ و الفاظ مشابه آن در لغت</w:t>
            </w:r>
            <w:r>
              <w:rPr>
                <w:rStyle w:val="IndexLink"/>
                <w:rtl w:val="true"/>
              </w:rPr>
              <w:tab/>
            </w:r>
            <w:r>
              <w:rPr>
                <w:rStyle w:val="IndexLink"/>
              </w:rPr>
              <w:t>32</w:t>
            </w:r>
          </w:hyperlink>
        </w:p>
        <w:p>
          <w:pPr>
            <w:pStyle w:val="Contents4"/>
            <w:tabs>
              <w:tab w:val="clear" w:pos="8176"/>
              <w:tab w:val="right" w:pos="9026" w:leader="dot"/>
            </w:tabs>
            <w:rPr/>
          </w:pPr>
          <w:hyperlink w:anchor="__RefHeading___Toc188900_23700411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88902_237004111">
            <w:r>
              <w:rPr>
                <w:webHidden/>
                <w:rStyle w:val="IndexLink"/>
                <w:rtl w:val="true"/>
              </w:rPr>
              <w:t>الف</w:t>
            </w:r>
            <w:r>
              <w:rPr>
                <w:rStyle w:val="IndexLink"/>
                <w:rtl w:val="true"/>
              </w:rPr>
              <w:t xml:space="preserve">) </w:t>
            </w:r>
            <w:r>
              <w:rPr>
                <w:rStyle w:val="IndexLink"/>
                <w:rtl w:val="true"/>
              </w:rPr>
              <w:t>بلوغ در لغت</w:t>
            </w:r>
            <w:r>
              <w:rPr>
                <w:rStyle w:val="IndexLink"/>
                <w:rtl w:val="true"/>
              </w:rPr>
              <w:tab/>
            </w:r>
            <w:r>
              <w:rPr>
                <w:rStyle w:val="IndexLink"/>
              </w:rPr>
              <w:t>32</w:t>
            </w:r>
          </w:hyperlink>
        </w:p>
        <w:p>
          <w:pPr>
            <w:pStyle w:val="Contents4"/>
            <w:tabs>
              <w:tab w:val="clear" w:pos="8176"/>
              <w:tab w:val="right" w:pos="9026" w:leader="dot"/>
            </w:tabs>
            <w:rPr/>
          </w:pPr>
          <w:hyperlink w:anchor="__RefHeading___Toc188904_237004111">
            <w:r>
              <w:rPr>
                <w:webHidden/>
                <w:rStyle w:val="IndexLink"/>
                <w:rtl w:val="true"/>
              </w:rPr>
              <w:t>ب</w:t>
            </w:r>
            <w:r>
              <w:rPr>
                <w:rStyle w:val="IndexLink"/>
                <w:rtl w:val="true"/>
              </w:rPr>
              <w:t xml:space="preserve">) </w:t>
            </w:r>
            <w:r>
              <w:rPr>
                <w:rStyle w:val="IndexLink"/>
                <w:rtl w:val="true"/>
              </w:rPr>
              <w:t>احتلام و حُلم در لغت</w:t>
            </w:r>
            <w:r>
              <w:rPr>
                <w:rStyle w:val="IndexLink"/>
                <w:rtl w:val="true"/>
              </w:rPr>
              <w:tab/>
            </w:r>
            <w:r>
              <w:rPr>
                <w:rStyle w:val="IndexLink"/>
              </w:rPr>
              <w:t>35</w:t>
            </w:r>
          </w:hyperlink>
        </w:p>
        <w:p>
          <w:pPr>
            <w:pStyle w:val="Contents4"/>
            <w:tabs>
              <w:tab w:val="clear" w:pos="8176"/>
              <w:tab w:val="right" w:pos="9026" w:leader="dot"/>
            </w:tabs>
            <w:rPr/>
          </w:pPr>
          <w:hyperlink w:anchor="__RefHeading___Toc188906_237004111">
            <w:r>
              <w:rPr>
                <w:webHidden/>
                <w:rStyle w:val="IndexLink"/>
                <w:rtl w:val="true"/>
              </w:rPr>
              <w:t>ج</w:t>
            </w:r>
            <w:r>
              <w:rPr>
                <w:rStyle w:val="IndexLink"/>
                <w:rtl w:val="true"/>
              </w:rPr>
              <w:t xml:space="preserve">) </w:t>
            </w:r>
            <w:r>
              <w:rPr>
                <w:rStyle w:val="IndexLink"/>
                <w:rtl w:val="true"/>
              </w:rPr>
              <w:t>ادراک در لغت</w:t>
            </w:r>
            <w:r>
              <w:rPr>
                <w:rStyle w:val="IndexLink"/>
                <w:rtl w:val="true"/>
              </w:rPr>
              <w:tab/>
            </w:r>
            <w:r>
              <w:rPr>
                <w:rStyle w:val="IndexLink"/>
              </w:rPr>
              <w:t>38</w:t>
            </w:r>
          </w:hyperlink>
        </w:p>
        <w:p>
          <w:pPr>
            <w:pStyle w:val="Contents4"/>
            <w:tabs>
              <w:tab w:val="clear" w:pos="8176"/>
              <w:tab w:val="right" w:pos="9026" w:leader="dot"/>
            </w:tabs>
            <w:rPr/>
          </w:pPr>
          <w:hyperlink w:anchor="__RefHeading___Toc188908_237004111">
            <w:r>
              <w:rPr>
                <w:webHidden/>
                <w:rStyle w:val="IndexLink"/>
                <w:rtl w:val="true"/>
              </w:rPr>
              <w:t>جمع بندی</w:t>
            </w:r>
            <w:r>
              <w:rPr>
                <w:rStyle w:val="IndexLink"/>
                <w:rtl w:val="true"/>
              </w:rPr>
              <w:tab/>
            </w:r>
            <w:r>
              <w:rPr>
                <w:rStyle w:val="IndexLink"/>
              </w:rPr>
              <w:t>40</w:t>
            </w:r>
          </w:hyperlink>
        </w:p>
        <w:p>
          <w:pPr>
            <w:pStyle w:val="Contents3"/>
            <w:tabs>
              <w:tab w:val="clear" w:pos="8459"/>
              <w:tab w:val="right" w:pos="9026" w:leader="dot"/>
            </w:tabs>
            <w:rPr/>
          </w:pPr>
          <w:hyperlink w:anchor="__RefHeading___Toc188910_237004111">
            <w:r>
              <w:rPr>
                <w:webHidden/>
                <w:rStyle w:val="IndexLink"/>
                <w:rtl w:val="true"/>
              </w:rPr>
              <w:t>گفتار دوم</w:t>
            </w:r>
            <w:r>
              <w:rPr>
                <w:rStyle w:val="IndexLink"/>
                <w:rtl w:val="true"/>
              </w:rPr>
              <w:t xml:space="preserve">: </w:t>
            </w:r>
            <w:r>
              <w:rPr>
                <w:rStyle w:val="IndexLink"/>
                <w:rtl w:val="true"/>
              </w:rPr>
              <w:t>بلوغ در عرف</w:t>
            </w:r>
            <w:r>
              <w:rPr>
                <w:rStyle w:val="IndexLink"/>
                <w:rtl w:val="true"/>
              </w:rPr>
              <w:tab/>
            </w:r>
            <w:r>
              <w:rPr>
                <w:rStyle w:val="IndexLink"/>
              </w:rPr>
              <w:t>41</w:t>
            </w:r>
          </w:hyperlink>
        </w:p>
        <w:p>
          <w:pPr>
            <w:pStyle w:val="Contents4"/>
            <w:tabs>
              <w:tab w:val="clear" w:pos="8176"/>
              <w:tab w:val="right" w:pos="9026" w:leader="dot"/>
            </w:tabs>
            <w:rPr/>
          </w:pPr>
          <w:hyperlink w:anchor="__RefHeading___Toc188912_237004111">
            <w:r>
              <w:rPr>
                <w:webHidden/>
                <w:rStyle w:val="IndexLink"/>
                <w:rtl w:val="true"/>
              </w:rPr>
              <w:t>الف</w:t>
            </w:r>
            <w:r>
              <w:rPr>
                <w:rStyle w:val="IndexLink"/>
                <w:rtl w:val="true"/>
              </w:rPr>
              <w:t xml:space="preserve">) </w:t>
            </w:r>
            <w:r>
              <w:rPr>
                <w:rStyle w:val="IndexLink"/>
                <w:rtl w:val="true"/>
              </w:rPr>
              <w:t>عرف عام</w:t>
            </w:r>
            <w:r>
              <w:rPr>
                <w:rStyle w:val="IndexLink"/>
                <w:rtl w:val="true"/>
              </w:rPr>
              <w:tab/>
            </w:r>
            <w:r>
              <w:rPr>
                <w:rStyle w:val="IndexLink"/>
              </w:rPr>
              <w:t>41</w:t>
            </w:r>
          </w:hyperlink>
        </w:p>
        <w:p>
          <w:pPr>
            <w:pStyle w:val="Contents4"/>
            <w:tabs>
              <w:tab w:val="clear" w:pos="8176"/>
              <w:tab w:val="right" w:pos="9026" w:leader="dot"/>
            </w:tabs>
            <w:rPr/>
          </w:pPr>
          <w:hyperlink w:anchor="__RefHeading___Toc188914_237004111">
            <w:r>
              <w:rPr>
                <w:webHidden/>
                <w:rStyle w:val="IndexLink"/>
                <w:rtl w:val="true"/>
              </w:rPr>
              <w:t>ب</w:t>
            </w:r>
            <w:r>
              <w:rPr>
                <w:rStyle w:val="IndexLink"/>
                <w:rtl w:val="true"/>
              </w:rPr>
              <w:t xml:space="preserve">) </w:t>
            </w:r>
            <w:r>
              <w:rPr>
                <w:rStyle w:val="IndexLink"/>
                <w:rtl w:val="true"/>
              </w:rPr>
              <w:t>عرف خاص</w:t>
            </w:r>
            <w:r>
              <w:rPr>
                <w:rStyle w:val="IndexLink"/>
                <w:rtl w:val="true"/>
              </w:rPr>
              <w:tab/>
            </w:r>
            <w:r>
              <w:rPr>
                <w:rStyle w:val="IndexLink"/>
              </w:rPr>
              <w:t>43</w:t>
            </w:r>
          </w:hyperlink>
        </w:p>
        <w:p>
          <w:pPr>
            <w:pStyle w:val="Contents4"/>
            <w:tabs>
              <w:tab w:val="clear" w:pos="8176"/>
              <w:tab w:val="right" w:pos="9026" w:leader="dot"/>
            </w:tabs>
            <w:rPr/>
          </w:pPr>
          <w:hyperlink w:anchor="__RefHeading___Toc188916_237004111">
            <w:r>
              <w:rPr>
                <w:webHidden/>
                <w:rStyle w:val="IndexLink"/>
                <w:rtl w:val="true"/>
              </w:rPr>
              <w:t>نتیجۀ کلی</w:t>
            </w:r>
            <w:r>
              <w:rPr>
                <w:rStyle w:val="IndexLink"/>
                <w:rtl w:val="true"/>
              </w:rPr>
              <w:tab/>
            </w:r>
            <w:r>
              <w:rPr>
                <w:rStyle w:val="IndexLink"/>
              </w:rPr>
              <w:t>47</w:t>
            </w:r>
          </w:hyperlink>
        </w:p>
        <w:p>
          <w:pPr>
            <w:pStyle w:val="Contents3"/>
            <w:tabs>
              <w:tab w:val="clear" w:pos="8459"/>
              <w:tab w:val="right" w:pos="9026" w:leader="dot"/>
            </w:tabs>
            <w:rPr/>
          </w:pPr>
          <w:hyperlink w:anchor="__RefHeading___Toc188918_237004111">
            <w:r>
              <w:rPr>
                <w:webHidden/>
                <w:rStyle w:val="IndexLink"/>
                <w:rtl w:val="true"/>
              </w:rPr>
              <w:t>گفتار سوم</w:t>
            </w:r>
            <w:r>
              <w:rPr>
                <w:rStyle w:val="IndexLink"/>
                <w:rtl w:val="true"/>
              </w:rPr>
              <w:t xml:space="preserve">: </w:t>
            </w:r>
            <w:r>
              <w:rPr>
                <w:rStyle w:val="IndexLink"/>
                <w:rtl w:val="true"/>
              </w:rPr>
              <w:t>تفاوت بلوغ با تمییز و رشد</w:t>
            </w:r>
            <w:r>
              <w:rPr>
                <w:rStyle w:val="IndexLink"/>
                <w:rtl w:val="true"/>
              </w:rPr>
              <w:tab/>
            </w:r>
            <w:r>
              <w:rPr>
                <w:rStyle w:val="IndexLink"/>
              </w:rPr>
              <w:t>49</w:t>
            </w:r>
          </w:hyperlink>
        </w:p>
        <w:p>
          <w:pPr>
            <w:pStyle w:val="Contents4"/>
            <w:tabs>
              <w:tab w:val="clear" w:pos="8176"/>
              <w:tab w:val="right" w:pos="9026" w:leader="dot"/>
            </w:tabs>
            <w:rPr/>
          </w:pPr>
          <w:hyperlink w:anchor="__RefHeading___Toc188920_23700411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88922_237004111">
            <w:r>
              <w:rPr>
                <w:webHidden/>
                <w:rStyle w:val="IndexLink"/>
                <w:rtl w:val="true"/>
              </w:rPr>
              <w:t>الف</w:t>
            </w:r>
            <w:r>
              <w:rPr>
                <w:rStyle w:val="IndexLink"/>
                <w:rtl w:val="true"/>
              </w:rPr>
              <w:t xml:space="preserve">) </w:t>
            </w:r>
            <w:r>
              <w:rPr>
                <w:rStyle w:val="IndexLink"/>
                <w:rtl w:val="true"/>
              </w:rPr>
              <w:t>تمییز</w:t>
            </w:r>
            <w:r>
              <w:rPr>
                <w:rStyle w:val="IndexLink"/>
                <w:rtl w:val="true"/>
              </w:rPr>
              <w:tab/>
            </w:r>
            <w:r>
              <w:rPr>
                <w:rStyle w:val="IndexLink"/>
              </w:rPr>
              <w:t>49</w:t>
            </w:r>
          </w:hyperlink>
        </w:p>
        <w:p>
          <w:pPr>
            <w:pStyle w:val="Contents4"/>
            <w:tabs>
              <w:tab w:val="clear" w:pos="8176"/>
              <w:tab w:val="right" w:pos="9026" w:leader="dot"/>
            </w:tabs>
            <w:rPr/>
          </w:pPr>
          <w:hyperlink w:anchor="__RefHeading___Toc188924_237004111">
            <w:r>
              <w:rPr>
                <w:webHidden/>
                <w:rStyle w:val="IndexLink"/>
                <w:rtl w:val="true"/>
              </w:rPr>
              <w:t>ب</w:t>
            </w:r>
            <w:r>
              <w:rPr>
                <w:rStyle w:val="IndexLink"/>
                <w:rtl w:val="true"/>
              </w:rPr>
              <w:t xml:space="preserve">) </w:t>
            </w:r>
            <w:r>
              <w:rPr>
                <w:rStyle w:val="IndexLink"/>
                <w:rtl w:val="true"/>
              </w:rPr>
              <w:t>رشد</w:t>
            </w:r>
            <w:r>
              <w:rPr>
                <w:rStyle w:val="IndexLink"/>
                <w:rtl w:val="true"/>
              </w:rPr>
              <w:tab/>
            </w:r>
            <w:r>
              <w:rPr>
                <w:rStyle w:val="IndexLink"/>
              </w:rPr>
              <w:t>51</w:t>
            </w:r>
          </w:hyperlink>
        </w:p>
        <w:p>
          <w:pPr>
            <w:pStyle w:val="Contents4"/>
            <w:tabs>
              <w:tab w:val="clear" w:pos="8176"/>
              <w:tab w:val="right" w:pos="9026" w:leader="dot"/>
            </w:tabs>
            <w:rPr/>
          </w:pPr>
          <w:hyperlink w:anchor="__RefHeading___Toc188926_237004111">
            <w:r>
              <w:rPr>
                <w:webHidden/>
                <w:rStyle w:val="IndexLink"/>
                <w:rtl w:val="true"/>
              </w:rPr>
              <w:t>نتیجه</w:t>
            </w:r>
            <w:r>
              <w:rPr>
                <w:rStyle w:val="IndexLink"/>
                <w:rtl w:val="true"/>
              </w:rPr>
              <w:tab/>
            </w:r>
            <w:r>
              <w:rPr>
                <w:rStyle w:val="IndexLink"/>
              </w:rPr>
              <w:t>54</w:t>
            </w:r>
          </w:hyperlink>
        </w:p>
        <w:p>
          <w:pPr>
            <w:pStyle w:val="Contents3"/>
            <w:tabs>
              <w:tab w:val="clear" w:pos="8459"/>
              <w:tab w:val="right" w:pos="9026" w:leader="dot"/>
            </w:tabs>
            <w:rPr/>
          </w:pPr>
          <w:hyperlink w:anchor="__RefHeading___Toc188928_237004111">
            <w:r>
              <w:rPr>
                <w:webHidden/>
                <w:rStyle w:val="IndexLink"/>
                <w:rtl w:val="true"/>
              </w:rPr>
              <w:t>گفتار چهارم</w:t>
            </w:r>
            <w:r>
              <w:rPr>
                <w:rStyle w:val="IndexLink"/>
                <w:rtl w:val="true"/>
              </w:rPr>
              <w:t xml:space="preserve">: </w:t>
            </w:r>
            <w:r>
              <w:rPr>
                <w:rStyle w:val="IndexLink"/>
                <w:rtl w:val="true"/>
              </w:rPr>
              <w:t>بلوغ در قرآن</w:t>
            </w:r>
            <w:r>
              <w:rPr>
                <w:rStyle w:val="IndexLink"/>
                <w:rtl w:val="true"/>
              </w:rPr>
              <w:tab/>
            </w:r>
            <w:r>
              <w:rPr>
                <w:rStyle w:val="IndexLink"/>
              </w:rPr>
              <w:t>55</w:t>
            </w:r>
          </w:hyperlink>
        </w:p>
        <w:p>
          <w:pPr>
            <w:pStyle w:val="Contents4"/>
            <w:tabs>
              <w:tab w:val="clear" w:pos="8176"/>
              <w:tab w:val="right" w:pos="9026" w:leader="dot"/>
            </w:tabs>
            <w:rPr/>
          </w:pPr>
          <w:hyperlink w:anchor="__RefHeading___Toc188930_23700411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88932_237004111">
            <w:r>
              <w:rPr>
                <w:webHidden/>
                <w:rStyle w:val="IndexLink"/>
              </w:rPr>
              <w:t>1</w:t>
            </w:r>
            <w:r>
              <w:rPr>
                <w:rStyle w:val="IndexLink"/>
                <w:rtl w:val="true"/>
              </w:rPr>
              <w:t xml:space="preserve">. </w:t>
            </w:r>
            <w:r>
              <w:rPr>
                <w:rStyle w:val="IndexLink"/>
                <w:rtl w:val="true"/>
              </w:rPr>
              <w:t>بلوغ نکاح</w:t>
            </w:r>
            <w:r>
              <w:rPr>
                <w:rStyle w:val="IndexLink"/>
                <w:rtl w:val="true"/>
              </w:rPr>
              <w:tab/>
            </w:r>
            <w:r>
              <w:rPr>
                <w:rStyle w:val="IndexLink"/>
              </w:rPr>
              <w:t>55</w:t>
            </w:r>
          </w:hyperlink>
        </w:p>
        <w:p>
          <w:pPr>
            <w:pStyle w:val="Contents5"/>
            <w:tabs>
              <w:tab w:val="clear" w:pos="7892"/>
              <w:tab w:val="right" w:pos="9026" w:leader="dot"/>
            </w:tabs>
            <w:rPr/>
          </w:pPr>
          <w:hyperlink w:anchor="__RefHeading___Toc188934_237004111">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88936_237004111">
            <w:r>
              <w:rPr>
                <w:webHidden/>
                <w:rStyle w:val="IndexLink"/>
                <w:rtl w:val="true"/>
              </w:rPr>
              <w:t>احتمال اول</w:t>
            </w:r>
            <w:r>
              <w:rPr>
                <w:rStyle w:val="IndexLink"/>
                <w:rtl w:val="true"/>
              </w:rPr>
              <w:tab/>
            </w:r>
            <w:r>
              <w:rPr>
                <w:rStyle w:val="IndexLink"/>
              </w:rPr>
              <w:t>56</w:t>
            </w:r>
          </w:hyperlink>
        </w:p>
        <w:p>
          <w:pPr>
            <w:pStyle w:val="Contents5"/>
            <w:tabs>
              <w:tab w:val="clear" w:pos="7892"/>
              <w:tab w:val="right" w:pos="9026" w:leader="dot"/>
            </w:tabs>
            <w:rPr/>
          </w:pPr>
          <w:hyperlink w:anchor="__RefHeading___Toc188938_237004111">
            <w:r>
              <w:rPr>
                <w:webHidden/>
                <w:rStyle w:val="IndexLink"/>
                <w:rtl w:val="true"/>
              </w:rPr>
              <w:t>احتمال دوم</w:t>
            </w:r>
            <w:r>
              <w:rPr>
                <w:rStyle w:val="IndexLink"/>
                <w:rtl w:val="true"/>
              </w:rPr>
              <w:tab/>
            </w:r>
            <w:r>
              <w:rPr>
                <w:rStyle w:val="IndexLink"/>
              </w:rPr>
              <w:t>58</w:t>
            </w:r>
          </w:hyperlink>
        </w:p>
        <w:p>
          <w:pPr>
            <w:pStyle w:val="Contents4"/>
            <w:tabs>
              <w:tab w:val="clear" w:pos="8176"/>
              <w:tab w:val="right" w:pos="9026" w:leader="dot"/>
            </w:tabs>
            <w:rPr/>
          </w:pPr>
          <w:hyperlink w:anchor="__RefHeading___Toc188940_237004111">
            <w:r>
              <w:rPr>
                <w:webHidden/>
                <w:rStyle w:val="IndexLink"/>
              </w:rPr>
              <w:t>2</w:t>
            </w:r>
            <w:r>
              <w:rPr>
                <w:rStyle w:val="IndexLink"/>
                <w:rtl w:val="true"/>
              </w:rPr>
              <w:t xml:space="preserve">. </w:t>
            </w:r>
            <w:r>
              <w:rPr>
                <w:rStyle w:val="IndexLink"/>
                <w:rtl w:val="true"/>
              </w:rPr>
              <w:t>بلوغ حُلُم</w:t>
            </w:r>
            <w:r>
              <w:rPr>
                <w:rStyle w:val="IndexLink"/>
                <w:rtl w:val="true"/>
              </w:rPr>
              <w:tab/>
            </w:r>
            <w:r>
              <w:rPr>
                <w:rStyle w:val="IndexLink"/>
              </w:rPr>
              <w:t>59</w:t>
            </w:r>
          </w:hyperlink>
        </w:p>
        <w:p>
          <w:pPr>
            <w:pStyle w:val="Contents4"/>
            <w:tabs>
              <w:tab w:val="clear" w:pos="8176"/>
              <w:tab w:val="right" w:pos="9026" w:leader="dot"/>
            </w:tabs>
            <w:rPr/>
          </w:pPr>
          <w:hyperlink w:anchor="__RefHeading___Toc188942_237004111">
            <w:r>
              <w:rPr>
                <w:webHidden/>
                <w:rStyle w:val="IndexLink"/>
              </w:rPr>
              <w:t>3</w:t>
            </w:r>
            <w:r>
              <w:rPr>
                <w:rStyle w:val="IndexLink"/>
                <w:rtl w:val="true"/>
              </w:rPr>
              <w:t xml:space="preserve">. </w:t>
            </w:r>
            <w:r>
              <w:rPr>
                <w:rStyle w:val="IndexLink"/>
                <w:rtl w:val="true"/>
              </w:rPr>
              <w:t>بلوغ اشُدّ</w:t>
            </w:r>
            <w:r>
              <w:rPr>
                <w:rStyle w:val="IndexLink"/>
                <w:rtl w:val="true"/>
              </w:rPr>
              <w:tab/>
            </w:r>
            <w:r>
              <w:rPr>
                <w:rStyle w:val="IndexLink"/>
              </w:rPr>
              <w:t>61</w:t>
            </w:r>
          </w:hyperlink>
        </w:p>
        <w:p>
          <w:pPr>
            <w:pStyle w:val="Contents4"/>
            <w:tabs>
              <w:tab w:val="clear" w:pos="8176"/>
              <w:tab w:val="right" w:pos="9026" w:leader="dot"/>
            </w:tabs>
            <w:rPr/>
          </w:pPr>
          <w:hyperlink w:anchor="__RefHeading___Toc188944_237004111">
            <w:r>
              <w:rPr>
                <w:webHidden/>
                <w:rStyle w:val="IndexLink"/>
                <w:rtl w:val="true"/>
              </w:rPr>
              <w:t>نتیجه</w:t>
            </w:r>
            <w:r>
              <w:rPr>
                <w:rStyle w:val="IndexLink"/>
                <w:rtl w:val="true"/>
              </w:rPr>
              <w:tab/>
            </w:r>
            <w:r>
              <w:rPr>
                <w:rStyle w:val="IndexLink"/>
              </w:rPr>
              <w:t>63</w:t>
            </w:r>
          </w:hyperlink>
        </w:p>
        <w:p>
          <w:pPr>
            <w:pStyle w:val="Contents3"/>
            <w:tabs>
              <w:tab w:val="clear" w:pos="8459"/>
              <w:tab w:val="right" w:pos="9026" w:leader="dot"/>
            </w:tabs>
            <w:rPr/>
          </w:pPr>
          <w:hyperlink w:anchor="__RefHeading___Toc188946_237004111">
            <w:r>
              <w:rPr>
                <w:webHidden/>
                <w:rStyle w:val="IndexLink"/>
                <w:rtl w:val="true"/>
              </w:rPr>
              <w:t>گفتار پنجم</w:t>
            </w:r>
            <w:r>
              <w:rPr>
                <w:rStyle w:val="IndexLink"/>
                <w:rtl w:val="true"/>
              </w:rPr>
              <w:t xml:space="preserve">: </w:t>
            </w:r>
            <w:r>
              <w:rPr>
                <w:rStyle w:val="IndexLink"/>
                <w:rtl w:val="true"/>
              </w:rPr>
              <w:t>تنبیهات</w:t>
            </w:r>
            <w:r>
              <w:rPr>
                <w:rStyle w:val="IndexLink"/>
                <w:rtl w:val="true"/>
              </w:rPr>
              <w:tab/>
            </w:r>
            <w:r>
              <w:rPr>
                <w:rStyle w:val="IndexLink"/>
              </w:rPr>
              <w:t>64</w:t>
            </w:r>
          </w:hyperlink>
        </w:p>
        <w:p>
          <w:pPr>
            <w:pStyle w:val="Contents3"/>
            <w:tabs>
              <w:tab w:val="clear" w:pos="8459"/>
              <w:tab w:val="right" w:pos="9026" w:leader="dot"/>
            </w:tabs>
            <w:rPr/>
          </w:pPr>
          <w:hyperlink w:anchor="__RefHeading___Toc188948_237004111">
            <w:r>
              <w:rPr>
                <w:webHidden/>
                <w:rStyle w:val="IndexLink"/>
                <w:rtl w:val="true"/>
              </w:rPr>
              <w:t>تنبیه اول</w:t>
            </w:r>
            <w:r>
              <w:rPr>
                <w:rStyle w:val="IndexLink"/>
                <w:rtl w:val="true"/>
              </w:rPr>
              <w:t xml:space="preserve">: </w:t>
            </w:r>
            <w:r>
              <w:rPr>
                <w:rStyle w:val="IndexLink"/>
                <w:rtl w:val="true"/>
              </w:rPr>
              <w:t>تعابیر فقها از بلوغ</w:t>
            </w:r>
            <w:r>
              <w:rPr>
                <w:rStyle w:val="IndexLink"/>
                <w:rtl w:val="true"/>
              </w:rPr>
              <w:tab/>
            </w:r>
            <w:r>
              <w:rPr>
                <w:rStyle w:val="IndexLink"/>
              </w:rPr>
              <w:t>64</w:t>
            </w:r>
          </w:hyperlink>
        </w:p>
        <w:p>
          <w:pPr>
            <w:pStyle w:val="Contents3"/>
            <w:tabs>
              <w:tab w:val="clear" w:pos="8459"/>
              <w:tab w:val="right" w:pos="9026" w:leader="dot"/>
            </w:tabs>
            <w:rPr/>
          </w:pPr>
          <w:hyperlink w:anchor="__RefHeading___Toc188950_237004111">
            <w:r>
              <w:rPr>
                <w:webHidden/>
                <w:rStyle w:val="IndexLink"/>
                <w:rtl w:val="true"/>
              </w:rPr>
              <w:t>تنبیه دوم</w:t>
            </w:r>
            <w:r>
              <w:rPr>
                <w:rStyle w:val="IndexLink"/>
                <w:rtl w:val="true"/>
              </w:rPr>
              <w:t xml:space="preserve">: </w:t>
            </w:r>
            <w:r>
              <w:rPr>
                <w:rStyle w:val="IndexLink"/>
                <w:rtl w:val="true"/>
              </w:rPr>
              <w:t>طریقت یا موضوعیت امارات بلوغ</w:t>
            </w:r>
            <w:r>
              <w:rPr>
                <w:rStyle w:val="IndexLink"/>
                <w:rtl w:val="true"/>
              </w:rPr>
              <w:tab/>
            </w:r>
            <w:r>
              <w:rPr>
                <w:rStyle w:val="IndexLink"/>
              </w:rPr>
              <w:t>67</w:t>
            </w:r>
          </w:hyperlink>
        </w:p>
        <w:p>
          <w:pPr>
            <w:pStyle w:val="Contents3"/>
            <w:tabs>
              <w:tab w:val="clear" w:pos="8459"/>
              <w:tab w:val="right" w:pos="9026" w:leader="dot"/>
            </w:tabs>
            <w:rPr/>
          </w:pPr>
          <w:hyperlink w:anchor="__RefHeading___Toc188952_237004111">
            <w:r>
              <w:rPr>
                <w:webHidden/>
                <w:rStyle w:val="IndexLink"/>
                <w:rtl w:val="true"/>
              </w:rPr>
              <w:t>تنبیه سوم</w:t>
            </w:r>
            <w:r>
              <w:rPr>
                <w:rStyle w:val="IndexLink"/>
                <w:rtl w:val="true"/>
              </w:rPr>
              <w:t xml:space="preserve">: </w:t>
            </w:r>
            <w:r>
              <w:rPr>
                <w:rStyle w:val="IndexLink"/>
                <w:rtl w:val="true"/>
              </w:rPr>
              <w:t>عمومیت معنای لفظ صبی</w:t>
            </w:r>
            <w:r>
              <w:rPr>
                <w:rStyle w:val="IndexLink"/>
                <w:rtl w:val="true"/>
              </w:rPr>
              <w:tab/>
            </w:r>
            <w:r>
              <w:rPr>
                <w:rStyle w:val="IndexLink"/>
              </w:rPr>
              <w:t>69</w:t>
            </w:r>
          </w:hyperlink>
        </w:p>
        <w:p>
          <w:pPr>
            <w:pStyle w:val="Contents3"/>
            <w:tabs>
              <w:tab w:val="clear" w:pos="8459"/>
              <w:tab w:val="right" w:pos="9026" w:leader="dot"/>
            </w:tabs>
            <w:rPr/>
          </w:pPr>
          <w:hyperlink w:anchor="__RefHeading___Toc188954_237004111">
            <w:r>
              <w:rPr>
                <w:webHidden/>
                <w:rStyle w:val="IndexLink"/>
                <w:rtl w:val="true"/>
              </w:rPr>
              <w:t>تنبیه چهارم</w:t>
            </w:r>
            <w:r>
              <w:rPr>
                <w:rStyle w:val="IndexLink"/>
                <w:rtl w:val="true"/>
              </w:rPr>
              <w:t xml:space="preserve">: </w:t>
            </w:r>
            <w:r>
              <w:rPr>
                <w:rStyle w:val="IndexLink"/>
                <w:rtl w:val="true"/>
              </w:rPr>
              <w:t>فرق بین احکام شرعی از حیث موضوع</w:t>
            </w:r>
            <w:r>
              <w:rPr>
                <w:rStyle w:val="IndexLink"/>
                <w:rtl w:val="true"/>
              </w:rPr>
              <w:tab/>
            </w:r>
            <w:r>
              <w:rPr>
                <w:rStyle w:val="IndexLink"/>
              </w:rPr>
              <w:t>70</w:t>
            </w:r>
          </w:hyperlink>
        </w:p>
        <w:p>
          <w:pPr>
            <w:pStyle w:val="Contents3"/>
            <w:tabs>
              <w:tab w:val="clear" w:pos="8459"/>
              <w:tab w:val="right" w:pos="9026" w:leader="dot"/>
            </w:tabs>
            <w:rPr/>
          </w:pPr>
          <w:hyperlink w:anchor="__RefHeading___Toc188956_237004111">
            <w:r>
              <w:rPr>
                <w:webHidden/>
                <w:rStyle w:val="IndexLink"/>
                <w:rtl w:val="true"/>
              </w:rPr>
              <w:t>تنبیه پنجم</w:t>
            </w:r>
            <w:r>
              <w:rPr>
                <w:rStyle w:val="IndexLink"/>
                <w:rtl w:val="true"/>
              </w:rPr>
              <w:t xml:space="preserve">: </w:t>
            </w:r>
            <w:r>
              <w:rPr>
                <w:rStyle w:val="IndexLink"/>
                <w:rtl w:val="true"/>
              </w:rPr>
              <w:t>تأسیس اصل در مسئله</w:t>
            </w:r>
            <w:r>
              <w:rPr>
                <w:rStyle w:val="IndexLink"/>
                <w:rtl w:val="true"/>
              </w:rPr>
              <w:tab/>
            </w:r>
            <w:r>
              <w:rPr>
                <w:rStyle w:val="IndexLink"/>
              </w:rPr>
              <w:t>72</w:t>
            </w:r>
          </w:hyperlink>
        </w:p>
        <w:p>
          <w:pPr>
            <w:pStyle w:val="Contents2"/>
            <w:tabs>
              <w:tab w:val="clear" w:pos="8743"/>
              <w:tab w:val="right" w:pos="9026" w:leader="dot"/>
            </w:tabs>
            <w:rPr/>
          </w:pPr>
          <w:hyperlink w:anchor="__RefHeading___Toc188958_237004111">
            <w:r>
              <w:rPr>
                <w:webHidden/>
                <w:rStyle w:val="IndexLink"/>
                <w:rtl w:val="true"/>
              </w:rPr>
              <w:t>بخش دوم</w:t>
            </w:r>
            <w:r>
              <w:rPr>
                <w:rStyle w:val="IndexLink"/>
                <w:rtl w:val="true"/>
              </w:rPr>
              <w:t xml:space="preserve">: </w:t>
            </w:r>
            <w:r>
              <w:rPr>
                <w:rStyle w:val="IndexLink"/>
                <w:rtl w:val="true"/>
              </w:rPr>
              <w:t>اهمّ نشانه های طبیعی</w:t>
            </w:r>
            <w:r>
              <w:rPr>
                <w:rStyle w:val="IndexLink"/>
                <w:rtl w:val="true"/>
              </w:rPr>
              <w:tab/>
            </w:r>
            <w:r>
              <w:rPr>
                <w:rStyle w:val="IndexLink"/>
              </w:rPr>
              <w:t>74</w:t>
            </w:r>
          </w:hyperlink>
        </w:p>
        <w:p>
          <w:pPr>
            <w:pStyle w:val="Contents3"/>
            <w:tabs>
              <w:tab w:val="clear" w:pos="8459"/>
              <w:tab w:val="right" w:pos="9026" w:leader="dot"/>
            </w:tabs>
            <w:rPr/>
          </w:pPr>
          <w:hyperlink w:anchor="__RefHeading___Toc188960_237004111">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88962_237004111">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188964_237004111">
            <w:r>
              <w:rPr>
                <w:webHidden/>
                <w:rStyle w:val="IndexLink"/>
                <w:rtl w:val="true"/>
              </w:rPr>
              <w:t>نشانه های طبیعی</w:t>
            </w:r>
            <w:r>
              <w:rPr>
                <w:rStyle w:val="IndexLink"/>
                <w:rtl w:val="true"/>
              </w:rPr>
              <w:tab/>
            </w:r>
            <w:r>
              <w:rPr>
                <w:rStyle w:val="IndexLink"/>
              </w:rPr>
              <w:t>75</w:t>
            </w:r>
          </w:hyperlink>
        </w:p>
        <w:p>
          <w:pPr>
            <w:pStyle w:val="Contents4"/>
            <w:tabs>
              <w:tab w:val="clear" w:pos="8176"/>
              <w:tab w:val="right" w:pos="9026" w:leader="dot"/>
            </w:tabs>
            <w:rPr/>
          </w:pPr>
          <w:hyperlink w:anchor="__RefHeading___Toc188966_237004111">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88968_237004111">
            <w:r>
              <w:rPr>
                <w:webHidden/>
                <w:rStyle w:val="IndexLink"/>
                <w:rtl w:val="true"/>
              </w:rPr>
              <w:t>الف</w:t>
            </w:r>
            <w:r>
              <w:rPr>
                <w:rStyle w:val="IndexLink"/>
                <w:rtl w:val="true"/>
              </w:rPr>
              <w:t xml:space="preserve">) </w:t>
            </w:r>
            <w:r>
              <w:rPr>
                <w:rStyle w:val="IndexLink"/>
                <w:rtl w:val="true"/>
              </w:rPr>
              <w:t>نشانه های مشترک</w:t>
            </w:r>
            <w:r>
              <w:rPr>
                <w:rStyle w:val="IndexLink"/>
                <w:rtl w:val="true"/>
              </w:rPr>
              <w:tab/>
            </w:r>
            <w:r>
              <w:rPr>
                <w:rStyle w:val="IndexLink"/>
              </w:rPr>
              <w:t>77</w:t>
            </w:r>
          </w:hyperlink>
        </w:p>
        <w:p>
          <w:pPr>
            <w:pStyle w:val="Contents4"/>
            <w:tabs>
              <w:tab w:val="clear" w:pos="8176"/>
              <w:tab w:val="right" w:pos="9026" w:leader="dot"/>
            </w:tabs>
            <w:rPr/>
          </w:pPr>
          <w:hyperlink w:anchor="__RefHeading___Toc188970_237004111">
            <w:r>
              <w:rPr>
                <w:webHidden/>
                <w:rStyle w:val="IndexLink"/>
                <w:rtl w:val="true"/>
              </w:rPr>
              <w:t>ب</w:t>
            </w:r>
            <w:r>
              <w:rPr>
                <w:rStyle w:val="IndexLink"/>
                <w:rtl w:val="true"/>
              </w:rPr>
              <w:t xml:space="preserve">). </w:t>
            </w:r>
            <w:r>
              <w:rPr>
                <w:rStyle w:val="IndexLink"/>
                <w:rtl w:val="true"/>
              </w:rPr>
              <w:t>نشانه های اختصاصی</w:t>
            </w:r>
            <w:r>
              <w:rPr>
                <w:rStyle w:val="IndexLink"/>
                <w:rtl w:val="true"/>
              </w:rPr>
              <w:tab/>
            </w:r>
            <w:r>
              <w:rPr>
                <w:rStyle w:val="IndexLink"/>
              </w:rPr>
              <w:t>80</w:t>
            </w:r>
          </w:hyperlink>
        </w:p>
        <w:p>
          <w:pPr>
            <w:pStyle w:val="Contents3"/>
            <w:tabs>
              <w:tab w:val="clear" w:pos="8459"/>
              <w:tab w:val="right" w:pos="9026" w:leader="dot"/>
            </w:tabs>
            <w:rPr/>
          </w:pPr>
          <w:hyperlink w:anchor="__RefHeading___Toc188972_237004111">
            <w:r>
              <w:rPr>
                <w:webHidden/>
                <w:rStyle w:val="IndexLink"/>
                <w:rtl w:val="true"/>
              </w:rPr>
              <w:t>فصل اول</w:t>
            </w:r>
            <w:r>
              <w:rPr>
                <w:rStyle w:val="IndexLink"/>
                <w:rtl w:val="true"/>
              </w:rPr>
              <w:t xml:space="preserve">: </w:t>
            </w:r>
            <w:r>
              <w:rPr>
                <w:rStyle w:val="IndexLink"/>
                <w:rtl w:val="true"/>
              </w:rPr>
              <w:t>رویش موی زبر در زیر شکم</w:t>
            </w:r>
            <w:r>
              <w:rPr>
                <w:rStyle w:val="IndexLink"/>
                <w:rtl w:val="true"/>
              </w:rPr>
              <w:tab/>
            </w:r>
            <w:r>
              <w:rPr>
                <w:rStyle w:val="IndexLink"/>
              </w:rPr>
              <w:t>82</w:t>
            </w:r>
          </w:hyperlink>
        </w:p>
        <w:p>
          <w:pPr>
            <w:pStyle w:val="Contents4"/>
            <w:tabs>
              <w:tab w:val="clear" w:pos="8176"/>
              <w:tab w:val="right" w:pos="9026" w:leader="dot"/>
            </w:tabs>
            <w:rPr/>
          </w:pPr>
          <w:hyperlink w:anchor="__RefHeading___Toc188974_237004111">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88976_237004111">
            <w:r>
              <w:rPr>
                <w:webHidden/>
                <w:rStyle w:val="IndexLink"/>
                <w:rtl w:val="true"/>
              </w:rPr>
              <w:t>مقدمه</w:t>
            </w:r>
            <w:r>
              <w:rPr>
                <w:rStyle w:val="IndexLink"/>
                <w:rtl w:val="true"/>
              </w:rPr>
              <w:tab/>
            </w:r>
            <w:r>
              <w:rPr>
                <w:rStyle w:val="IndexLink"/>
              </w:rPr>
              <w:t>83</w:t>
            </w:r>
          </w:hyperlink>
        </w:p>
        <w:p>
          <w:pPr>
            <w:pStyle w:val="Contents4"/>
            <w:tabs>
              <w:tab w:val="clear" w:pos="8176"/>
              <w:tab w:val="right" w:pos="9026" w:leader="dot"/>
            </w:tabs>
            <w:rPr/>
          </w:pPr>
          <w:hyperlink w:anchor="__RefHeading___Toc188978_237004111">
            <w:r>
              <w:rPr>
                <w:webHidden/>
                <w:rStyle w:val="IndexLink"/>
                <w:rtl w:val="true"/>
              </w:rPr>
              <w:t>گفتار اول</w:t>
            </w:r>
            <w:r>
              <w:rPr>
                <w:rStyle w:val="IndexLink"/>
                <w:rtl w:val="true"/>
              </w:rPr>
              <w:t xml:space="preserve">: </w:t>
            </w:r>
            <w:r>
              <w:rPr>
                <w:rStyle w:val="IndexLink"/>
                <w:rtl w:val="true"/>
              </w:rPr>
              <w:t>ادلۀ اثبات تکلیف بر دختران با رویش موی زهاری</w:t>
            </w:r>
            <w:r>
              <w:rPr>
                <w:rStyle w:val="IndexLink"/>
                <w:rtl w:val="true"/>
              </w:rPr>
              <w:tab/>
            </w:r>
            <w:r>
              <w:rPr>
                <w:rStyle w:val="IndexLink"/>
              </w:rPr>
              <w:t>85</w:t>
            </w:r>
          </w:hyperlink>
        </w:p>
        <w:p>
          <w:pPr>
            <w:pStyle w:val="Contents5"/>
            <w:tabs>
              <w:tab w:val="clear" w:pos="7892"/>
              <w:tab w:val="right" w:pos="9026" w:leader="dot"/>
            </w:tabs>
            <w:rPr/>
          </w:pPr>
          <w:hyperlink w:anchor="__RefHeading___Toc188980_237004111">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88982_237004111">
            <w:r>
              <w:rPr>
                <w:webHidden/>
                <w:rStyle w:val="IndexLink"/>
                <w:rtl w:val="true"/>
              </w:rPr>
              <w:t>دلیل اول</w:t>
            </w:r>
            <w:r>
              <w:rPr>
                <w:rStyle w:val="IndexLink"/>
                <w:rtl w:val="true"/>
              </w:rPr>
              <w:tab/>
            </w:r>
            <w:r>
              <w:rPr>
                <w:rStyle w:val="IndexLink"/>
              </w:rPr>
              <w:t>85</w:t>
            </w:r>
          </w:hyperlink>
        </w:p>
        <w:p>
          <w:pPr>
            <w:pStyle w:val="Contents6"/>
            <w:tabs>
              <w:tab w:val="clear" w:pos="7609"/>
              <w:tab w:val="right" w:pos="9026" w:leader="dot"/>
            </w:tabs>
            <w:rPr/>
          </w:pPr>
          <w:hyperlink w:anchor="__RefHeading___Toc188984_237004111">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88986_237004111">
            <w:r>
              <w:rPr>
                <w:webHidden/>
                <w:rStyle w:val="IndexLink"/>
                <w:rtl w:val="true"/>
              </w:rPr>
              <w:t>بررسی دلیل اول</w:t>
            </w:r>
            <w:r>
              <w:rPr>
                <w:rStyle w:val="IndexLink"/>
                <w:rtl w:val="true"/>
              </w:rPr>
              <w:tab/>
            </w:r>
            <w:r>
              <w:rPr>
                <w:rStyle w:val="IndexLink"/>
              </w:rPr>
              <w:t>86</w:t>
            </w:r>
          </w:hyperlink>
        </w:p>
        <w:p>
          <w:pPr>
            <w:pStyle w:val="Contents5"/>
            <w:tabs>
              <w:tab w:val="clear" w:pos="7892"/>
              <w:tab w:val="right" w:pos="9026" w:leader="dot"/>
            </w:tabs>
            <w:rPr/>
          </w:pPr>
          <w:hyperlink w:anchor="__RefHeading___Toc188988_237004111">
            <w:r>
              <w:rPr>
                <w:webHidden/>
                <w:rStyle w:val="IndexLink"/>
                <w:rtl w:val="true"/>
              </w:rPr>
              <w:t>دلیل دوم</w:t>
            </w:r>
            <w:r>
              <w:rPr>
                <w:rStyle w:val="IndexLink"/>
                <w:rtl w:val="true"/>
              </w:rPr>
              <w:tab/>
            </w:r>
            <w:r>
              <w:rPr>
                <w:rStyle w:val="IndexLink"/>
              </w:rPr>
              <w:t>87</w:t>
            </w:r>
          </w:hyperlink>
        </w:p>
        <w:p>
          <w:pPr>
            <w:pStyle w:val="Contents5"/>
            <w:tabs>
              <w:tab w:val="clear" w:pos="7892"/>
              <w:tab w:val="right" w:pos="9026" w:leader="dot"/>
            </w:tabs>
            <w:rPr/>
          </w:pPr>
          <w:hyperlink w:anchor="__RefHeading___Toc188990_237004111">
            <w:r>
              <w:rPr>
                <w:webHidden/>
                <w:rStyle w:val="IndexLink"/>
                <w:rtl w:val="true"/>
              </w:rPr>
              <w:t>دلیل سوم</w:t>
            </w:r>
            <w:r>
              <w:rPr>
                <w:rStyle w:val="IndexLink"/>
                <w:rtl w:val="true"/>
              </w:rPr>
              <w:tab/>
            </w:r>
            <w:r>
              <w:rPr>
                <w:rStyle w:val="IndexLink"/>
              </w:rPr>
              <w:t>87</w:t>
            </w:r>
          </w:hyperlink>
        </w:p>
        <w:p>
          <w:pPr>
            <w:pStyle w:val="Contents5"/>
            <w:tabs>
              <w:tab w:val="clear" w:pos="7892"/>
              <w:tab w:val="right" w:pos="9026" w:leader="dot"/>
            </w:tabs>
            <w:rPr/>
          </w:pPr>
          <w:hyperlink w:anchor="__RefHeading___Toc188992_237004111">
            <w:r>
              <w:rPr>
                <w:webHidden/>
                <w:rStyle w:val="IndexLink"/>
                <w:rtl w:val="true"/>
              </w:rPr>
              <w:t>نتیجه</w:t>
            </w:r>
            <w:r>
              <w:rPr>
                <w:rStyle w:val="IndexLink"/>
                <w:rtl w:val="true"/>
              </w:rPr>
              <w:tab/>
            </w:r>
            <w:r>
              <w:rPr>
                <w:rStyle w:val="IndexLink"/>
              </w:rPr>
              <w:t>95</w:t>
            </w:r>
          </w:hyperlink>
        </w:p>
        <w:p>
          <w:pPr>
            <w:pStyle w:val="Contents4"/>
            <w:tabs>
              <w:tab w:val="clear" w:pos="8176"/>
              <w:tab w:val="right" w:pos="9026" w:leader="dot"/>
            </w:tabs>
            <w:rPr/>
          </w:pPr>
          <w:hyperlink w:anchor="__RefHeading___Toc188994_237004111">
            <w:r>
              <w:rPr>
                <w:webHidden/>
                <w:rStyle w:val="IndexLink"/>
                <w:rtl w:val="true"/>
              </w:rPr>
              <w:t>گفتار دوم</w:t>
            </w:r>
            <w:r>
              <w:rPr>
                <w:rStyle w:val="IndexLink"/>
                <w:rtl w:val="true"/>
              </w:rPr>
              <w:t xml:space="preserve">: </w:t>
            </w:r>
            <w:r>
              <w:rPr>
                <w:rStyle w:val="IndexLink"/>
                <w:rtl w:val="true"/>
              </w:rPr>
              <w:t>شمول این علامت نسبت به دختران</w:t>
            </w:r>
            <w:r>
              <w:rPr>
                <w:rStyle w:val="IndexLink"/>
                <w:rtl w:val="true"/>
              </w:rPr>
              <w:tab/>
            </w:r>
            <w:r>
              <w:rPr>
                <w:rStyle w:val="IndexLink"/>
              </w:rPr>
              <w:t>97</w:t>
            </w:r>
          </w:hyperlink>
        </w:p>
        <w:p>
          <w:pPr>
            <w:pStyle w:val="Contents5"/>
            <w:tabs>
              <w:tab w:val="clear" w:pos="7892"/>
              <w:tab w:val="right" w:pos="9026" w:leader="dot"/>
            </w:tabs>
            <w:rPr/>
          </w:pPr>
          <w:hyperlink w:anchor="__RefHeading___Toc188996_237004111">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88998_237004111">
            <w:r>
              <w:rPr>
                <w:webHidden/>
                <w:rStyle w:val="IndexLink"/>
                <w:rtl w:val="true"/>
              </w:rPr>
              <w:t>دلیل اول</w:t>
            </w:r>
            <w:r>
              <w:rPr>
                <w:rStyle w:val="IndexLink"/>
                <w:rtl w:val="true"/>
              </w:rPr>
              <w:tab/>
            </w:r>
            <w:r>
              <w:rPr>
                <w:rStyle w:val="IndexLink"/>
              </w:rPr>
              <w:t>97</w:t>
            </w:r>
          </w:hyperlink>
        </w:p>
        <w:p>
          <w:pPr>
            <w:pStyle w:val="Contents6"/>
            <w:tabs>
              <w:tab w:val="clear" w:pos="7609"/>
              <w:tab w:val="right" w:pos="9026" w:leader="dot"/>
            </w:tabs>
            <w:rPr/>
          </w:pPr>
          <w:hyperlink w:anchor="__RefHeading___Toc189000_237004111">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189002_237004111">
            <w:r>
              <w:rPr>
                <w:webHidden/>
                <w:rStyle w:val="IndexLink"/>
                <w:rtl w:val="true"/>
              </w:rPr>
              <w:t>بررسی دلیل اول</w:t>
            </w:r>
            <w:r>
              <w:rPr>
                <w:rStyle w:val="IndexLink"/>
                <w:rtl w:val="true"/>
              </w:rPr>
              <w:tab/>
            </w:r>
            <w:r>
              <w:rPr>
                <w:rStyle w:val="IndexLink"/>
              </w:rPr>
              <w:t>98</w:t>
            </w:r>
          </w:hyperlink>
        </w:p>
        <w:p>
          <w:pPr>
            <w:pStyle w:val="Contents5"/>
            <w:tabs>
              <w:tab w:val="clear" w:pos="7892"/>
              <w:tab w:val="right" w:pos="9026" w:leader="dot"/>
            </w:tabs>
            <w:rPr/>
          </w:pPr>
          <w:hyperlink w:anchor="__RefHeading___Toc189004_237004111">
            <w:r>
              <w:rPr>
                <w:webHidden/>
                <w:rStyle w:val="IndexLink"/>
                <w:rtl w:val="true"/>
              </w:rPr>
              <w:t>دلیل دوم</w:t>
            </w:r>
            <w:r>
              <w:rPr>
                <w:rStyle w:val="IndexLink"/>
                <w:rtl w:val="true"/>
              </w:rPr>
              <w:tab/>
            </w:r>
            <w:r>
              <w:rPr>
                <w:rStyle w:val="IndexLink"/>
              </w:rPr>
              <w:t>98</w:t>
            </w:r>
          </w:hyperlink>
        </w:p>
        <w:p>
          <w:pPr>
            <w:pStyle w:val="Contents5"/>
            <w:tabs>
              <w:tab w:val="clear" w:pos="7892"/>
              <w:tab w:val="right" w:pos="9026" w:leader="dot"/>
            </w:tabs>
            <w:rPr/>
          </w:pPr>
          <w:hyperlink w:anchor="__RefHeading___Toc189006_237004111">
            <w:r>
              <w:rPr>
                <w:webHidden/>
                <w:rStyle w:val="IndexLink"/>
                <w:rtl w:val="true"/>
              </w:rPr>
              <w:t>دلیل سوم</w:t>
            </w:r>
            <w:r>
              <w:rPr>
                <w:rStyle w:val="IndexLink"/>
                <w:rtl w:val="true"/>
              </w:rPr>
              <w:tab/>
            </w:r>
            <w:r>
              <w:rPr>
                <w:rStyle w:val="IndexLink"/>
              </w:rPr>
              <w:t>98</w:t>
            </w:r>
          </w:hyperlink>
        </w:p>
        <w:p>
          <w:pPr>
            <w:pStyle w:val="Contents6"/>
            <w:tabs>
              <w:tab w:val="clear" w:pos="7609"/>
              <w:tab w:val="right" w:pos="9026" w:leader="dot"/>
            </w:tabs>
            <w:rPr/>
          </w:pPr>
          <w:hyperlink w:anchor="__RefHeading___Toc189008_237004111">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89010_237004111">
            <w:r>
              <w:rPr>
                <w:webHidden/>
                <w:rStyle w:val="IndexLink"/>
                <w:rtl w:val="true"/>
              </w:rPr>
              <w:t>بررسی دلیل سوم</w:t>
            </w:r>
            <w:r>
              <w:rPr>
                <w:rStyle w:val="IndexLink"/>
                <w:rtl w:val="true"/>
              </w:rPr>
              <w:tab/>
            </w:r>
            <w:r>
              <w:rPr>
                <w:rStyle w:val="IndexLink"/>
              </w:rPr>
              <w:t>99</w:t>
            </w:r>
          </w:hyperlink>
        </w:p>
        <w:p>
          <w:pPr>
            <w:pStyle w:val="Contents5"/>
            <w:tabs>
              <w:tab w:val="clear" w:pos="7892"/>
              <w:tab w:val="right" w:pos="9026" w:leader="dot"/>
            </w:tabs>
            <w:rPr/>
          </w:pPr>
          <w:hyperlink w:anchor="__RefHeading___Toc189012_237004111">
            <w:r>
              <w:rPr>
                <w:webHidden/>
                <w:rStyle w:val="IndexLink"/>
                <w:rtl w:val="true"/>
              </w:rPr>
              <w:t>تنبیه</w:t>
            </w:r>
            <w:r>
              <w:rPr>
                <w:rStyle w:val="IndexLink"/>
                <w:rtl w:val="true"/>
              </w:rPr>
              <w:t xml:space="preserve">: </w:t>
            </w:r>
            <w:r>
              <w:rPr>
                <w:rStyle w:val="IndexLink"/>
                <w:rtl w:val="true"/>
              </w:rPr>
              <w:t>وجه اعتبار خشونت در موی زهاری</w:t>
            </w:r>
            <w:r>
              <w:rPr>
                <w:rStyle w:val="IndexLink"/>
                <w:rtl w:val="true"/>
              </w:rPr>
              <w:tab/>
            </w:r>
            <w:r>
              <w:rPr>
                <w:rStyle w:val="IndexLink"/>
              </w:rPr>
              <w:t>100</w:t>
            </w:r>
          </w:hyperlink>
        </w:p>
        <w:p>
          <w:pPr>
            <w:pStyle w:val="Contents4"/>
            <w:tabs>
              <w:tab w:val="clear" w:pos="8176"/>
              <w:tab w:val="right" w:pos="9026" w:leader="dot"/>
            </w:tabs>
            <w:rPr/>
          </w:pPr>
          <w:hyperlink w:anchor="__RefHeading___Toc189014_237004111">
            <w:r>
              <w:rPr>
                <w:webHidden/>
                <w:rStyle w:val="IndexLink"/>
                <w:rtl w:val="true"/>
              </w:rPr>
              <w:t>گفتار سوم</w:t>
            </w:r>
            <w:r>
              <w:rPr>
                <w:rStyle w:val="IndexLink"/>
                <w:rtl w:val="true"/>
              </w:rPr>
              <w:t xml:space="preserve">: </w:t>
            </w:r>
            <w:r>
              <w:rPr>
                <w:rStyle w:val="IndexLink"/>
                <w:rtl w:val="true"/>
              </w:rPr>
              <w:t>رویش موی زهاری؛</w:t>
            </w:r>
            <w:r>
              <w:rPr>
                <w:rStyle w:val="IndexLink"/>
                <w:rtl w:val="true"/>
              </w:rPr>
              <w:tab/>
            </w:r>
            <w:r>
              <w:rPr>
                <w:rStyle w:val="IndexLink"/>
              </w:rPr>
              <w:t>101</w:t>
            </w:r>
          </w:hyperlink>
        </w:p>
        <w:p>
          <w:pPr>
            <w:pStyle w:val="Contents5"/>
            <w:tabs>
              <w:tab w:val="clear" w:pos="7892"/>
              <w:tab w:val="right" w:pos="9026" w:leader="dot"/>
            </w:tabs>
            <w:rPr/>
          </w:pPr>
          <w:hyperlink w:anchor="__RefHeading___Toc189016_237004111">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89018_237004111">
            <w:r>
              <w:rPr>
                <w:webHidden/>
                <w:rStyle w:val="IndexLink"/>
                <w:rtl w:val="true"/>
              </w:rPr>
              <w:t>قول اول</w:t>
            </w:r>
            <w:r>
              <w:rPr>
                <w:rStyle w:val="IndexLink"/>
                <w:rtl w:val="true"/>
              </w:rPr>
              <w:tab/>
            </w:r>
            <w:r>
              <w:rPr>
                <w:rStyle w:val="IndexLink"/>
              </w:rPr>
              <w:t>102</w:t>
            </w:r>
          </w:hyperlink>
        </w:p>
        <w:p>
          <w:pPr>
            <w:pStyle w:val="Contents5"/>
            <w:tabs>
              <w:tab w:val="clear" w:pos="7892"/>
              <w:tab w:val="right" w:pos="9026" w:leader="dot"/>
            </w:tabs>
            <w:rPr/>
          </w:pPr>
          <w:hyperlink w:anchor="__RefHeading___Toc189020_237004111">
            <w:r>
              <w:rPr>
                <w:webHidden/>
                <w:rStyle w:val="IndexLink"/>
                <w:rtl w:val="true"/>
              </w:rPr>
              <w:t>قول دوم</w:t>
            </w:r>
            <w:r>
              <w:rPr>
                <w:rStyle w:val="IndexLink"/>
                <w:rtl w:val="true"/>
              </w:rPr>
              <w:tab/>
            </w:r>
            <w:r>
              <w:rPr>
                <w:rStyle w:val="IndexLink"/>
              </w:rPr>
              <w:t>104</w:t>
            </w:r>
          </w:hyperlink>
        </w:p>
        <w:p>
          <w:pPr>
            <w:pStyle w:val="Contents5"/>
            <w:tabs>
              <w:tab w:val="clear" w:pos="7892"/>
              <w:tab w:val="right" w:pos="9026" w:leader="dot"/>
            </w:tabs>
            <w:rPr/>
          </w:pPr>
          <w:hyperlink w:anchor="__RefHeading___Toc189022_237004111">
            <w:r>
              <w:rPr>
                <w:webHidden/>
                <w:rStyle w:val="IndexLink"/>
                <w:rtl w:val="true"/>
              </w:rPr>
              <w:t>نتیجه</w:t>
            </w:r>
            <w:r>
              <w:rPr>
                <w:rStyle w:val="IndexLink"/>
                <w:rtl w:val="true"/>
              </w:rPr>
              <w:tab/>
            </w:r>
            <w:r>
              <w:rPr>
                <w:rStyle w:val="IndexLink"/>
              </w:rPr>
              <w:t>106</w:t>
            </w:r>
          </w:hyperlink>
        </w:p>
        <w:p>
          <w:pPr>
            <w:pStyle w:val="Contents4"/>
            <w:tabs>
              <w:tab w:val="clear" w:pos="8176"/>
              <w:tab w:val="right" w:pos="9026" w:leader="dot"/>
            </w:tabs>
            <w:rPr/>
          </w:pPr>
          <w:hyperlink w:anchor="__RefHeading___Toc189024_237004111">
            <w:r>
              <w:rPr>
                <w:webHidden/>
                <w:rStyle w:val="IndexLink"/>
                <w:rtl w:val="true"/>
              </w:rPr>
              <w:t>گفتار چهارم</w:t>
            </w:r>
            <w:r>
              <w:rPr>
                <w:rStyle w:val="IndexLink"/>
                <w:rtl w:val="true"/>
              </w:rPr>
              <w:t xml:space="preserve">: </w:t>
            </w:r>
            <w:r>
              <w:rPr>
                <w:rStyle w:val="IndexLink"/>
                <w:rtl w:val="true"/>
              </w:rPr>
              <w:t>اختصاص رویش مو به عانه</w:t>
            </w:r>
            <w:r>
              <w:rPr>
                <w:rStyle w:val="IndexLink"/>
                <w:rtl w:val="true"/>
              </w:rPr>
              <w:tab/>
            </w:r>
            <w:r>
              <w:rPr>
                <w:rStyle w:val="IndexLink"/>
              </w:rPr>
              <w:t>107</w:t>
            </w:r>
          </w:hyperlink>
        </w:p>
        <w:p>
          <w:pPr>
            <w:pStyle w:val="Contents5"/>
            <w:tabs>
              <w:tab w:val="clear" w:pos="7892"/>
              <w:tab w:val="right" w:pos="9026" w:leader="dot"/>
            </w:tabs>
            <w:rPr/>
          </w:pPr>
          <w:hyperlink w:anchor="__RefHeading___Toc189026_237004111">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89028_237004111">
            <w:r>
              <w:rPr>
                <w:webHidden/>
                <w:rStyle w:val="IndexLink"/>
                <w:rtl w:val="true"/>
              </w:rPr>
              <w:t>ادلۀ اختصاص</w:t>
            </w:r>
            <w:r>
              <w:rPr>
                <w:rStyle w:val="IndexLink"/>
                <w:rtl w:val="true"/>
              </w:rPr>
              <w:tab/>
            </w:r>
            <w:r>
              <w:rPr>
                <w:rStyle w:val="IndexLink"/>
              </w:rPr>
              <w:t>108</w:t>
            </w:r>
          </w:hyperlink>
        </w:p>
        <w:p>
          <w:pPr>
            <w:pStyle w:val="Contents3"/>
            <w:tabs>
              <w:tab w:val="clear" w:pos="8459"/>
              <w:tab w:val="right" w:pos="9026" w:leader="dot"/>
            </w:tabs>
            <w:rPr/>
          </w:pPr>
          <w:hyperlink w:anchor="__RefHeading___Toc189030_237004111">
            <w:r>
              <w:rPr>
                <w:webHidden/>
                <w:rStyle w:val="IndexLink"/>
                <w:rtl w:val="true"/>
              </w:rPr>
              <w:t>فصل دوم</w:t>
            </w:r>
            <w:r>
              <w:rPr>
                <w:rStyle w:val="IndexLink"/>
                <w:rtl w:val="true"/>
              </w:rPr>
              <w:t xml:space="preserve">: </w:t>
            </w:r>
            <w:r>
              <w:rPr>
                <w:rStyle w:val="IndexLink"/>
                <w:rtl w:val="true"/>
              </w:rPr>
              <w:t xml:space="preserve">خروج منی </w:t>
            </w:r>
            <w:r>
              <w:rPr>
                <w:rStyle w:val="IndexLink"/>
                <w:rtl w:val="true"/>
              </w:rPr>
              <w:t>(</w:t>
            </w:r>
            <w:r>
              <w:rPr>
                <w:rStyle w:val="IndexLink"/>
                <w:rtl w:val="true"/>
              </w:rPr>
              <w:t>احتلام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189032_237004111">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89034_237004111">
            <w:r>
              <w:rPr>
                <w:webHidden/>
                <w:rStyle w:val="IndexLink"/>
                <w:rtl w:val="true"/>
              </w:rPr>
              <w:t>مقدمه</w:t>
            </w:r>
            <w:r>
              <w:rPr>
                <w:rStyle w:val="IndexLink"/>
                <w:rtl w:val="true"/>
              </w:rPr>
              <w:tab/>
            </w:r>
            <w:r>
              <w:rPr>
                <w:rStyle w:val="IndexLink"/>
              </w:rPr>
              <w:t>112</w:t>
            </w:r>
          </w:hyperlink>
        </w:p>
        <w:p>
          <w:pPr>
            <w:pStyle w:val="Contents4"/>
            <w:tabs>
              <w:tab w:val="clear" w:pos="8176"/>
              <w:tab w:val="right" w:pos="9026" w:leader="dot"/>
            </w:tabs>
            <w:rPr/>
          </w:pPr>
          <w:hyperlink w:anchor="__RefHeading___Toc189036_237004111">
            <w:r>
              <w:rPr>
                <w:webHidden/>
                <w:rStyle w:val="IndexLink"/>
                <w:rtl w:val="true"/>
              </w:rPr>
              <w:t>گفتار اول</w:t>
            </w:r>
            <w:r>
              <w:rPr>
                <w:rStyle w:val="IndexLink"/>
                <w:rtl w:val="true"/>
              </w:rPr>
              <w:t xml:space="preserve">: </w:t>
            </w:r>
            <w:r>
              <w:rPr>
                <w:rStyle w:val="IndexLink"/>
                <w:rtl w:val="true"/>
              </w:rPr>
              <w:t>نسبت احتلام و خروج منی</w:t>
            </w:r>
            <w:r>
              <w:rPr>
                <w:rStyle w:val="IndexLink"/>
                <w:rtl w:val="true"/>
              </w:rPr>
              <w:tab/>
            </w:r>
            <w:r>
              <w:rPr>
                <w:rStyle w:val="IndexLink"/>
              </w:rPr>
              <w:t>114</w:t>
            </w:r>
          </w:hyperlink>
        </w:p>
        <w:p>
          <w:pPr>
            <w:pStyle w:val="Contents4"/>
            <w:tabs>
              <w:tab w:val="clear" w:pos="8176"/>
              <w:tab w:val="right" w:pos="9026" w:leader="dot"/>
            </w:tabs>
            <w:rPr/>
          </w:pPr>
          <w:hyperlink w:anchor="__RefHeading___Toc189038_237004111">
            <w:r>
              <w:rPr>
                <w:webHidden/>
                <w:rStyle w:val="IndexLink"/>
                <w:rtl w:val="true"/>
              </w:rPr>
              <w:t>گفتار دوم</w:t>
            </w:r>
            <w:r>
              <w:rPr>
                <w:rStyle w:val="IndexLink"/>
                <w:rtl w:val="true"/>
              </w:rPr>
              <w:t xml:space="preserve">: </w:t>
            </w:r>
            <w:r>
              <w:rPr>
                <w:rStyle w:val="IndexLink"/>
                <w:rtl w:val="true"/>
              </w:rPr>
              <w:t>ادلۀ ثبوت تکلیف بر دختران با خروج منی</w:t>
            </w:r>
            <w:r>
              <w:rPr>
                <w:rStyle w:val="IndexLink"/>
                <w:rtl w:val="true"/>
              </w:rPr>
              <w:tab/>
            </w:r>
            <w:r>
              <w:rPr>
                <w:rStyle w:val="IndexLink"/>
              </w:rPr>
              <w:t>118</w:t>
            </w:r>
          </w:hyperlink>
        </w:p>
        <w:p>
          <w:pPr>
            <w:pStyle w:val="Contents5"/>
            <w:tabs>
              <w:tab w:val="clear" w:pos="7892"/>
              <w:tab w:val="right" w:pos="9026" w:leader="dot"/>
            </w:tabs>
            <w:rPr/>
          </w:pPr>
          <w:hyperlink w:anchor="__RefHeading___Toc189040_237004111">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89042_237004111">
            <w:r>
              <w:rPr>
                <w:webHidden/>
                <w:rStyle w:val="IndexLink"/>
                <w:rtl w:val="true"/>
              </w:rPr>
              <w:t>دلیل اول</w:t>
            </w:r>
            <w:r>
              <w:rPr>
                <w:rStyle w:val="IndexLink"/>
                <w:rtl w:val="true"/>
              </w:rPr>
              <w:tab/>
            </w:r>
            <w:r>
              <w:rPr>
                <w:rStyle w:val="IndexLink"/>
              </w:rPr>
              <w:t>119</w:t>
            </w:r>
          </w:hyperlink>
        </w:p>
        <w:p>
          <w:pPr>
            <w:pStyle w:val="Contents5"/>
            <w:tabs>
              <w:tab w:val="clear" w:pos="7892"/>
              <w:tab w:val="right" w:pos="9026" w:leader="dot"/>
            </w:tabs>
            <w:rPr/>
          </w:pPr>
          <w:hyperlink w:anchor="__RefHeading___Toc189044_237004111">
            <w:r>
              <w:rPr>
                <w:webHidden/>
                <w:rStyle w:val="IndexLink"/>
                <w:rtl w:val="true"/>
              </w:rPr>
              <w:t>دلیل دوم</w:t>
            </w:r>
            <w:r>
              <w:rPr>
                <w:rStyle w:val="IndexLink"/>
                <w:rtl w:val="true"/>
              </w:rPr>
              <w:tab/>
            </w:r>
            <w:r>
              <w:rPr>
                <w:rStyle w:val="IndexLink"/>
              </w:rPr>
              <w:t>120</w:t>
            </w:r>
          </w:hyperlink>
        </w:p>
        <w:p>
          <w:pPr>
            <w:pStyle w:val="Contents5"/>
            <w:tabs>
              <w:tab w:val="clear" w:pos="7892"/>
              <w:tab w:val="right" w:pos="9026" w:leader="dot"/>
            </w:tabs>
            <w:rPr/>
          </w:pPr>
          <w:hyperlink w:anchor="__RefHeading___Toc189046_237004111">
            <w:r>
              <w:rPr>
                <w:webHidden/>
                <w:rStyle w:val="IndexLink"/>
                <w:rtl w:val="true"/>
              </w:rPr>
              <w:t>دلیل سوم</w:t>
            </w:r>
            <w:r>
              <w:rPr>
                <w:rStyle w:val="IndexLink"/>
                <w:rtl w:val="true"/>
              </w:rPr>
              <w:tab/>
            </w:r>
            <w:r>
              <w:rPr>
                <w:rStyle w:val="IndexLink"/>
              </w:rPr>
              <w:t>121</w:t>
            </w:r>
          </w:hyperlink>
        </w:p>
        <w:p>
          <w:pPr>
            <w:pStyle w:val="Contents6"/>
            <w:tabs>
              <w:tab w:val="clear" w:pos="7609"/>
              <w:tab w:val="right" w:pos="9026" w:leader="dot"/>
            </w:tabs>
            <w:rPr/>
          </w:pPr>
          <w:hyperlink w:anchor="__RefHeading___Toc189048_237004111">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89050_237004111">
            <w:r>
              <w:rPr>
                <w:webHidden/>
                <w:rStyle w:val="IndexLink"/>
                <w:rtl w:val="true"/>
              </w:rPr>
              <w:t>کلام صاحب جواهر و بررسی آن</w:t>
            </w:r>
            <w:r>
              <w:rPr>
                <w:rStyle w:val="IndexLink"/>
                <w:rtl w:val="true"/>
              </w:rPr>
              <w:tab/>
            </w:r>
            <w:r>
              <w:rPr>
                <w:rStyle w:val="IndexLink"/>
              </w:rPr>
              <w:t>127</w:t>
            </w:r>
          </w:hyperlink>
        </w:p>
        <w:p>
          <w:pPr>
            <w:pStyle w:val="Contents6"/>
            <w:tabs>
              <w:tab w:val="clear" w:pos="7609"/>
              <w:tab w:val="right" w:pos="9026" w:leader="dot"/>
            </w:tabs>
            <w:rPr/>
          </w:pPr>
          <w:hyperlink w:anchor="__RefHeading___Toc189052_237004111">
            <w:r>
              <w:rPr>
                <w:webHidden/>
                <w:rStyle w:val="IndexLink"/>
                <w:rtl w:val="true"/>
              </w:rPr>
              <w:t>نتیجه</w:t>
            </w:r>
            <w:r>
              <w:rPr>
                <w:rStyle w:val="IndexLink"/>
                <w:rtl w:val="true"/>
              </w:rPr>
              <w:tab/>
            </w:r>
            <w:r>
              <w:rPr>
                <w:rStyle w:val="IndexLink"/>
              </w:rPr>
              <w:t>128</w:t>
            </w:r>
          </w:hyperlink>
        </w:p>
        <w:p>
          <w:pPr>
            <w:pStyle w:val="Contents5"/>
            <w:tabs>
              <w:tab w:val="clear" w:pos="7892"/>
              <w:tab w:val="right" w:pos="9026" w:leader="dot"/>
            </w:tabs>
            <w:rPr/>
          </w:pPr>
          <w:hyperlink w:anchor="__RefHeading___Toc189054_237004111">
            <w:r>
              <w:rPr>
                <w:webHidden/>
                <w:rStyle w:val="IndexLink"/>
                <w:rtl w:val="true"/>
              </w:rPr>
              <w:t>دلیل چهارم</w:t>
            </w:r>
            <w:r>
              <w:rPr>
                <w:rStyle w:val="IndexLink"/>
                <w:rtl w:val="true"/>
              </w:rPr>
              <w:tab/>
            </w:r>
            <w:r>
              <w:rPr>
                <w:rStyle w:val="IndexLink"/>
              </w:rPr>
              <w:t>129</w:t>
            </w:r>
          </w:hyperlink>
        </w:p>
        <w:p>
          <w:pPr>
            <w:pStyle w:val="Contents5"/>
            <w:tabs>
              <w:tab w:val="clear" w:pos="7892"/>
              <w:tab w:val="right" w:pos="9026" w:leader="dot"/>
            </w:tabs>
            <w:rPr/>
          </w:pPr>
          <w:hyperlink w:anchor="__RefHeading___Toc189056_237004111">
            <w:r>
              <w:rPr>
                <w:webHidden/>
                <w:rStyle w:val="IndexLink"/>
                <w:rtl w:val="true"/>
              </w:rPr>
              <w:t>دلیل پنجم</w:t>
            </w:r>
            <w:r>
              <w:rPr>
                <w:rStyle w:val="IndexLink"/>
                <w:rtl w:val="true"/>
              </w:rPr>
              <w:tab/>
            </w:r>
            <w:r>
              <w:rPr>
                <w:rStyle w:val="IndexLink"/>
              </w:rPr>
              <w:t>129</w:t>
            </w:r>
          </w:hyperlink>
        </w:p>
        <w:p>
          <w:pPr>
            <w:pStyle w:val="Contents4"/>
            <w:tabs>
              <w:tab w:val="clear" w:pos="8176"/>
              <w:tab w:val="right" w:pos="9026" w:leader="dot"/>
            </w:tabs>
            <w:rPr/>
          </w:pPr>
          <w:hyperlink w:anchor="__RefHeading___Toc189058_237004111">
            <w:r>
              <w:rPr>
                <w:webHidden/>
                <w:rStyle w:val="IndexLink"/>
                <w:rtl w:val="true"/>
              </w:rPr>
              <w:t>گفتار سوم</w:t>
            </w:r>
            <w:r>
              <w:rPr>
                <w:rStyle w:val="IndexLink"/>
                <w:rtl w:val="true"/>
              </w:rPr>
              <w:t xml:space="preserve">: </w:t>
            </w:r>
            <w:r>
              <w:rPr>
                <w:rStyle w:val="IndexLink"/>
                <w:rtl w:val="true"/>
              </w:rPr>
              <w:t>ادلۀ منکرین اماریت احتلام در دختران</w:t>
            </w:r>
            <w:r>
              <w:rPr>
                <w:rStyle w:val="IndexLink"/>
                <w:rtl w:val="true"/>
              </w:rPr>
              <w:tab/>
            </w:r>
            <w:r>
              <w:rPr>
                <w:rStyle w:val="IndexLink"/>
              </w:rPr>
              <w:t>131</w:t>
            </w:r>
          </w:hyperlink>
        </w:p>
        <w:p>
          <w:pPr>
            <w:pStyle w:val="Contents5"/>
            <w:tabs>
              <w:tab w:val="clear" w:pos="7892"/>
              <w:tab w:val="right" w:pos="9026" w:leader="dot"/>
            </w:tabs>
            <w:rPr/>
          </w:pPr>
          <w:hyperlink w:anchor="__RefHeading___Toc189060_237004111">
            <w:r>
              <w:rPr>
                <w:webHidden/>
                <w:rStyle w:val="IndexLink"/>
                <w:rtl w:val="true"/>
              </w:rPr>
              <w:t>دلیل اول</w:t>
            </w:r>
            <w:r>
              <w:rPr>
                <w:rStyle w:val="IndexLink"/>
                <w:rtl w:val="true"/>
              </w:rPr>
              <w:tab/>
            </w:r>
            <w:r>
              <w:rPr>
                <w:rStyle w:val="IndexLink"/>
              </w:rPr>
              <w:t>131</w:t>
            </w:r>
          </w:hyperlink>
        </w:p>
        <w:p>
          <w:pPr>
            <w:pStyle w:val="Contents6"/>
            <w:tabs>
              <w:tab w:val="clear" w:pos="7609"/>
              <w:tab w:val="right" w:pos="9026" w:leader="dot"/>
            </w:tabs>
            <w:rPr/>
          </w:pPr>
          <w:hyperlink w:anchor="__RefHeading___Toc189062_237004111">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89064_237004111">
            <w:r>
              <w:rPr>
                <w:webHidden/>
                <w:rStyle w:val="IndexLink"/>
                <w:rtl w:val="true"/>
              </w:rPr>
              <w:t>بررسی دلیل اول</w:t>
            </w:r>
            <w:r>
              <w:rPr>
                <w:rStyle w:val="IndexLink"/>
                <w:rtl w:val="true"/>
              </w:rPr>
              <w:tab/>
            </w:r>
            <w:r>
              <w:rPr>
                <w:rStyle w:val="IndexLink"/>
              </w:rPr>
              <w:t>131</w:t>
            </w:r>
          </w:hyperlink>
        </w:p>
        <w:p>
          <w:pPr>
            <w:pStyle w:val="Contents5"/>
            <w:tabs>
              <w:tab w:val="clear" w:pos="7892"/>
              <w:tab w:val="right" w:pos="9026" w:leader="dot"/>
            </w:tabs>
            <w:rPr/>
          </w:pPr>
          <w:hyperlink w:anchor="__RefHeading___Toc189066_237004111">
            <w:r>
              <w:rPr>
                <w:webHidden/>
                <w:rStyle w:val="IndexLink"/>
                <w:rtl w:val="true"/>
              </w:rPr>
              <w:t>دلیل دوم</w:t>
            </w:r>
            <w:r>
              <w:rPr>
                <w:rStyle w:val="IndexLink"/>
                <w:rtl w:val="true"/>
              </w:rPr>
              <w:tab/>
            </w:r>
            <w:r>
              <w:rPr>
                <w:rStyle w:val="IndexLink"/>
              </w:rPr>
              <w:t>132</w:t>
            </w:r>
          </w:hyperlink>
        </w:p>
        <w:p>
          <w:pPr>
            <w:pStyle w:val="Contents6"/>
            <w:tabs>
              <w:tab w:val="clear" w:pos="7609"/>
              <w:tab w:val="right" w:pos="9026" w:leader="dot"/>
            </w:tabs>
            <w:rPr/>
          </w:pPr>
          <w:hyperlink w:anchor="__RefHeading___Toc189068_237004111">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189070_237004111">
            <w:r>
              <w:rPr>
                <w:webHidden/>
                <w:rStyle w:val="IndexLink"/>
                <w:rtl w:val="true"/>
              </w:rPr>
              <w:t>بررسی دلیل دوم</w:t>
            </w:r>
            <w:r>
              <w:rPr>
                <w:rStyle w:val="IndexLink"/>
                <w:rtl w:val="true"/>
              </w:rPr>
              <w:tab/>
            </w:r>
            <w:r>
              <w:rPr>
                <w:rStyle w:val="IndexLink"/>
              </w:rPr>
              <w:t>132</w:t>
            </w:r>
          </w:hyperlink>
        </w:p>
        <w:p>
          <w:pPr>
            <w:pStyle w:val="Contents5"/>
            <w:tabs>
              <w:tab w:val="clear" w:pos="7892"/>
              <w:tab w:val="right" w:pos="9026" w:leader="dot"/>
            </w:tabs>
            <w:rPr/>
          </w:pPr>
          <w:hyperlink w:anchor="__RefHeading___Toc189072_237004111">
            <w:r>
              <w:rPr>
                <w:webHidden/>
                <w:rStyle w:val="IndexLink"/>
                <w:rtl w:val="true"/>
              </w:rPr>
              <w:t>دلیل سوم</w:t>
            </w:r>
            <w:r>
              <w:rPr>
                <w:rStyle w:val="IndexLink"/>
                <w:rtl w:val="true"/>
              </w:rPr>
              <w:tab/>
            </w:r>
            <w:r>
              <w:rPr>
                <w:rStyle w:val="IndexLink"/>
              </w:rPr>
              <w:t>133</w:t>
            </w:r>
          </w:hyperlink>
        </w:p>
        <w:p>
          <w:pPr>
            <w:pStyle w:val="Contents6"/>
            <w:tabs>
              <w:tab w:val="clear" w:pos="7609"/>
              <w:tab w:val="right" w:pos="9026" w:leader="dot"/>
            </w:tabs>
            <w:rPr/>
          </w:pPr>
          <w:hyperlink w:anchor="__RefHeading___Toc189074_237004111">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89076_237004111">
            <w:r>
              <w:rPr>
                <w:webHidden/>
                <w:rStyle w:val="IndexLink"/>
                <w:rtl w:val="true"/>
              </w:rPr>
              <w:t>بررسی دلیل سوم</w:t>
            </w:r>
            <w:r>
              <w:rPr>
                <w:rStyle w:val="IndexLink"/>
                <w:rtl w:val="true"/>
              </w:rPr>
              <w:tab/>
            </w:r>
            <w:r>
              <w:rPr>
                <w:rStyle w:val="IndexLink"/>
              </w:rPr>
              <w:t>133</w:t>
            </w:r>
          </w:hyperlink>
        </w:p>
        <w:p>
          <w:pPr>
            <w:pStyle w:val="Contents5"/>
            <w:tabs>
              <w:tab w:val="clear" w:pos="7892"/>
              <w:tab w:val="right" w:pos="9026" w:leader="dot"/>
            </w:tabs>
            <w:rPr/>
          </w:pPr>
          <w:hyperlink w:anchor="__RefHeading___Toc189078_237004111">
            <w:r>
              <w:rPr>
                <w:webHidden/>
                <w:rStyle w:val="IndexLink"/>
                <w:rtl w:val="true"/>
              </w:rPr>
              <w:t>دلیل چهارم</w:t>
            </w:r>
            <w:r>
              <w:rPr>
                <w:rStyle w:val="IndexLink"/>
                <w:rtl w:val="true"/>
              </w:rPr>
              <w:tab/>
            </w:r>
            <w:r>
              <w:rPr>
                <w:rStyle w:val="IndexLink"/>
              </w:rPr>
              <w:t>133</w:t>
            </w:r>
          </w:hyperlink>
        </w:p>
        <w:p>
          <w:pPr>
            <w:pStyle w:val="Contents6"/>
            <w:tabs>
              <w:tab w:val="clear" w:pos="7609"/>
              <w:tab w:val="right" w:pos="9026" w:leader="dot"/>
            </w:tabs>
            <w:rPr/>
          </w:pPr>
          <w:hyperlink w:anchor="__RefHeading___Toc189080_237004111">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89082_237004111">
            <w:r>
              <w:rPr>
                <w:webHidden/>
                <w:rStyle w:val="IndexLink"/>
                <w:rtl w:val="true"/>
              </w:rPr>
              <w:t>بررسی دلیل چهارم</w:t>
            </w:r>
            <w:r>
              <w:rPr>
                <w:rStyle w:val="IndexLink"/>
                <w:rtl w:val="true"/>
              </w:rPr>
              <w:tab/>
            </w:r>
            <w:r>
              <w:rPr>
                <w:rStyle w:val="IndexLink"/>
              </w:rPr>
              <w:t>134</w:t>
            </w:r>
          </w:hyperlink>
        </w:p>
        <w:p>
          <w:pPr>
            <w:pStyle w:val="Contents5"/>
            <w:tabs>
              <w:tab w:val="clear" w:pos="7892"/>
              <w:tab w:val="right" w:pos="9026" w:leader="dot"/>
            </w:tabs>
            <w:rPr/>
          </w:pPr>
          <w:hyperlink w:anchor="__RefHeading___Toc189084_237004111">
            <w:r>
              <w:rPr>
                <w:webHidden/>
                <w:rStyle w:val="IndexLink"/>
                <w:rtl w:val="true"/>
              </w:rPr>
              <w:t>دلیل پنجم</w:t>
            </w:r>
            <w:r>
              <w:rPr>
                <w:rStyle w:val="IndexLink"/>
                <w:rtl w:val="true"/>
              </w:rPr>
              <w:tab/>
            </w:r>
            <w:r>
              <w:rPr>
                <w:rStyle w:val="IndexLink"/>
              </w:rPr>
              <w:t>135</w:t>
            </w:r>
          </w:hyperlink>
        </w:p>
        <w:p>
          <w:pPr>
            <w:pStyle w:val="Contents6"/>
            <w:tabs>
              <w:tab w:val="clear" w:pos="7609"/>
              <w:tab w:val="right" w:pos="9026" w:leader="dot"/>
            </w:tabs>
            <w:rPr/>
          </w:pPr>
          <w:hyperlink w:anchor="__RefHeading___Toc189086_237004111">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89088_237004111">
            <w:r>
              <w:rPr>
                <w:webHidden/>
                <w:rStyle w:val="IndexLink"/>
                <w:rtl w:val="true"/>
              </w:rPr>
              <w:t>بررسی دلیل پنجم</w:t>
            </w:r>
            <w:r>
              <w:rPr>
                <w:rStyle w:val="IndexLink"/>
                <w:rtl w:val="true"/>
              </w:rPr>
              <w:tab/>
            </w:r>
            <w:r>
              <w:rPr>
                <w:rStyle w:val="IndexLink"/>
              </w:rPr>
              <w:t>136</w:t>
            </w:r>
          </w:hyperlink>
        </w:p>
        <w:p>
          <w:pPr>
            <w:pStyle w:val="Contents5"/>
            <w:tabs>
              <w:tab w:val="clear" w:pos="7892"/>
              <w:tab w:val="right" w:pos="9026" w:leader="dot"/>
            </w:tabs>
            <w:rPr/>
          </w:pPr>
          <w:hyperlink w:anchor="__RefHeading___Toc189090_237004111">
            <w:r>
              <w:rPr>
                <w:webHidden/>
                <w:rStyle w:val="IndexLink"/>
                <w:rtl w:val="true"/>
              </w:rPr>
              <w:t>نتیجه</w:t>
            </w:r>
            <w:r>
              <w:rPr>
                <w:rStyle w:val="IndexLink"/>
                <w:rtl w:val="true"/>
              </w:rPr>
              <w:tab/>
            </w:r>
            <w:r>
              <w:rPr>
                <w:rStyle w:val="IndexLink"/>
              </w:rPr>
              <w:t>137</w:t>
            </w:r>
          </w:hyperlink>
        </w:p>
        <w:p>
          <w:pPr>
            <w:pStyle w:val="Contents4"/>
            <w:tabs>
              <w:tab w:val="clear" w:pos="8176"/>
              <w:tab w:val="right" w:pos="9026" w:leader="dot"/>
            </w:tabs>
            <w:rPr/>
          </w:pPr>
          <w:hyperlink w:anchor="__RefHeading___Toc189092_237004111">
            <w:r>
              <w:rPr>
                <w:webHidden/>
                <w:rStyle w:val="IndexLink"/>
                <w:rtl w:val="true"/>
              </w:rPr>
              <w:t>گفتار چهارم</w:t>
            </w:r>
            <w:r>
              <w:rPr>
                <w:rStyle w:val="IndexLink"/>
                <w:rtl w:val="true"/>
              </w:rPr>
              <w:t xml:space="preserve">: </w:t>
            </w:r>
            <w:r>
              <w:rPr>
                <w:rStyle w:val="IndexLink"/>
                <w:rtl w:val="true"/>
              </w:rPr>
              <w:t>خصوصیات و شرایط اماریت خروج منی</w:t>
            </w:r>
            <w:r>
              <w:rPr>
                <w:rStyle w:val="IndexLink"/>
                <w:rtl w:val="true"/>
              </w:rPr>
              <w:tab/>
            </w:r>
            <w:r>
              <w:rPr>
                <w:rStyle w:val="IndexLink"/>
              </w:rPr>
              <w:t>138</w:t>
            </w:r>
          </w:hyperlink>
        </w:p>
        <w:p>
          <w:pPr>
            <w:pStyle w:val="Contents5"/>
            <w:tabs>
              <w:tab w:val="clear" w:pos="7892"/>
              <w:tab w:val="right" w:pos="9026" w:leader="dot"/>
            </w:tabs>
            <w:rPr/>
          </w:pPr>
          <w:hyperlink w:anchor="__RefHeading___Toc189094_237004111">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89096_237004111">
            <w:r>
              <w:rPr>
                <w:webHidden/>
                <w:rStyle w:val="IndexLink"/>
              </w:rPr>
              <w:t>1</w:t>
            </w:r>
            <w:r>
              <w:rPr>
                <w:rStyle w:val="IndexLink"/>
                <w:rtl w:val="true"/>
              </w:rPr>
              <w:t xml:space="preserve">. </w:t>
            </w:r>
            <w:r>
              <w:rPr>
                <w:rStyle w:val="IndexLink"/>
                <w:rtl w:val="true"/>
              </w:rPr>
              <w:t>خروج منی در وقت امکان</w:t>
            </w:r>
            <w:r>
              <w:rPr>
                <w:rStyle w:val="IndexLink"/>
                <w:rtl w:val="true"/>
              </w:rPr>
              <w:tab/>
            </w:r>
            <w:r>
              <w:rPr>
                <w:rStyle w:val="IndexLink"/>
              </w:rPr>
              <w:t>138</w:t>
            </w:r>
          </w:hyperlink>
        </w:p>
        <w:p>
          <w:pPr>
            <w:pStyle w:val="Contents5"/>
            <w:tabs>
              <w:tab w:val="clear" w:pos="7892"/>
              <w:tab w:val="right" w:pos="9026" w:leader="dot"/>
            </w:tabs>
            <w:rPr/>
          </w:pPr>
          <w:hyperlink w:anchor="__RefHeading___Toc189098_237004111">
            <w:r>
              <w:rPr>
                <w:webHidden/>
                <w:rStyle w:val="IndexLink"/>
              </w:rPr>
              <w:t>2</w:t>
            </w:r>
            <w:r>
              <w:rPr>
                <w:rStyle w:val="IndexLink"/>
                <w:rtl w:val="true"/>
              </w:rPr>
              <w:t xml:space="preserve">. </w:t>
            </w:r>
            <w:r>
              <w:rPr>
                <w:rStyle w:val="IndexLink"/>
                <w:rtl w:val="true"/>
              </w:rPr>
              <w:t>فعلیت خروج منی</w:t>
            </w:r>
            <w:r>
              <w:rPr>
                <w:rStyle w:val="IndexLink"/>
                <w:rtl w:val="true"/>
              </w:rPr>
              <w:tab/>
            </w:r>
            <w:r>
              <w:rPr>
                <w:rStyle w:val="IndexLink"/>
              </w:rPr>
              <w:t>140</w:t>
            </w:r>
          </w:hyperlink>
        </w:p>
        <w:p>
          <w:pPr>
            <w:pStyle w:val="Contents5"/>
            <w:tabs>
              <w:tab w:val="clear" w:pos="7892"/>
              <w:tab w:val="right" w:pos="9026" w:leader="dot"/>
            </w:tabs>
            <w:rPr/>
          </w:pPr>
          <w:hyperlink w:anchor="__RefHeading___Toc189100_237004111">
            <w:r>
              <w:rPr>
                <w:webHidden/>
                <w:rStyle w:val="IndexLink"/>
              </w:rPr>
              <w:t>3</w:t>
            </w:r>
            <w:r>
              <w:rPr>
                <w:rStyle w:val="IndexLink"/>
                <w:rtl w:val="true"/>
              </w:rPr>
              <w:t xml:space="preserve">. </w:t>
            </w:r>
            <w:r>
              <w:rPr>
                <w:rStyle w:val="IndexLink"/>
                <w:rtl w:val="true"/>
              </w:rPr>
              <w:t>خروج از محل متعارف</w:t>
            </w:r>
            <w:r>
              <w:rPr>
                <w:rStyle w:val="IndexLink"/>
                <w:rtl w:val="true"/>
              </w:rPr>
              <w:tab/>
            </w:r>
            <w:r>
              <w:rPr>
                <w:rStyle w:val="IndexLink"/>
              </w:rPr>
              <w:t>144</w:t>
            </w:r>
          </w:hyperlink>
        </w:p>
        <w:p>
          <w:pPr>
            <w:pStyle w:val="Contents5"/>
            <w:tabs>
              <w:tab w:val="clear" w:pos="7892"/>
              <w:tab w:val="right" w:pos="9026" w:leader="dot"/>
            </w:tabs>
            <w:rPr/>
          </w:pPr>
          <w:hyperlink w:anchor="__RefHeading___Toc189102_237004111">
            <w:r>
              <w:rPr>
                <w:webHidden/>
                <w:rStyle w:val="IndexLink"/>
              </w:rPr>
              <w:t>4</w:t>
            </w:r>
            <w:r>
              <w:rPr>
                <w:rStyle w:val="IndexLink"/>
                <w:rtl w:val="true"/>
              </w:rPr>
              <w:t xml:space="preserve">. </w:t>
            </w:r>
            <w:r>
              <w:rPr>
                <w:rStyle w:val="IndexLink"/>
                <w:rtl w:val="true"/>
              </w:rPr>
              <w:t>اقتران به شهوت</w:t>
            </w:r>
            <w:r>
              <w:rPr>
                <w:rStyle w:val="IndexLink"/>
                <w:rtl w:val="true"/>
              </w:rPr>
              <w:tab/>
            </w:r>
            <w:r>
              <w:rPr>
                <w:rStyle w:val="IndexLink"/>
              </w:rPr>
              <w:t>144</w:t>
            </w:r>
          </w:hyperlink>
        </w:p>
        <w:p>
          <w:pPr>
            <w:pStyle w:val="Contents5"/>
            <w:tabs>
              <w:tab w:val="clear" w:pos="7892"/>
              <w:tab w:val="right" w:pos="9026" w:leader="dot"/>
            </w:tabs>
            <w:rPr/>
          </w:pPr>
          <w:hyperlink w:anchor="__RefHeading___Toc189104_237004111">
            <w:r>
              <w:rPr>
                <w:webHidden/>
                <w:rStyle w:val="IndexLink"/>
                <w:rtl w:val="true"/>
              </w:rPr>
              <w:t>نتیجه کلی</w:t>
            </w:r>
            <w:r>
              <w:rPr>
                <w:rStyle w:val="IndexLink"/>
                <w:rtl w:val="true"/>
              </w:rPr>
              <w:tab/>
            </w:r>
            <w:r>
              <w:rPr>
                <w:rStyle w:val="IndexLink"/>
              </w:rPr>
              <w:t>146</w:t>
            </w:r>
          </w:hyperlink>
        </w:p>
        <w:p>
          <w:pPr>
            <w:pStyle w:val="Contents3"/>
            <w:tabs>
              <w:tab w:val="clear" w:pos="8459"/>
              <w:tab w:val="right" w:pos="9026" w:leader="dot"/>
            </w:tabs>
            <w:rPr/>
          </w:pPr>
          <w:hyperlink w:anchor="__RefHeading___Toc189106_237004111">
            <w:r>
              <w:rPr>
                <w:webHidden/>
                <w:rStyle w:val="IndexLink"/>
                <w:rtl w:val="true"/>
              </w:rPr>
              <w:t>فصل سوم</w:t>
            </w:r>
            <w:r>
              <w:rPr>
                <w:rStyle w:val="IndexLink"/>
                <w:rtl w:val="true"/>
              </w:rPr>
              <w:t xml:space="preserve">: </w:t>
            </w:r>
            <w:r>
              <w:rPr>
                <w:rStyle w:val="IndexLink"/>
                <w:rtl w:val="true"/>
              </w:rPr>
              <w:t>حیض</w:t>
            </w:r>
            <w:r>
              <w:rPr>
                <w:rStyle w:val="IndexLink"/>
                <w:rtl w:val="true"/>
              </w:rPr>
              <w:tab/>
            </w:r>
            <w:r>
              <w:rPr>
                <w:rStyle w:val="IndexLink"/>
              </w:rPr>
              <w:t>147</w:t>
            </w:r>
          </w:hyperlink>
        </w:p>
        <w:p>
          <w:pPr>
            <w:pStyle w:val="Contents4"/>
            <w:tabs>
              <w:tab w:val="clear" w:pos="8176"/>
              <w:tab w:val="right" w:pos="9026" w:leader="dot"/>
            </w:tabs>
            <w:rPr/>
          </w:pPr>
          <w:hyperlink w:anchor="__RefHeading___Toc189108_237004111">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89110_237004111">
            <w:r>
              <w:rPr>
                <w:webHidden/>
                <w:rStyle w:val="IndexLink"/>
                <w:rtl w:val="true"/>
              </w:rPr>
              <w:t>مقدمه</w:t>
            </w:r>
            <w:r>
              <w:rPr>
                <w:rStyle w:val="IndexLink"/>
                <w:rtl w:val="true"/>
              </w:rPr>
              <w:tab/>
            </w:r>
            <w:r>
              <w:rPr>
                <w:rStyle w:val="IndexLink"/>
              </w:rPr>
              <w:t>148</w:t>
            </w:r>
          </w:hyperlink>
        </w:p>
        <w:p>
          <w:pPr>
            <w:pStyle w:val="Contents4"/>
            <w:tabs>
              <w:tab w:val="clear" w:pos="8176"/>
              <w:tab w:val="right" w:pos="9026" w:leader="dot"/>
            </w:tabs>
            <w:rPr/>
          </w:pPr>
          <w:hyperlink w:anchor="__RefHeading___Toc189112_237004111">
            <w:r>
              <w:rPr>
                <w:webHidden/>
                <w:rStyle w:val="IndexLink"/>
                <w:rtl w:val="true"/>
              </w:rPr>
              <w:t>گفتار اول</w:t>
            </w:r>
            <w:r>
              <w:rPr>
                <w:rStyle w:val="IndexLink"/>
                <w:rtl w:val="true"/>
              </w:rPr>
              <w:t xml:space="preserve">: </w:t>
            </w:r>
            <w:r>
              <w:rPr>
                <w:rStyle w:val="IndexLink"/>
                <w:rtl w:val="true"/>
              </w:rPr>
              <w:t>ادلۀ ثبوت تکلیف بر دختران با حیض</w:t>
            </w:r>
            <w:r>
              <w:rPr>
                <w:rStyle w:val="IndexLink"/>
                <w:rtl w:val="true"/>
              </w:rPr>
              <w:tab/>
            </w:r>
            <w:r>
              <w:rPr>
                <w:rStyle w:val="IndexLink"/>
              </w:rPr>
              <w:t>150</w:t>
            </w:r>
          </w:hyperlink>
        </w:p>
        <w:p>
          <w:pPr>
            <w:pStyle w:val="Contents5"/>
            <w:tabs>
              <w:tab w:val="clear" w:pos="7892"/>
              <w:tab w:val="right" w:pos="9026" w:leader="dot"/>
            </w:tabs>
            <w:rPr/>
          </w:pPr>
          <w:hyperlink w:anchor="__RefHeading___Toc189114_237004111">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89116_237004111">
            <w:r>
              <w:rPr>
                <w:webHidden/>
                <w:rStyle w:val="IndexLink"/>
                <w:rtl w:val="true"/>
              </w:rPr>
              <w:t>دلیل اول</w:t>
            </w:r>
            <w:r>
              <w:rPr>
                <w:rStyle w:val="IndexLink"/>
                <w:rtl w:val="true"/>
              </w:rPr>
              <w:tab/>
            </w:r>
            <w:r>
              <w:rPr>
                <w:rStyle w:val="IndexLink"/>
              </w:rPr>
              <w:t>150</w:t>
            </w:r>
          </w:hyperlink>
        </w:p>
        <w:p>
          <w:pPr>
            <w:pStyle w:val="Contents5"/>
            <w:tabs>
              <w:tab w:val="clear" w:pos="7892"/>
              <w:tab w:val="right" w:pos="9026" w:leader="dot"/>
            </w:tabs>
            <w:rPr/>
          </w:pPr>
          <w:hyperlink w:anchor="__RefHeading___Toc189118_237004111">
            <w:r>
              <w:rPr>
                <w:webHidden/>
                <w:rStyle w:val="IndexLink"/>
                <w:rtl w:val="true"/>
              </w:rPr>
              <w:t>دلیل دوم</w:t>
            </w:r>
            <w:r>
              <w:rPr>
                <w:rStyle w:val="IndexLink"/>
                <w:rtl w:val="true"/>
              </w:rPr>
              <w:tab/>
            </w:r>
            <w:r>
              <w:rPr>
                <w:rStyle w:val="IndexLink"/>
              </w:rPr>
              <w:t>150</w:t>
            </w:r>
          </w:hyperlink>
        </w:p>
        <w:p>
          <w:pPr>
            <w:pStyle w:val="Contents5"/>
            <w:tabs>
              <w:tab w:val="clear" w:pos="7892"/>
              <w:tab w:val="right" w:pos="9026" w:leader="dot"/>
            </w:tabs>
            <w:rPr/>
          </w:pPr>
          <w:hyperlink w:anchor="__RefHeading___Toc189120_237004111">
            <w:r>
              <w:rPr>
                <w:webHidden/>
                <w:rStyle w:val="IndexLink"/>
                <w:rtl w:val="true"/>
              </w:rPr>
              <w:t>نتیجه</w:t>
            </w:r>
            <w:r>
              <w:rPr>
                <w:rStyle w:val="IndexLink"/>
                <w:rtl w:val="true"/>
              </w:rPr>
              <w:tab/>
            </w:r>
            <w:r>
              <w:rPr>
                <w:rStyle w:val="IndexLink"/>
              </w:rPr>
              <w:t>157</w:t>
            </w:r>
          </w:hyperlink>
        </w:p>
        <w:p>
          <w:pPr>
            <w:pStyle w:val="Contents5"/>
            <w:tabs>
              <w:tab w:val="clear" w:pos="7892"/>
              <w:tab w:val="right" w:pos="9026" w:leader="dot"/>
            </w:tabs>
            <w:rPr/>
          </w:pPr>
          <w:hyperlink w:anchor="__RefHeading___Toc189122_237004111">
            <w:r>
              <w:rPr>
                <w:webHidden/>
                <w:rStyle w:val="IndexLink"/>
                <w:rtl w:val="true"/>
              </w:rPr>
              <w:t>تنبیه</w:t>
            </w:r>
            <w:r>
              <w:rPr>
                <w:rStyle w:val="IndexLink"/>
                <w:rtl w:val="true"/>
              </w:rPr>
              <w:t xml:space="preserve">: </w:t>
            </w:r>
            <w:r>
              <w:rPr>
                <w:rStyle w:val="IndexLink"/>
                <w:rtl w:val="true"/>
              </w:rPr>
              <w:t>اعتبار وقت امکان در حیض</w:t>
            </w:r>
            <w:r>
              <w:rPr>
                <w:rStyle w:val="IndexLink"/>
                <w:rtl w:val="true"/>
              </w:rPr>
              <w:tab/>
            </w:r>
            <w:r>
              <w:rPr>
                <w:rStyle w:val="IndexLink"/>
              </w:rPr>
              <w:t>158</w:t>
            </w:r>
          </w:hyperlink>
        </w:p>
        <w:p>
          <w:pPr>
            <w:pStyle w:val="Contents4"/>
            <w:tabs>
              <w:tab w:val="clear" w:pos="8176"/>
              <w:tab w:val="right" w:pos="9026" w:leader="dot"/>
            </w:tabs>
            <w:rPr/>
          </w:pPr>
          <w:hyperlink w:anchor="__RefHeading___Toc189124_237004111">
            <w:r>
              <w:rPr>
                <w:webHidden/>
                <w:rStyle w:val="IndexLink"/>
                <w:rtl w:val="true"/>
              </w:rPr>
              <w:t>گفتار دوم</w:t>
            </w:r>
            <w:r>
              <w:rPr>
                <w:rStyle w:val="IndexLink"/>
                <w:rtl w:val="true"/>
              </w:rPr>
              <w:t xml:space="preserve">: </w:t>
            </w:r>
            <w:r>
              <w:rPr>
                <w:rStyle w:val="IndexLink"/>
                <w:rtl w:val="true"/>
              </w:rPr>
              <w:t>حیض نشانۀ بلوغ یا دلیل بر سبق بلوغ ؟</w:t>
            </w:r>
            <w:r>
              <w:rPr>
                <w:rStyle w:val="IndexLink"/>
                <w:rtl w:val="true"/>
              </w:rPr>
              <w:tab/>
            </w:r>
            <w:r>
              <w:rPr>
                <w:rStyle w:val="IndexLink"/>
              </w:rPr>
              <w:t>159</w:t>
            </w:r>
          </w:hyperlink>
        </w:p>
        <w:p>
          <w:pPr>
            <w:pStyle w:val="Contents3"/>
            <w:tabs>
              <w:tab w:val="clear" w:pos="8459"/>
              <w:tab w:val="right" w:pos="9026" w:leader="dot"/>
            </w:tabs>
            <w:rPr/>
          </w:pPr>
          <w:hyperlink w:anchor="__RefHeading___Toc189126_237004111">
            <w:r>
              <w:rPr>
                <w:webHidden/>
                <w:rStyle w:val="IndexLink"/>
                <w:rtl w:val="true"/>
              </w:rPr>
              <w:t>فصل چهارم</w:t>
            </w:r>
            <w:r>
              <w:rPr>
                <w:rStyle w:val="IndexLink"/>
                <w:rtl w:val="true"/>
              </w:rPr>
              <w:t xml:space="preserve">: </w:t>
            </w:r>
            <w:r>
              <w:rPr>
                <w:rStyle w:val="IndexLink"/>
                <w:rtl w:val="true"/>
              </w:rPr>
              <w:t>سایر نشانه های طبیعی</w:t>
            </w:r>
            <w:r>
              <w:rPr>
                <w:rStyle w:val="IndexLink"/>
                <w:rtl w:val="true"/>
              </w:rPr>
              <w:tab/>
            </w:r>
            <w:r>
              <w:rPr>
                <w:rStyle w:val="IndexLink"/>
              </w:rPr>
              <w:t>164</w:t>
            </w:r>
          </w:hyperlink>
        </w:p>
        <w:p>
          <w:pPr>
            <w:pStyle w:val="Contents4"/>
            <w:tabs>
              <w:tab w:val="clear" w:pos="8176"/>
              <w:tab w:val="right" w:pos="9026" w:leader="dot"/>
            </w:tabs>
            <w:rPr/>
          </w:pPr>
          <w:hyperlink w:anchor="__RefHeading___Toc189128_237004111">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89130_237004111">
            <w:r>
              <w:rPr>
                <w:webHidden/>
                <w:rStyle w:val="IndexLink"/>
                <w:rtl w:val="true"/>
              </w:rPr>
              <w:t>گفتار اول</w:t>
            </w:r>
            <w:r>
              <w:rPr>
                <w:rStyle w:val="IndexLink"/>
                <w:rtl w:val="true"/>
              </w:rPr>
              <w:t xml:space="preserve">: </w:t>
            </w:r>
            <w:r>
              <w:rPr>
                <w:rStyle w:val="IndexLink"/>
                <w:rtl w:val="true"/>
              </w:rPr>
              <w:t>حمل</w:t>
            </w:r>
            <w:r>
              <w:rPr>
                <w:rStyle w:val="IndexLink"/>
                <w:rtl w:val="true"/>
              </w:rPr>
              <w:tab/>
            </w:r>
            <w:r>
              <w:rPr>
                <w:rStyle w:val="IndexLink"/>
              </w:rPr>
              <w:t>165</w:t>
            </w:r>
          </w:hyperlink>
        </w:p>
        <w:p>
          <w:pPr>
            <w:pStyle w:val="Contents5"/>
            <w:tabs>
              <w:tab w:val="clear" w:pos="7892"/>
              <w:tab w:val="right" w:pos="9026" w:leader="dot"/>
            </w:tabs>
            <w:rPr/>
          </w:pPr>
          <w:hyperlink w:anchor="__RefHeading___Toc189132_237004111">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89134_237004111">
            <w:r>
              <w:rPr>
                <w:webHidden/>
                <w:rStyle w:val="IndexLink"/>
                <w:rtl w:val="true"/>
              </w:rPr>
              <w:t>ادلۀ اماریت حمل</w:t>
            </w:r>
            <w:r>
              <w:rPr>
                <w:rStyle w:val="IndexLink"/>
                <w:rtl w:val="true"/>
              </w:rPr>
              <w:tab/>
            </w:r>
            <w:r>
              <w:rPr>
                <w:rStyle w:val="IndexLink"/>
              </w:rPr>
              <w:t>166</w:t>
            </w:r>
          </w:hyperlink>
        </w:p>
        <w:p>
          <w:pPr>
            <w:pStyle w:val="Contents5"/>
            <w:tabs>
              <w:tab w:val="clear" w:pos="7892"/>
              <w:tab w:val="right" w:pos="9026" w:leader="dot"/>
            </w:tabs>
            <w:rPr/>
          </w:pPr>
          <w:hyperlink w:anchor="__RefHeading___Toc189136_237004111">
            <w:r>
              <w:rPr>
                <w:webHidden/>
                <w:rStyle w:val="IndexLink"/>
                <w:rtl w:val="true"/>
              </w:rPr>
              <w:t>نتیجه</w:t>
            </w:r>
            <w:r>
              <w:rPr>
                <w:rStyle w:val="IndexLink"/>
                <w:rtl w:val="true"/>
              </w:rPr>
              <w:tab/>
            </w:r>
            <w:r>
              <w:rPr>
                <w:rStyle w:val="IndexLink"/>
              </w:rPr>
              <w:t>169</w:t>
            </w:r>
          </w:hyperlink>
        </w:p>
        <w:p>
          <w:pPr>
            <w:pStyle w:val="Contents5"/>
            <w:tabs>
              <w:tab w:val="clear" w:pos="7892"/>
              <w:tab w:val="right" w:pos="9026" w:leader="dot"/>
            </w:tabs>
            <w:rPr/>
          </w:pPr>
          <w:hyperlink w:anchor="__RefHeading___Toc189138_237004111">
            <w:r>
              <w:rPr>
                <w:webHidden/>
                <w:rStyle w:val="IndexLink"/>
                <w:rtl w:val="true"/>
              </w:rPr>
              <w:t>مدخلیت وضع در اماریت حمل</w:t>
            </w:r>
            <w:r>
              <w:rPr>
                <w:rStyle w:val="IndexLink"/>
                <w:rtl w:val="true"/>
              </w:rPr>
              <w:tab/>
            </w:r>
            <w:r>
              <w:rPr>
                <w:rStyle w:val="IndexLink"/>
              </w:rPr>
              <w:t>169</w:t>
            </w:r>
          </w:hyperlink>
        </w:p>
        <w:p>
          <w:pPr>
            <w:pStyle w:val="Contents4"/>
            <w:tabs>
              <w:tab w:val="clear" w:pos="8176"/>
              <w:tab w:val="right" w:pos="9026" w:leader="dot"/>
            </w:tabs>
            <w:rPr/>
          </w:pPr>
          <w:hyperlink w:anchor="__RefHeading___Toc189140_237004111">
            <w:r>
              <w:rPr>
                <w:webHidden/>
                <w:rStyle w:val="IndexLink"/>
                <w:rtl w:val="true"/>
              </w:rPr>
              <w:t>گفتار دوم</w:t>
            </w:r>
            <w:r>
              <w:rPr>
                <w:rStyle w:val="IndexLink"/>
                <w:rtl w:val="true"/>
              </w:rPr>
              <w:t xml:space="preserve">: </w:t>
            </w:r>
            <w:r>
              <w:rPr>
                <w:rStyle w:val="IndexLink"/>
                <w:rtl w:val="true"/>
              </w:rPr>
              <w:t>قد</w:t>
            </w:r>
            <w:r>
              <w:rPr>
                <w:rStyle w:val="IndexLink"/>
                <w:rtl w:val="true"/>
              </w:rPr>
              <w:tab/>
            </w:r>
            <w:r>
              <w:rPr>
                <w:rStyle w:val="IndexLink"/>
              </w:rPr>
              <w:t>172</w:t>
            </w:r>
          </w:hyperlink>
        </w:p>
        <w:p>
          <w:pPr>
            <w:pStyle w:val="Contents5"/>
            <w:tabs>
              <w:tab w:val="clear" w:pos="7892"/>
              <w:tab w:val="right" w:pos="9026" w:leader="dot"/>
            </w:tabs>
            <w:rPr/>
          </w:pPr>
          <w:hyperlink w:anchor="__RefHeading___Toc189142_237004111">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89144_237004111">
            <w:r>
              <w:rPr>
                <w:webHidden/>
                <w:rStyle w:val="IndexLink"/>
                <w:rtl w:val="true"/>
              </w:rPr>
              <w:t>توجیه اول</w:t>
            </w:r>
            <w:r>
              <w:rPr>
                <w:rStyle w:val="IndexLink"/>
                <w:rtl w:val="true"/>
              </w:rPr>
              <w:tab/>
            </w:r>
            <w:r>
              <w:rPr>
                <w:rStyle w:val="IndexLink"/>
              </w:rPr>
              <w:t>173</w:t>
            </w:r>
          </w:hyperlink>
        </w:p>
        <w:p>
          <w:pPr>
            <w:pStyle w:val="Contents5"/>
            <w:tabs>
              <w:tab w:val="clear" w:pos="7892"/>
              <w:tab w:val="right" w:pos="9026" w:leader="dot"/>
            </w:tabs>
            <w:rPr/>
          </w:pPr>
          <w:hyperlink w:anchor="__RefHeading___Toc189146_237004111">
            <w:r>
              <w:rPr>
                <w:webHidden/>
                <w:rStyle w:val="IndexLink"/>
                <w:rtl w:val="true"/>
              </w:rPr>
              <w:t>توجیه دوم</w:t>
            </w:r>
            <w:r>
              <w:rPr>
                <w:rStyle w:val="IndexLink"/>
                <w:rtl w:val="true"/>
              </w:rPr>
              <w:tab/>
            </w:r>
            <w:r>
              <w:rPr>
                <w:rStyle w:val="IndexLink"/>
              </w:rPr>
              <w:t>174</w:t>
            </w:r>
          </w:hyperlink>
        </w:p>
        <w:p>
          <w:pPr>
            <w:pStyle w:val="Contents5"/>
            <w:tabs>
              <w:tab w:val="clear" w:pos="7892"/>
              <w:tab w:val="right" w:pos="9026" w:leader="dot"/>
            </w:tabs>
            <w:rPr/>
          </w:pPr>
          <w:hyperlink w:anchor="__RefHeading___Toc189148_237004111">
            <w:r>
              <w:rPr>
                <w:webHidden/>
                <w:rStyle w:val="IndexLink"/>
                <w:rtl w:val="true"/>
              </w:rPr>
              <w:t>بررسی توجیه دوم</w:t>
            </w:r>
            <w:r>
              <w:rPr>
                <w:rStyle w:val="IndexLink"/>
                <w:rtl w:val="true"/>
              </w:rPr>
              <w:tab/>
            </w:r>
            <w:r>
              <w:rPr>
                <w:rStyle w:val="IndexLink"/>
              </w:rPr>
              <w:t>175</w:t>
            </w:r>
          </w:hyperlink>
        </w:p>
        <w:p>
          <w:pPr>
            <w:pStyle w:val="Contents5"/>
            <w:tabs>
              <w:tab w:val="clear" w:pos="7892"/>
              <w:tab w:val="right" w:pos="9026" w:leader="dot"/>
            </w:tabs>
            <w:rPr/>
          </w:pPr>
          <w:hyperlink w:anchor="__RefHeading___Toc189150_237004111">
            <w:r>
              <w:rPr>
                <w:webHidden/>
                <w:rStyle w:val="IndexLink"/>
                <w:rtl w:val="true"/>
              </w:rPr>
              <w:t>نتیجه</w:t>
            </w:r>
            <w:r>
              <w:rPr>
                <w:rStyle w:val="IndexLink"/>
                <w:rtl w:val="true"/>
              </w:rPr>
              <w:tab/>
            </w:r>
            <w:r>
              <w:rPr>
                <w:rStyle w:val="IndexLink"/>
              </w:rPr>
              <w:t>176</w:t>
            </w:r>
          </w:hyperlink>
        </w:p>
        <w:p>
          <w:pPr>
            <w:pStyle w:val="Contents4"/>
            <w:tabs>
              <w:tab w:val="clear" w:pos="8176"/>
              <w:tab w:val="right" w:pos="9026" w:leader="dot"/>
            </w:tabs>
            <w:rPr/>
          </w:pPr>
          <w:hyperlink w:anchor="__RefHeading___Toc189152_237004111">
            <w:r>
              <w:rPr>
                <w:webHidden/>
                <w:rStyle w:val="IndexLink"/>
                <w:rtl w:val="true"/>
              </w:rPr>
              <w:t>گفتار سوم</w:t>
            </w:r>
            <w:r>
              <w:rPr>
                <w:rStyle w:val="IndexLink"/>
                <w:rtl w:val="true"/>
              </w:rPr>
              <w:t xml:space="preserve">: </w:t>
            </w:r>
            <w:r>
              <w:rPr>
                <w:rStyle w:val="IndexLink"/>
                <w:rtl w:val="true"/>
              </w:rPr>
              <w:t>ازدواج و دخول و</w:t>
            </w:r>
            <w:r>
              <w:rPr>
                <w:rStyle w:val="IndexLink"/>
                <w:rtl w:val="true"/>
              </w:rPr>
              <w:t>...</w:t>
              <w:tab/>
            </w:r>
            <w:r>
              <w:rPr>
                <w:rStyle w:val="IndexLink"/>
              </w:rPr>
              <w:t>177</w:t>
            </w:r>
          </w:hyperlink>
        </w:p>
        <w:p>
          <w:pPr>
            <w:pStyle w:val="Contents5"/>
            <w:tabs>
              <w:tab w:val="clear" w:pos="7892"/>
              <w:tab w:val="right" w:pos="9026" w:leader="dot"/>
            </w:tabs>
            <w:rPr/>
          </w:pPr>
          <w:hyperlink w:anchor="__RefHeading___Toc189154_237004111">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89156_237004111">
            <w:r>
              <w:rPr>
                <w:webHidden/>
                <w:rStyle w:val="IndexLink"/>
                <w:rtl w:val="true"/>
              </w:rPr>
              <w:t>سایر امور</w:t>
            </w:r>
            <w:r>
              <w:rPr>
                <w:rStyle w:val="IndexLink"/>
                <w:rtl w:val="true"/>
              </w:rPr>
              <w:tab/>
            </w:r>
            <w:r>
              <w:rPr>
                <w:rStyle w:val="IndexLink"/>
              </w:rPr>
              <w:t>178</w:t>
            </w:r>
          </w:hyperlink>
        </w:p>
        <w:p>
          <w:pPr>
            <w:pStyle w:val="Contents5"/>
            <w:tabs>
              <w:tab w:val="clear" w:pos="7892"/>
              <w:tab w:val="right" w:pos="9026" w:leader="dot"/>
            </w:tabs>
            <w:rPr/>
          </w:pPr>
          <w:hyperlink w:anchor="__RefHeading___Toc189158_237004111">
            <w:r>
              <w:rPr>
                <w:webHidden/>
                <w:rStyle w:val="IndexLink"/>
                <w:rtl w:val="true"/>
              </w:rPr>
              <w:t>نتیجۀ کلی بخش دوم</w:t>
            </w:r>
            <w:r>
              <w:rPr>
                <w:rStyle w:val="IndexLink"/>
                <w:rtl w:val="true"/>
              </w:rPr>
              <w:tab/>
            </w:r>
            <w:r>
              <w:rPr>
                <w:rStyle w:val="IndexLink"/>
              </w:rPr>
              <w:t>181</w:t>
            </w:r>
          </w:hyperlink>
        </w:p>
        <w:p>
          <w:pPr>
            <w:pStyle w:val="Contents2"/>
            <w:tabs>
              <w:tab w:val="clear" w:pos="8743"/>
              <w:tab w:val="right" w:pos="9026" w:leader="dot"/>
            </w:tabs>
            <w:rPr/>
          </w:pPr>
          <w:hyperlink w:anchor="__RefHeading___Toc189160_237004111">
            <w:r>
              <w:rPr>
                <w:webHidden/>
                <w:rStyle w:val="IndexLink"/>
                <w:rtl w:val="true"/>
              </w:rPr>
              <w:t>بخش سوم</w:t>
            </w:r>
            <w:r>
              <w:rPr>
                <w:rStyle w:val="IndexLink"/>
                <w:rtl w:val="true"/>
              </w:rPr>
              <w:t xml:space="preserve">: </w:t>
            </w:r>
            <w:r>
              <w:rPr>
                <w:rStyle w:val="IndexLink"/>
                <w:rtl w:val="true"/>
              </w:rPr>
              <w:t>سنّ</w:t>
            </w:r>
            <w:r>
              <w:rPr>
                <w:rStyle w:val="IndexLink"/>
                <w:rtl w:val="true"/>
              </w:rPr>
              <w:tab/>
            </w:r>
            <w:r>
              <w:rPr>
                <w:rStyle w:val="IndexLink"/>
              </w:rPr>
              <w:t>182</w:t>
            </w:r>
          </w:hyperlink>
        </w:p>
        <w:p>
          <w:pPr>
            <w:pStyle w:val="Contents3"/>
            <w:tabs>
              <w:tab w:val="clear" w:pos="8459"/>
              <w:tab w:val="right" w:pos="9026" w:leader="dot"/>
            </w:tabs>
            <w:rPr/>
          </w:pPr>
          <w:hyperlink w:anchor="__RefHeading___Toc189162_237004111">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89164_237004111">
            <w:r>
              <w:rPr>
                <w:webHidden/>
                <w:rStyle w:val="IndexLink"/>
                <w:rtl w:val="true"/>
              </w:rPr>
              <w:t>مقدمه</w:t>
            </w:r>
            <w:r>
              <w:rPr>
                <w:rStyle w:val="IndexLink"/>
                <w:rtl w:val="true"/>
              </w:rPr>
              <w:tab/>
            </w:r>
            <w:r>
              <w:rPr>
                <w:rStyle w:val="IndexLink"/>
              </w:rPr>
              <w:t>183</w:t>
            </w:r>
          </w:hyperlink>
        </w:p>
        <w:p>
          <w:pPr>
            <w:pStyle w:val="Contents3"/>
            <w:tabs>
              <w:tab w:val="clear" w:pos="8459"/>
              <w:tab w:val="right" w:pos="9026" w:leader="dot"/>
            </w:tabs>
            <w:rPr/>
          </w:pPr>
          <w:hyperlink w:anchor="__RefHeading___Toc189166_237004111">
            <w:r>
              <w:rPr>
                <w:webHidden/>
                <w:rStyle w:val="IndexLink"/>
                <w:rtl w:val="true"/>
              </w:rPr>
              <w:t>احتمالات سه گانه در مورد سن</w:t>
            </w:r>
            <w:r>
              <w:rPr>
                <w:rStyle w:val="IndexLink"/>
                <w:rtl w:val="true"/>
              </w:rPr>
              <w:tab/>
            </w:r>
            <w:r>
              <w:rPr>
                <w:rStyle w:val="IndexLink"/>
              </w:rPr>
              <w:t>183</w:t>
            </w:r>
          </w:hyperlink>
        </w:p>
        <w:p>
          <w:pPr>
            <w:pStyle w:val="Contents3"/>
            <w:tabs>
              <w:tab w:val="clear" w:pos="8459"/>
              <w:tab w:val="right" w:pos="9026" w:leader="dot"/>
            </w:tabs>
            <w:rPr/>
          </w:pPr>
          <w:hyperlink w:anchor="__RefHeading___Toc189168_237004111">
            <w:r>
              <w:rPr>
                <w:webHidden/>
                <w:rStyle w:val="IndexLink"/>
                <w:rtl w:val="true"/>
              </w:rPr>
              <w:t>بررسی احتمالات سه گانه</w:t>
            </w:r>
            <w:r>
              <w:rPr>
                <w:rStyle w:val="IndexLink"/>
                <w:rtl w:val="true"/>
              </w:rPr>
              <w:tab/>
            </w:r>
            <w:r>
              <w:rPr>
                <w:rStyle w:val="IndexLink"/>
              </w:rPr>
              <w:t>184</w:t>
            </w:r>
          </w:hyperlink>
        </w:p>
        <w:p>
          <w:pPr>
            <w:pStyle w:val="Contents3"/>
            <w:tabs>
              <w:tab w:val="clear" w:pos="8459"/>
              <w:tab w:val="right" w:pos="9026" w:leader="dot"/>
            </w:tabs>
            <w:rPr/>
          </w:pPr>
          <w:hyperlink w:anchor="__RefHeading___Toc189170_237004111">
            <w:r>
              <w:rPr>
                <w:webHidden/>
                <w:rStyle w:val="IndexLink"/>
                <w:rtl w:val="true"/>
              </w:rPr>
              <w:t>گفتار اول</w:t>
            </w:r>
            <w:r>
              <w:rPr>
                <w:rStyle w:val="IndexLink"/>
                <w:rtl w:val="true"/>
              </w:rPr>
              <w:t xml:space="preserve">: </w:t>
            </w:r>
            <w:r>
              <w:rPr>
                <w:rStyle w:val="IndexLink"/>
                <w:rtl w:val="true"/>
              </w:rPr>
              <w:t>روایات مردّد</w:t>
            </w:r>
            <w:r>
              <w:rPr>
                <w:rStyle w:val="IndexLink"/>
                <w:rtl w:val="true"/>
              </w:rPr>
              <w:tab/>
            </w:r>
            <w:r>
              <w:rPr>
                <w:rStyle w:val="IndexLink"/>
              </w:rPr>
              <w:t>187</w:t>
            </w:r>
          </w:hyperlink>
        </w:p>
        <w:p>
          <w:pPr>
            <w:pStyle w:val="Contents4"/>
            <w:tabs>
              <w:tab w:val="clear" w:pos="8176"/>
              <w:tab w:val="right" w:pos="9026" w:leader="dot"/>
            </w:tabs>
            <w:rPr/>
          </w:pPr>
          <w:hyperlink w:anchor="__RefHeading___Toc189172_237004111">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89174_237004111">
            <w:r>
              <w:rPr>
                <w:webHidden/>
                <w:rStyle w:val="IndexLink"/>
                <w:rtl w:val="true"/>
              </w:rPr>
              <w:t>دستۀ اول</w:t>
            </w:r>
            <w:r>
              <w:rPr>
                <w:rStyle w:val="IndexLink"/>
                <w:rtl w:val="true"/>
              </w:rPr>
              <w:tab/>
            </w:r>
            <w:r>
              <w:rPr>
                <w:rStyle w:val="IndexLink"/>
              </w:rPr>
              <w:t>189</w:t>
            </w:r>
          </w:hyperlink>
        </w:p>
        <w:p>
          <w:pPr>
            <w:pStyle w:val="Contents4"/>
            <w:tabs>
              <w:tab w:val="clear" w:pos="8176"/>
              <w:tab w:val="right" w:pos="9026" w:leader="dot"/>
            </w:tabs>
            <w:rPr/>
          </w:pPr>
          <w:hyperlink w:anchor="__RefHeading___Toc189176_237004111">
            <w:r>
              <w:rPr>
                <w:webHidden/>
                <w:rStyle w:val="IndexLink"/>
                <w:rtl w:val="true"/>
              </w:rPr>
              <w:t>دستۀ دوم</w:t>
            </w:r>
            <w:r>
              <w:rPr>
                <w:rStyle w:val="IndexLink"/>
                <w:rtl w:val="true"/>
              </w:rPr>
              <w:tab/>
            </w:r>
            <w:r>
              <w:rPr>
                <w:rStyle w:val="IndexLink"/>
              </w:rPr>
              <w:t>190</w:t>
            </w:r>
          </w:hyperlink>
        </w:p>
        <w:p>
          <w:pPr>
            <w:pStyle w:val="Contents4"/>
            <w:tabs>
              <w:tab w:val="clear" w:pos="8176"/>
              <w:tab w:val="right" w:pos="9026" w:leader="dot"/>
            </w:tabs>
            <w:rPr/>
          </w:pPr>
          <w:hyperlink w:anchor="__RefHeading___Toc189178_237004111">
            <w:r>
              <w:rPr>
                <w:webHidden/>
                <w:rStyle w:val="IndexLink"/>
                <w:rtl w:val="true"/>
              </w:rPr>
              <w:t>دستۀ سوّم</w:t>
            </w:r>
            <w:r>
              <w:rPr>
                <w:rStyle w:val="IndexLink"/>
                <w:rtl w:val="true"/>
              </w:rPr>
              <w:tab/>
            </w:r>
            <w:r>
              <w:rPr>
                <w:rStyle w:val="IndexLink"/>
              </w:rPr>
              <w:t>191</w:t>
            </w:r>
          </w:hyperlink>
        </w:p>
        <w:p>
          <w:pPr>
            <w:pStyle w:val="Contents4"/>
            <w:tabs>
              <w:tab w:val="clear" w:pos="8176"/>
              <w:tab w:val="right" w:pos="9026" w:leader="dot"/>
            </w:tabs>
            <w:rPr/>
          </w:pPr>
          <w:hyperlink w:anchor="__RefHeading___Toc189180_237004111">
            <w:r>
              <w:rPr>
                <w:webHidden/>
                <w:rStyle w:val="IndexLink"/>
                <w:rtl w:val="true"/>
              </w:rPr>
              <w:t>دستۀ چهارم</w:t>
            </w:r>
            <w:r>
              <w:rPr>
                <w:rStyle w:val="IndexLink"/>
                <w:rtl w:val="true"/>
              </w:rPr>
              <w:tab/>
            </w:r>
            <w:r>
              <w:rPr>
                <w:rStyle w:val="IndexLink"/>
              </w:rPr>
              <w:t>193</w:t>
            </w:r>
          </w:hyperlink>
        </w:p>
        <w:p>
          <w:pPr>
            <w:pStyle w:val="Contents4"/>
            <w:tabs>
              <w:tab w:val="clear" w:pos="8176"/>
              <w:tab w:val="right" w:pos="9026" w:leader="dot"/>
            </w:tabs>
            <w:rPr/>
          </w:pPr>
          <w:hyperlink w:anchor="__RefHeading___Toc189182_237004111">
            <w:r>
              <w:rPr>
                <w:webHidden/>
                <w:rStyle w:val="IndexLink"/>
                <w:rtl w:val="true"/>
              </w:rPr>
              <w:t>دستۀ پنجم</w:t>
            </w:r>
            <w:r>
              <w:rPr>
                <w:rStyle w:val="IndexLink"/>
                <w:rtl w:val="true"/>
              </w:rPr>
              <w:tab/>
            </w:r>
            <w:r>
              <w:rPr>
                <w:rStyle w:val="IndexLink"/>
              </w:rPr>
              <w:t>195</w:t>
            </w:r>
          </w:hyperlink>
        </w:p>
        <w:p>
          <w:pPr>
            <w:pStyle w:val="Contents4"/>
            <w:tabs>
              <w:tab w:val="clear" w:pos="8176"/>
              <w:tab w:val="right" w:pos="9026" w:leader="dot"/>
            </w:tabs>
            <w:rPr/>
          </w:pPr>
          <w:hyperlink w:anchor="__RefHeading___Toc189184_237004111">
            <w:r>
              <w:rPr>
                <w:webHidden/>
                <w:rStyle w:val="IndexLink"/>
                <w:rtl w:val="true"/>
              </w:rPr>
              <w:t>نتیجه</w:t>
            </w:r>
            <w:r>
              <w:rPr>
                <w:rStyle w:val="IndexLink"/>
                <w:rtl w:val="true"/>
              </w:rPr>
              <w:tab/>
            </w:r>
            <w:r>
              <w:rPr>
                <w:rStyle w:val="IndexLink"/>
              </w:rPr>
              <w:t>196</w:t>
            </w:r>
          </w:hyperlink>
        </w:p>
        <w:p>
          <w:pPr>
            <w:pStyle w:val="Contents3"/>
            <w:tabs>
              <w:tab w:val="clear" w:pos="8459"/>
              <w:tab w:val="right" w:pos="9026" w:leader="dot"/>
            </w:tabs>
            <w:rPr/>
          </w:pPr>
          <w:hyperlink w:anchor="__RefHeading___Toc189186_237004111">
            <w:r>
              <w:rPr>
                <w:webHidden/>
                <w:rStyle w:val="IndexLink"/>
                <w:rtl w:val="true"/>
              </w:rPr>
              <w:t>گفتار دوم</w:t>
            </w:r>
            <w:r>
              <w:rPr>
                <w:rStyle w:val="IndexLink"/>
                <w:rtl w:val="true"/>
              </w:rPr>
              <w:t xml:space="preserve">: </w:t>
            </w:r>
            <w:r>
              <w:rPr>
                <w:rStyle w:val="IndexLink"/>
                <w:rtl w:val="true"/>
              </w:rPr>
              <w:t>روایات غیرمردّد</w:t>
            </w:r>
            <w:r>
              <w:rPr>
                <w:rStyle w:val="IndexLink"/>
                <w:rtl w:val="true"/>
              </w:rPr>
              <w:tab/>
            </w:r>
            <w:r>
              <w:rPr>
                <w:rStyle w:val="IndexLink"/>
              </w:rPr>
              <w:t>197</w:t>
            </w:r>
          </w:hyperlink>
        </w:p>
        <w:p>
          <w:pPr>
            <w:pStyle w:val="Contents4"/>
            <w:tabs>
              <w:tab w:val="clear" w:pos="8176"/>
              <w:tab w:val="right" w:pos="9026" w:leader="dot"/>
            </w:tabs>
            <w:rPr/>
          </w:pPr>
          <w:hyperlink w:anchor="__RefHeading___Toc189188_237004111">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89190_237004111">
            <w:r>
              <w:rPr>
                <w:webHidden/>
                <w:rStyle w:val="IndexLink"/>
                <w:rtl w:val="true"/>
              </w:rPr>
              <w:t>دستۀ اوّل</w:t>
            </w:r>
            <w:r>
              <w:rPr>
                <w:rStyle w:val="IndexLink"/>
                <w:rtl w:val="true"/>
              </w:rPr>
              <w:tab/>
            </w:r>
            <w:r>
              <w:rPr>
                <w:rStyle w:val="IndexLink"/>
              </w:rPr>
              <w:t>197</w:t>
            </w:r>
          </w:hyperlink>
        </w:p>
        <w:p>
          <w:pPr>
            <w:pStyle w:val="Contents4"/>
            <w:tabs>
              <w:tab w:val="clear" w:pos="8176"/>
              <w:tab w:val="right" w:pos="9026" w:leader="dot"/>
            </w:tabs>
            <w:rPr/>
          </w:pPr>
          <w:hyperlink w:anchor="__RefHeading___Toc189192_237004111">
            <w:r>
              <w:rPr>
                <w:webHidden/>
                <w:rStyle w:val="IndexLink"/>
                <w:rtl w:val="true"/>
              </w:rPr>
              <w:t>دستۀ دوّم</w:t>
            </w:r>
            <w:r>
              <w:rPr>
                <w:rStyle w:val="IndexLink"/>
                <w:rtl w:val="true"/>
              </w:rPr>
              <w:tab/>
            </w:r>
            <w:r>
              <w:rPr>
                <w:rStyle w:val="IndexLink"/>
              </w:rPr>
              <w:t>198</w:t>
            </w:r>
          </w:hyperlink>
        </w:p>
        <w:p>
          <w:pPr>
            <w:pStyle w:val="Contents4"/>
            <w:tabs>
              <w:tab w:val="clear" w:pos="8176"/>
              <w:tab w:val="right" w:pos="9026" w:leader="dot"/>
            </w:tabs>
            <w:rPr/>
          </w:pPr>
          <w:hyperlink w:anchor="__RefHeading___Toc189194_237004111">
            <w:r>
              <w:rPr>
                <w:webHidden/>
                <w:rStyle w:val="IndexLink"/>
                <w:rtl w:val="true"/>
              </w:rPr>
              <w:t>دستۀ سوم</w:t>
            </w:r>
            <w:r>
              <w:rPr>
                <w:rStyle w:val="IndexLink"/>
                <w:rtl w:val="true"/>
              </w:rPr>
              <w:tab/>
            </w:r>
            <w:r>
              <w:rPr>
                <w:rStyle w:val="IndexLink"/>
              </w:rPr>
              <w:t>204</w:t>
            </w:r>
          </w:hyperlink>
        </w:p>
        <w:p>
          <w:pPr>
            <w:pStyle w:val="Contents4"/>
            <w:tabs>
              <w:tab w:val="clear" w:pos="8176"/>
              <w:tab w:val="right" w:pos="9026" w:leader="dot"/>
            </w:tabs>
            <w:rPr/>
          </w:pPr>
          <w:hyperlink w:anchor="__RefHeading___Toc189196_237004111">
            <w:r>
              <w:rPr>
                <w:webHidden/>
                <w:rStyle w:val="IndexLink"/>
                <w:rtl w:val="true"/>
              </w:rPr>
              <w:t>دستۀ چهارم</w:t>
            </w:r>
            <w:r>
              <w:rPr>
                <w:rStyle w:val="IndexLink"/>
                <w:rtl w:val="true"/>
              </w:rPr>
              <w:tab/>
            </w:r>
            <w:r>
              <w:rPr>
                <w:rStyle w:val="IndexLink"/>
              </w:rPr>
              <w:t>211</w:t>
            </w:r>
          </w:hyperlink>
        </w:p>
        <w:p>
          <w:pPr>
            <w:pStyle w:val="Contents4"/>
            <w:tabs>
              <w:tab w:val="clear" w:pos="8176"/>
              <w:tab w:val="right" w:pos="9026" w:leader="dot"/>
            </w:tabs>
            <w:rPr/>
          </w:pPr>
          <w:hyperlink w:anchor="__RefHeading___Toc189198_237004111">
            <w:r>
              <w:rPr>
                <w:webHidden/>
                <w:rStyle w:val="IndexLink"/>
                <w:rtl w:val="true"/>
              </w:rPr>
              <w:t>دستۀ پنجم</w:t>
            </w:r>
            <w:r>
              <w:rPr>
                <w:rStyle w:val="IndexLink"/>
                <w:rtl w:val="true"/>
              </w:rPr>
              <w:tab/>
            </w:r>
            <w:r>
              <w:rPr>
                <w:rStyle w:val="IndexLink"/>
              </w:rPr>
              <w:t>213</w:t>
            </w:r>
          </w:hyperlink>
        </w:p>
        <w:p>
          <w:pPr>
            <w:pStyle w:val="Contents4"/>
            <w:tabs>
              <w:tab w:val="clear" w:pos="8176"/>
              <w:tab w:val="right" w:pos="9026" w:leader="dot"/>
            </w:tabs>
            <w:rPr/>
          </w:pPr>
          <w:hyperlink w:anchor="__RefHeading___Toc189200_237004111">
            <w:r>
              <w:rPr>
                <w:webHidden/>
                <w:rStyle w:val="IndexLink"/>
                <w:rtl w:val="true"/>
              </w:rPr>
              <w:t>دستۀ ششم</w:t>
            </w:r>
            <w:r>
              <w:rPr>
                <w:rStyle w:val="IndexLink"/>
                <w:rtl w:val="true"/>
              </w:rPr>
              <w:tab/>
            </w:r>
            <w:r>
              <w:rPr>
                <w:rStyle w:val="IndexLink"/>
              </w:rPr>
              <w:t>213</w:t>
            </w:r>
          </w:hyperlink>
        </w:p>
        <w:p>
          <w:pPr>
            <w:pStyle w:val="Contents4"/>
            <w:tabs>
              <w:tab w:val="clear" w:pos="8176"/>
              <w:tab w:val="right" w:pos="9026" w:leader="dot"/>
            </w:tabs>
            <w:rPr/>
          </w:pPr>
          <w:hyperlink w:anchor="__RefHeading___Toc189202_237004111">
            <w:r>
              <w:rPr>
                <w:webHidden/>
                <w:rStyle w:val="IndexLink"/>
                <w:rtl w:val="true"/>
              </w:rPr>
              <w:t>نتیجۀ کلی</w:t>
            </w:r>
            <w:r>
              <w:rPr>
                <w:rStyle w:val="IndexLink"/>
                <w:rtl w:val="true"/>
              </w:rPr>
              <w:tab/>
            </w:r>
            <w:r>
              <w:rPr>
                <w:rStyle w:val="IndexLink"/>
              </w:rPr>
              <w:t>240</w:t>
            </w:r>
          </w:hyperlink>
        </w:p>
        <w:p>
          <w:pPr>
            <w:pStyle w:val="Contents4"/>
            <w:tabs>
              <w:tab w:val="clear" w:pos="8176"/>
              <w:tab w:val="right" w:pos="9026" w:leader="dot"/>
            </w:tabs>
            <w:rPr/>
          </w:pPr>
          <w:hyperlink w:anchor="__RefHeading___Toc189204_237004111">
            <w:r>
              <w:rPr>
                <w:webHidden/>
                <w:rStyle w:val="IndexLink"/>
                <w:rtl w:val="true"/>
              </w:rPr>
              <w:t>جمع بندی روایات سن</w:t>
            </w:r>
            <w:r>
              <w:rPr>
                <w:rStyle w:val="IndexLink"/>
                <w:rtl w:val="true"/>
              </w:rPr>
              <w:tab/>
            </w:r>
            <w:r>
              <w:rPr>
                <w:rStyle w:val="IndexLink"/>
              </w:rPr>
              <w:t>240</w:t>
            </w:r>
          </w:hyperlink>
        </w:p>
        <w:p>
          <w:pPr>
            <w:pStyle w:val="Contents4"/>
            <w:tabs>
              <w:tab w:val="clear" w:pos="8176"/>
              <w:tab w:val="right" w:pos="9026" w:leader="dot"/>
            </w:tabs>
            <w:rPr/>
          </w:pPr>
          <w:hyperlink w:anchor="__RefHeading___Toc189206_237004111">
            <w:r>
              <w:rPr>
                <w:webHidden/>
                <w:rStyle w:val="IndexLink"/>
                <w:rtl w:val="true"/>
              </w:rPr>
              <w:t xml:space="preserve">تقدم روایات </w:t>
            </w:r>
            <w:r>
              <w:rPr>
                <w:rStyle w:val="IndexLink"/>
              </w:rPr>
              <w:t>9</w:t>
            </w:r>
            <w:r>
              <w:rPr>
                <w:rStyle w:val="IndexLink"/>
                <w:rtl w:val="true"/>
              </w:rPr>
              <w:t xml:space="preserve"> </w:t>
            </w:r>
            <w:r>
              <w:rPr>
                <w:rStyle w:val="IndexLink"/>
                <w:rtl w:val="true"/>
              </w:rPr>
              <w:t>سالگی بر سایر روایات سن</w:t>
            </w:r>
            <w:r>
              <w:rPr>
                <w:rStyle w:val="IndexLink"/>
                <w:rtl w:val="true"/>
              </w:rPr>
              <w:tab/>
            </w:r>
            <w:r>
              <w:rPr>
                <w:rStyle w:val="IndexLink"/>
              </w:rPr>
              <w:t>242</w:t>
            </w:r>
          </w:hyperlink>
        </w:p>
        <w:p>
          <w:pPr>
            <w:pStyle w:val="Contents2"/>
            <w:tabs>
              <w:tab w:val="clear" w:pos="8743"/>
              <w:tab w:val="right" w:pos="9026" w:leader="dot"/>
            </w:tabs>
            <w:rPr/>
          </w:pPr>
          <w:hyperlink w:anchor="__RefHeading___Toc189208_237004111">
            <w:r>
              <w:rPr>
                <w:webHidden/>
                <w:rStyle w:val="IndexLink"/>
                <w:rtl w:val="true"/>
              </w:rPr>
              <w:t>بخش چهارم</w:t>
            </w:r>
            <w:r>
              <w:rPr>
                <w:rStyle w:val="IndexLink"/>
                <w:rtl w:val="true"/>
              </w:rPr>
              <w:t xml:space="preserve">: </w:t>
            </w:r>
            <w:r>
              <w:rPr>
                <w:rStyle w:val="IndexLink"/>
                <w:rtl w:val="true"/>
              </w:rPr>
              <w:t>تعارض بین روایات و بررسی راه حل ها</w:t>
            </w:r>
            <w:r>
              <w:rPr>
                <w:rStyle w:val="IndexLink"/>
                <w:rtl w:val="true"/>
              </w:rPr>
              <w:tab/>
            </w:r>
            <w:r>
              <w:rPr>
                <w:rStyle w:val="IndexLink"/>
              </w:rPr>
              <w:t>244</w:t>
            </w:r>
          </w:hyperlink>
        </w:p>
        <w:p>
          <w:pPr>
            <w:pStyle w:val="Contents3"/>
            <w:tabs>
              <w:tab w:val="clear" w:pos="8459"/>
              <w:tab w:val="right" w:pos="9026" w:leader="dot"/>
            </w:tabs>
            <w:rPr/>
          </w:pPr>
          <w:hyperlink w:anchor="__RefHeading___Toc189210_237004111">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89212_237004111">
            <w:r>
              <w:rPr>
                <w:webHidden/>
                <w:rStyle w:val="IndexLink"/>
                <w:rtl w:val="true"/>
              </w:rPr>
              <w:t>مقدمه</w:t>
            </w:r>
            <w:r>
              <w:rPr>
                <w:rStyle w:val="IndexLink"/>
                <w:rtl w:val="true"/>
              </w:rPr>
              <w:tab/>
            </w:r>
            <w:r>
              <w:rPr>
                <w:rStyle w:val="IndexLink"/>
              </w:rPr>
              <w:t>245</w:t>
            </w:r>
          </w:hyperlink>
        </w:p>
        <w:p>
          <w:pPr>
            <w:pStyle w:val="Contents3"/>
            <w:tabs>
              <w:tab w:val="clear" w:pos="8459"/>
              <w:tab w:val="right" w:pos="9026" w:leader="dot"/>
            </w:tabs>
            <w:rPr/>
          </w:pPr>
          <w:hyperlink w:anchor="__RefHeading___Toc189214_237004111">
            <w:r>
              <w:rPr>
                <w:webHidden/>
                <w:rStyle w:val="IndexLink"/>
                <w:rtl w:val="true"/>
              </w:rPr>
              <w:t>گفتار اول</w:t>
            </w:r>
            <w:r>
              <w:rPr>
                <w:rStyle w:val="IndexLink"/>
                <w:rtl w:val="true"/>
              </w:rPr>
              <w:t xml:space="preserve">: </w:t>
            </w:r>
            <w:r>
              <w:rPr>
                <w:rStyle w:val="IndexLink"/>
                <w:rtl w:val="true"/>
              </w:rPr>
              <w:t>راه حل اول و بررسی آن</w:t>
            </w:r>
            <w:r>
              <w:rPr>
                <w:rStyle w:val="IndexLink"/>
                <w:rtl w:val="true"/>
              </w:rPr>
              <w:tab/>
            </w:r>
            <w:r>
              <w:rPr>
                <w:rStyle w:val="IndexLink"/>
              </w:rPr>
              <w:t>247</w:t>
            </w:r>
          </w:hyperlink>
        </w:p>
        <w:p>
          <w:pPr>
            <w:pStyle w:val="Contents4"/>
            <w:tabs>
              <w:tab w:val="clear" w:pos="8176"/>
              <w:tab w:val="right" w:pos="9026" w:leader="dot"/>
            </w:tabs>
            <w:rPr/>
          </w:pPr>
          <w:hyperlink w:anchor="__RefHeading___Toc189216_237004111">
            <w:r>
              <w:rPr>
                <w:webHidden/>
                <w:rStyle w:val="IndexLink"/>
                <w:rtl w:val="true"/>
              </w:rPr>
              <w:t>راه حل اول</w:t>
            </w:r>
            <w:r>
              <w:rPr>
                <w:rStyle w:val="IndexLink"/>
                <w:rtl w:val="true"/>
              </w:rPr>
              <w:tab/>
            </w:r>
            <w:r>
              <w:rPr>
                <w:rStyle w:val="IndexLink"/>
              </w:rPr>
              <w:t>247</w:t>
            </w:r>
          </w:hyperlink>
        </w:p>
        <w:p>
          <w:pPr>
            <w:pStyle w:val="Contents5"/>
            <w:tabs>
              <w:tab w:val="clear" w:pos="7892"/>
              <w:tab w:val="right" w:pos="9026" w:leader="dot"/>
            </w:tabs>
            <w:rPr/>
          </w:pPr>
          <w:hyperlink w:anchor="__RefHeading___Toc189218_237004111">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89220_237004111">
            <w:r>
              <w:rPr>
                <w:webHidden/>
                <w:rStyle w:val="IndexLink"/>
                <w:rtl w:val="true"/>
              </w:rPr>
              <w:t>بررسی راه حل اول</w:t>
            </w:r>
            <w:r>
              <w:rPr>
                <w:rStyle w:val="IndexLink"/>
                <w:rtl w:val="true"/>
              </w:rPr>
              <w:tab/>
            </w:r>
            <w:r>
              <w:rPr>
                <w:rStyle w:val="IndexLink"/>
              </w:rPr>
              <w:t>248</w:t>
            </w:r>
          </w:hyperlink>
        </w:p>
        <w:p>
          <w:pPr>
            <w:pStyle w:val="Contents4"/>
            <w:tabs>
              <w:tab w:val="clear" w:pos="8176"/>
              <w:tab w:val="right" w:pos="9026" w:leader="dot"/>
            </w:tabs>
            <w:rPr/>
          </w:pPr>
          <w:hyperlink w:anchor="__RefHeading___Toc189222_237004111">
            <w:r>
              <w:rPr>
                <w:webHidden/>
                <w:rStyle w:val="IndexLink"/>
                <w:rtl w:val="true"/>
              </w:rPr>
              <w:t>اشکال اول</w:t>
            </w:r>
            <w:r>
              <w:rPr>
                <w:rStyle w:val="IndexLink"/>
                <w:rtl w:val="true"/>
              </w:rPr>
              <w:tab/>
            </w:r>
            <w:r>
              <w:rPr>
                <w:rStyle w:val="IndexLink"/>
              </w:rPr>
              <w:t>248</w:t>
            </w:r>
          </w:hyperlink>
        </w:p>
        <w:p>
          <w:pPr>
            <w:pStyle w:val="Contents4"/>
            <w:tabs>
              <w:tab w:val="clear" w:pos="8176"/>
              <w:tab w:val="right" w:pos="9026" w:leader="dot"/>
            </w:tabs>
            <w:rPr/>
          </w:pPr>
          <w:hyperlink w:anchor="__RefHeading___Toc189224_237004111">
            <w:r>
              <w:rPr>
                <w:webHidden/>
                <w:rStyle w:val="IndexLink"/>
                <w:rtl w:val="true"/>
              </w:rPr>
              <w:t>اشکال دوم</w:t>
            </w:r>
            <w:r>
              <w:rPr>
                <w:rStyle w:val="IndexLink"/>
                <w:rtl w:val="true"/>
              </w:rPr>
              <w:tab/>
            </w:r>
            <w:r>
              <w:rPr>
                <w:rStyle w:val="IndexLink"/>
              </w:rPr>
              <w:t>251</w:t>
            </w:r>
          </w:hyperlink>
        </w:p>
        <w:p>
          <w:pPr>
            <w:pStyle w:val="Contents3"/>
            <w:tabs>
              <w:tab w:val="clear" w:pos="8459"/>
              <w:tab w:val="right" w:pos="9026" w:leader="dot"/>
            </w:tabs>
            <w:rPr/>
          </w:pPr>
          <w:hyperlink w:anchor="__RefHeading___Toc189226_237004111">
            <w:r>
              <w:rPr>
                <w:webHidden/>
                <w:rStyle w:val="IndexLink"/>
                <w:rtl w:val="true"/>
              </w:rPr>
              <w:t>گفتار دوم</w:t>
            </w:r>
            <w:r>
              <w:rPr>
                <w:rStyle w:val="IndexLink"/>
                <w:rtl w:val="true"/>
              </w:rPr>
              <w:t xml:space="preserve">: </w:t>
            </w:r>
            <w:r>
              <w:rPr>
                <w:rStyle w:val="IndexLink"/>
                <w:rtl w:val="true"/>
              </w:rPr>
              <w:t>راه حل دوم و بررسی آن</w:t>
            </w:r>
            <w:r>
              <w:rPr>
                <w:rStyle w:val="IndexLink"/>
                <w:rtl w:val="true"/>
              </w:rPr>
              <w:tab/>
            </w:r>
            <w:r>
              <w:rPr>
                <w:rStyle w:val="IndexLink"/>
              </w:rPr>
              <w:t>253</w:t>
            </w:r>
          </w:hyperlink>
        </w:p>
        <w:p>
          <w:pPr>
            <w:pStyle w:val="Contents4"/>
            <w:tabs>
              <w:tab w:val="clear" w:pos="8176"/>
              <w:tab w:val="right" w:pos="9026" w:leader="dot"/>
            </w:tabs>
            <w:rPr/>
          </w:pPr>
          <w:hyperlink w:anchor="__RefHeading___Toc189228_237004111">
            <w:r>
              <w:rPr>
                <w:webHidden/>
                <w:rStyle w:val="IndexLink"/>
                <w:rtl w:val="true"/>
              </w:rPr>
              <w:t>راه حل دوم</w:t>
            </w:r>
            <w:r>
              <w:rPr>
                <w:rStyle w:val="IndexLink"/>
                <w:rtl w:val="true"/>
              </w:rPr>
              <w:tab/>
            </w:r>
            <w:r>
              <w:rPr>
                <w:rStyle w:val="IndexLink"/>
              </w:rPr>
              <w:t>253</w:t>
            </w:r>
          </w:hyperlink>
        </w:p>
        <w:p>
          <w:pPr>
            <w:pStyle w:val="Contents5"/>
            <w:tabs>
              <w:tab w:val="clear" w:pos="7892"/>
              <w:tab w:val="right" w:pos="9026" w:leader="dot"/>
            </w:tabs>
            <w:rPr/>
          </w:pPr>
          <w:hyperlink w:anchor="__RefHeading___Toc189230_237004111">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89232_237004111">
            <w:r>
              <w:rPr>
                <w:webHidden/>
                <w:rStyle w:val="IndexLink"/>
                <w:rtl w:val="true"/>
              </w:rPr>
              <w:t>بررسی راه‌حل دوم</w:t>
            </w:r>
            <w:r>
              <w:rPr>
                <w:rStyle w:val="IndexLink"/>
                <w:rtl w:val="true"/>
              </w:rPr>
              <w:tab/>
            </w:r>
            <w:r>
              <w:rPr>
                <w:rStyle w:val="IndexLink"/>
              </w:rPr>
              <w:t>254</w:t>
            </w:r>
          </w:hyperlink>
        </w:p>
        <w:p>
          <w:pPr>
            <w:pStyle w:val="Contents4"/>
            <w:tabs>
              <w:tab w:val="clear" w:pos="8176"/>
              <w:tab w:val="right" w:pos="9026" w:leader="dot"/>
            </w:tabs>
            <w:rPr/>
          </w:pPr>
          <w:hyperlink w:anchor="__RefHeading___Toc189234_237004111">
            <w:r>
              <w:rPr>
                <w:webHidden/>
                <w:rStyle w:val="IndexLink"/>
                <w:rtl w:val="true"/>
              </w:rPr>
              <w:t>اشکال اول</w:t>
            </w:r>
            <w:r>
              <w:rPr>
                <w:rStyle w:val="IndexLink"/>
                <w:rtl w:val="true"/>
              </w:rPr>
              <w:tab/>
            </w:r>
            <w:r>
              <w:rPr>
                <w:rStyle w:val="IndexLink"/>
              </w:rPr>
              <w:t>254</w:t>
            </w:r>
          </w:hyperlink>
        </w:p>
        <w:p>
          <w:pPr>
            <w:pStyle w:val="Contents4"/>
            <w:tabs>
              <w:tab w:val="clear" w:pos="8176"/>
              <w:tab w:val="right" w:pos="9026" w:leader="dot"/>
            </w:tabs>
            <w:rPr/>
          </w:pPr>
          <w:hyperlink w:anchor="__RefHeading___Toc189236_237004111">
            <w:r>
              <w:rPr>
                <w:webHidden/>
                <w:rStyle w:val="IndexLink"/>
                <w:rtl w:val="true"/>
              </w:rPr>
              <w:t>اشکال دوم</w:t>
            </w:r>
            <w:r>
              <w:rPr>
                <w:rStyle w:val="IndexLink"/>
                <w:rtl w:val="true"/>
              </w:rPr>
              <w:tab/>
            </w:r>
            <w:r>
              <w:rPr>
                <w:rStyle w:val="IndexLink"/>
              </w:rPr>
              <w:t>255</w:t>
            </w:r>
          </w:hyperlink>
        </w:p>
        <w:p>
          <w:pPr>
            <w:pStyle w:val="Contents4"/>
            <w:tabs>
              <w:tab w:val="clear" w:pos="8176"/>
              <w:tab w:val="right" w:pos="9026" w:leader="dot"/>
            </w:tabs>
            <w:rPr/>
          </w:pPr>
          <w:hyperlink w:anchor="__RefHeading___Toc189238_237004111">
            <w:r>
              <w:rPr>
                <w:webHidden/>
                <w:rStyle w:val="IndexLink"/>
                <w:rtl w:val="true"/>
              </w:rPr>
              <w:t>اشکال سوم</w:t>
            </w:r>
            <w:r>
              <w:rPr>
                <w:rStyle w:val="IndexLink"/>
                <w:rtl w:val="true"/>
              </w:rPr>
              <w:tab/>
            </w:r>
            <w:r>
              <w:rPr>
                <w:rStyle w:val="IndexLink"/>
              </w:rPr>
              <w:t>255</w:t>
            </w:r>
          </w:hyperlink>
        </w:p>
        <w:p>
          <w:pPr>
            <w:pStyle w:val="Contents3"/>
            <w:tabs>
              <w:tab w:val="clear" w:pos="8459"/>
              <w:tab w:val="right" w:pos="9026" w:leader="dot"/>
            </w:tabs>
            <w:rPr/>
          </w:pPr>
          <w:hyperlink w:anchor="__RefHeading___Toc189240_237004111">
            <w:r>
              <w:rPr>
                <w:webHidden/>
                <w:rStyle w:val="IndexLink"/>
                <w:rtl w:val="true"/>
              </w:rPr>
              <w:t>گفتار سوم</w:t>
            </w:r>
            <w:r>
              <w:rPr>
                <w:rStyle w:val="IndexLink"/>
                <w:rtl w:val="true"/>
              </w:rPr>
              <w:t xml:space="preserve">: </w:t>
            </w:r>
            <w:r>
              <w:rPr>
                <w:rStyle w:val="IndexLink"/>
                <w:rtl w:val="true"/>
              </w:rPr>
              <w:t>راه حل سوم و بررسی آن</w:t>
            </w:r>
            <w:r>
              <w:rPr>
                <w:rStyle w:val="IndexLink"/>
                <w:rtl w:val="true"/>
              </w:rPr>
              <w:tab/>
            </w:r>
            <w:r>
              <w:rPr>
                <w:rStyle w:val="IndexLink"/>
              </w:rPr>
              <w:t>257</w:t>
            </w:r>
          </w:hyperlink>
        </w:p>
        <w:p>
          <w:pPr>
            <w:pStyle w:val="Contents4"/>
            <w:tabs>
              <w:tab w:val="clear" w:pos="8176"/>
              <w:tab w:val="right" w:pos="9026" w:leader="dot"/>
            </w:tabs>
            <w:rPr/>
          </w:pPr>
          <w:hyperlink w:anchor="__RefHeading___Toc189242_237004111">
            <w:r>
              <w:rPr>
                <w:webHidden/>
                <w:rStyle w:val="IndexLink"/>
                <w:rtl w:val="true"/>
              </w:rPr>
              <w:t>راه حل سوم</w:t>
            </w:r>
            <w:r>
              <w:rPr>
                <w:rStyle w:val="IndexLink"/>
                <w:rtl w:val="true"/>
              </w:rPr>
              <w:tab/>
            </w:r>
            <w:r>
              <w:rPr>
                <w:rStyle w:val="IndexLink"/>
              </w:rPr>
              <w:t>257</w:t>
            </w:r>
          </w:hyperlink>
        </w:p>
        <w:p>
          <w:pPr>
            <w:pStyle w:val="Contents5"/>
            <w:tabs>
              <w:tab w:val="clear" w:pos="7892"/>
              <w:tab w:val="right" w:pos="9026" w:leader="dot"/>
            </w:tabs>
            <w:rPr/>
          </w:pPr>
          <w:hyperlink w:anchor="__RefHeading___Toc189244_237004111">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89246_237004111">
            <w:r>
              <w:rPr>
                <w:webHidden/>
                <w:rStyle w:val="IndexLink"/>
                <w:rtl w:val="true"/>
              </w:rPr>
              <w:t>بررسی راه‌حل سوم</w:t>
            </w:r>
            <w:r>
              <w:rPr>
                <w:rStyle w:val="IndexLink"/>
                <w:rtl w:val="true"/>
              </w:rPr>
              <w:tab/>
            </w:r>
            <w:r>
              <w:rPr>
                <w:rStyle w:val="IndexLink"/>
              </w:rPr>
              <w:t>261</w:t>
            </w:r>
          </w:hyperlink>
        </w:p>
        <w:p>
          <w:pPr>
            <w:pStyle w:val="Contents3"/>
            <w:tabs>
              <w:tab w:val="clear" w:pos="8459"/>
              <w:tab w:val="right" w:pos="9026" w:leader="dot"/>
            </w:tabs>
            <w:rPr/>
          </w:pPr>
          <w:hyperlink w:anchor="__RefHeading___Toc189248_237004111">
            <w:r>
              <w:rPr>
                <w:webHidden/>
                <w:rStyle w:val="IndexLink"/>
                <w:rtl w:val="true"/>
              </w:rPr>
              <w:t>گفتار چهارم</w:t>
            </w:r>
            <w:r>
              <w:rPr>
                <w:rStyle w:val="IndexLink"/>
                <w:rtl w:val="true"/>
              </w:rPr>
              <w:t xml:space="preserve">: </w:t>
            </w:r>
            <w:r>
              <w:rPr>
                <w:rStyle w:val="IndexLink"/>
                <w:rtl w:val="true"/>
              </w:rPr>
              <w:t>راه حل چهارم و بررسی آن</w:t>
            </w:r>
            <w:r>
              <w:rPr>
                <w:rStyle w:val="IndexLink"/>
                <w:rtl w:val="true"/>
              </w:rPr>
              <w:tab/>
            </w:r>
            <w:r>
              <w:rPr>
                <w:rStyle w:val="IndexLink"/>
              </w:rPr>
              <w:t>264</w:t>
            </w:r>
          </w:hyperlink>
        </w:p>
        <w:p>
          <w:pPr>
            <w:pStyle w:val="Contents4"/>
            <w:tabs>
              <w:tab w:val="clear" w:pos="8176"/>
              <w:tab w:val="right" w:pos="9026" w:leader="dot"/>
            </w:tabs>
            <w:rPr/>
          </w:pPr>
          <w:hyperlink w:anchor="__RefHeading___Toc189250_237004111">
            <w:r>
              <w:rPr>
                <w:webHidden/>
                <w:rStyle w:val="IndexLink"/>
                <w:rtl w:val="true"/>
              </w:rPr>
              <w:t>راه حل چهارم</w:t>
            </w:r>
            <w:r>
              <w:rPr>
                <w:rStyle w:val="IndexLink"/>
                <w:rtl w:val="true"/>
              </w:rPr>
              <w:tab/>
            </w:r>
            <w:r>
              <w:rPr>
                <w:rStyle w:val="IndexLink"/>
              </w:rPr>
              <w:t>264</w:t>
            </w:r>
          </w:hyperlink>
        </w:p>
        <w:p>
          <w:pPr>
            <w:pStyle w:val="Contents5"/>
            <w:tabs>
              <w:tab w:val="clear" w:pos="7892"/>
              <w:tab w:val="right" w:pos="9026" w:leader="dot"/>
            </w:tabs>
            <w:rPr/>
          </w:pPr>
          <w:hyperlink w:anchor="__RefHeading___Toc189252_237004111">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89254_237004111">
            <w:r>
              <w:rPr>
                <w:webHidden/>
                <w:rStyle w:val="IndexLink"/>
                <w:rtl w:val="true"/>
              </w:rPr>
              <w:t>بررسی راه‌حل چهارم</w:t>
            </w:r>
            <w:r>
              <w:rPr>
                <w:rStyle w:val="IndexLink"/>
                <w:rtl w:val="true"/>
              </w:rPr>
              <w:tab/>
            </w:r>
            <w:r>
              <w:rPr>
                <w:rStyle w:val="IndexLink"/>
              </w:rPr>
              <w:t>266</w:t>
            </w:r>
          </w:hyperlink>
        </w:p>
        <w:p>
          <w:pPr>
            <w:pStyle w:val="Contents4"/>
            <w:tabs>
              <w:tab w:val="clear" w:pos="8176"/>
              <w:tab w:val="right" w:pos="9026" w:leader="dot"/>
            </w:tabs>
            <w:rPr/>
          </w:pPr>
          <w:hyperlink w:anchor="__RefHeading___Toc189256_237004111">
            <w:r>
              <w:rPr>
                <w:webHidden/>
                <w:rStyle w:val="IndexLink"/>
                <w:rtl w:val="true"/>
              </w:rPr>
              <w:t>اشکال اول</w:t>
            </w:r>
            <w:r>
              <w:rPr>
                <w:rStyle w:val="IndexLink"/>
                <w:rtl w:val="true"/>
              </w:rPr>
              <w:tab/>
            </w:r>
            <w:r>
              <w:rPr>
                <w:rStyle w:val="IndexLink"/>
              </w:rPr>
              <w:t>266</w:t>
            </w:r>
          </w:hyperlink>
        </w:p>
        <w:p>
          <w:pPr>
            <w:pStyle w:val="Contents4"/>
            <w:tabs>
              <w:tab w:val="clear" w:pos="8176"/>
              <w:tab w:val="right" w:pos="9026" w:leader="dot"/>
            </w:tabs>
            <w:rPr/>
          </w:pPr>
          <w:hyperlink w:anchor="__RefHeading___Toc189258_237004111">
            <w:r>
              <w:rPr>
                <w:webHidden/>
                <w:rStyle w:val="IndexLink"/>
                <w:rtl w:val="true"/>
              </w:rPr>
              <w:t>اشکال دوم</w:t>
            </w:r>
            <w:r>
              <w:rPr>
                <w:rStyle w:val="IndexLink"/>
                <w:rtl w:val="true"/>
              </w:rPr>
              <w:tab/>
            </w:r>
            <w:r>
              <w:rPr>
                <w:rStyle w:val="IndexLink"/>
              </w:rPr>
              <w:t>266</w:t>
            </w:r>
          </w:hyperlink>
        </w:p>
        <w:p>
          <w:pPr>
            <w:pStyle w:val="Contents4"/>
            <w:tabs>
              <w:tab w:val="clear" w:pos="8176"/>
              <w:tab w:val="right" w:pos="9026" w:leader="dot"/>
            </w:tabs>
            <w:rPr/>
          </w:pPr>
          <w:hyperlink w:anchor="__RefHeading___Toc189260_237004111">
            <w:r>
              <w:rPr>
                <w:webHidden/>
                <w:rStyle w:val="IndexLink"/>
                <w:rtl w:val="true"/>
              </w:rPr>
              <w:t>اشکال سوم</w:t>
            </w:r>
            <w:r>
              <w:rPr>
                <w:rStyle w:val="IndexLink"/>
                <w:rtl w:val="true"/>
              </w:rPr>
              <w:tab/>
            </w:r>
            <w:r>
              <w:rPr>
                <w:rStyle w:val="IndexLink"/>
              </w:rPr>
              <w:t>267</w:t>
            </w:r>
          </w:hyperlink>
        </w:p>
        <w:p>
          <w:pPr>
            <w:pStyle w:val="Contents3"/>
            <w:tabs>
              <w:tab w:val="clear" w:pos="8459"/>
              <w:tab w:val="right" w:pos="9026" w:leader="dot"/>
            </w:tabs>
            <w:rPr/>
          </w:pPr>
          <w:hyperlink w:anchor="__RefHeading___Toc189262_237004111">
            <w:r>
              <w:rPr>
                <w:webHidden/>
                <w:rStyle w:val="IndexLink"/>
                <w:rtl w:val="true"/>
              </w:rPr>
              <w:t>گفتار پنجم</w:t>
            </w:r>
            <w:r>
              <w:rPr>
                <w:rStyle w:val="IndexLink"/>
                <w:rtl w:val="true"/>
              </w:rPr>
              <w:t xml:space="preserve">: </w:t>
            </w:r>
            <w:r>
              <w:rPr>
                <w:rStyle w:val="IndexLink"/>
                <w:rtl w:val="true"/>
              </w:rPr>
              <w:t>راه حل پنجم و بررسی آن</w:t>
            </w:r>
            <w:r>
              <w:rPr>
                <w:rStyle w:val="IndexLink"/>
                <w:rtl w:val="true"/>
              </w:rPr>
              <w:tab/>
            </w:r>
            <w:r>
              <w:rPr>
                <w:rStyle w:val="IndexLink"/>
              </w:rPr>
              <w:t>269</w:t>
            </w:r>
          </w:hyperlink>
        </w:p>
        <w:p>
          <w:pPr>
            <w:pStyle w:val="Contents4"/>
            <w:tabs>
              <w:tab w:val="clear" w:pos="8176"/>
              <w:tab w:val="right" w:pos="9026" w:leader="dot"/>
            </w:tabs>
            <w:rPr/>
          </w:pPr>
          <w:hyperlink w:anchor="__RefHeading___Toc189264_237004111">
            <w:r>
              <w:rPr>
                <w:webHidden/>
                <w:rStyle w:val="IndexLink"/>
                <w:rtl w:val="true"/>
              </w:rPr>
              <w:t>راه حل پنجم</w:t>
            </w:r>
            <w:r>
              <w:rPr>
                <w:rStyle w:val="IndexLink"/>
                <w:rtl w:val="true"/>
              </w:rPr>
              <w:tab/>
            </w:r>
            <w:r>
              <w:rPr>
                <w:rStyle w:val="IndexLink"/>
              </w:rPr>
              <w:t>269</w:t>
            </w:r>
          </w:hyperlink>
        </w:p>
        <w:p>
          <w:pPr>
            <w:pStyle w:val="Contents5"/>
            <w:tabs>
              <w:tab w:val="clear" w:pos="7892"/>
              <w:tab w:val="right" w:pos="9026" w:leader="dot"/>
            </w:tabs>
            <w:rPr/>
          </w:pPr>
          <w:hyperlink w:anchor="__RefHeading___Toc189266_237004111">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89268_237004111">
            <w:r>
              <w:rPr>
                <w:webHidden/>
                <w:rStyle w:val="IndexLink"/>
                <w:rtl w:val="true"/>
              </w:rPr>
              <w:t>بررسی راه‌حل پنجم</w:t>
            </w:r>
            <w:r>
              <w:rPr>
                <w:rStyle w:val="IndexLink"/>
                <w:rtl w:val="true"/>
              </w:rPr>
              <w:tab/>
            </w:r>
            <w:r>
              <w:rPr>
                <w:rStyle w:val="IndexLink"/>
              </w:rPr>
              <w:t>271</w:t>
            </w:r>
          </w:hyperlink>
        </w:p>
        <w:p>
          <w:pPr>
            <w:pStyle w:val="Contents4"/>
            <w:tabs>
              <w:tab w:val="clear" w:pos="8176"/>
              <w:tab w:val="right" w:pos="9026" w:leader="dot"/>
            </w:tabs>
            <w:rPr/>
          </w:pPr>
          <w:hyperlink w:anchor="__RefHeading___Toc189270_237004111">
            <w:r>
              <w:rPr>
                <w:webHidden/>
                <w:rStyle w:val="IndexLink"/>
                <w:rtl w:val="true"/>
              </w:rPr>
              <w:t>اشکال اول</w:t>
            </w:r>
            <w:r>
              <w:rPr>
                <w:rStyle w:val="IndexLink"/>
                <w:rtl w:val="true"/>
              </w:rPr>
              <w:tab/>
            </w:r>
            <w:r>
              <w:rPr>
                <w:rStyle w:val="IndexLink"/>
              </w:rPr>
              <w:t>272</w:t>
            </w:r>
          </w:hyperlink>
        </w:p>
        <w:p>
          <w:pPr>
            <w:pStyle w:val="Contents4"/>
            <w:tabs>
              <w:tab w:val="clear" w:pos="8176"/>
              <w:tab w:val="right" w:pos="9026" w:leader="dot"/>
            </w:tabs>
            <w:rPr/>
          </w:pPr>
          <w:hyperlink w:anchor="__RefHeading___Toc189272_237004111">
            <w:r>
              <w:rPr>
                <w:webHidden/>
                <w:rStyle w:val="IndexLink"/>
                <w:rtl w:val="true"/>
              </w:rPr>
              <w:t>اشکال دوم</w:t>
            </w:r>
            <w:r>
              <w:rPr>
                <w:rStyle w:val="IndexLink"/>
                <w:rtl w:val="true"/>
              </w:rPr>
              <w:tab/>
            </w:r>
            <w:r>
              <w:rPr>
                <w:rStyle w:val="IndexLink"/>
              </w:rPr>
              <w:t>273</w:t>
            </w:r>
          </w:hyperlink>
        </w:p>
        <w:p>
          <w:pPr>
            <w:pStyle w:val="Contents4"/>
            <w:tabs>
              <w:tab w:val="clear" w:pos="8176"/>
              <w:tab w:val="right" w:pos="9026" w:leader="dot"/>
            </w:tabs>
            <w:rPr/>
          </w:pPr>
          <w:hyperlink w:anchor="__RefHeading___Toc189274_237004111">
            <w:r>
              <w:rPr>
                <w:webHidden/>
                <w:rStyle w:val="IndexLink"/>
                <w:rtl w:val="true"/>
              </w:rPr>
              <w:t>اشکال سوم</w:t>
            </w:r>
            <w:r>
              <w:rPr>
                <w:rStyle w:val="IndexLink"/>
                <w:rtl w:val="true"/>
              </w:rPr>
              <w:tab/>
            </w:r>
            <w:r>
              <w:rPr>
                <w:rStyle w:val="IndexLink"/>
              </w:rPr>
              <w:t>273</w:t>
            </w:r>
          </w:hyperlink>
        </w:p>
        <w:p>
          <w:pPr>
            <w:pStyle w:val="Contents3"/>
            <w:tabs>
              <w:tab w:val="clear" w:pos="8459"/>
              <w:tab w:val="right" w:pos="9026" w:leader="dot"/>
            </w:tabs>
            <w:rPr/>
          </w:pPr>
          <w:hyperlink w:anchor="__RefHeading___Toc189276_237004111">
            <w:r>
              <w:rPr>
                <w:webHidden/>
                <w:rStyle w:val="IndexLink"/>
                <w:rtl w:val="true"/>
              </w:rPr>
              <w:t>گفتار ششم</w:t>
            </w:r>
            <w:r>
              <w:rPr>
                <w:rStyle w:val="IndexLink"/>
                <w:rtl w:val="true"/>
              </w:rPr>
              <w:t xml:space="preserve">: </w:t>
            </w:r>
            <w:r>
              <w:rPr>
                <w:rStyle w:val="IndexLink"/>
                <w:rtl w:val="true"/>
              </w:rPr>
              <w:t>راه حل ششم و بررسی آن</w:t>
            </w:r>
            <w:r>
              <w:rPr>
                <w:rStyle w:val="IndexLink"/>
                <w:rtl w:val="true"/>
              </w:rPr>
              <w:tab/>
            </w:r>
            <w:r>
              <w:rPr>
                <w:rStyle w:val="IndexLink"/>
              </w:rPr>
              <w:t>274</w:t>
            </w:r>
          </w:hyperlink>
        </w:p>
        <w:p>
          <w:pPr>
            <w:pStyle w:val="Contents4"/>
            <w:tabs>
              <w:tab w:val="clear" w:pos="8176"/>
              <w:tab w:val="right" w:pos="9026" w:leader="dot"/>
            </w:tabs>
            <w:rPr/>
          </w:pPr>
          <w:hyperlink w:anchor="__RefHeading___Toc189278_237004111">
            <w:r>
              <w:rPr>
                <w:webHidden/>
                <w:rStyle w:val="IndexLink"/>
                <w:rtl w:val="true"/>
              </w:rPr>
              <w:t>راه حل ششم</w:t>
            </w:r>
            <w:r>
              <w:rPr>
                <w:rStyle w:val="IndexLink"/>
                <w:rtl w:val="true"/>
              </w:rPr>
              <w:tab/>
            </w:r>
            <w:r>
              <w:rPr>
                <w:rStyle w:val="IndexLink"/>
              </w:rPr>
              <w:t>274</w:t>
            </w:r>
          </w:hyperlink>
        </w:p>
        <w:p>
          <w:pPr>
            <w:pStyle w:val="Contents5"/>
            <w:tabs>
              <w:tab w:val="clear" w:pos="7892"/>
              <w:tab w:val="right" w:pos="9026" w:leader="dot"/>
            </w:tabs>
            <w:rPr/>
          </w:pPr>
          <w:hyperlink w:anchor="__RefHeading___Toc189280_237004111">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89282_237004111">
            <w:r>
              <w:rPr>
                <w:webHidden/>
                <w:rStyle w:val="IndexLink"/>
                <w:rtl w:val="true"/>
              </w:rPr>
              <w:t>بررسی راه‌حل ششم</w:t>
            </w:r>
            <w:r>
              <w:rPr>
                <w:rStyle w:val="IndexLink"/>
                <w:rtl w:val="true"/>
              </w:rPr>
              <w:tab/>
            </w:r>
            <w:r>
              <w:rPr>
                <w:rStyle w:val="IndexLink"/>
              </w:rPr>
              <w:t>276</w:t>
            </w:r>
          </w:hyperlink>
        </w:p>
        <w:p>
          <w:pPr>
            <w:pStyle w:val="Contents4"/>
            <w:tabs>
              <w:tab w:val="clear" w:pos="8176"/>
              <w:tab w:val="right" w:pos="9026" w:leader="dot"/>
            </w:tabs>
            <w:rPr/>
          </w:pPr>
          <w:hyperlink w:anchor="__RefHeading___Toc189284_237004111">
            <w:r>
              <w:rPr>
                <w:webHidden/>
                <w:rStyle w:val="IndexLink"/>
                <w:rtl w:val="true"/>
              </w:rPr>
              <w:t>اشکال اول</w:t>
            </w:r>
            <w:r>
              <w:rPr>
                <w:rStyle w:val="IndexLink"/>
                <w:rtl w:val="true"/>
              </w:rPr>
              <w:tab/>
            </w:r>
            <w:r>
              <w:rPr>
                <w:rStyle w:val="IndexLink"/>
              </w:rPr>
              <w:t>276</w:t>
            </w:r>
          </w:hyperlink>
        </w:p>
        <w:p>
          <w:pPr>
            <w:pStyle w:val="Contents4"/>
            <w:tabs>
              <w:tab w:val="clear" w:pos="8176"/>
              <w:tab w:val="right" w:pos="9026" w:leader="dot"/>
            </w:tabs>
            <w:rPr/>
          </w:pPr>
          <w:hyperlink w:anchor="__RefHeading___Toc189286_237004111">
            <w:r>
              <w:rPr>
                <w:webHidden/>
                <w:rStyle w:val="IndexLink"/>
                <w:rtl w:val="true"/>
              </w:rPr>
              <w:t>اشکال دوم</w:t>
            </w:r>
            <w:r>
              <w:rPr>
                <w:rStyle w:val="IndexLink"/>
                <w:rtl w:val="true"/>
              </w:rPr>
              <w:tab/>
            </w:r>
            <w:r>
              <w:rPr>
                <w:rStyle w:val="IndexLink"/>
              </w:rPr>
              <w:t>277</w:t>
            </w:r>
          </w:hyperlink>
        </w:p>
        <w:p>
          <w:pPr>
            <w:pStyle w:val="Contents4"/>
            <w:tabs>
              <w:tab w:val="clear" w:pos="8176"/>
              <w:tab w:val="right" w:pos="9026" w:leader="dot"/>
            </w:tabs>
            <w:rPr/>
          </w:pPr>
          <w:hyperlink w:anchor="__RefHeading___Toc189288_237004111">
            <w:r>
              <w:rPr>
                <w:webHidden/>
                <w:rStyle w:val="IndexLink"/>
                <w:rtl w:val="true"/>
              </w:rPr>
              <w:t>اشکال سوم</w:t>
            </w:r>
            <w:r>
              <w:rPr>
                <w:rStyle w:val="IndexLink"/>
                <w:rtl w:val="true"/>
              </w:rPr>
              <w:tab/>
            </w:r>
            <w:r>
              <w:rPr>
                <w:rStyle w:val="IndexLink"/>
              </w:rPr>
              <w:t>278</w:t>
            </w:r>
          </w:hyperlink>
        </w:p>
        <w:p>
          <w:pPr>
            <w:pStyle w:val="Contents4"/>
            <w:tabs>
              <w:tab w:val="clear" w:pos="8176"/>
              <w:tab w:val="right" w:pos="9026" w:leader="dot"/>
            </w:tabs>
            <w:rPr/>
          </w:pPr>
          <w:hyperlink w:anchor="__RefHeading___Toc189290_237004111">
            <w:r>
              <w:rPr>
                <w:webHidden/>
                <w:rStyle w:val="IndexLink"/>
                <w:rtl w:val="true"/>
              </w:rPr>
              <w:t>اشکال چهارم</w:t>
            </w:r>
            <w:r>
              <w:rPr>
                <w:rStyle w:val="IndexLink"/>
                <w:rtl w:val="true"/>
              </w:rPr>
              <w:tab/>
            </w:r>
            <w:r>
              <w:rPr>
                <w:rStyle w:val="IndexLink"/>
              </w:rPr>
              <w:t>278</w:t>
            </w:r>
          </w:hyperlink>
        </w:p>
        <w:p>
          <w:pPr>
            <w:pStyle w:val="Contents4"/>
            <w:tabs>
              <w:tab w:val="clear" w:pos="8176"/>
              <w:tab w:val="right" w:pos="9026" w:leader="dot"/>
            </w:tabs>
            <w:rPr/>
          </w:pPr>
          <w:hyperlink w:anchor="__RefHeading___Toc189292_237004111">
            <w:r>
              <w:rPr>
                <w:webHidden/>
                <w:rStyle w:val="IndexLink"/>
                <w:rtl w:val="true"/>
              </w:rPr>
              <w:t>اشکال پنجم</w:t>
            </w:r>
            <w:r>
              <w:rPr>
                <w:rStyle w:val="IndexLink"/>
                <w:rtl w:val="true"/>
              </w:rPr>
              <w:tab/>
            </w:r>
            <w:r>
              <w:rPr>
                <w:rStyle w:val="IndexLink"/>
              </w:rPr>
              <w:t>279</w:t>
            </w:r>
          </w:hyperlink>
        </w:p>
        <w:p>
          <w:pPr>
            <w:pStyle w:val="Contents3"/>
            <w:tabs>
              <w:tab w:val="clear" w:pos="8459"/>
              <w:tab w:val="right" w:pos="9026" w:leader="dot"/>
            </w:tabs>
            <w:rPr/>
          </w:pPr>
          <w:hyperlink w:anchor="__RefHeading___Toc189294_237004111">
            <w:r>
              <w:rPr>
                <w:webHidden/>
                <w:rStyle w:val="IndexLink"/>
                <w:rtl w:val="true"/>
              </w:rPr>
              <w:t>گفتار هفتم</w:t>
            </w:r>
            <w:r>
              <w:rPr>
                <w:rStyle w:val="IndexLink"/>
                <w:rtl w:val="true"/>
              </w:rPr>
              <w:t xml:space="preserve">: </w:t>
            </w:r>
            <w:r>
              <w:rPr>
                <w:rStyle w:val="IndexLink"/>
                <w:rtl w:val="true"/>
              </w:rPr>
              <w:t>راه حل هفتم و بررسی آن</w:t>
            </w:r>
            <w:r>
              <w:rPr>
                <w:rStyle w:val="IndexLink"/>
                <w:rtl w:val="true"/>
              </w:rPr>
              <w:tab/>
            </w:r>
            <w:r>
              <w:rPr>
                <w:rStyle w:val="IndexLink"/>
              </w:rPr>
              <w:t>280</w:t>
            </w:r>
          </w:hyperlink>
        </w:p>
        <w:p>
          <w:pPr>
            <w:pStyle w:val="Contents4"/>
            <w:tabs>
              <w:tab w:val="clear" w:pos="8176"/>
              <w:tab w:val="right" w:pos="9026" w:leader="dot"/>
            </w:tabs>
            <w:rPr/>
          </w:pPr>
          <w:hyperlink w:anchor="__RefHeading___Toc189296_237004111">
            <w:r>
              <w:rPr>
                <w:webHidden/>
                <w:rStyle w:val="IndexLink"/>
                <w:rtl w:val="true"/>
              </w:rPr>
              <w:t>راه حل هفتم</w:t>
            </w:r>
            <w:r>
              <w:rPr>
                <w:rStyle w:val="IndexLink"/>
                <w:rtl w:val="true"/>
              </w:rPr>
              <w:tab/>
            </w:r>
            <w:r>
              <w:rPr>
                <w:rStyle w:val="IndexLink"/>
              </w:rPr>
              <w:t>280</w:t>
            </w:r>
          </w:hyperlink>
        </w:p>
        <w:p>
          <w:pPr>
            <w:pStyle w:val="Contents5"/>
            <w:tabs>
              <w:tab w:val="clear" w:pos="7892"/>
              <w:tab w:val="right" w:pos="9026" w:leader="dot"/>
            </w:tabs>
            <w:rPr/>
          </w:pPr>
          <w:hyperlink w:anchor="__RefHeading___Toc189298_237004111">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89300_237004111">
            <w:r>
              <w:rPr>
                <w:webHidden/>
                <w:rStyle w:val="IndexLink"/>
                <w:rtl w:val="true"/>
              </w:rPr>
              <w:t>بررسی راه‌حل هفتم</w:t>
            </w:r>
            <w:r>
              <w:rPr>
                <w:rStyle w:val="IndexLink"/>
                <w:rtl w:val="true"/>
              </w:rPr>
              <w:tab/>
            </w:r>
            <w:r>
              <w:rPr>
                <w:rStyle w:val="IndexLink"/>
              </w:rPr>
              <w:t>282</w:t>
            </w:r>
          </w:hyperlink>
        </w:p>
        <w:p>
          <w:pPr>
            <w:pStyle w:val="Contents4"/>
            <w:tabs>
              <w:tab w:val="clear" w:pos="8176"/>
              <w:tab w:val="right" w:pos="9026" w:leader="dot"/>
            </w:tabs>
            <w:rPr/>
          </w:pPr>
          <w:hyperlink w:anchor="__RefHeading___Toc189302_237004111">
            <w:r>
              <w:rPr>
                <w:webHidden/>
                <w:rStyle w:val="IndexLink"/>
                <w:rtl w:val="true"/>
              </w:rPr>
              <w:t>اشکال اول</w:t>
            </w:r>
            <w:r>
              <w:rPr>
                <w:rStyle w:val="IndexLink"/>
                <w:rtl w:val="true"/>
              </w:rPr>
              <w:tab/>
            </w:r>
            <w:r>
              <w:rPr>
                <w:rStyle w:val="IndexLink"/>
              </w:rPr>
              <w:t>282</w:t>
            </w:r>
          </w:hyperlink>
        </w:p>
        <w:p>
          <w:pPr>
            <w:pStyle w:val="Contents4"/>
            <w:tabs>
              <w:tab w:val="clear" w:pos="8176"/>
              <w:tab w:val="right" w:pos="9026" w:leader="dot"/>
            </w:tabs>
            <w:rPr/>
          </w:pPr>
          <w:hyperlink w:anchor="__RefHeading___Toc189304_237004111">
            <w:r>
              <w:rPr>
                <w:webHidden/>
                <w:rStyle w:val="IndexLink"/>
                <w:rtl w:val="true"/>
              </w:rPr>
              <w:t>اشکال دوم</w:t>
            </w:r>
            <w:r>
              <w:rPr>
                <w:rStyle w:val="IndexLink"/>
                <w:rtl w:val="true"/>
              </w:rPr>
              <w:tab/>
            </w:r>
            <w:r>
              <w:rPr>
                <w:rStyle w:val="IndexLink"/>
              </w:rPr>
              <w:t>283</w:t>
            </w:r>
          </w:hyperlink>
        </w:p>
        <w:p>
          <w:pPr>
            <w:pStyle w:val="Contents4"/>
            <w:tabs>
              <w:tab w:val="clear" w:pos="8176"/>
              <w:tab w:val="right" w:pos="9026" w:leader="dot"/>
            </w:tabs>
            <w:rPr/>
          </w:pPr>
          <w:hyperlink w:anchor="__RefHeading___Toc189306_237004111">
            <w:r>
              <w:rPr>
                <w:webHidden/>
                <w:rStyle w:val="IndexLink"/>
                <w:rtl w:val="true"/>
              </w:rPr>
              <w:t>اشکال سوم</w:t>
            </w:r>
            <w:r>
              <w:rPr>
                <w:rStyle w:val="IndexLink"/>
                <w:rtl w:val="true"/>
              </w:rPr>
              <w:tab/>
            </w:r>
            <w:r>
              <w:rPr>
                <w:rStyle w:val="IndexLink"/>
              </w:rPr>
              <w:t>285</w:t>
            </w:r>
          </w:hyperlink>
        </w:p>
        <w:p>
          <w:pPr>
            <w:pStyle w:val="Contents4"/>
            <w:tabs>
              <w:tab w:val="clear" w:pos="8176"/>
              <w:tab w:val="right" w:pos="9026" w:leader="dot"/>
            </w:tabs>
            <w:rPr/>
          </w:pPr>
          <w:hyperlink w:anchor="__RefHeading___Toc189308_237004111">
            <w:r>
              <w:rPr>
                <w:webHidden/>
                <w:rStyle w:val="IndexLink"/>
                <w:rtl w:val="true"/>
              </w:rPr>
              <w:t>اشکال چهارم</w:t>
            </w:r>
            <w:r>
              <w:rPr>
                <w:rStyle w:val="IndexLink"/>
                <w:rtl w:val="true"/>
              </w:rPr>
              <w:tab/>
            </w:r>
            <w:r>
              <w:rPr>
                <w:rStyle w:val="IndexLink"/>
              </w:rPr>
              <w:t>285</w:t>
            </w:r>
          </w:hyperlink>
        </w:p>
        <w:p>
          <w:pPr>
            <w:pStyle w:val="Contents3"/>
            <w:tabs>
              <w:tab w:val="clear" w:pos="8459"/>
              <w:tab w:val="right" w:pos="9026" w:leader="dot"/>
            </w:tabs>
            <w:rPr/>
          </w:pPr>
          <w:hyperlink w:anchor="__RefHeading___Toc189310_237004111">
            <w:r>
              <w:rPr>
                <w:webHidden/>
                <w:rStyle w:val="IndexLink"/>
                <w:rtl w:val="true"/>
              </w:rPr>
              <w:t>گفتار هشتم</w:t>
            </w:r>
            <w:r>
              <w:rPr>
                <w:rStyle w:val="IndexLink"/>
                <w:rtl w:val="true"/>
              </w:rPr>
              <w:t xml:space="preserve">: </w:t>
            </w:r>
            <w:r>
              <w:rPr>
                <w:rStyle w:val="IndexLink"/>
                <w:rtl w:val="true"/>
              </w:rPr>
              <w:t>راه حل برگزیده و پاسخ به اشکالات آن</w:t>
            </w:r>
            <w:r>
              <w:rPr>
                <w:rStyle w:val="IndexLink"/>
                <w:rtl w:val="true"/>
              </w:rPr>
              <w:tab/>
            </w:r>
            <w:r>
              <w:rPr>
                <w:rStyle w:val="IndexLink"/>
              </w:rPr>
              <w:t>288</w:t>
            </w:r>
          </w:hyperlink>
        </w:p>
        <w:p>
          <w:pPr>
            <w:pStyle w:val="Contents4"/>
            <w:tabs>
              <w:tab w:val="clear" w:pos="8176"/>
              <w:tab w:val="right" w:pos="9026" w:leader="dot"/>
            </w:tabs>
            <w:rPr/>
          </w:pPr>
          <w:hyperlink w:anchor="__RefHeading___Toc189312_237004111">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89314_237004111">
            <w:r>
              <w:rPr>
                <w:webHidden/>
                <w:rStyle w:val="IndexLink"/>
                <w:rtl w:val="true"/>
              </w:rPr>
              <w:t>بررسی اشکالات راه حل برگزیده</w:t>
            </w:r>
            <w:r>
              <w:rPr>
                <w:rStyle w:val="IndexLink"/>
                <w:rtl w:val="true"/>
              </w:rPr>
              <w:tab/>
            </w:r>
            <w:r>
              <w:rPr>
                <w:rStyle w:val="IndexLink"/>
              </w:rPr>
              <w:t>289</w:t>
            </w:r>
          </w:hyperlink>
        </w:p>
        <w:p>
          <w:pPr>
            <w:pStyle w:val="Contents5"/>
            <w:tabs>
              <w:tab w:val="clear" w:pos="7892"/>
              <w:tab w:val="right" w:pos="9026" w:leader="dot"/>
            </w:tabs>
            <w:rPr/>
          </w:pPr>
          <w:hyperlink w:anchor="__RefHeading___Toc189316_237004111">
            <w:r>
              <w:rPr>
                <w:webHidden/>
                <w:rStyle w:val="IndexLink"/>
                <w:rtl w:val="true"/>
              </w:rPr>
              <w:t>اشکال اول</w:t>
            </w:r>
            <w:r>
              <w:rPr>
                <w:rStyle w:val="IndexLink"/>
                <w:rtl w:val="true"/>
              </w:rPr>
              <w:tab/>
            </w:r>
            <w:r>
              <w:rPr>
                <w:rStyle w:val="IndexLink"/>
              </w:rPr>
              <w:t>289</w:t>
            </w:r>
          </w:hyperlink>
        </w:p>
        <w:p>
          <w:pPr>
            <w:pStyle w:val="Contents6"/>
            <w:tabs>
              <w:tab w:val="clear" w:pos="7609"/>
              <w:tab w:val="right" w:pos="9026" w:leader="dot"/>
            </w:tabs>
            <w:rPr/>
          </w:pPr>
          <w:hyperlink w:anchor="__RefHeading___Toc189318_237004111">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189320_237004111">
            <w:r>
              <w:rPr>
                <w:webHidden/>
                <w:rStyle w:val="IndexLink"/>
                <w:rtl w:val="true"/>
              </w:rPr>
              <w:t>پاسخ</w:t>
            </w:r>
            <w:r>
              <w:rPr>
                <w:rStyle w:val="IndexLink"/>
                <w:rtl w:val="true"/>
              </w:rPr>
              <w:tab/>
            </w:r>
            <w:r>
              <w:rPr>
                <w:rStyle w:val="IndexLink"/>
              </w:rPr>
              <w:t>290</w:t>
            </w:r>
          </w:hyperlink>
        </w:p>
        <w:p>
          <w:pPr>
            <w:pStyle w:val="Contents5"/>
            <w:tabs>
              <w:tab w:val="clear" w:pos="7892"/>
              <w:tab w:val="right" w:pos="9026" w:leader="dot"/>
            </w:tabs>
            <w:rPr/>
          </w:pPr>
          <w:hyperlink w:anchor="__RefHeading___Toc189322_237004111">
            <w:r>
              <w:rPr>
                <w:webHidden/>
                <w:rStyle w:val="IndexLink"/>
                <w:rtl w:val="true"/>
              </w:rPr>
              <w:t>اشکال دوم</w:t>
            </w:r>
            <w:r>
              <w:rPr>
                <w:rStyle w:val="IndexLink"/>
                <w:rtl w:val="true"/>
              </w:rPr>
              <w:tab/>
            </w:r>
            <w:r>
              <w:rPr>
                <w:rStyle w:val="IndexLink"/>
              </w:rPr>
              <w:t>290</w:t>
            </w:r>
          </w:hyperlink>
        </w:p>
        <w:p>
          <w:pPr>
            <w:pStyle w:val="Contents6"/>
            <w:tabs>
              <w:tab w:val="clear" w:pos="7609"/>
              <w:tab w:val="right" w:pos="9026" w:leader="dot"/>
            </w:tabs>
            <w:rPr/>
          </w:pPr>
          <w:hyperlink w:anchor="__RefHeading___Toc189324_237004111">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89326_237004111">
            <w:r>
              <w:rPr>
                <w:webHidden/>
                <w:rStyle w:val="IndexLink"/>
                <w:rtl w:val="true"/>
              </w:rPr>
              <w:t>پاسخ</w:t>
            </w:r>
            <w:r>
              <w:rPr>
                <w:rStyle w:val="IndexLink"/>
                <w:rtl w:val="true"/>
              </w:rPr>
              <w:tab/>
            </w:r>
            <w:r>
              <w:rPr>
                <w:rStyle w:val="IndexLink"/>
              </w:rPr>
              <w:t>291</w:t>
            </w:r>
          </w:hyperlink>
        </w:p>
        <w:p>
          <w:pPr>
            <w:pStyle w:val="Contents5"/>
            <w:tabs>
              <w:tab w:val="clear" w:pos="7892"/>
              <w:tab w:val="right" w:pos="9026" w:leader="dot"/>
            </w:tabs>
            <w:rPr/>
          </w:pPr>
          <w:hyperlink w:anchor="__RefHeading___Toc189328_237004111">
            <w:r>
              <w:rPr>
                <w:webHidden/>
                <w:rStyle w:val="IndexLink"/>
                <w:rtl w:val="true"/>
              </w:rPr>
              <w:t>اشکال سوم</w:t>
            </w:r>
            <w:r>
              <w:rPr>
                <w:rStyle w:val="IndexLink"/>
                <w:rtl w:val="true"/>
              </w:rPr>
              <w:tab/>
            </w:r>
            <w:r>
              <w:rPr>
                <w:rStyle w:val="IndexLink"/>
              </w:rPr>
              <w:t>291</w:t>
            </w:r>
          </w:hyperlink>
        </w:p>
        <w:p>
          <w:pPr>
            <w:pStyle w:val="Contents6"/>
            <w:tabs>
              <w:tab w:val="clear" w:pos="7609"/>
              <w:tab w:val="right" w:pos="9026" w:leader="dot"/>
            </w:tabs>
            <w:rPr/>
          </w:pPr>
          <w:hyperlink w:anchor="__RefHeading___Toc189330_237004111">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189332_237004111">
            <w:r>
              <w:rPr>
                <w:webHidden/>
                <w:rStyle w:val="IndexLink"/>
                <w:rtl w:val="true"/>
              </w:rPr>
              <w:t>پاسخ</w:t>
            </w:r>
            <w:r>
              <w:rPr>
                <w:rStyle w:val="IndexLink"/>
                <w:rtl w:val="true"/>
              </w:rPr>
              <w:tab/>
            </w:r>
            <w:r>
              <w:rPr>
                <w:rStyle w:val="IndexLink"/>
              </w:rPr>
              <w:t>291</w:t>
            </w:r>
          </w:hyperlink>
        </w:p>
        <w:p>
          <w:pPr>
            <w:pStyle w:val="Contents5"/>
            <w:tabs>
              <w:tab w:val="clear" w:pos="7892"/>
              <w:tab w:val="right" w:pos="9026" w:leader="dot"/>
            </w:tabs>
            <w:rPr/>
          </w:pPr>
          <w:hyperlink w:anchor="__RefHeading___Toc189334_237004111">
            <w:r>
              <w:rPr>
                <w:webHidden/>
                <w:rStyle w:val="IndexLink"/>
                <w:rtl w:val="true"/>
              </w:rPr>
              <w:t>اشکال چهارم</w:t>
            </w:r>
            <w:r>
              <w:rPr>
                <w:rStyle w:val="IndexLink"/>
                <w:rtl w:val="true"/>
              </w:rPr>
              <w:tab/>
            </w:r>
            <w:r>
              <w:rPr>
                <w:rStyle w:val="IndexLink"/>
              </w:rPr>
              <w:t>292</w:t>
            </w:r>
          </w:hyperlink>
        </w:p>
        <w:p>
          <w:pPr>
            <w:pStyle w:val="Contents6"/>
            <w:tabs>
              <w:tab w:val="clear" w:pos="7609"/>
              <w:tab w:val="right" w:pos="9026" w:leader="dot"/>
            </w:tabs>
            <w:rPr/>
          </w:pPr>
          <w:hyperlink w:anchor="__RefHeading___Toc189336_237004111">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189338_237004111">
            <w:r>
              <w:rPr>
                <w:webHidden/>
                <w:rStyle w:val="IndexLink"/>
                <w:rtl w:val="true"/>
              </w:rPr>
              <w:t>پاسخ</w:t>
            </w:r>
            <w:r>
              <w:rPr>
                <w:rStyle w:val="IndexLink"/>
                <w:rtl w:val="true"/>
              </w:rPr>
              <w:tab/>
            </w:r>
            <w:r>
              <w:rPr>
                <w:rStyle w:val="IndexLink"/>
              </w:rPr>
              <w:t>292</w:t>
            </w:r>
          </w:hyperlink>
        </w:p>
        <w:p>
          <w:pPr>
            <w:pStyle w:val="Contents5"/>
            <w:tabs>
              <w:tab w:val="clear" w:pos="7892"/>
              <w:tab w:val="right" w:pos="9026" w:leader="dot"/>
            </w:tabs>
            <w:rPr/>
          </w:pPr>
          <w:hyperlink w:anchor="__RefHeading___Toc189340_237004111">
            <w:r>
              <w:rPr>
                <w:webHidden/>
                <w:rStyle w:val="IndexLink"/>
                <w:rtl w:val="true"/>
              </w:rPr>
              <w:t>اشکال پنجم</w:t>
            </w:r>
            <w:r>
              <w:rPr>
                <w:rStyle w:val="IndexLink"/>
                <w:rtl w:val="true"/>
              </w:rPr>
              <w:tab/>
            </w:r>
            <w:r>
              <w:rPr>
                <w:rStyle w:val="IndexLink"/>
              </w:rPr>
              <w:t>293</w:t>
            </w:r>
          </w:hyperlink>
        </w:p>
        <w:p>
          <w:pPr>
            <w:pStyle w:val="Contents6"/>
            <w:tabs>
              <w:tab w:val="clear" w:pos="7609"/>
              <w:tab w:val="right" w:pos="9026" w:leader="dot"/>
            </w:tabs>
            <w:rPr/>
          </w:pPr>
          <w:hyperlink w:anchor="__RefHeading___Toc189342_237004111">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89344_237004111">
            <w:r>
              <w:rPr>
                <w:webHidden/>
                <w:rStyle w:val="IndexLink"/>
                <w:rtl w:val="true"/>
              </w:rPr>
              <w:t>پاسخ</w:t>
            </w:r>
            <w:r>
              <w:rPr>
                <w:rStyle w:val="IndexLink"/>
                <w:rtl w:val="true"/>
              </w:rPr>
              <w:tab/>
            </w:r>
            <w:r>
              <w:rPr>
                <w:rStyle w:val="IndexLink"/>
              </w:rPr>
              <w:t>294</w:t>
            </w:r>
          </w:hyperlink>
        </w:p>
        <w:p>
          <w:pPr>
            <w:pStyle w:val="Contents5"/>
            <w:tabs>
              <w:tab w:val="clear" w:pos="7892"/>
              <w:tab w:val="right" w:pos="9026" w:leader="dot"/>
            </w:tabs>
            <w:rPr/>
          </w:pPr>
          <w:hyperlink w:anchor="__RefHeading___Toc189346_237004111">
            <w:r>
              <w:rPr>
                <w:webHidden/>
                <w:rStyle w:val="IndexLink"/>
                <w:rtl w:val="true"/>
              </w:rPr>
              <w:t>اشکال ششم</w:t>
            </w:r>
            <w:r>
              <w:rPr>
                <w:rStyle w:val="IndexLink"/>
                <w:rtl w:val="true"/>
              </w:rPr>
              <w:tab/>
            </w:r>
            <w:r>
              <w:rPr>
                <w:rStyle w:val="IndexLink"/>
              </w:rPr>
              <w:t>294</w:t>
            </w:r>
          </w:hyperlink>
        </w:p>
        <w:p>
          <w:pPr>
            <w:pStyle w:val="Contents5"/>
            <w:tabs>
              <w:tab w:val="clear" w:pos="7892"/>
              <w:tab w:val="right" w:pos="9026" w:leader="dot"/>
            </w:tabs>
            <w:rPr/>
          </w:pPr>
          <w:hyperlink w:anchor="__RefHeading___Toc189348_237004111">
            <w:r>
              <w:rPr>
                <w:webHidden/>
                <w:rStyle w:val="IndexLink"/>
                <w:rtl w:val="true"/>
              </w:rPr>
              <w:t>اشکال هفتم</w:t>
            </w:r>
            <w:r>
              <w:rPr>
                <w:rStyle w:val="IndexLink"/>
                <w:rtl w:val="true"/>
              </w:rPr>
              <w:tab/>
            </w:r>
            <w:r>
              <w:rPr>
                <w:rStyle w:val="IndexLink"/>
              </w:rPr>
              <w:t>296</w:t>
            </w:r>
          </w:hyperlink>
        </w:p>
        <w:p>
          <w:pPr>
            <w:pStyle w:val="Contents6"/>
            <w:tabs>
              <w:tab w:val="clear" w:pos="7609"/>
              <w:tab w:val="right" w:pos="9026" w:leader="dot"/>
            </w:tabs>
            <w:rPr/>
          </w:pPr>
          <w:hyperlink w:anchor="__RefHeading___Toc189350_237004111">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189352_237004111">
            <w:r>
              <w:rPr>
                <w:webHidden/>
                <w:rStyle w:val="IndexLink"/>
                <w:rtl w:val="true"/>
              </w:rPr>
              <w:t>پاسخ</w:t>
            </w:r>
            <w:r>
              <w:rPr>
                <w:rStyle w:val="IndexLink"/>
                <w:rtl w:val="true"/>
              </w:rPr>
              <w:tab/>
            </w:r>
            <w:r>
              <w:rPr>
                <w:rStyle w:val="IndexLink"/>
              </w:rPr>
              <w:t>297</w:t>
            </w:r>
          </w:hyperlink>
        </w:p>
        <w:p>
          <w:pPr>
            <w:pStyle w:val="Contents5"/>
            <w:tabs>
              <w:tab w:val="clear" w:pos="7892"/>
              <w:tab w:val="right" w:pos="9026" w:leader="dot"/>
            </w:tabs>
            <w:rPr/>
          </w:pPr>
          <w:hyperlink w:anchor="__RefHeading___Toc189354_237004111">
            <w:r>
              <w:rPr>
                <w:webHidden/>
                <w:rStyle w:val="IndexLink"/>
                <w:rtl w:val="true"/>
              </w:rPr>
              <w:t>اشکال هشتم</w:t>
            </w:r>
            <w:r>
              <w:rPr>
                <w:rStyle w:val="IndexLink"/>
                <w:rtl w:val="true"/>
              </w:rPr>
              <w:tab/>
            </w:r>
            <w:r>
              <w:rPr>
                <w:rStyle w:val="IndexLink"/>
              </w:rPr>
              <w:t>297</w:t>
            </w:r>
          </w:hyperlink>
        </w:p>
        <w:p>
          <w:pPr>
            <w:pStyle w:val="Contents6"/>
            <w:tabs>
              <w:tab w:val="clear" w:pos="7609"/>
              <w:tab w:val="right" w:pos="9026" w:leader="dot"/>
            </w:tabs>
            <w:rPr/>
          </w:pPr>
          <w:hyperlink w:anchor="__RefHeading___Toc189356_237004111">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189358_237004111">
            <w:r>
              <w:rPr>
                <w:webHidden/>
                <w:rStyle w:val="IndexLink"/>
                <w:rtl w:val="true"/>
              </w:rPr>
              <w:t>پاسخ</w:t>
            </w:r>
            <w:r>
              <w:rPr>
                <w:rStyle w:val="IndexLink"/>
                <w:rtl w:val="true"/>
              </w:rPr>
              <w:tab/>
            </w:r>
            <w:r>
              <w:rPr>
                <w:rStyle w:val="IndexLink"/>
              </w:rPr>
              <w:t>298</w:t>
            </w:r>
          </w:hyperlink>
        </w:p>
        <w:p>
          <w:pPr>
            <w:pStyle w:val="Contents5"/>
            <w:tabs>
              <w:tab w:val="clear" w:pos="7892"/>
              <w:tab w:val="right" w:pos="9026" w:leader="dot"/>
            </w:tabs>
            <w:rPr/>
          </w:pPr>
          <w:hyperlink w:anchor="__RefHeading___Toc189360_237004111">
            <w:r>
              <w:rPr>
                <w:webHidden/>
                <w:rStyle w:val="IndexLink"/>
                <w:rtl w:val="true"/>
              </w:rPr>
              <w:t>حکم در فرض تساقط</w:t>
            </w:r>
            <w:r>
              <w:rPr>
                <w:rStyle w:val="IndexLink"/>
                <w:rtl w:val="true"/>
              </w:rPr>
              <w:tab/>
            </w:r>
            <w:r>
              <w:rPr>
                <w:rStyle w:val="IndexLink"/>
              </w:rPr>
              <w:t>301</w:t>
            </w:r>
          </w:hyperlink>
        </w:p>
        <w:p>
          <w:pPr>
            <w:pStyle w:val="Contents2"/>
            <w:tabs>
              <w:tab w:val="clear" w:pos="8743"/>
              <w:tab w:val="right" w:pos="9026" w:leader="dot"/>
            </w:tabs>
            <w:rPr/>
          </w:pPr>
          <w:hyperlink w:anchor="__RefHeading___Toc189362_237004111">
            <w:r>
              <w:rPr>
                <w:webHidden/>
                <w:rStyle w:val="IndexLink"/>
                <w:rtl w:val="true"/>
              </w:rPr>
              <w:t>خاتمه</w:t>
            </w:r>
            <w:r>
              <w:rPr>
                <w:rStyle w:val="IndexLink"/>
                <w:rtl w:val="true"/>
              </w:rPr>
              <w:tab/>
            </w:r>
            <w:r>
              <w:rPr>
                <w:rStyle w:val="IndexLink"/>
              </w:rPr>
              <w:t>303</w:t>
            </w:r>
          </w:hyperlink>
        </w:p>
        <w:p>
          <w:pPr>
            <w:pStyle w:val="Contents3"/>
            <w:tabs>
              <w:tab w:val="clear" w:pos="8459"/>
              <w:tab w:val="right" w:pos="9026" w:leader="dot"/>
            </w:tabs>
            <w:rPr/>
          </w:pPr>
          <w:hyperlink w:anchor="__RefHeading___Toc189364_237004111">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89366_237004111">
            <w:r>
              <w:rPr>
                <w:webHidden/>
                <w:rStyle w:val="IndexLink"/>
                <w:rtl w:val="true"/>
              </w:rPr>
              <w:t>گفتار اول</w:t>
            </w:r>
            <w:r>
              <w:rPr>
                <w:rStyle w:val="IndexLink"/>
                <w:rtl w:val="true"/>
              </w:rPr>
              <w:t xml:space="preserve">: </w:t>
            </w:r>
            <w:r>
              <w:rPr>
                <w:rStyle w:val="IndexLink"/>
                <w:rtl w:val="true"/>
              </w:rPr>
              <w:t>اعتبار اکمال در سن</w:t>
            </w:r>
            <w:r>
              <w:rPr>
                <w:rStyle w:val="IndexLink"/>
                <w:rtl w:val="true"/>
              </w:rPr>
              <w:tab/>
            </w:r>
            <w:r>
              <w:rPr>
                <w:rStyle w:val="IndexLink"/>
              </w:rPr>
              <w:t>304</w:t>
            </w:r>
          </w:hyperlink>
        </w:p>
        <w:p>
          <w:pPr>
            <w:pStyle w:val="Contents4"/>
            <w:tabs>
              <w:tab w:val="clear" w:pos="8176"/>
              <w:tab w:val="right" w:pos="9026" w:leader="dot"/>
            </w:tabs>
            <w:rPr/>
          </w:pPr>
          <w:hyperlink w:anchor="__RefHeading___Toc189368_237004111">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89370_237004111">
            <w:r>
              <w:rPr>
                <w:webHidden/>
                <w:rStyle w:val="IndexLink"/>
                <w:rtl w:val="true"/>
              </w:rPr>
              <w:t>دلیل اول</w:t>
            </w:r>
            <w:r>
              <w:rPr>
                <w:rStyle w:val="IndexLink"/>
                <w:rtl w:val="true"/>
              </w:rPr>
              <w:tab/>
            </w:r>
            <w:r>
              <w:rPr>
                <w:rStyle w:val="IndexLink"/>
              </w:rPr>
              <w:t>304</w:t>
            </w:r>
          </w:hyperlink>
        </w:p>
        <w:p>
          <w:pPr>
            <w:pStyle w:val="Contents4"/>
            <w:tabs>
              <w:tab w:val="clear" w:pos="8176"/>
              <w:tab w:val="right" w:pos="9026" w:leader="dot"/>
            </w:tabs>
            <w:rPr/>
          </w:pPr>
          <w:hyperlink w:anchor="__RefHeading___Toc189372_237004111">
            <w:r>
              <w:rPr>
                <w:webHidden/>
                <w:rStyle w:val="IndexLink"/>
                <w:rtl w:val="true"/>
              </w:rPr>
              <w:t>دلیل دوم</w:t>
            </w:r>
            <w:r>
              <w:rPr>
                <w:rStyle w:val="IndexLink"/>
                <w:rtl w:val="true"/>
              </w:rPr>
              <w:tab/>
            </w:r>
            <w:r>
              <w:rPr>
                <w:rStyle w:val="IndexLink"/>
              </w:rPr>
              <w:t>305</w:t>
            </w:r>
          </w:hyperlink>
        </w:p>
        <w:p>
          <w:pPr>
            <w:pStyle w:val="Contents4"/>
            <w:tabs>
              <w:tab w:val="clear" w:pos="8176"/>
              <w:tab w:val="right" w:pos="9026" w:leader="dot"/>
            </w:tabs>
            <w:rPr/>
          </w:pPr>
          <w:hyperlink w:anchor="__RefHeading___Toc189374_237004111">
            <w:r>
              <w:rPr>
                <w:webHidden/>
                <w:rStyle w:val="IndexLink"/>
                <w:rtl w:val="true"/>
              </w:rPr>
              <w:t>دلیل سوم</w:t>
            </w:r>
            <w:r>
              <w:rPr>
                <w:rStyle w:val="IndexLink"/>
                <w:rtl w:val="true"/>
              </w:rPr>
              <w:tab/>
            </w:r>
            <w:r>
              <w:rPr>
                <w:rStyle w:val="IndexLink"/>
              </w:rPr>
              <w:t>305</w:t>
            </w:r>
          </w:hyperlink>
        </w:p>
        <w:p>
          <w:pPr>
            <w:pStyle w:val="Contents4"/>
            <w:tabs>
              <w:tab w:val="clear" w:pos="8176"/>
              <w:tab w:val="right" w:pos="9026" w:leader="dot"/>
            </w:tabs>
            <w:rPr/>
          </w:pPr>
          <w:hyperlink w:anchor="__RefHeading___Toc189376_237004111">
            <w:r>
              <w:rPr>
                <w:webHidden/>
                <w:rStyle w:val="IndexLink"/>
                <w:rtl w:val="true"/>
              </w:rPr>
              <w:t>دلیل چهارم</w:t>
            </w:r>
            <w:r>
              <w:rPr>
                <w:rStyle w:val="IndexLink"/>
                <w:rtl w:val="true"/>
              </w:rPr>
              <w:tab/>
            </w:r>
            <w:r>
              <w:rPr>
                <w:rStyle w:val="IndexLink"/>
              </w:rPr>
              <w:t>305</w:t>
            </w:r>
          </w:hyperlink>
        </w:p>
        <w:p>
          <w:pPr>
            <w:pStyle w:val="Contents4"/>
            <w:tabs>
              <w:tab w:val="clear" w:pos="8176"/>
              <w:tab w:val="right" w:pos="9026" w:leader="dot"/>
            </w:tabs>
            <w:rPr/>
          </w:pPr>
          <w:hyperlink w:anchor="__RefHeading___Toc189378_237004111">
            <w:r>
              <w:rPr>
                <w:webHidden/>
                <w:rStyle w:val="IndexLink"/>
                <w:rtl w:val="true"/>
              </w:rPr>
              <w:t>دلیل پنجم</w:t>
            </w:r>
            <w:r>
              <w:rPr>
                <w:rStyle w:val="IndexLink"/>
                <w:rtl w:val="true"/>
              </w:rPr>
              <w:tab/>
            </w:r>
            <w:r>
              <w:rPr>
                <w:rStyle w:val="IndexLink"/>
              </w:rPr>
              <w:t>305</w:t>
            </w:r>
          </w:hyperlink>
        </w:p>
        <w:p>
          <w:pPr>
            <w:pStyle w:val="Contents3"/>
            <w:tabs>
              <w:tab w:val="clear" w:pos="8459"/>
              <w:tab w:val="right" w:pos="9026" w:leader="dot"/>
            </w:tabs>
            <w:rPr/>
          </w:pPr>
          <w:hyperlink w:anchor="__RefHeading___Toc189380_237004111">
            <w:r>
              <w:rPr>
                <w:webHidden/>
                <w:rStyle w:val="IndexLink"/>
                <w:rtl w:val="true"/>
              </w:rPr>
              <w:t>گفتار دوم</w:t>
            </w:r>
            <w:r>
              <w:rPr>
                <w:rStyle w:val="IndexLink"/>
                <w:rtl w:val="true"/>
              </w:rPr>
              <w:t xml:space="preserve">: </w:t>
            </w:r>
            <w:r>
              <w:rPr>
                <w:rStyle w:val="IndexLink"/>
                <w:rtl w:val="true"/>
              </w:rPr>
              <w:t>اعتبار تاریخ قمری در سن</w:t>
            </w:r>
            <w:r>
              <w:rPr>
                <w:rStyle w:val="IndexLink"/>
                <w:rtl w:val="true"/>
              </w:rPr>
              <w:tab/>
            </w:r>
            <w:r>
              <w:rPr>
                <w:rStyle w:val="IndexLink"/>
              </w:rPr>
              <w:t>307</w:t>
            </w:r>
          </w:hyperlink>
        </w:p>
        <w:p>
          <w:pPr>
            <w:pStyle w:val="Contents3"/>
            <w:tabs>
              <w:tab w:val="clear" w:pos="8459"/>
              <w:tab w:val="right" w:pos="9026" w:leader="dot"/>
            </w:tabs>
            <w:rPr/>
          </w:pPr>
          <w:hyperlink w:anchor="__RefHeading___Toc189382_237004111">
            <w:r>
              <w:rPr>
                <w:webHidden/>
                <w:rStyle w:val="IndexLink"/>
                <w:rtl w:val="true"/>
              </w:rPr>
              <w:t>گفتار سوم</w:t>
            </w:r>
            <w:r>
              <w:rPr>
                <w:rStyle w:val="IndexLink"/>
                <w:rtl w:val="true"/>
              </w:rPr>
              <w:t xml:space="preserve">: </w:t>
            </w:r>
            <w:r>
              <w:rPr>
                <w:rStyle w:val="IndexLink"/>
                <w:rtl w:val="true"/>
              </w:rPr>
              <w:t>طرق اثبات بلوغ دختران</w:t>
            </w:r>
            <w:r>
              <w:rPr>
                <w:rStyle w:val="IndexLink"/>
                <w:rtl w:val="true"/>
              </w:rPr>
              <w:tab/>
            </w:r>
            <w:r>
              <w:rPr>
                <w:rStyle w:val="IndexLink"/>
              </w:rPr>
              <w:t>309</w:t>
            </w:r>
          </w:hyperlink>
        </w:p>
        <w:p>
          <w:pPr>
            <w:pStyle w:val="Contents4"/>
            <w:tabs>
              <w:tab w:val="clear" w:pos="8176"/>
              <w:tab w:val="right" w:pos="9026" w:leader="dot"/>
            </w:tabs>
            <w:rPr/>
          </w:pPr>
          <w:hyperlink w:anchor="__RefHeading___Toc189384_237004111">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89386_237004111">
            <w:r>
              <w:rPr>
                <w:webHidden/>
                <w:rStyle w:val="IndexLink"/>
                <w:rtl w:val="true"/>
              </w:rPr>
              <w:t>الف</w:t>
            </w:r>
            <w:r>
              <w:rPr>
                <w:rStyle w:val="IndexLink"/>
                <w:rtl w:val="true"/>
              </w:rPr>
              <w:t xml:space="preserve">) </w:t>
            </w:r>
            <w:r>
              <w:rPr>
                <w:rStyle w:val="IndexLink"/>
                <w:rtl w:val="true"/>
              </w:rPr>
              <w:t>نشانه های طبیعی</w:t>
            </w:r>
            <w:r>
              <w:rPr>
                <w:rStyle w:val="IndexLink"/>
                <w:rtl w:val="true"/>
              </w:rPr>
              <w:tab/>
            </w:r>
            <w:r>
              <w:rPr>
                <w:rStyle w:val="IndexLink"/>
              </w:rPr>
              <w:t>310</w:t>
            </w:r>
          </w:hyperlink>
        </w:p>
        <w:p>
          <w:pPr>
            <w:pStyle w:val="Contents4"/>
            <w:tabs>
              <w:tab w:val="clear" w:pos="8176"/>
              <w:tab w:val="right" w:pos="9026" w:leader="dot"/>
            </w:tabs>
            <w:rPr/>
          </w:pPr>
          <w:hyperlink w:anchor="__RefHeading___Toc189388_237004111">
            <w:r>
              <w:rPr>
                <w:webHidden/>
                <w:rStyle w:val="IndexLink"/>
                <w:rtl w:val="true"/>
              </w:rPr>
              <w:t>ب</w:t>
            </w:r>
            <w:r>
              <w:rPr>
                <w:rStyle w:val="IndexLink"/>
                <w:rtl w:val="true"/>
              </w:rPr>
              <w:t xml:space="preserve">) </w:t>
            </w:r>
            <w:r>
              <w:rPr>
                <w:rStyle w:val="IndexLink"/>
                <w:rtl w:val="true"/>
              </w:rPr>
              <w:t>سن</w:t>
            </w:r>
            <w:r>
              <w:rPr>
                <w:rStyle w:val="IndexLink"/>
                <w:rtl w:val="true"/>
              </w:rPr>
              <w:tab/>
            </w:r>
            <w:r>
              <w:rPr>
                <w:rStyle w:val="IndexLink"/>
              </w:rPr>
              <w:t>312</w:t>
            </w:r>
          </w:hyperlink>
        </w:p>
        <w:p>
          <w:pPr>
            <w:pStyle w:val="Contents3"/>
            <w:tabs>
              <w:tab w:val="clear" w:pos="8459"/>
              <w:tab w:val="right" w:pos="9026" w:leader="dot"/>
            </w:tabs>
            <w:rPr/>
          </w:pPr>
          <w:hyperlink w:anchor="__RefHeading___Toc189390_237004111">
            <w:r>
              <w:rPr>
                <w:webHidden/>
                <w:rStyle w:val="IndexLink"/>
                <w:rtl w:val="true"/>
              </w:rPr>
              <w:t>گفتار چهارم</w:t>
            </w:r>
            <w:r>
              <w:rPr>
                <w:rStyle w:val="IndexLink"/>
                <w:rtl w:val="true"/>
              </w:rPr>
              <w:t xml:space="preserve">: </w:t>
            </w:r>
            <w:r>
              <w:rPr>
                <w:rStyle w:val="IndexLink"/>
                <w:rtl w:val="true"/>
              </w:rPr>
              <w:t>دعاوی مربوط به بلوغ دختران</w:t>
            </w:r>
            <w:r>
              <w:rPr>
                <w:rStyle w:val="IndexLink"/>
                <w:rtl w:val="true"/>
              </w:rPr>
              <w:tab/>
            </w:r>
            <w:r>
              <w:rPr>
                <w:rStyle w:val="IndexLink"/>
              </w:rPr>
              <w:t>314</w:t>
            </w:r>
          </w:hyperlink>
        </w:p>
        <w:p>
          <w:pPr>
            <w:pStyle w:val="Contents2"/>
            <w:tabs>
              <w:tab w:val="clear" w:pos="8743"/>
              <w:tab w:val="right" w:pos="9026" w:leader="dot"/>
            </w:tabs>
            <w:rPr/>
          </w:pPr>
          <w:hyperlink w:anchor="__RefHeading___Toc189392_237004111">
            <w:r>
              <w:rPr>
                <w:webHidden/>
                <w:rStyle w:val="IndexLink"/>
                <w:rtl w:val="true"/>
              </w:rPr>
              <w:t>فهرست منابع و مآخذ</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2_67238"/>
      <w:bookmarkStart w:id="1" w:name="pg6142_67238"/>
      <w:bookmarkEnd w:id="1"/>
    </w:p>
    <w:p>
      <w:pPr>
        <w:pStyle w:val="Heading2"/>
        <w:numPr>
          <w:ilvl w:val="1"/>
          <w:numId w:val="1"/>
        </w:numPr>
        <w:rPr/>
      </w:pPr>
      <w:bookmarkStart w:id="2" w:name="pg6142_67238"/>
      <w:bookmarkStart w:id="3" w:name="__RefHeading___Toc18888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نورمفیدی، سیدمجتبی،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فقهی بلوغ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نورمفیدی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Puberty (Islamic law)</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Puberty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BP189/52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4256368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884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بررسی فقهی بلوغ دختران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سیدمجتبی نورمفیدی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142_67242"/>
    </w:p>
    <w:p>
      <w:pPr>
        <w:pStyle w:val="Heading2"/>
        <w:numPr>
          <w:ilvl w:val="1"/>
          <w:numId w:val="1"/>
        </w:numPr>
        <w:rPr/>
      </w:pPr>
      <w:bookmarkStart w:id="8" w:name="__RefHeading___Toc188886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و الفاظ مشابه آن در لغت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لغت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 و حُلم در لغت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در لغت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عرف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عام </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خاص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نتیجۀ کلی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بلوغ با تمییز و رشد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قرآن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نکاح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حُلُم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اشُدّ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فقها از بلوغ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یا موضوعیت امارات بلوغ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معنای لفظ صبی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احکام شرعی از حیث موضوع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اصل در مسئله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نشانه‌های طبیعی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نشانه‌های طبیعی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مشترک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اختصاصی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موی زبر در زیر شکم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اثبات تکلیف بر دختران با رویش موی زهاری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بررسی دلیل اول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این علامت نسبت به دختران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بررسی دلیل اول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بررسی دلیل سوم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اعتبار خشونت در موی زهاری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موی زهاری؛ نشانۀ بلوغ یا کاشف از سبق بلوغ؟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رویش مو به عانه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ادلۀ اختصاص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احتلام و خروج منی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ثبوت تکلیف بر دختران با خروج منی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کلام صاحب جواهر و بررسی آن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منکرین اماریت احتلام در دختران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بررسی دلیل اول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بررسی دلیل دوم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بررسی دلیل سوم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بررسی دلیل چهارم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بررسی دلیل پنجم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و شرایط اماریت خروج منی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منی در وقت امکان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فعلیت خروج منی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از محل متعارف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اقتران به شهوت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صلاحیت پیدایش بچه از منی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نتیجه کلی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ثبوت تکلیف بر دختران با حیض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وقت امکان در حیض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نشانۀ بلوغ یا دلیل بر سبق بلوغ؟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نشانه‌های طبیعی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ادلۀ اماریت حمل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مدخلیت وضع در اماریت حمل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توجیه اول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توجیه دوم </w:t>
      </w:r>
      <w:r>
        <w:rPr>
          <w:rFonts w:eastAsia="IRNazanin" w:cs="IRNazanin"/>
          <w:color w:val="111111"/>
          <w:sz w:val="28"/>
          <w:szCs w:val="28"/>
          <w:lang w:bidi="fa-IR"/>
        </w:rPr>
        <w:t>174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توجیه دوم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دخول و</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سایر امور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نتیجۀ کلی بخش دوم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احتمالات سه گانه در مورد سن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بررسی احتمالات سه‌گانه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مردّد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دستۀ اول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دستۀ دوم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دستۀ سوّم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دستۀ چهارم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دستۀ پنجم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غیرمردّد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دستۀ اوّل </w:t>
      </w:r>
      <w:r>
        <w:rPr>
          <w:rFonts w:eastAsia="Amiri" w:cs="Amiri" w:ascii="Amiri" w:hAnsi="Amiri"/>
          <w:color w:val="111111"/>
          <w:sz w:val="28"/>
          <w:szCs w:val="28"/>
          <w:lang w:bidi="ar-SA"/>
        </w:rPr>
        <w:t>199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دستۀ دوّم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دستۀ سوم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دستۀ چهارم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دستۀ پنجم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دستۀ ششم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نتیجۀ کلی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جمع‌بندی روایات سن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تقدم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سایر روایات سن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بین روایات و بررسی راه‌حل‌ها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اول و بررسی آن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راه حل اول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بررسی راه حل اول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دوم و بررسی 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راه‌حل دوم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بررسی راه‌حل دوم </w:t>
      </w:r>
      <w:r>
        <w:rPr>
          <w:rFonts w:eastAsia="IRNazanin" w:cs="IRNazanin"/>
          <w:color w:val="111111"/>
          <w:sz w:val="28"/>
          <w:szCs w:val="28"/>
          <w:lang w:bidi="fa-IR"/>
        </w:rPr>
        <w:t>258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سوم و بررسی آن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راه حل سوم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بررسی راه‌حل سوم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چهارم و بررسی آن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راه‌حل چهارم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بررسی راه‌حل چهارم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پنجم و بررسی آن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راه‌حل پنجم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بررسی راه‌حل پنجم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277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ششم و بررسی آن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راه‌حل ششم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بررسی راه‌حل ششم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هفتم و بررسی آن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راه‌حل هفتم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بررسی راه‌حل هفتم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برگزیده و پاسخ به اشکالات آن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بررسی اشکالات راه‌حل برگزیده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lang w:bidi="fa-IR"/>
        </w:rPr>
        <w:t>293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اشکال ششم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اشکال هفتم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اشکال هشتم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حکم در فرض تساقط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اکمال در سن </w:t>
      </w:r>
      <w:r>
        <w:rPr>
          <w:rFonts w:eastAsia="IRNazanin" w:cs="IRNazanin"/>
          <w:color w:val="111111"/>
          <w:sz w:val="28"/>
          <w:szCs w:val="28"/>
          <w:lang w:bidi="fa-IR"/>
        </w:rPr>
        <w:t>309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تاریخ قمری در سن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اثبات بلوغ دختران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طبیعی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دعاوی مربوط به بلوغ دختران </w:t>
      </w:r>
      <w:r>
        <w:rPr>
          <w:rFonts w:eastAsia="IRNazanin" w:cs="IRNazanin"/>
          <w:color w:val="111111"/>
          <w:sz w:val="28"/>
          <w:szCs w:val="28"/>
          <w:lang w:bidi="fa-IR"/>
        </w:rPr>
        <w:t>319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321</w:t>
      </w:r>
      <w:bookmarkStart w:id="10" w:name="pg6142_6725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88888_237004111"/>
      <w:bookmarkStart w:id="12" w:name="_Toc4"/>
      <w:bookmarkEnd w:id="10"/>
      <w:bookmarkEnd w:id="11"/>
      <w:r>
        <w:rPr>
          <w:rtl w:val="true"/>
        </w:rPr>
        <w:t>مقدمه</w:t>
      </w:r>
      <w:bookmarkStart w:id="13" w:name="pg6142_67256"/>
      <w:bookmarkEnd w:id="12"/>
    </w:p>
    <w:p>
      <w:pPr>
        <w:pStyle w:val="Heading2"/>
        <w:numPr>
          <w:ilvl w:val="1"/>
          <w:numId w:val="1"/>
        </w:numPr>
        <w:rPr/>
      </w:pPr>
      <w:bookmarkStart w:id="14" w:name="__RefHeading___Toc188890_237004111"/>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سید خلقه وأشرف بریته محمد صلی الله علیه و آله وعلی 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به عنوان یک تحوّل و دگرگونی عظیم در زندگی هر فردی، ضمن آن‌که تغییرات جسمی و روحی را در پی دارد، منشأ مسئولیت‌پذیری است و انسان را از دنیای کودکی و مسئولیت‌گریزی به عالم نوجوانی و تکلیف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مسئله از زوایای مختلف قابل بررسی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حقوقدانان، پزشکان و جامعه‌شناسان، هر یک از زاویه‌ای خاص این امر را مورد کاوش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ما در این نوشتار در پی آن هستیم، بررسی مسئلۀ بلوغ دختران از نگاه فقه امامیه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علم فقه احکام تکلیفی مانند وجوب یا حرمت و نیز بخش مهمی از احکام وضعی در مورد افعال مکلفین است و مکلف</w:t>
      </w:r>
    </w:p>
    <w:p>
      <w:pPr>
        <w:pStyle w:val="BookText"/>
        <w:rPr/>
      </w:pPr>
      <w:r>
        <w:rPr>
          <w:rFonts w:ascii="IRNazanin" w:hAnsi="IRNazanin" w:eastAsia="IRNazanin"/>
          <w:color w:val="111111"/>
          <w:sz w:val="28"/>
          <w:sz w:val="28"/>
          <w:szCs w:val="28"/>
          <w:rtl w:val="true"/>
          <w:lang w:bidi="fa-IR"/>
        </w:rPr>
        <w:t>کسی است که به کمال رسیده و ارکان اصلی کمال، بلوغ و عقل می‌باشند، لذا بحث از بلوغ به عنوان مبدأ تکلیف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اسلامی تکلیف صرفا یک الزام نیست، بلکه نوعی تکریم است و شخص مکلف کسی است که تاج کرامت بر سر او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و اجمالی در گسترۀ فقه درمی‌یابیم، بلوغ شرط ثبوت تکلیف و صحت بسیاری از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وجوب نماز جمعه،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جواهرالکلام،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حجة الاسلام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ثبوت قصاص،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 حد بر زانی و زانیه،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محارب،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شارب مسکر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بسیاری از موارد دیگر مشروط به بلوغ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بلوغ در متعاقدین،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ادعا کرد در اکثر ابواب فقه سخن از بلوغ و مدخلیت آن در احکام است و این خود گواه روشنی است بر آن‌که چنین موضوعی باید به دقت مورد تجزیه و تحلیل قرار 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بحث از بلوغ دختران از جهتی دیگر اهمیتی مضاعف</w:t>
      </w:r>
    </w:p>
    <w:p>
      <w:pPr>
        <w:pStyle w:val="BookText"/>
        <w:rPr/>
      </w:pPr>
      <w:r>
        <w:rPr>
          <w:rFonts w:ascii="IRNazanin" w:hAnsi="IRNazanin" w:eastAsia="IRNazanin"/>
          <w:color w:val="111111"/>
          <w:sz w:val="28"/>
          <w:sz w:val="28"/>
          <w:szCs w:val="28"/>
          <w:rtl w:val="true"/>
          <w:lang w:bidi="fa-IR"/>
        </w:rPr>
        <w:t>پیدا می‌کند؛ زیرا امروزه تلاش‌های گستردۀ جهانی با شعار رفع تبعیض بین زنان و مردان آغاز شده و گروه‌های بسیاری درصدد یکسان سازی حقوق و تکالیف مردان و زنان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میان قول مشهور فقهای شیعه مورد اشکال قرار گرفته و توانایی دختران برای پذیرش مسئولیت و تکلیف در سن نُه سالگی زیر سؤال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بازشناسی این موضوع با عنایت به نظریات جدیدی که در این مسئله ابراز شده، به استناد منابع اصیل اسلامی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ما در بخش اول ضمن تحقیق در معنای لغوی بلوغ و اشباه آن، معنای این لفظ را در عرف عام و خاص بررسی نموده و به این سؤال که آیا بلوغ حقیقت شرعیه است یا خیر،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مطالبی را در رابطه با امارات بلوغ به نحو کلی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بخش ارائه می‌گردد، اکثراً به عنوان پایه و اساس در مباحث بعدی مورد استفاده و استناد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علامت‌ها و نشانه‌های طبیعی بلوغ دختران به تفصیل مورد بررسی قرار گرفته و ادله و مستندات آن‌ها مورد ارزیابی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بحث مبسوطی پیرامون سن بلوغ دختران خواهیم داشت و روایات مربوط به سن را بررسی خواهیم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بخش چهارم به مسئلۀ تعارض روایات و بررسی اقوال و راه‌حل‌های مختلفی که در این رابطه ارائه شده، خواهیم پرداخت و به نتیجه‌گیری مبادرت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نیز برخی از مسائل و سؤالات مربوط به بلوغ دختران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این نوشتار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رشتۀ تحریر درآمده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منتشر گردیده است، ولی از آن‌جا که متن عربی برای برخی، به ویژه دانشجویان، چندان قابل استفاده نبود، تقاضای انتشار متن فارسی آن مطرح و پس از مشورت با تنی چند از فضلا، تصمیم بر انتشار آن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ریاست محترم مرکز فقهی ائمۀ اطهار علیهم السلام و نیز مدیر مکرم آن و کلیۀ کسانی که بذل عنایت نموده و نسبت به چاپ و انتشار این اثر اهتمام ورزیده‌اند، قدردانی و تشکر به عمل آورده و از خداوند متعال برای آنان خیر دنیا و آخرت را طلب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شهریور </w:t>
      </w:r>
      <w:r>
        <w:rPr>
          <w:rFonts w:eastAsia="IRNazanin" w:cs="IRNazanin"/>
          <w:color w:val="111111"/>
          <w:sz w:val="28"/>
          <w:szCs w:val="28"/>
          <w:lang w:bidi="fa-IR"/>
        </w:rPr>
        <w:t>1392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مجتبی نورمفیدی</w:t>
      </w:r>
      <w:bookmarkStart w:id="16" w:name="pg6142_67260"/>
    </w:p>
    <w:p>
      <w:pPr>
        <w:pStyle w:val="Heading2"/>
        <w:numPr>
          <w:ilvl w:val="1"/>
          <w:numId w:val="1"/>
        </w:numPr>
        <w:rPr/>
      </w:pPr>
      <w:bookmarkStart w:id="17" w:name="__RefHeading___Toc188892_237004111"/>
      <w:bookmarkStart w:id="18" w:name="_Toc6"/>
      <w:bookmarkEnd w:id="16"/>
      <w:bookmarkEnd w:id="17"/>
      <w:r>
        <w:rPr>
          <w:rtl w:val="true"/>
        </w:rPr>
        <w:t>بخش اول</w:t>
      </w:r>
      <w:r>
        <w:rPr>
          <w:rtl w:val="true"/>
        </w:rPr>
        <w:t xml:space="preserve">: </w:t>
      </w:r>
      <w:r>
        <w:rPr>
          <w:rtl w:val="true"/>
        </w:rPr>
        <w:t>کلیات</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88894_237004111"/>
      <w:bookmarkStart w:id="20" w:name="_Toc7"/>
      <w:bookmarkEnd w:id="19"/>
      <w:r>
        <w:rPr>
          <w:rtl w:val="true"/>
        </w:rPr>
        <w:t>اشاره</w:t>
      </w:r>
      <w:bookmarkStart w:id="21" w:name="pg6142_67262"/>
      <w:bookmarkEnd w:id="20"/>
    </w:p>
    <w:p>
      <w:pPr>
        <w:pStyle w:val="Heading3"/>
        <w:numPr>
          <w:ilvl w:val="2"/>
          <w:numId w:val="1"/>
        </w:numPr>
        <w:rPr/>
      </w:pPr>
      <w:bookmarkStart w:id="22" w:name="__RefHeading___Toc188896_23700411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مشهور بلوغ را از شرایط عامه تکلیف می‌دانند، هرچند در مورد شرایط عامه تکلیف اختلاف است؛ بعضی مانند مرحوم کاشف الغطاء آن را شش شرط دانسته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کشف الغطاء،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مثل امام خمینی قدرت را جزء شرایط عامه تکلیف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 این مطلب از حوصله این نوشتار خارج است ولی به طور کلی در شرطیت بلوغ اختلاف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ابواب مختلف فقهی از تعبیر بلوغ استفاده کرده و در موارد زیادی نیز به جای لفظ بلوغ، واژۀ کمال را به کار برده و نوعاً هم آن را به بلوغ و عقل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علاوه بر بلوغ و عقل امور دیگری را در تحقق کمال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دربارۀ شرایط قاضی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منصوب از طرف امام باید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کمال را در این مورد به بلوغ و عقل و طهارة المولد تفسیر کرده و حتی احتمال داده که بصر و کتابت هم داخل معنای کمال</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شرح لمعه،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مورد واقف، کمال را به چهار چیز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اختیار، رفع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واژۀ بلوغ و کمال که به نوعی متضمن معنای بلوغ است، در عبارات فقها و در کتب فقهی به وفور استعمال شده و لذا قبل از هر چیز لازم است در مورد معنای بلوغ و ماهیت آن بررسی و تحقیق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اگرچه واژۀ بلوغ کمتر استعمال شده و بیشتر سخن از علایم و نشانه‌های بلوغ به میان آمده ولی اگر حتی در یک روایت نیز این لغت استعمال شده باشد، بررسی معنای این واژه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روایت سلیمان مروزی به این لفظ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المروزی، عن الرضا علیه السلام انه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الصبی لا یجری علیه القلم حتی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تا زمانی که بالغ نشده قلم تکلیف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قرآنی نیز این واژه بکار رفته و ما در آینده به تفصیل در این رابطه سخن خواهیم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آن‌چه گفته شد شایسته است در مورد این واژه و الفاظ مرادف و مشابه آن از نگاه لغویین و عرف بررسی بیشتری به عمل آید</w:t>
      </w:r>
      <w:r>
        <w:rPr>
          <w:rFonts w:eastAsia="IRNazanin" w:cs="IRNazanin"/>
          <w:color w:val="111111"/>
          <w:sz w:val="28"/>
          <w:szCs w:val="28"/>
          <w:rtl w:val="true"/>
          <w:lang w:bidi="fa-IR"/>
        </w:rPr>
        <w:t>.</w:t>
      </w:r>
      <w:bookmarkStart w:id="24" w:name="pg6142_67264"/>
    </w:p>
    <w:p>
      <w:pPr>
        <w:pStyle w:val="Heading3"/>
        <w:numPr>
          <w:ilvl w:val="2"/>
          <w:numId w:val="1"/>
        </w:numPr>
        <w:rPr/>
      </w:pPr>
      <w:bookmarkStart w:id="25" w:name="__RefHeading___Toc188898_237004111"/>
      <w:bookmarkStart w:id="26" w:name="_Toc9"/>
      <w:bookmarkEnd w:id="24"/>
      <w:bookmarkEnd w:id="25"/>
      <w:r>
        <w:rPr>
          <w:rtl w:val="true"/>
        </w:rPr>
        <w:t>گفتار اول</w:t>
      </w:r>
      <w:r>
        <w:rPr>
          <w:rtl w:val="true"/>
        </w:rPr>
        <w:t xml:space="preserve">: </w:t>
      </w:r>
      <w:r>
        <w:rPr>
          <w:rtl w:val="true"/>
        </w:rPr>
        <w:t>بلوغ و الفاظ مشابه آن در لغت</w:t>
      </w:r>
      <w:bookmarkEnd w:id="26"/>
    </w:p>
    <w:p>
      <w:pPr>
        <w:pStyle w:val="Heading4"/>
        <w:numPr>
          <w:ilvl w:val="3"/>
          <w:numId w:val="1"/>
        </w:numPr>
        <w:rPr/>
      </w:pPr>
      <w:bookmarkStart w:id="27" w:name="__RefHeading___Toc188900_23700411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این گفتار به بررسی معنای بلوغ و الفاظ مرادف و مشابه آن مانند حُلُم، احتلام و ادراک خواهیم پرداخت</w:t>
      </w:r>
      <w:r>
        <w:rPr>
          <w:rFonts w:eastAsia="IRNazanin" w:cs="IRNazanin"/>
          <w:color w:val="111111"/>
          <w:sz w:val="28"/>
          <w:szCs w:val="28"/>
          <w:rtl w:val="true"/>
          <w:lang w:bidi="fa-IR"/>
        </w:rPr>
        <w:t>.</w:t>
      </w:r>
    </w:p>
    <w:p>
      <w:pPr>
        <w:pStyle w:val="Heading4"/>
        <w:numPr>
          <w:ilvl w:val="3"/>
          <w:numId w:val="1"/>
        </w:numPr>
        <w:rPr/>
      </w:pPr>
      <w:bookmarkStart w:id="29" w:name="__RefHeading___Toc188902_237004111"/>
      <w:bookmarkStart w:id="30" w:name="_Toc11"/>
      <w:bookmarkEnd w:id="29"/>
      <w:r>
        <w:rPr>
          <w:rtl w:val="true"/>
        </w:rPr>
        <w:t>الف</w:t>
      </w:r>
      <w:r>
        <w:rPr>
          <w:rtl w:val="true"/>
        </w:rPr>
        <w:t xml:space="preserve">) </w:t>
      </w:r>
      <w:r>
        <w:rPr>
          <w:rtl w:val="true"/>
        </w:rPr>
        <w:t>بلوغ در لغت</w:t>
      </w:r>
      <w:bookmarkEnd w:id="30"/>
    </w:p>
    <w:p>
      <w:pPr>
        <w:pStyle w:val="BookText"/>
        <w:rPr/>
      </w:pPr>
      <w:r>
        <w:rPr>
          <w:rFonts w:ascii="IRNazanin" w:hAnsi="IRNazanin" w:eastAsia="IRNazanin"/>
          <w:color w:val="111111"/>
          <w:sz w:val="28"/>
          <w:sz w:val="28"/>
          <w:szCs w:val="28"/>
          <w:rtl w:val="true"/>
          <w:lang w:bidi="fa-IR"/>
        </w:rPr>
        <w:t>در لسان العرب، بلوغ این‌چنین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احتلم کانه بلغ وقت الکتاب علیه والتکلیف وکذلک بلغت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الصبی والجاریة اذا ادرکا وهما بالغان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بلوغِ شیء به معنای رسیدن آن چیز و انتهای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بلوغ صبی را به معنای احتلام دانسته و این‌که گویا وقت تکلیف او فرا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صحاح اللغة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المکان بلوغاً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إلیه وکذلک إذا شارفت علیه وبلغ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صحاح اللغة،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بلوغ را به معنای وصول و رسیدن و هم‌چنین در شرف رسیدن می‌داند ولی اگر متعلق به غلام شود آن را به ادراک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تاج العروس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المکان بلوغا وصل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تکونوا بالغیه الابشق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بلغن اجلهن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قاربنه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مکان به معنای رسیدن و منتهی شدن به مکان است یا مشارف شدن به مکان، اگرچه هنوز به آن منتهی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مطلبی را از مفردات نقل و به دنبال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وبلغ فی الجودة مبلغا کما فی العباب وفی المحکم ای احتلم کانه بلغ وقت الکتاب علیه والتکلیف، وکذلک بلغت الجاریة، وفی التهذیب بلغ الصبی والجاریة اذا ادرکا وهما بالغان</w:t>
      </w:r>
      <w:r>
        <w:rPr>
          <w:rFonts w:eastAsia="IRNazanin" w:cs="IRNazanin"/>
          <w:color w:val="111111"/>
          <w:sz w:val="28"/>
          <w:szCs w:val="28"/>
          <w:rtl w:val="true"/>
          <w:lang w:bidi="fa-IR"/>
        </w:rPr>
        <w:t>».</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بلوغ غلام و صبی به معنای ادراک و احتلام است و از محکم نقل می‌کند که گویا وقت تکلیف و الزام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احتلام و ادراک صبی را کنایه از رسیدن به حد تکلیف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این‌چنین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والبلوغ الوصول ایضا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بلغ طلقتم النساء فبلغن اجلهن فلا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بلغ الاطفال منکم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قوله بلغ الصبی بلوغا من باب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احتلم ولزمه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بالغ والجاریة بالغ</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بلوغ را به رسیدن معنا کرده و بلوغ الصبی را به معنای احتلام و لزوم تکلیف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بیان با تاج العروس و صحاح اللغة این است که آن‌ها بلوغ را به معنای احتلام گرفته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به معنای رسیدن به وقت تکلیف است، ولی ایشان آن دو را در عرض هم ذکر کرده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نیز ضمن این‌که بلوغ را به معنای وصول و رسیدن و یا در شرف رسیدن دانسته،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وبلغ الثمار ادرکت ونضجت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غلام و بلوغ ثمار به معنای ادراک و نضج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والبلاغ، الانتها، الی اقصی المقصد والمنتهی، مکانا کان أو زمانا أو أمرا من الأمور المقدرة وربما یعبّر به عن المشارفة علیه وإن لم ینته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bookmarkStart w:id="31" w:name="pg6142_67267"/>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به معنای رسیدن به نهایت مقصد و منتهی است، چه از حیث مکان و چه از حیث زمان یا امر دیگری که فرض شده باشد و گاهی از آن تعبیر به مشارفه می‌شود؛ یعنی نزدیک شدن به مقصد، اگرچه هنوز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آن‌چه در کتب لغت پیرامون لفظ بلوغ وارد شده، معلوم می‌گردد بلوغ در لغت به معنای رسیدن به مقصد یا در شرف رسیدن به مقصد است، اگرچه هنوز به مقصد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الصبی أو بلغت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احتلام و ادراک بوده و این معنا غیر از وصول است اگرچه مناسب با آن می‌باشد؛ یعنی می‌توان گفت رسیدن خاصی است</w:t>
      </w:r>
      <w:r>
        <w:rPr>
          <w:rFonts w:eastAsia="IRNazanin" w:cs="IRNazanin"/>
          <w:color w:val="111111"/>
          <w:sz w:val="28"/>
          <w:szCs w:val="28"/>
          <w:rtl w:val="true"/>
          <w:lang w:bidi="fa-IR"/>
        </w:rPr>
        <w:t>.</w:t>
      </w:r>
    </w:p>
    <w:p>
      <w:pPr>
        <w:pStyle w:val="Heading4"/>
        <w:numPr>
          <w:ilvl w:val="3"/>
          <w:numId w:val="1"/>
        </w:numPr>
        <w:rPr/>
      </w:pPr>
      <w:bookmarkStart w:id="32" w:name="__RefHeading___Toc188904_237004111"/>
      <w:bookmarkStart w:id="33" w:name="_Toc12"/>
      <w:bookmarkEnd w:id="32"/>
      <w:r>
        <w:rPr>
          <w:rtl w:val="true"/>
        </w:rPr>
        <w:t>ب</w:t>
      </w:r>
      <w:r>
        <w:rPr>
          <w:rtl w:val="true"/>
        </w:rPr>
        <w:t xml:space="preserve">) </w:t>
      </w:r>
      <w:r>
        <w:rPr>
          <w:rtl w:val="true"/>
        </w:rPr>
        <w:t>احتلام و حُلم در لغت</w:t>
      </w:r>
      <w:bookmarkEnd w:id="33"/>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والجمع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ایضا یجمع علی الاحلام،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من الله والحُلْم من الشیطان، والرؤیا والحُلْم عبارة عما یراه النائم فی نومه من الاشیاء، ولکن غلبت الرؤیا علی ما یراه من الخیر والشیء الحسن، وغلب الحُلْم علی ما یراه من الشرّ والقبیح،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اضغاث احلام ویستعمل کل واحد منهما موضع الآخر، وتضم لام الحُلُم وتسکن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قد حلم الرجل بالمرئة اذا حلم فی نومه انه یباشرها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والحُلْم والاحتلام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ونحوه فی النوم</w:t>
      </w:r>
      <w:r>
        <w:rPr>
          <w:rFonts w:eastAsia="IRNazanin" w:cs="IRNazanin"/>
          <w:color w:val="111111"/>
          <w:sz w:val="28"/>
          <w:szCs w:val="28"/>
          <w:rtl w:val="true"/>
          <w:lang w:bidi="fa-IR"/>
        </w:rPr>
        <w:t>».</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حُلم و احتلام به معنای چیزی است که در خواب دیده شود، لکن با استناد به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احتلام غلبه با شر و قبیح است، به خلاف رؤیا که در آن خیر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احتلام این‌گونه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رؤیة اللذة فی النوم، انزل ام لم ینزل،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رأت فی النوم انها تجامع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به معنای رؤیت لذت در خواب است، چه انزال صورت بگیرد و چه نگیرد و به همین معنا است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زن در خواب دید که آمیزش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تاج العروس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بالضم وبضمتین، الرؤیا وعلی الضم اقتصر الجوهری، وقال هو ما یراه النائم، قال شیخنا فهما مترادفان وعلیه مشی اکثر اهل اللغة وفرق بینهما الشارع فخصّ الرؤیا بالخیر وخصّ الحلم بضده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ایشان حُلم را به معنای رؤیا و مترادف با آن می‌داند و تاکید می‌کند شارع بین رؤیا و حُلم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از قول یکی از لغویین نقل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حقیقة فی خروج المنی بالاحتلام، ومجاز فی خروجه بغیر احتلام، یقظة او مناما او منقول فیما هو اعم من ذلک ویخرج منه الاحتلام بغیر خروج منی ان اطلقناه علیه منقولاً</w:t>
      </w:r>
    </w:p>
    <w:p>
      <w:pPr>
        <w:pStyle w:val="BookText"/>
        <w:rPr/>
      </w:pPr>
      <w:r>
        <w:rPr>
          <w:rFonts w:ascii="IRNazanin" w:hAnsi="IRNazanin" w:eastAsia="IRNazanin"/>
          <w:color w:val="111111"/>
          <w:sz w:val="28"/>
          <w:sz w:val="28"/>
          <w:szCs w:val="28"/>
          <w:rtl w:val="true"/>
          <w:lang w:bidi="fa-IR"/>
        </w:rPr>
        <w:t>عنه أو لکونه فردا من افراد الاحتلام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حلم، حقیقت در خروج منی به سبب احتلام است، ولی استعمال آن در خارج شدن منی به سببی غیر از احتلام چه در بیداری و چه در خواب، مجاز می‌باشد، هرچند احتمال منقول بودن آن را 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معنا در ذیل حدیث ذکر شده بعید نیست در شرع این معنا از احتلام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صحاح اللغة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بالفتح واحتلم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نظر جوهری حُلم عبارت از چیزی است که بیننده خواب آن را در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الموارد احتلام را این‌گونه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فی نومه حُلُما وحُلْماً واحتلم، رأی فی منامه رؤیا، وحلم الصبی واحتلم، ادرک وبلغ مبالغ الرجال</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ایشان حُلم و احتلام را به معنای رؤیا دانسته، ولی اگر به صبی متعلق شود آن را به ادراک و بلوغ و رسیدن به حد مردان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حلمت به فی نومی ای رأیته فی المنام</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وی دربارۀ معنای حُلم مانند نظر جوهری است</w:t>
      </w:r>
      <w:r>
        <w:rPr>
          <w:rFonts w:eastAsia="IRNazanin" w:cs="IRNazanin"/>
          <w:color w:val="111111"/>
          <w:sz w:val="28"/>
          <w:szCs w:val="28"/>
          <w:rtl w:val="true"/>
          <w:lang w:bidi="fa-IR"/>
        </w:rPr>
        <w:t>.</w:t>
      </w:r>
      <w:bookmarkStart w:id="34" w:name="pg6142_67270"/>
    </w:p>
    <w:p>
      <w:pPr>
        <w:pStyle w:val="BookText"/>
        <w:rPr/>
      </w:pPr>
      <w:bookmarkEnd w:id="34"/>
      <w:r>
        <w:rPr>
          <w:rFonts w:ascii="IRNazanin" w:hAnsi="IRNazanin" w:eastAsia="IRNazanin"/>
          <w:color w:val="111111"/>
          <w:sz w:val="28"/>
          <w:sz w:val="28"/>
          <w:szCs w:val="28"/>
          <w:rtl w:val="true"/>
          <w:lang w:bidi="fa-IR"/>
        </w:rPr>
        <w:t>از مجموع مطالب فوق معلوم می‌شود، حُلم و احتلام به معنای رؤیا و چیزی است که در خواب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نمی‌توان استعمال این الفاظ را در رؤیت شیء خاصی در خواب؛ مانند مباشرت و آمیزش یا رؤیت لذت و امثال آن منکر شد، اعم از این‌که انزال صورت بگیرد یا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احتلام الصبی به معنای ادراک الصبی و بلوغ الصبی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این معنا در عرف خاص متعارف بوده، نه آن‌که معنای لغوی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مقصود کشف معنای این الفاظ در ادلۀ شرعی است، نه کشف معنای حقیقی</w:t>
      </w:r>
      <w:r>
        <w:rPr>
          <w:rFonts w:eastAsia="IRNazanin" w:cs="IRNazanin"/>
          <w:color w:val="111111"/>
          <w:sz w:val="28"/>
          <w:szCs w:val="28"/>
          <w:rtl w:val="true"/>
          <w:lang w:bidi="fa-IR"/>
        </w:rPr>
        <w:t>.</w:t>
      </w:r>
    </w:p>
    <w:p>
      <w:pPr>
        <w:pStyle w:val="Heading4"/>
        <w:numPr>
          <w:ilvl w:val="3"/>
          <w:numId w:val="1"/>
        </w:numPr>
        <w:rPr/>
      </w:pPr>
      <w:bookmarkStart w:id="35" w:name="__RefHeading___Toc188906_237004111"/>
      <w:bookmarkStart w:id="36" w:name="_Toc13"/>
      <w:bookmarkEnd w:id="35"/>
      <w:r>
        <w:rPr>
          <w:rtl w:val="true"/>
        </w:rPr>
        <w:t>ج</w:t>
      </w:r>
      <w:r>
        <w:rPr>
          <w:rtl w:val="true"/>
        </w:rPr>
        <w:t xml:space="preserve">) </w:t>
      </w:r>
      <w:r>
        <w:rPr>
          <w:rtl w:val="true"/>
        </w:rPr>
        <w:t>ادراک در لغت</w:t>
      </w:r>
      <w:bookmarkEnd w:id="36"/>
    </w:p>
    <w:p>
      <w:pPr>
        <w:pStyle w:val="BookText"/>
        <w:rPr/>
      </w:pPr>
      <w:r>
        <w:rPr>
          <w:rFonts w:ascii="IRNazanin" w:hAnsi="IRNazanin" w:eastAsia="IRNazanin"/>
          <w:color w:val="111111"/>
          <w:sz w:val="28"/>
          <w:sz w:val="28"/>
          <w:szCs w:val="28"/>
          <w:rtl w:val="true"/>
          <w:lang w:bidi="fa-IR"/>
        </w:rPr>
        <w:t>در لسان العرب ادراک این‌چنین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اللحوق یقال مشیت حتی ادرکته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وادرک الغلام وادرک الثمرای بلغ</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ادراک به معنای لحوق و وصول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حتی ادرکته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رفتم تا به او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غلام نیز به معنای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تاج العروس ضمن نقل معنای لحوق برای ادراک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الشیء بلغ وقته وانتهی</w:t>
      </w:r>
      <w:r>
        <w:rPr>
          <w:rFonts w:eastAsia="IRNazanin" w:cs="IRNazanin"/>
          <w:color w:val="111111"/>
          <w:sz w:val="28"/>
          <w:szCs w:val="28"/>
          <w:rtl w:val="true"/>
          <w:lang w:bidi="fa-IR"/>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الشیء یعنی آن‌که وقت آن چیز رسیده و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صحاح اللغة نیز همین معنا را ذکر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صحاح اللغة،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بلغ اقصی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وادرک الصبی، بلغ غایة الصبا وذلک حین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یعنی رسیدن به آخرین حد چیزی و ادراک الصبی یعنی رسیدن به آخرین حد بچگی که زمان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ادرک الشیء بلغ وقته، یقال ادرک الثمر إذا نضج والقدر إذا بلغت أناها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والجاریة بلغا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 ووصل إلیه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اساس این معنا ادراکِ چیزی، رسیدن وقت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نیز در مورد ادراک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الادراک اللحوق یقال مشیت حتی ادرکته أی لحقته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نظر ادراک به معنای لحوق و وصول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لفظ ادراک علاوه بر آن‌که به معنای لحوق و وصول آمده، به بلوغ هم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بین این معنا و لحوق و وصول نیز مناسبت وجود دارد</w:t>
      </w:r>
      <w:r>
        <w:rPr>
          <w:rFonts w:eastAsia="IRNazanin" w:cs="IRNazanin"/>
          <w:color w:val="111111"/>
          <w:sz w:val="28"/>
          <w:szCs w:val="28"/>
          <w:rtl w:val="true"/>
          <w:lang w:bidi="fa-IR"/>
        </w:rPr>
        <w:t>.</w:t>
      </w:r>
      <w:bookmarkStart w:id="37" w:name="pg6142_67272"/>
    </w:p>
    <w:p>
      <w:pPr>
        <w:pStyle w:val="Heading4"/>
        <w:numPr>
          <w:ilvl w:val="3"/>
          <w:numId w:val="1"/>
        </w:numPr>
        <w:rPr/>
      </w:pPr>
      <w:bookmarkStart w:id="38" w:name="__RefHeading___Toc188908_237004111"/>
      <w:bookmarkStart w:id="39" w:name="_Toc14"/>
      <w:bookmarkEnd w:id="37"/>
      <w:bookmarkEnd w:id="38"/>
      <w:r>
        <w:rPr>
          <w:rtl w:val="true"/>
        </w:rPr>
        <w:t>جمع بندی</w:t>
      </w:r>
      <w:bookmarkEnd w:id="39"/>
    </w:p>
    <w:p>
      <w:pPr>
        <w:pStyle w:val="BookText"/>
        <w:rPr/>
      </w:pPr>
      <w:r>
        <w:rPr>
          <w:rFonts w:ascii="IRNazanin" w:hAnsi="IRNazanin" w:eastAsia="IRNazanin"/>
          <w:color w:val="111111"/>
          <w:sz w:val="28"/>
          <w:sz w:val="28"/>
          <w:szCs w:val="28"/>
          <w:rtl w:val="true"/>
          <w:lang w:bidi="fa-IR"/>
        </w:rPr>
        <w:t xml:space="preserve">با بررسی آن‌چه در کتب لغت پیرامون این 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احتلام،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معلوم می‌گردد که اگر این الفاظ به صبی و غلام نسبت داده شوند به یک معنا بوده و مترادف می‌باشند و آن خروج از حد بچگی و رسیدن به حد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لفظ بلوغ و ادراک در ریشه لغوی مترادف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مناسبت ریشه لغوی آن دو با این معنا نیز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تأمل در مطالب منقول از اهل لغت معلوم شد اکثر آنان این الفاظ را به معنای رسیدن به حد تکلیف و الزام ندانسته‌اند، گر چه ممکن است رسیدن به حد مردان و زنان ملازم با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عنایت به این‌که بلوغ الصبی به معنای احتلام است و احتلام الصبی یعنی آمیزش در خواب، اعم از این‌که انزال صورت گیرد یا نگیرد،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بلوغ یعنی آمادگی بچه برای اموری که مختص مردان و زنان است و آن رسیدن به حدی است که شهوت و میل قوی نسبت به جنس مخالف پیدا کند و آمادگی آمیزش با او را پیدا نماید، هرچند مطلق شهوت ممکن است قبل از این نیز وجود داشته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آن‌چه گفته شد می‌توان ادعا نمود مراد از بلوغ الصبی و بلوغ الصبیة همان بلوغ جنسی است؛ زیرا رسیدن پسر به حد مردانگی و رسیدن دختر به حد زنانگی جز با بلوغ جنسی محقق نمی‌شود</w:t>
      </w:r>
      <w:r>
        <w:rPr>
          <w:rFonts w:eastAsia="IRNazanin" w:cs="IRNazanin"/>
          <w:color w:val="111111"/>
          <w:sz w:val="28"/>
          <w:szCs w:val="28"/>
          <w:rtl w:val="true"/>
          <w:lang w:bidi="fa-IR"/>
        </w:rPr>
        <w:t>.</w:t>
      </w:r>
      <w:bookmarkStart w:id="40" w:name="pg6142_67273"/>
    </w:p>
    <w:p>
      <w:pPr>
        <w:pStyle w:val="Heading3"/>
        <w:numPr>
          <w:ilvl w:val="2"/>
          <w:numId w:val="1"/>
        </w:numPr>
        <w:rPr/>
      </w:pPr>
      <w:bookmarkStart w:id="41" w:name="__RefHeading___Toc188910_237004111"/>
      <w:bookmarkStart w:id="42" w:name="_Toc15"/>
      <w:bookmarkEnd w:id="40"/>
      <w:bookmarkEnd w:id="41"/>
      <w:r>
        <w:rPr>
          <w:rtl w:val="true"/>
        </w:rPr>
        <w:t>گفتار دوم</w:t>
      </w:r>
      <w:r>
        <w:rPr>
          <w:rtl w:val="true"/>
        </w:rPr>
        <w:t xml:space="preserve">: </w:t>
      </w:r>
      <w:r>
        <w:rPr>
          <w:rtl w:val="true"/>
        </w:rPr>
        <w:t>بلوغ در عرف</w:t>
      </w:r>
      <w:bookmarkEnd w:id="42"/>
    </w:p>
    <w:p>
      <w:pPr>
        <w:pStyle w:val="Heading4"/>
        <w:numPr>
          <w:ilvl w:val="3"/>
          <w:numId w:val="1"/>
        </w:numPr>
        <w:rPr/>
      </w:pPr>
      <w:bookmarkStart w:id="43" w:name="__RefHeading___Toc188912_237004111"/>
      <w:bookmarkStart w:id="44" w:name="_Toc16"/>
      <w:bookmarkEnd w:id="43"/>
      <w:r>
        <w:rPr>
          <w:rtl w:val="true"/>
        </w:rPr>
        <w:t>الف</w:t>
      </w:r>
      <w:r>
        <w:rPr>
          <w:rtl w:val="true"/>
        </w:rPr>
        <w:t xml:space="preserve">) </w:t>
      </w:r>
      <w:r>
        <w:rPr>
          <w:rtl w:val="true"/>
        </w:rPr>
        <w:t>عرف عام</w:t>
      </w:r>
      <w:bookmarkEnd w:id="44"/>
    </w:p>
    <w:p>
      <w:pPr>
        <w:pStyle w:val="BookText"/>
        <w:rPr/>
      </w:pPr>
      <w:r>
        <w:rPr>
          <w:rFonts w:ascii="IRNazanin" w:hAnsi="IRNazanin" w:eastAsia="IRNazanin"/>
          <w:color w:val="111111"/>
          <w:sz w:val="28"/>
          <w:sz w:val="28"/>
          <w:szCs w:val="28"/>
          <w:rtl w:val="true"/>
          <w:lang w:bidi="fa-IR"/>
        </w:rPr>
        <w:t>بلوغ پسر و دختر در عرف عام عبارت از رسیدن به حد مردانگی و زنانگی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فلان پسر یا دختر بالغ شد، در نظر عرف به این معنا است که او مرد یا زن شده است؛ یعنی هنگامی که تمایلات خاص مردان و زنان به جنس مخالف در بچه‌ای پیدا شد و آمادگی فعالیت‌های اختصاصی مردان و زنان را پیدا کرد، گفته می‌شود او بالغ شده است؛ به عبارت دیگر بلوغ نزد عرف همان بلوغ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عرف به راحتی می‌توان به صحت این ادعا واقف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رابطه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المعلوم لغة کالعرف کون الغلام متی احتلم بلغ وادرک وخرج عن حدّ الطفولیة ودخل فی حدّ الرجولیة وکذا الجاریة إذا ادرکت واعصرت فانّها تکون امرأة کغیرها</w:t>
      </w:r>
    </w:p>
    <w:p>
      <w:pPr>
        <w:pStyle w:val="BookText"/>
        <w:rPr/>
      </w:pP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از دید لغت و عرف وقتی پسر بچه‌ای محتلم شود، بالغ شده و از حد طفولیت خارج و وارد دوران مردانگی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دختران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بلوغ جنسی همراه با تغییرات کلی در تمام ارگانیسم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تغییرات در بعد روحی و روانی نیز وجود دارد و برای فرد بالغ شخصیت تازه‌ای ایجاد می‌کند ولی در عرف عام بیشتر بر جنبه‌های غریزی جنسی تأکید و کمتر به تغییر رفتاری و روحی و روانی او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به آن اشاره شود این است که غریزه و میل جنسی و توانایی بر فعالیت‌های جنسی به نحوی که در بزرگسالان وجود دارد با آن‌چه که در این دوران پدید می‌آید و آن‌چه قبل از آن وجود داشته،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صدد نیستیم آن سخن فروید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غریزه جنسی از بدو تولد کودک در وی وجود دارد و کودک با غریزه جنسی متولد می‌شود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را بپذیریم، ولی نمی‌توان وجود غریزه جنسی را قبل از بلوغ انکار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بلوغ جنسی توانایی بر انجام فعالیت‌های جنسی عادی و تولید مثل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نقطۀ عطف تبدیل دوران کودکی به نوجوانی است و عرف نیز با توجه به این رویداد مهم دیگر شخصی را که به این مرحله رسیده، کودک به حساب نمی‌آورد</w:t>
      </w:r>
      <w:r>
        <w:rPr>
          <w:rFonts w:eastAsia="IRNazanin" w:cs="IRNazanin"/>
          <w:color w:val="111111"/>
          <w:sz w:val="28"/>
          <w:szCs w:val="28"/>
          <w:rtl w:val="true"/>
          <w:lang w:bidi="fa-IR"/>
        </w:rPr>
        <w:t>.</w:t>
      </w:r>
      <w:bookmarkStart w:id="45" w:name="pg6142_67275"/>
    </w:p>
    <w:p>
      <w:pPr>
        <w:pStyle w:val="BookText"/>
        <w:rPr/>
      </w:pPr>
      <w:bookmarkEnd w:id="45"/>
      <w:r>
        <w:rPr>
          <w:rFonts w:ascii="IRNazanin" w:hAnsi="IRNazanin" w:eastAsia="IRNazanin"/>
          <w:color w:val="111111"/>
          <w:sz w:val="28"/>
          <w:sz w:val="28"/>
          <w:szCs w:val="28"/>
          <w:rtl w:val="true"/>
          <w:lang w:bidi="fa-IR"/>
        </w:rPr>
        <w:t>البته بعید نیست در عرف عام، علاوه بر آن‌چه گفته شد، بلوغ به معنای رسیدن به سن خاص و اهلیت برای انجام برخی امور نیز باشد</w:t>
      </w:r>
      <w:r>
        <w:rPr>
          <w:rFonts w:eastAsia="IRNazanin" w:cs="IRNazanin"/>
          <w:color w:val="111111"/>
          <w:sz w:val="28"/>
          <w:szCs w:val="28"/>
          <w:rtl w:val="true"/>
          <w:lang w:bidi="fa-IR"/>
        </w:rPr>
        <w:t>.</w:t>
      </w:r>
    </w:p>
    <w:p>
      <w:pPr>
        <w:pStyle w:val="Heading4"/>
        <w:numPr>
          <w:ilvl w:val="3"/>
          <w:numId w:val="1"/>
        </w:numPr>
        <w:rPr/>
      </w:pPr>
      <w:bookmarkStart w:id="46" w:name="__RefHeading___Toc188914_237004111"/>
      <w:bookmarkStart w:id="47" w:name="_Toc17"/>
      <w:bookmarkEnd w:id="46"/>
      <w:r>
        <w:rPr>
          <w:rtl w:val="true"/>
        </w:rPr>
        <w:t>ب</w:t>
      </w:r>
      <w:r>
        <w:rPr>
          <w:rtl w:val="true"/>
        </w:rPr>
        <w:t xml:space="preserve">) </w:t>
      </w:r>
      <w:r>
        <w:rPr>
          <w:rtl w:val="true"/>
        </w:rPr>
        <w:t>عرف خاص</w:t>
      </w:r>
      <w:bookmarkEnd w:id="47"/>
    </w:p>
    <w:p>
      <w:pPr>
        <w:pStyle w:val="BookText"/>
        <w:rPr/>
      </w:pPr>
      <w:r>
        <w:rPr>
          <w:rFonts w:ascii="IRNazanin" w:hAnsi="IRNazanin" w:eastAsia="IRNazanin"/>
          <w:color w:val="111111"/>
          <w:sz w:val="28"/>
          <w:sz w:val="28"/>
          <w:szCs w:val="28"/>
          <w:rtl w:val="true"/>
          <w:lang w:bidi="fa-IR"/>
        </w:rPr>
        <w:t>آن‌چه در نظر پزشکان حائز اهمیت می‌باشد، صرفاً تغییرات جسمی دوران بلوغ است و بلوغ در عرف این گروه چیزی جز بلوغ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با اذعان به این‌که رویداد اصلی در این دوران بلوغ جنسی است، بیشتر به تجزیه و تحلیل شخصیت، رفتار و روان شخص بالغ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از قبیل عشق، میل شدید به استقلال، اجتماعی شدن، توانایی‌های تازه شناختی و عقلانی، شکل گرفتن تفکر منظم قیاسی، رشد اخلاقی و تأمل در قضایای اخلاقی و در یک کلمه ساخت و سازمان درونی و بیرونی شخصیت شخص بالغ مورد توجه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قانونگذاران و حقوقدانان واژۀ بلوغ کمتر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برخی قوانین و معاهده‌ها و اعلامیه‌ها این تعبیر مشاهده می‌شود ولی در اکثریت قریب به اتفاق قوانین و معاهدات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در موارد گوناگون، سنین مختلف به عنوان مبدأ اهلیت ذکر شده است؛ همانند سن رأی، سن اخذ گواهینامه و گذرنامه، سن سربازی، سن معامله، سن ازدواج، سن 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بلوغ در عرف این گروه رسیدن به سن خاصی به حسب موارد مختلف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کتب فقهی نیز معلوم می‌شود بلوغ نزد فقیهان اجمالاً به معنای رسیدن به حد تکلیف و الزام است، لکن در این‌که چه زمانی تکلیف ثابت می‌شود و حدّ آن کدام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فقها حد آن را بلوغ جنسی دانسته و کثیری از آنان سن خاصی را ملاک قرار داده‌اند، ضمن آن‌که گروه اول سن خاص را به طور کلی نفی نکرده و دستۀ دوم نیز برای بلوغ جنسی به نوعی مدخلیت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نکتۀ مهم آن است که چگونه در فتاوا، هر دو مورد ذکر شده و آیا می‌توان بین نشانه‌های طبیعی و بین سنّ جمع نمود؟ این مطلبی است که در مباحث آینده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مناسب است چند نمونه از عبارات فقیهان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وهو الوصول الی قابلیة ان یطامع وجود محل الوطی وقابلیة ان یوطأ وطأً قابلا لان تنبعث عنه الشهوة‌و یترتب علیه مع وجود محل الوطی وقابلیة الغسل حتی لو خلق ابتداءً علی هذه الحالة کخلق آدم علیه السلام کان بالغا وهو اول مراتب صدق الفحولة والرّجولة فی الذکر واول مراتب صدق المرئه فی الانثی وهو بمنزلة الجذع والجذعة فی الضأن وما ماثله من الأسماء فی البهائم وهو اول مراتب کمال العقل بحسب اختلاف العقلاء فیکون المدار علی وجود المنی المستعد للخروج فی الاصلاب والترائب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کشف الغطاء،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عبارت از رسیدن به حد توانایی تمایل به بودن کسی که بتواند با او آمیزش کند و نیز قابلیت آمیزش به نحوی که برانگیزانندۀ شهوت باشد و در صورت فراهم بودن آن، شهوتش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ایشان بلوغ یعنی رسیدن به قابلیت آمیزش و برانگیخته شدن شهوت و این مرتبه اولین مرتبه از مراتب صدق مردانگی بر جنس مذکر و اولین مرتبه از مراتب صدق زنانگی بر جنس مونث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اللغة الادراک بلوغ الحلم والوصول الی حد النکاح بسبب تکون المنی فی البدن وتحرک الشهوة والنزوع الی الجماع وانزال الماء الدافق الذی هو مبدا خلق الانسان بمقتضی الحکمة الربانیة فیه وفی غیره من الحیوان لبقاء النوع فهو حینئذ کمال طبیعی للانسان یبقی به النسل ویقوی معه العقل وهو حال انتقال الاطفال الی حدّ الکمال والبلوغ مبالغ النساء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البلوغ من الأمور الطبیعیة المعروفة فی اللغة والعرف ولیس من الموضوعات الشرعیة التی لا تعلم الا من جهة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بلوغی که در لغت عبارت از ادراک است، همان بلوغ حُلم و رسیدن به حد ازدواج است و سبب آن پدیدار شدن منی در بدن و پیدا شدن شهوت و میل به آمیزش و انزال منی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بلوغ در حقیقت کمال طبیعی برای انسان است که به واسطه آن نسل بشر باقی می‌ماند و عقل او تقویت می‌گردد و این کمال همان حالت رسیدن به مردانگی و زنانگی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از امور طبیعی شناخته شده در عرف و لغت است و از موضوعات شرعی نیست که فقط باید شارع آن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از بزرگان در این رابطه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حالة طبیعیة تکوینیة کالصباوة والشیخوخة والهرم جعلها الله فی الانسان بل فی مطلق الحیوان الذی له توالد وتناسل ابقاء للنوع ویحدث لعروض تلک الحالة التمایل الجنسی ولیس البلوغ امرا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مهذب الاحکام،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یک حالت طبیعی تکوینی مانند بچگی و پیری است که خداوند آن را در انسان بلکه در مطلق حیوان که زاد و ولد دارد، برای بقای نسل قرار داده و با عروض این حالت تمایل جنسی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بلوغ یک امر تعبدی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شد معلوم می‌شود بلوغ نزد جمعی از فقها امری تعبدی نبوده بلکه یک حالت طبیعی است که از آن به بلوغ جنسی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 از بلوغ مورد اشکال نیز واقع شده، چنان‌چه مرحوم آیت‌الله خوانساری رحمه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ولازم ما ذکر انه مع القطع بعدم الوصول الی ذلک الکمال لا یرتفع الحجر ولا یترتب الآثار المترتبة علی البلوغ وان بلغ خمسة عشر سنة ولا اظن ان یلتزم به وان التزموا بحصوله قبل البلوغ الی هذا الحد من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لازمۀ آن‌چه ذکر شد این است که اگر یقین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کمالی نرسیده، آثار مترتب بر بلوغ مترتب نمی‌شوند و او</w:t>
      </w:r>
      <w:bookmarkStart w:id="48" w:name="pg6142_67279"/>
    </w:p>
    <w:p>
      <w:pPr>
        <w:pStyle w:val="BookText"/>
        <w:rPr/>
      </w:pPr>
      <w:bookmarkEnd w:id="48"/>
      <w:r>
        <w:rPr>
          <w:rFonts w:ascii="IRNazanin" w:hAnsi="IRNazanin" w:eastAsia="IRNazanin"/>
          <w:color w:val="111111"/>
          <w:sz w:val="28"/>
          <w:sz w:val="28"/>
          <w:szCs w:val="28"/>
          <w:rtl w:val="true"/>
          <w:lang w:bidi="fa-IR"/>
        </w:rPr>
        <w:t>هم چنان محجور باقی می‌ماند، هرچند به سن پانزده سالگی رسیده باشد و من گمان نمی‌کنم بتوان به این امر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فقها به حصول این کمال قبل از رسیدن به این حد از سن ملتزم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همان‌گونه که اشاره شد برخی از فقها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مطرح کرده‌اند؛ چنان‌چه صاحب جواهر رحمه الله در بحث استصحاب عدم بلوغ در پاسخ شبهه‌ای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خلاف ما علیه الاصحاب من ان السن بلوغ فی الشرع</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آن شبهه بر این استوار است که مراد از بلوغ همان بلوغ حُلم و کمال طبیعی انسان است و امور مذکور علامت‌های آن می‌باشند، حتی سن که کاشف از رسیدن به آن کمال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نظر اصحاب است که سن را در شرع، بلوغ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مطلب با آن‌چه سابقا از ایشان نقل شد متفاوت است ولی می‌توان به نوعی بین این دو عبارت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تاکنون ذکر شد می‌توان نتیجه گرفت که از دیدگاه فقها بلوغ عبارت از بلوغ جنسی و هم‌چنین رسیدن به سن خاص و در یک جمله وصول به حد تکلیف است</w:t>
      </w:r>
      <w:r>
        <w:rPr>
          <w:rFonts w:eastAsia="IRNazanin" w:cs="IRNazanin"/>
          <w:color w:val="111111"/>
          <w:sz w:val="28"/>
          <w:szCs w:val="28"/>
          <w:rtl w:val="true"/>
          <w:lang w:bidi="fa-IR"/>
        </w:rPr>
        <w:t>.</w:t>
      </w:r>
    </w:p>
    <w:p>
      <w:pPr>
        <w:pStyle w:val="Heading4"/>
        <w:numPr>
          <w:ilvl w:val="3"/>
          <w:numId w:val="1"/>
        </w:numPr>
        <w:rPr/>
      </w:pPr>
      <w:bookmarkStart w:id="49" w:name="__RefHeading___Toc188916_237004111"/>
      <w:bookmarkStart w:id="50" w:name="_Toc18"/>
      <w:bookmarkEnd w:id="49"/>
      <w:r>
        <w:rPr>
          <w:rtl w:val="true"/>
        </w:rPr>
        <w:t>نتیجۀ کلی</w:t>
      </w:r>
      <w:bookmarkEnd w:id="50"/>
    </w:p>
    <w:p>
      <w:pPr>
        <w:pStyle w:val="BookText"/>
        <w:rPr/>
      </w:pPr>
      <w:r>
        <w:rPr>
          <w:rFonts w:ascii="IRNazanin" w:hAnsi="IRNazanin" w:eastAsia="IRNazanin"/>
          <w:color w:val="111111"/>
          <w:sz w:val="28"/>
          <w:sz w:val="28"/>
          <w:szCs w:val="28"/>
          <w:rtl w:val="true"/>
          <w:lang w:bidi="fa-IR"/>
        </w:rPr>
        <w:t>بلوغ دارای سه اصطلاح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جنسی که همان کمال طبیعی انسان و آمادگی او برای</w:t>
      </w:r>
    </w:p>
    <w:p>
      <w:pPr>
        <w:pStyle w:val="BookText"/>
        <w:rPr/>
      </w:pPr>
      <w:r>
        <w:rPr>
          <w:rFonts w:ascii="IRNazanin" w:hAnsi="IRNazanin" w:eastAsia="IRNazanin"/>
          <w:color w:val="111111"/>
          <w:sz w:val="28"/>
          <w:sz w:val="28"/>
          <w:szCs w:val="28"/>
          <w:rtl w:val="true"/>
          <w:lang w:bidi="fa-IR"/>
        </w:rPr>
        <w:t>آمیزش و تولید مثل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به این معنا یک امر طبیعی بوده و نشانه‌های طبیعی خاصی نیز دارد که در کتب مربوطه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شارع برای برخی از این نشانه‌ها به عنوان مبدأ ثبوت تکلیف، قیودی نیز در نظر گرفته؛ مانند اعتبار وقت امکان برای حیض و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لغت و عرف نیز معهود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سن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بلوغ به این معنا دیگر یک امر طبیعی نبوده و نشانۀ خاصی ندارد بلکه نفس رسیدن به این حد عبارت از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فی الجمله در عرف عام و نزد قانونگذاران و فقها مورد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سن ثبوت تکلیف در موارد مختلف یکسان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حد تکلیف و الزام که به نوعی اعم از دو اصطلاح قبلی است؛ یعنی هم بلوغ جنسی می‌تواند مصداق آن باشد و هم وصول به سن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مشهور فقها این معنا از بلوغ اراده شده است</w:t>
      </w:r>
      <w:r>
        <w:rPr>
          <w:rFonts w:eastAsia="IRNazanin" w:cs="IRNazanin"/>
          <w:color w:val="111111"/>
          <w:sz w:val="28"/>
          <w:szCs w:val="28"/>
          <w:rtl w:val="true"/>
          <w:lang w:bidi="fa-IR"/>
        </w:rPr>
        <w:t>.</w:t>
      </w:r>
      <w:bookmarkStart w:id="51" w:name="pg6142_67281"/>
    </w:p>
    <w:p>
      <w:pPr>
        <w:pStyle w:val="Heading3"/>
        <w:numPr>
          <w:ilvl w:val="2"/>
          <w:numId w:val="1"/>
        </w:numPr>
        <w:rPr/>
      </w:pPr>
      <w:bookmarkStart w:id="52" w:name="__RefHeading___Toc188918_237004111"/>
      <w:bookmarkStart w:id="53" w:name="_Toc19"/>
      <w:bookmarkEnd w:id="51"/>
      <w:bookmarkEnd w:id="52"/>
      <w:r>
        <w:rPr>
          <w:rtl w:val="true"/>
        </w:rPr>
        <w:t>گفتار سوم</w:t>
      </w:r>
      <w:r>
        <w:rPr>
          <w:rtl w:val="true"/>
        </w:rPr>
        <w:t xml:space="preserve">: </w:t>
      </w:r>
      <w:r>
        <w:rPr>
          <w:rtl w:val="true"/>
        </w:rPr>
        <w:t>تفاوت بلوغ با تمییز و رشد</w:t>
      </w:r>
      <w:bookmarkEnd w:id="53"/>
    </w:p>
    <w:p>
      <w:pPr>
        <w:pStyle w:val="Heading4"/>
        <w:numPr>
          <w:ilvl w:val="3"/>
          <w:numId w:val="1"/>
        </w:numPr>
        <w:rPr/>
      </w:pPr>
      <w:bookmarkStart w:id="54" w:name="__RefHeading___Toc188920_237004111"/>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پس از روشن شدن معنای بلوغ، در این گفتار اشاره‌ای اجمالی به معنای تمییز و رشد و تفاوت آن‌ها با بلوغ خواهد شد</w:t>
      </w:r>
      <w:r>
        <w:rPr>
          <w:rFonts w:eastAsia="IRNazanin" w:cs="IRNazanin"/>
          <w:color w:val="111111"/>
          <w:sz w:val="28"/>
          <w:szCs w:val="28"/>
          <w:rtl w:val="true"/>
          <w:lang w:bidi="fa-IR"/>
        </w:rPr>
        <w:t>.</w:t>
      </w:r>
    </w:p>
    <w:p>
      <w:pPr>
        <w:pStyle w:val="Heading4"/>
        <w:numPr>
          <w:ilvl w:val="3"/>
          <w:numId w:val="1"/>
        </w:numPr>
        <w:rPr/>
      </w:pPr>
      <w:bookmarkStart w:id="56" w:name="__RefHeading___Toc188922_237004111"/>
      <w:bookmarkStart w:id="57" w:name="_Toc21"/>
      <w:bookmarkEnd w:id="56"/>
      <w:r>
        <w:rPr>
          <w:rtl w:val="true"/>
        </w:rPr>
        <w:t>الف</w:t>
      </w:r>
      <w:r>
        <w:rPr>
          <w:rtl w:val="true"/>
        </w:rPr>
        <w:t xml:space="preserve">) </w:t>
      </w:r>
      <w:r>
        <w:rPr>
          <w:rtl w:val="true"/>
        </w:rPr>
        <w:t>تمییز</w:t>
      </w:r>
      <w:bookmarkEnd w:id="57"/>
    </w:p>
    <w:p>
      <w:pPr>
        <w:pStyle w:val="BookText"/>
        <w:rPr/>
      </w:pPr>
      <w:r>
        <w:rPr>
          <w:rFonts w:ascii="IRNazanin" w:hAnsi="IRNazanin" w:eastAsia="IRNazanin"/>
          <w:color w:val="111111"/>
          <w:sz w:val="28"/>
          <w:sz w:val="28"/>
          <w:szCs w:val="28"/>
          <w:rtl w:val="true"/>
          <w:lang w:bidi="fa-IR"/>
        </w:rPr>
        <w:t>جوهری در صحاح اللغة تمییز را این‌چنین معنی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مِزتُ الشیء امیزُه 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عزلته وفرزته وکذلک مَیَّزته تمییزا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 القوم، اذا تمیز بعضهم عن بعض وفلان یکاد یتمیّز من الغیظ، ای یتقطّع</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صحاح اللغة،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بیان تمیز به معنای عزل و فرز یعنی قطع کردن و جدا کردن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این‌چنین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بین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مزت بعضه من بعض فانا امیزه 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عزلته وفرزته وکذلک میّزته تمییزا فانماز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 الشیء میزا ومیزَةً ومَیَّزَه فصل بعضه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مزت الشیء من الشیء، اذا فرقت بینهما فانماز ومَیَّزته فتمیز</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تمییز را به معنای فصل، تفریق، قطع کردن و جدا کردن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نیز همین معنا ذکر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والتمییز الفصل بین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والتمییز یقال تارة للفصل وتارة للقوة التی فی الدماغ وبها تستنبط المعانی ومنه یقال فلان لا تمیز 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نظر وی تمییز به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معنای فصل و دیگری به معنای قوۀ فکری که به سبب آن معانی استنباط می‌شود و از همین قبیل است وقتی گفته می‌شود فلانی تمییز ندارد یعنی فاقد قدرت تشخیص و درک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تاج العروس نیز قریب به همین معانی را ذکر کرده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کتب لغت پیرامون این واژه ذکر شده، معلوم می‌گردد معنای لغوی تمییز، فصل، تفریق، جدا کردن، قطع کردن و مانند آن می‌باشد</w:t>
      </w:r>
      <w:r>
        <w:rPr>
          <w:rFonts w:eastAsia="IRNazanin" w:cs="IRNazanin"/>
          <w:color w:val="111111"/>
          <w:sz w:val="28"/>
          <w:szCs w:val="28"/>
          <w:rtl w:val="true"/>
          <w:lang w:bidi="fa-IR"/>
        </w:rPr>
        <w:t>.</w:t>
      </w:r>
      <w:bookmarkStart w:id="58" w:name="pg6142_67283"/>
    </w:p>
    <w:p>
      <w:pPr>
        <w:pStyle w:val="BookText"/>
        <w:rPr/>
      </w:pPr>
      <w:bookmarkEnd w:id="58"/>
      <w:r>
        <w:rPr>
          <w:rFonts w:ascii="IRNazanin" w:hAnsi="IRNazanin" w:eastAsia="IRNazanin"/>
          <w:color w:val="111111"/>
          <w:sz w:val="28"/>
          <w:sz w:val="28"/>
          <w:szCs w:val="28"/>
          <w:rtl w:val="true"/>
          <w:lang w:bidi="fa-IR"/>
        </w:rPr>
        <w:t>در لسان فقها نیز تعابیر مختلفی در این رابطه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خوبی و بدی، نفع و ضرر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مبسوط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ان کان طفلاً بلغ حداً یمیز بین ضرّه ونفعه وهو إذا بلغ سبع سنین او ثمانی سنین فما فوقها الی البلوغ</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تمییز را به معنای جدا کردن ضرر و نفع و زمان آن را سنین هفت یا هشت سالگی تا دوران بلوغ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آن‌چه در کتب فقهی در این رابطه ذکر شده با آن‌چه لغویین گفته‌اند منافات ندارد؛ زیرا در لسان فقها فصل و فرز نسبت به خصوص خیر و شر یا نفع و ضرر است</w:t>
      </w:r>
      <w:r>
        <w:rPr>
          <w:rFonts w:eastAsia="IRNazanin" w:cs="IRNazanin"/>
          <w:color w:val="111111"/>
          <w:sz w:val="28"/>
          <w:szCs w:val="28"/>
          <w:rtl w:val="true"/>
          <w:lang w:bidi="fa-IR"/>
        </w:rPr>
        <w:t>.</w:t>
      </w:r>
    </w:p>
    <w:p>
      <w:pPr>
        <w:pStyle w:val="Heading4"/>
        <w:numPr>
          <w:ilvl w:val="3"/>
          <w:numId w:val="1"/>
        </w:numPr>
        <w:rPr/>
      </w:pPr>
      <w:bookmarkStart w:id="59" w:name="__RefHeading___Toc188924_237004111"/>
      <w:bookmarkStart w:id="60" w:name="_Toc22"/>
      <w:bookmarkEnd w:id="59"/>
      <w:r>
        <w:rPr>
          <w:rtl w:val="true"/>
        </w:rPr>
        <w:t>ب</w:t>
      </w:r>
      <w:r>
        <w:rPr>
          <w:rtl w:val="true"/>
        </w:rPr>
        <w:t xml:space="preserve">) </w:t>
      </w:r>
      <w:r>
        <w:rPr>
          <w:rtl w:val="true"/>
        </w:rPr>
        <w:t>رشد</w:t>
      </w:r>
      <w:bookmarkEnd w:id="60"/>
    </w:p>
    <w:p>
      <w:pPr>
        <w:pStyle w:val="BookText"/>
        <w:rPr/>
      </w:pPr>
      <w:r>
        <w:rPr>
          <w:rFonts w:ascii="IRNazanin" w:hAnsi="IRNazanin" w:eastAsia="IRNazanin"/>
          <w:color w:val="111111"/>
          <w:sz w:val="28"/>
          <w:sz w:val="28"/>
          <w:szCs w:val="28"/>
          <w:rtl w:val="true"/>
          <w:lang w:bidi="fa-IR"/>
        </w:rPr>
        <w:t>رشد در لسان العرب این‌چنین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والرَشَد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نقیض الضلال اذا اصاب وجه الامر والطریق</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رشد نقیض غی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راه درست و وجه چیزی دسترسی پیدا کند رشد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اسماء خداوند تبارک و تعالی است؛ یعنی کسی که خلق را به مصالحشان هدایت و راهنمایی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صحاح اللغة نیز قریب به همین معنا آمده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صاحب اقرب الموارد رشد را این‌گونه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رشدا ورشدا ورشادا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اقرب الموارد،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به غیر از هدایت، معنای دیگری نیز برای رشد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الاستقامة علی طریق الحق مع تصلب فیه وضد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عبارت از استقامت بر طریق حق به همراه پافشاری در آن است و ضد گمراهی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در رابطه با معنای رشد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خلاف الغی والضلال وفسر باصابة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والرشد الصلاح وهو اصابة الحق وامرٌ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در مقابل گمراهی و ضلالت به معنای اصابت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که صواب آن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فقها هم تعاریف متعددی از رشد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قواعد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الرشد فهو کیفیة نفسانیة تمنع من افساد المال، وصرفه فی غیر الوجوه اللائقة بافعال العقلا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عبارت از یک حالت نفسانی است که مانع از بین بردن مال و صرف آن در راه‌های غیرعقلایی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دربارۀ معنای رشد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وهوان یکون مصلحا لماله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یعنی آن‌که شخص نسبت به مالش مصلح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در ذیل قول ماتن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 الاصلاح موجبا للرشد بل الحق ان الرشد ملکة نفسانیه تقتضی اصلاح المال وتمنع من افساده وصرفه فی غیر الوجوه اللائقة بافعال العقلا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اصلاح موجب رشد نیست، بلکه حق آن است که رشد ملکه‌ای نفسانی است که مقتضی اصلاح مال بوده و مانع از بین بردن و صرف آن در غیرمصارف عقلایی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مذکور معلوم می‌گردد بین آن‌چه لغویین در مورد معنای رشد گفته‌اند و بین آن‌چه از فقها در تفسیر کلمه رشد وارد شده، تنافی نیست؛ زیرا رشد نزد لغویین عبارت از مطلق اصلاح ولی نزد فقها اصلاح خاص می‌باشد، چنان‌چه صاحب جواهر به این امر اشاره نموده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ایشان ضمن نقل برخی از تعاریف در مورد رشد و تأکید بر عرفی بودن معنای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بزرگان در مورد چنین الفاظی این است که اقدام به تحدید و تعریف تام نمی‌کنند و وجه آن هم اعتماد و اتکال بر عرف است</w:t>
      </w:r>
      <w:r>
        <w:rPr>
          <w:rFonts w:eastAsia="IRNazanin" w:cs="IRNazanin"/>
          <w:color w:val="111111"/>
          <w:sz w:val="28"/>
          <w:szCs w:val="28"/>
          <w:rtl w:val="true"/>
          <w:lang w:bidi="fa-IR"/>
        </w:rPr>
        <w:t>.</w:t>
      </w:r>
      <w:r>
        <w:rPr>
          <w:rStyle w:val="FootnoteAnchor"/>
          <w:rtl w:val="true"/>
        </w:rPr>
        <w:footnoteReference w:id="48"/>
      </w:r>
      <w:bookmarkStart w:id="61" w:name="pg6142_67286"/>
    </w:p>
    <w:p>
      <w:pPr>
        <w:pStyle w:val="BookText"/>
        <w:rPr/>
      </w:pPr>
      <w:bookmarkEnd w:id="61"/>
      <w:r>
        <w:rPr>
          <w:rFonts w:ascii="IRNazanin" w:hAnsi="IRNazanin" w:eastAsia="IRNazanin"/>
          <w:color w:val="111111"/>
          <w:sz w:val="28"/>
          <w:sz w:val="28"/>
          <w:szCs w:val="28"/>
          <w:rtl w:val="true"/>
          <w:lang w:bidi="fa-IR"/>
        </w:rPr>
        <w:t>پس رشد در مقابل سفه و تقابل آن‌ها نیز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یعنی ملکه اصلاح در امور معاش و سفه یعنی نداشتن این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رشد مختص به امور مالی است یا اعم از آن، بحثی است که تعقیب آن به تعبیر صاحب جواهر موجب تضییع عمر است</w:t>
      </w:r>
      <w:r>
        <w:rPr>
          <w:rFonts w:eastAsia="IRNazanin" w:cs="IRNazanin"/>
          <w:color w:val="111111"/>
          <w:sz w:val="28"/>
          <w:szCs w:val="28"/>
          <w:rtl w:val="true"/>
          <w:lang w:bidi="fa-IR"/>
        </w:rPr>
        <w:t>.</w:t>
      </w:r>
    </w:p>
    <w:p>
      <w:pPr>
        <w:pStyle w:val="Heading4"/>
        <w:numPr>
          <w:ilvl w:val="3"/>
          <w:numId w:val="1"/>
        </w:numPr>
        <w:rPr/>
      </w:pPr>
      <w:bookmarkStart w:id="62" w:name="__RefHeading___Toc188926_237004111"/>
      <w:bookmarkStart w:id="63" w:name="_Toc23"/>
      <w:bookmarkEnd w:id="62"/>
      <w:r>
        <w:rPr>
          <w:rtl w:val="true"/>
        </w:rPr>
        <w:t>نتیجه</w:t>
      </w:r>
      <w:bookmarkEnd w:id="63"/>
    </w:p>
    <w:p>
      <w:pPr>
        <w:pStyle w:val="BookText"/>
        <w:rPr/>
      </w:pPr>
      <w:r>
        <w:rPr>
          <w:rFonts w:ascii="IRNazanin" w:hAnsi="IRNazanin" w:eastAsia="IRNazanin"/>
          <w:color w:val="111111"/>
          <w:sz w:val="28"/>
          <w:sz w:val="28"/>
          <w:szCs w:val="28"/>
          <w:rtl w:val="true"/>
          <w:lang w:bidi="fa-IR"/>
        </w:rPr>
        <w:t>در مجموع از آن‌چه در مورد تمییز و رشد گفته شد معلوم می‌گردد بلوغ مفهوماً مغایر و مباین با این دو واژه است زیرا اگر بلوغ به معنای بلوغ جنسی باشد یک امر تکوینی است و مربوط به جسم انسان می‌باشد ولی تمییز و رشد خصوصیاتی مربوط به قوه دماغی بوده و شخص به اعتبار آن توانایی تشخیص خوب و بد را پیدا می‌کند و یا آن‌که می‌تواند نسبت به حفظ مال خویش و عدم تضییع آن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تمییز مربوط به دوران قبل از بلوغ ولی رشد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 غیر بالغی رشید باشد ولی رشد غالباً همراه با بلوغ یا پس از آن حاصل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بلوغ را به معنای رسیدن به سن خاص یا رسیدن به حد تکلیف و الزام دانستیم آن‌گاه تغایر آن با دو واژۀ دیگر واضح‌تر است</w:t>
      </w:r>
      <w:r>
        <w:rPr>
          <w:rFonts w:eastAsia="IRNazanin" w:cs="IRNazanin"/>
          <w:color w:val="111111"/>
          <w:sz w:val="28"/>
          <w:szCs w:val="28"/>
          <w:rtl w:val="true"/>
          <w:lang w:bidi="fa-IR"/>
        </w:rPr>
        <w:t>.</w:t>
      </w:r>
      <w:bookmarkStart w:id="64" w:name="pg6142_67287"/>
    </w:p>
    <w:p>
      <w:pPr>
        <w:pStyle w:val="Heading3"/>
        <w:numPr>
          <w:ilvl w:val="2"/>
          <w:numId w:val="1"/>
        </w:numPr>
        <w:rPr/>
      </w:pPr>
      <w:bookmarkStart w:id="65" w:name="__RefHeading___Toc188928_237004111"/>
      <w:bookmarkStart w:id="66" w:name="_Toc24"/>
      <w:bookmarkEnd w:id="64"/>
      <w:bookmarkEnd w:id="65"/>
      <w:r>
        <w:rPr>
          <w:rtl w:val="true"/>
        </w:rPr>
        <w:t>گفتار چهارم</w:t>
      </w:r>
      <w:r>
        <w:rPr>
          <w:rtl w:val="true"/>
        </w:rPr>
        <w:t xml:space="preserve">: </w:t>
      </w:r>
      <w:r>
        <w:rPr>
          <w:rtl w:val="true"/>
        </w:rPr>
        <w:t>بلوغ در قرآن</w:t>
      </w:r>
      <w:bookmarkEnd w:id="66"/>
    </w:p>
    <w:p>
      <w:pPr>
        <w:pStyle w:val="Heading4"/>
        <w:numPr>
          <w:ilvl w:val="3"/>
          <w:numId w:val="1"/>
        </w:numPr>
        <w:rPr/>
      </w:pPr>
      <w:bookmarkStart w:id="67" w:name="__RefHeading___Toc188930_237004111"/>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قرآن آیه‌ای مشتمل بر عنوان بلوغ یا علامت‌ها و نشانه‌های آن و یا سن بلوغ وارد نشده ولی الفاظی که به نوعی اشاره به معنای بلوغ دارند، در بعضی آیات به کار رفته‌اند؛ مانند بلوغ نکاح، بلوغ حُلم و 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یک بار، دوّمی دو بار و سوّمی هفت بار در قرآن کریم استعمال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ما صرفا در مورد معنای این واژه‌ها در قرآن سخن می‌گوییم و دربارۀ احکام مترتب بر این الفاظ و عناوین بحثی نخواهیم داشت</w:t>
      </w:r>
      <w:r>
        <w:rPr>
          <w:rFonts w:eastAsia="IRNazanin" w:cs="IRNazanin"/>
          <w:color w:val="111111"/>
          <w:sz w:val="28"/>
          <w:szCs w:val="28"/>
          <w:rtl w:val="true"/>
          <w:lang w:bidi="fa-IR"/>
        </w:rPr>
        <w:t>.</w:t>
      </w:r>
    </w:p>
    <w:p>
      <w:pPr>
        <w:pStyle w:val="Heading4"/>
        <w:numPr>
          <w:ilvl w:val="3"/>
          <w:numId w:val="1"/>
        </w:numPr>
        <w:rPr/>
      </w:pPr>
      <w:bookmarkStart w:id="69" w:name="__RefHeading___Toc188932_237004111"/>
      <w:bookmarkStart w:id="70" w:name="_Toc26"/>
      <w:bookmarkEnd w:id="69"/>
      <w:r>
        <w:rPr/>
        <w:t>1</w:t>
      </w:r>
      <w:r>
        <w:rPr>
          <w:rtl w:val="true"/>
        </w:rPr>
        <w:t xml:space="preserve">. </w:t>
      </w:r>
      <w:r>
        <w:rPr>
          <w:rtl w:val="true"/>
        </w:rPr>
        <w:t>بلوغ نکاح</w:t>
      </w:r>
      <w:bookmarkEnd w:id="70"/>
    </w:p>
    <w:p>
      <w:pPr>
        <w:pStyle w:val="Heading5"/>
        <w:numPr>
          <w:ilvl w:val="4"/>
          <w:numId w:val="1"/>
        </w:numPr>
        <w:rPr/>
      </w:pPr>
      <w:bookmarkStart w:id="71" w:name="__RefHeading___Toc188934_237004111"/>
      <w:bookmarkStart w:id="72" w:name="_Toc27"/>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73" w:name="pg6142_67288"/>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را تا زمان بلوغ نکاح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آن‌ها را رشید و آشنای به مصالح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نیز بر این باورند که تنها پس از بلوغ نکاح و استیناس رشد است که اموال یتیمان به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معنای بلوغ نکاح دو احتمال وجود دارد</w:t>
      </w:r>
      <w:r>
        <w:rPr>
          <w:rFonts w:eastAsia="IRNazanin" w:cs="IRNazanin"/>
          <w:color w:val="111111"/>
          <w:sz w:val="28"/>
          <w:szCs w:val="28"/>
          <w:rtl w:val="true"/>
          <w:lang w:bidi="fa-IR"/>
        </w:rPr>
        <w:t>:</w:t>
      </w:r>
    </w:p>
    <w:p>
      <w:pPr>
        <w:pStyle w:val="Heading5"/>
        <w:numPr>
          <w:ilvl w:val="4"/>
          <w:numId w:val="1"/>
        </w:numPr>
        <w:rPr/>
      </w:pPr>
      <w:bookmarkStart w:id="74" w:name="__RefHeading___Toc188936_237004111"/>
      <w:bookmarkStart w:id="75" w:name="_Toc28"/>
      <w:bookmarkEnd w:id="74"/>
      <w:r>
        <w:rPr>
          <w:rtl w:val="true"/>
        </w:rPr>
        <w:t>احتمال اول</w:t>
      </w:r>
      <w:bookmarkEnd w:id="75"/>
    </w:p>
    <w:p>
      <w:pPr>
        <w:pStyle w:val="BookText"/>
        <w:rPr/>
      </w:pPr>
      <w:r>
        <w:rPr>
          <w:rFonts w:ascii="IRNazanin" w:hAnsi="IRNazanin" w:eastAsia="IRNazanin"/>
          <w:color w:val="111111"/>
          <w:sz w:val="28"/>
          <w:sz w:val="28"/>
          <w:szCs w:val="28"/>
          <w:rtl w:val="true"/>
          <w:lang w:bidi="fa-IR"/>
        </w:rPr>
        <w:t>این‌که مراد از بلوغ نکاح بلوغ جنسی و آمادگی و توانایی بر آمیزش جنسی و تولید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نوعاً بلوغ نکاح را به همین معنا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بَلَغُوا النِّکاحَ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یبلغوا الحد الذی یقدرون علی مجامعة النساء وینزل ولیس المراد الاحتلام؛ لان فی الناس من لا یحتلم او یتأخر احتلامه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آیۀ حَتّی إِذا بَلَغُوا النِّکاحَ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برسند که قدرت بر آمیزش با زنان و انزال داشته باشند و لذا مقصود از آن احتلام نیست؛ زیرا در بین مردم کسانی هستند که محتلم نمی‌شوند یا احتلام آنان دیرتر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بیان را مرحوم طبرسی نیز ذکر کرده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کلام این دو وجود دارد این است که بلوغ نکاح غیر از احتلام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خود آن‌ها بلوغ نکاح را به</w:t>
      </w:r>
    </w:p>
    <w:p>
      <w:pPr>
        <w:pStyle w:val="BookText"/>
        <w:rPr/>
      </w:pPr>
      <w:r>
        <w:rPr>
          <w:rFonts w:ascii="IRNazanin" w:hAnsi="IRNazanin" w:eastAsia="IRNazanin"/>
          <w:color w:val="111111"/>
          <w:sz w:val="28"/>
          <w:sz w:val="28"/>
          <w:szCs w:val="28"/>
          <w:rtl w:val="true"/>
          <w:lang w:bidi="fa-IR"/>
        </w:rPr>
        <w:t>توانایی بر آمیزش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آن‌چه در نظر این دو مفسر مورد اشکال می‌باشد احتلام فعلی است؛ یعنی می‌گویند مراد از بلوغ نکاح، احتلام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بسیاری از بزرگان از جمله صاحب جواهر نیز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 فخر رازی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بلوغ النکاح هو الاحتلام المذکور فی قوله وَ إِذا بَلَغَ الْأَطْفالُ مِنْکُمُ الْحُلُمَ وهو فی قول عامة الفقها عبارة عن البلوغ مبلغ الرجال الذی عنده یجری علی صاحبه القلم ویلزمه الحدود والاحکام وانّما سمّی الاحتلام، بلوغ النکاح لانه انزال الماء الدافق الذی یکون فی الجماع</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التفسیر الکبیر،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بلوغ نکاح همان احتلام است که در آیۀ وَ إِذا بَلَغَ الْأَطْفالُ مِنْکُمُ الْحُلُمَ ذکر شده و معنای آن در نظر عموم فقها رسیدن به حد مردان است که در این زمان قلم تکلیف بر او جاری شده و حدود و احکام بر او لازم می‌شود و احتلام، بلوغ نکاح نامیده شده؛ زیرا احتلام همان انزال ماء دافق است که در جماع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مراغی نیز همین معنا برای بلوغ نکاح ذکر شده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مجموع از سخن مفسرین بر می‌آید که مراد از بلوغ نکاح در آیه همان بلوغ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هم که در ذیل این آیه وارد شده، بلوغ نکاح به احتلام تفسیر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این آیه می‌فرماید</w:t>
      </w:r>
      <w:r>
        <w:rPr>
          <w:rFonts w:eastAsia="IRNazanin" w:cs="IRNazanin"/>
          <w:color w:val="111111"/>
          <w:sz w:val="28"/>
          <w:szCs w:val="28"/>
          <w:rtl w:val="true"/>
          <w:lang w:bidi="fa-IR"/>
        </w:rPr>
        <w:t>:</w:t>
      </w:r>
      <w:bookmarkStart w:id="76" w:name="pg6142_67290"/>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یده مال بعض الیتامی فلا یجوز له ان یعطیه حتی یبلغ النکاح ویحتلم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مال برخی از یتیمان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مال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آن مال را به او بدهد تا زمانی که محتلم شود و بلوغ نکاح در او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گواه بر آن است که مراد از بلوغ نکاح، احتلام است</w:t>
      </w:r>
      <w:r>
        <w:rPr>
          <w:rFonts w:eastAsia="IRNazanin" w:cs="IRNazanin"/>
          <w:color w:val="111111"/>
          <w:sz w:val="28"/>
          <w:szCs w:val="28"/>
          <w:rtl w:val="true"/>
          <w:lang w:bidi="fa-IR"/>
        </w:rPr>
        <w:t>.</w:t>
      </w:r>
    </w:p>
    <w:p>
      <w:pPr>
        <w:pStyle w:val="Heading5"/>
        <w:numPr>
          <w:ilvl w:val="4"/>
          <w:numId w:val="1"/>
        </w:numPr>
        <w:rPr/>
      </w:pPr>
      <w:bookmarkStart w:id="77" w:name="__RefHeading___Toc188938_237004111"/>
      <w:bookmarkStart w:id="78" w:name="_Toc29"/>
      <w:bookmarkEnd w:id="77"/>
      <w:r>
        <w:rPr>
          <w:rtl w:val="true"/>
        </w:rPr>
        <w:t>احتمال دوم</w:t>
      </w:r>
      <w:bookmarkEnd w:id="78"/>
    </w:p>
    <w:p>
      <w:pPr>
        <w:pStyle w:val="BookText"/>
        <w:rPr/>
      </w:pPr>
      <w:r>
        <w:rPr>
          <w:rFonts w:ascii="IRNazanin" w:hAnsi="IRNazanin" w:eastAsia="IRNazanin"/>
          <w:color w:val="111111"/>
          <w:sz w:val="28"/>
          <w:sz w:val="28"/>
          <w:szCs w:val="28"/>
          <w:rtl w:val="true"/>
          <w:lang w:bidi="fa-IR"/>
        </w:rPr>
        <w:t>مراد از بلوغ نکاح رسیدن به حد ازدواج است و این کنایه از توانایی تشکیل خانواده و ادارۀ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 اساس این احتمال دیگر مراد از بلوغ نکاح بلوغ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اگرچه ثبوتا ممکن است ولی ادله لذا به نظر می‌رسد این احتمال بیشتر به ادعایی شبیه است که 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گمان شود اختلاف سیاق آیه بلوغ نکاح با آیه بلوغ حلم شاهد بر این احتمال است ولی واضح است صرف اختلاف سیاق نمی‌تواند دلیلی بر این احتمال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قرینه مهمی که این احتمال را اساساً نفی می‌کند این است که اگر بلوغ نکاح به معنای توانایی تشکیل خانواده و اداره زندگی باشد، در این صورت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 زیرا رشید یعنی کسی که</w:t>
      </w:r>
      <w:bookmarkStart w:id="79" w:name="pg6142_67291"/>
    </w:p>
    <w:p>
      <w:pPr>
        <w:pStyle w:val="BookText"/>
        <w:rPr/>
      </w:pPr>
      <w:bookmarkEnd w:id="79"/>
      <w:r>
        <w:rPr>
          <w:rFonts w:ascii="IRNazanin" w:hAnsi="IRNazanin" w:eastAsia="IRNazanin"/>
          <w:color w:val="111111"/>
          <w:sz w:val="28"/>
          <w:sz w:val="28"/>
          <w:szCs w:val="28"/>
          <w:rtl w:val="true"/>
          <w:lang w:bidi="fa-IR"/>
        </w:rPr>
        <w:t>آشنا به مصالح زندگی و قادر به درک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شد اکثر فقها آن را به مسائل مالی اختصاص داده‌اند ولی به هر حال مسائل مالی نیز یکی از شئون مهم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مراد از بلوغ نکاح در آیه همان بلوغ جنسی و توانایی بر آمیزش و تولید مثل می‌باشد</w:t>
      </w:r>
      <w:r>
        <w:rPr>
          <w:rFonts w:eastAsia="IRNazanin" w:cs="IRNazanin"/>
          <w:color w:val="111111"/>
          <w:sz w:val="28"/>
          <w:szCs w:val="28"/>
          <w:rtl w:val="true"/>
          <w:lang w:bidi="fa-IR"/>
        </w:rPr>
        <w:t>.</w:t>
      </w:r>
    </w:p>
    <w:p>
      <w:pPr>
        <w:pStyle w:val="Heading4"/>
        <w:numPr>
          <w:ilvl w:val="3"/>
          <w:numId w:val="1"/>
        </w:numPr>
        <w:rPr/>
      </w:pPr>
      <w:bookmarkStart w:id="80" w:name="__RefHeading___Toc188940_237004111"/>
      <w:bookmarkStart w:id="81" w:name="_Toc30"/>
      <w:bookmarkEnd w:id="80"/>
      <w:r>
        <w:rPr/>
        <w:t>2</w:t>
      </w:r>
      <w:r>
        <w:rPr>
          <w:rtl w:val="true"/>
        </w:rPr>
        <w:t xml:space="preserve">. </w:t>
      </w:r>
      <w:r>
        <w:rPr>
          <w:rtl w:val="true"/>
        </w:rPr>
        <w:t>بلوغ حُلُم</w:t>
      </w:r>
      <w:bookmarkEnd w:id="81"/>
    </w:p>
    <w:p>
      <w:pPr>
        <w:pStyle w:val="BookText"/>
        <w:rPr/>
      </w:pP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قبل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کسانی که مملوک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و 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هنوز به بلوغ حُلُم نرسیده‌اند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شبانه روز سه مرتبه برای ورود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پس از نماز عشا و هنگام ظهر؛ یعنی زمانی که لباسهایتان را بیرون می‌آورید و هنگام خلوت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اطفال شما به حد بلوغ و احتلام رسیدند، همیشه باید اجازه بگیرند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طبق این آیات سه گروه مأمور به استجازه در سه وقت برای ورود به مواضع خلوت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دیگران باید همیشه هنگام وارد شدن اجازه بگیرند؛ زیرا در این اوقات مرد و زن با لباس مخصوص خواب به سر می‌برند و مراقبت‌هایی که در سایر اوقات برای حفظ خود دارند، در این سه وقت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در حقیقت برای منع از یکی از رسوم جاهلیت بود که بدون اجازه به خانه‌های یکدیگر وارد شده و باعث مزاحمت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معنای لغوی حُلم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بلوغ حُلم به معنای بلوغ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احتلام و حُلم به معنای آمیزش در خواب است، چه منی خارج بشود چه نشود و یا این‌که کنایه از خروج منی است، مطلبی است که در این مقام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این است که کسانی که به بلوغ جنسی رسیده‌اند، باید همیشه برای داخل شدن به مواضع خلوت اجازه بگیرند و آن‌ها که به بلوغ جنسی نرسیده‌اند، فقط در آن سه وقت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نیز به این معنا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الفقهاء علی ان الاحتلام بلوغ واختلفوا إذا بلغ خمس عشرة سنة ولم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التفسیر الکبیر،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اتفاق دارند بر این‌که احتلام همان بلوغ است ویل در مورد کسی که به پانزده سالگی رسیده و محتلم نشده،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نیز قریب به همین معنا را ذکر کرده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دلالت واژۀ بلوغ حُلم واضح‌تر از دلالت لفظ بلوغ نکاح بر معنای خود می‌باشد، مفسرین آن‌گونه که در مورد بلوغ نکاح بحث کرده‌اند، به توضیح این واژه نپرداخته و لذا احتمالات متعددی در</w:t>
      </w:r>
      <w:bookmarkStart w:id="82" w:name="pg6142_67293"/>
    </w:p>
    <w:p>
      <w:pPr>
        <w:pStyle w:val="BookText"/>
        <w:rPr/>
      </w:pPr>
      <w:bookmarkEnd w:id="82"/>
      <w:r>
        <w:rPr>
          <w:rFonts w:ascii="IRNazanin" w:hAnsi="IRNazanin" w:eastAsia="IRNazanin"/>
          <w:color w:val="111111"/>
          <w:sz w:val="28"/>
          <w:sz w:val="28"/>
          <w:szCs w:val="28"/>
          <w:rtl w:val="true"/>
          <w:lang w:bidi="fa-IR"/>
        </w:rPr>
        <w:t>بلوغ نکاح ذکر شده، در حالی که در مورد بلوغ حُلم این‌چنین نیست</w:t>
      </w:r>
      <w:r>
        <w:rPr>
          <w:rFonts w:eastAsia="IRNazanin" w:cs="IRNazanin"/>
          <w:color w:val="111111"/>
          <w:sz w:val="28"/>
          <w:szCs w:val="28"/>
          <w:rtl w:val="true"/>
          <w:lang w:bidi="fa-IR"/>
        </w:rPr>
        <w:t>.</w:t>
      </w:r>
    </w:p>
    <w:p>
      <w:pPr>
        <w:pStyle w:val="Heading4"/>
        <w:numPr>
          <w:ilvl w:val="3"/>
          <w:numId w:val="1"/>
        </w:numPr>
        <w:rPr/>
      </w:pPr>
      <w:bookmarkStart w:id="83" w:name="__RefHeading___Toc188942_237004111"/>
      <w:bookmarkStart w:id="84" w:name="_Toc31"/>
      <w:bookmarkEnd w:id="83"/>
      <w:r>
        <w:rPr/>
        <w:t>3</w:t>
      </w:r>
      <w:r>
        <w:rPr>
          <w:rtl w:val="true"/>
        </w:rPr>
        <w:t xml:space="preserve">. </w:t>
      </w:r>
      <w:r>
        <w:rPr>
          <w:rtl w:val="true"/>
        </w:rPr>
        <w:t>بلوغ اشُدّ</w:t>
      </w:r>
      <w:bookmarkEnd w:id="84"/>
    </w:p>
    <w:p>
      <w:pPr>
        <w:pStyle w:val="BookText"/>
        <w:rPr/>
      </w:pPr>
      <w:r>
        <w:rPr>
          <w:rFonts w:ascii="IRNazanin" w:hAnsi="IRNazanin" w:eastAsia="IRNazanin"/>
          <w:color w:val="111111"/>
          <w:sz w:val="28"/>
          <w:sz w:val="28"/>
          <w:szCs w:val="28"/>
          <w:rtl w:val="true"/>
          <w:lang w:bidi="fa-IR"/>
        </w:rPr>
        <w:t>این عنوان چندین بار در قرآن استعمال شده ولی در برخی موارد به معنای خروج از مرحلۀ طفولیت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دیگر به معنای رسیدن به مرحلۀ حکم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معنای سومی هم برای این واژه وجود دارد؛ نظیر آن‌چه در آیۀ وَ لا تَقْرَبُوا مالَ الْیَتِیمِ إِلاّ بِالَّتِی هِیَ أَحْسَنُ حَتّی یَبْلُغَ أَشُدَّهُ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ذیل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حد الاشد فقال ربیعه وزید بن اسلم ومالک وعامر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الحلم، وقال السدی ثلاثون سنة وقال قوم ثمانی عشرة سنة، لانه اکثر مایقع عندهم البلوغ واستکمال العقل،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لاحد له وانما المراد به حتی یکمل عقله ولا یکون سفیها یحجر علیه</w:t>
      </w:r>
      <w:r>
        <w:rPr>
          <w:rFonts w:eastAsia="IRNazanin" w:cs="IRNazanin"/>
          <w:color w:val="111111"/>
          <w:sz w:val="28"/>
          <w:szCs w:val="28"/>
          <w:rtl w:val="true"/>
          <w:lang w:bidi="fa-IR"/>
        </w:rPr>
        <w:t>».</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حد اشدّ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زید بن اسلم و مالک و عامر شعبی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همان احتلام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حد آن را سی سالگی و گروهی آن را هجده سالگی دانسته‌اند؛ چون در هجده سالگی غالباً بلوغ و کمال عقل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خاصی ندارد، بلکه مقصود زمانی است که عقل او کامل شده و دیگر سفیه و محجور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گردید، برخی بلوغ أشدّ وحد آن را حُلم یعنی همان بلوغ جنسی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را طبرسی در مجمع البیان فرموده، اگرچه ایشان قائل است حدی برای اشدّ وجود ندارد و مراد از آن کمال عقل و بلوغ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نیز بلوغ اشدّ به احتلام تفسیر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بن عیسی، عن محمد بن عیسی، عن منصور بن هشام، عن ابی عبدالله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یتم الیتیم بالاحتلام وهو اشده وان احتلم ولم یونس منه 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سفیها او ضعیفا فلیمسک عنه ولیه ماله ورواه الصدوق باسناده عن منصور بن حازم، عن هشام مثله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زمان یتم برای یتیم زمان احتلام است و این همان أشدّ او می‌باشد ولی اگر محتلم شد و مشخص نگردید که او به رشد رسیده یا سفیه و ضعیف است، باید ولی او از اموالش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می‌رسد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نسخ ذکر شده،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یونس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نیز أشدّ به سیزده سالگی و دخول در چهارده سالگی</w:t>
      </w:r>
      <w:bookmarkStart w:id="85" w:name="pg6142_67295"/>
    </w:p>
    <w:p>
      <w:pPr>
        <w:pStyle w:val="BookText"/>
        <w:rPr/>
      </w:pPr>
      <w:bookmarkEnd w:id="85"/>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بنت الیاس، عن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اشده ثلاث عشرة سنة ودخل فی الاربع عشرة وجب علیه ما وجب علی المحتلمین احتلم او لم یحتلم وکتب علیه السیئات وکتب له الحسنات وجاز له کل شیء الا ان یکون ضعیفا او سفیها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الوصایا،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بلوغ أشدّ یعنی سیزده سالگی تمام و ورود به چهارده سالگی برسد، هر آن‌چه که بر محتلمین واجب است بر این فرد هم واجب می‌شود، چه محتلم شده باشد چه نشده باشد و خوبی‌ها و بدی‌های او نوشته می‌شود و همه چیز یعنی تصرفات مالی برای او جائز است، مگر آن‌که ضعیف یا سفیه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بلوغ أشدّ دیگر به معنای احتلام نبوده، بلکه به معنای اکمال سیزده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این روایت در مباحث بعدی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توجه به آن‌چه گفته شد به نظر می‌رسد که بلوغ أشدّ دارای مراتب مختلف بوده و نمی‌توان آن را به نحو قطعی به معنای بلوغ جنسی دانست، هرچند برخی آن را پذیرفته‌اند</w:t>
      </w:r>
      <w:r>
        <w:rPr>
          <w:rFonts w:eastAsia="IRNazanin" w:cs="IRNazanin"/>
          <w:color w:val="111111"/>
          <w:sz w:val="28"/>
          <w:szCs w:val="28"/>
          <w:rtl w:val="true"/>
          <w:lang w:bidi="fa-IR"/>
        </w:rPr>
        <w:t>.</w:t>
      </w:r>
    </w:p>
    <w:p>
      <w:pPr>
        <w:pStyle w:val="Heading4"/>
        <w:numPr>
          <w:ilvl w:val="3"/>
          <w:numId w:val="1"/>
        </w:numPr>
        <w:rPr/>
      </w:pPr>
      <w:bookmarkStart w:id="86" w:name="__RefHeading___Toc188944_237004111"/>
      <w:bookmarkStart w:id="87" w:name="_Toc32"/>
      <w:bookmarkEnd w:id="86"/>
      <w:r>
        <w:rPr>
          <w:rtl w:val="true"/>
        </w:rPr>
        <w:t>نتیجه</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بررسی‌هایی که به عمل آمد، مشخص گردید که در قرآن مسئلۀ سنّ بلوغ نه برای پسران و نه برای دختران مطرح نشده و صرفاً سه واژۀ بلوغ نکاح، بلوغ حُلم و بلوغ اشُدَّ استعمال شده‌اند</w:t>
      </w:r>
      <w:r>
        <w:rPr>
          <w:rFonts w:eastAsia="IRNazanin" w:cs="IRNazanin"/>
          <w:color w:val="111111"/>
          <w:sz w:val="28"/>
          <w:szCs w:val="28"/>
          <w:rtl w:val="true"/>
          <w:lang w:bidi="fa-IR"/>
        </w:rPr>
        <w:t>.</w:t>
      </w:r>
      <w:bookmarkStart w:id="88" w:name="pg6142_67296"/>
    </w:p>
    <w:p>
      <w:pPr>
        <w:pStyle w:val="Heading3"/>
        <w:numPr>
          <w:ilvl w:val="2"/>
          <w:numId w:val="1"/>
        </w:numPr>
        <w:rPr/>
      </w:pPr>
      <w:bookmarkStart w:id="89" w:name="__RefHeading___Toc188946_237004111"/>
      <w:bookmarkStart w:id="90" w:name="_Toc33"/>
      <w:bookmarkEnd w:id="88"/>
      <w:bookmarkEnd w:id="89"/>
      <w:r>
        <w:rPr>
          <w:rtl w:val="true"/>
        </w:rPr>
        <w:t>گفتار پنجم</w:t>
      </w:r>
      <w:r>
        <w:rPr>
          <w:rtl w:val="true"/>
        </w:rPr>
        <w:t xml:space="preserve">: </w:t>
      </w:r>
      <w:r>
        <w:rPr>
          <w:rtl w:val="true"/>
        </w:rPr>
        <w:t>تنبیهات</w:t>
      </w:r>
      <w:bookmarkEnd w:id="90"/>
    </w:p>
    <w:p>
      <w:pPr>
        <w:pStyle w:val="Heading3"/>
        <w:numPr>
          <w:ilvl w:val="2"/>
          <w:numId w:val="1"/>
        </w:numPr>
        <w:rPr/>
      </w:pPr>
      <w:bookmarkStart w:id="91" w:name="__RefHeading___Toc188948_237004111"/>
      <w:bookmarkStart w:id="92" w:name="_Toc34"/>
      <w:bookmarkEnd w:id="91"/>
      <w:r>
        <w:rPr>
          <w:rtl w:val="true"/>
        </w:rPr>
        <w:t>تنبیه اول</w:t>
      </w:r>
      <w:r>
        <w:rPr>
          <w:rtl w:val="true"/>
        </w:rPr>
        <w:t xml:space="preserve">: </w:t>
      </w:r>
      <w:r>
        <w:rPr>
          <w:rtl w:val="true"/>
        </w:rPr>
        <w:t>تعابیر فقها از بلوغ</w:t>
      </w:r>
      <w:bookmarkEnd w:id="92"/>
    </w:p>
    <w:p>
      <w:pPr>
        <w:pStyle w:val="BookText"/>
        <w:rPr/>
      </w:pPr>
      <w:r>
        <w:rPr>
          <w:rFonts w:ascii="IRNazanin" w:hAnsi="IRNazanin" w:eastAsia="IRNazanin"/>
          <w:color w:val="111111"/>
          <w:sz w:val="28"/>
          <w:sz w:val="28"/>
          <w:szCs w:val="28"/>
          <w:rtl w:val="true"/>
          <w:lang w:bidi="fa-IR"/>
        </w:rPr>
        <w:t>بررسی عبارات فقها پیرامون بلوغ در ابواب مختلف فقهی نشان می‌دهد تعابیر متعددی در این باره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نمونه‌هایی از این عبارات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 حد البلوغ فی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الاناث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ثبت هذا فثلاثة اشیاء بلوغ وهی الاحتلام والحیض والسن والحمل دلالة علی البلوغ وکذا الانبات علی خلاف فیه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الحمل فانه لیس ببلوغ حقیقة وانما هو علم علی البلوغ وانما کان کذلک لان الله تعالی اجری العاده ان المراة لا تحبل حتی یتقدم منها حیض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والبلوغ یکون باحد خمسة اشیاء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البلوغ فیحصل بامور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حاضت فقد بلغت وان حملت لم یکن الحمل بلوغا لکنه دلالة علی البلوغ فان الحمل لا یکون الا عن انزال الماء الدافق وهو بلوغ</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وبلوغ المرئة باحد شیئین الحیض وتمام عشر سنین والحبل علامة البلوغ</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وهو یعلم بانبات الشعر علی العانه او خروج المنی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یحصل بالاحتلام او الانبات او بلوغ الصبی خمس عشرة سنة والانثی تسعا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البلوغ</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والحمل لیسا بلوغا فی حق النساء بل قد یکونان دلیلین علی سبق البوغ</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ملاحظه عبارات فوق معلوم می‌گردد تعابیری از جمله حد بلوغ، دلیل بر بلوغ، دلیل بر سبق بلوغ، اسباب بلوغ، عَلَم بلوغ، اماره بلوغ، نشانه و علامت بلوغ، در عبارات فقها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عناوین اگرچه در مواضع مختلف استعمال شده‌اند، لکن گاهی</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الوسیله،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امر واحد نیز اختلاف در تعبیر مشاهده می‌شود؛ به عنوان نمونه برخی از احتلام و حیض به عنوان بلوغ و برخی دیگر به عنوان سبب بلوغ و جمعی نیز به عنوان حد بلوغ و گروهی به عنوان دلیل بلوغ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بتوان همۀ این تعابیر را تحت سه عنوان کلی زیر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بلوغ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سبق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نفس بلوغ چنان‌چه گذشت یا بلوغ جنسی و کمال طبیعی انسان و توانایی او بر تولید مثل و آمادگی نکاح است و یا رسیدن به سن خاص و یا رسیدن به حد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دوم و سوم دیگر سن خاص و رسیدن به حد تکلیف نشانۀ بلوغ نیست بلکه خود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نشانۀ بلوغ نیز یا اموری است که رسیدن انسان به کمال طبیعی مذکور را کشف می‌کنند و به سبب آن‌ها تکلیف ثابت می‌شود یا اموری است که مبدأ ثبوت تکلیف می‌باشند؛ مانند احتلام 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دلیل بر سبق بلوغ نیز یا نشانه‌ها و اموری هستند که کشف از تحقق کمال مذکور در زمان سابق می‌کنند یا کاشف از وصول به سن خاص بوده و یا کاشف از وصول به حد تکلیف می‌باشند؛ مانند حمل که کاشف از تحقق یکی از این سه امر در زمان گذشته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عناوین دوم و سوم را بر هم منطبق نمود؛ چنان‌چه برخی این‌چنین کرده‌اند ولی بین آن‌ها تفاوت وجود دارد؛ زیرا در عنوان دوم اماره مقارن بلوغ محقق می‌شود و در عنوان سوم اماره کاشف از سبق بلوغ است</w:t>
      </w:r>
      <w:r>
        <w:rPr>
          <w:rFonts w:eastAsia="IRNazanin" w:cs="IRNazanin"/>
          <w:color w:val="111111"/>
          <w:sz w:val="28"/>
          <w:szCs w:val="28"/>
          <w:rtl w:val="true"/>
          <w:lang w:bidi="fa-IR"/>
        </w:rPr>
        <w:t>.</w:t>
      </w:r>
      <w:bookmarkStart w:id="93" w:name="pg6142_67299"/>
    </w:p>
    <w:p>
      <w:pPr>
        <w:pStyle w:val="BookText"/>
        <w:rPr/>
      </w:pPr>
      <w:bookmarkEnd w:id="93"/>
      <w:r>
        <w:rPr>
          <w:rFonts w:ascii="IRNazanin" w:hAnsi="IRNazanin" w:eastAsia="IRNazanin"/>
          <w:color w:val="111111"/>
          <w:sz w:val="28"/>
          <w:sz w:val="28"/>
          <w:szCs w:val="28"/>
          <w:rtl w:val="true"/>
          <w:lang w:bidi="fa-IR"/>
        </w:rPr>
        <w:t xml:space="preserve">ناگفته نماند در مواردی مثل حمل و انبات،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علی البلوغ</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البلوغ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بکار رفته ولی ظاهراً مراد این است که این‌ها علامت‌هایی هستند که پس از کمال طبیعی یا پس از نه سالگی و یا پس از رسیدن به حد تکلیف محقق می‌شوند و لذا کاشف از تحقق یکی از این سه امر در زمان گذشته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واضح‌است که بین این سه تعبیر تفاوت وجود دارد، هرچند به راحتی نمی‌توان از عبارات فقها تفکیک بین این سه واژه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تفاوت در مواردی مثل قضای واجبات دارای ثمره عملی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را به عنوان اماره و نشانۀ مقارن بلوغ بدانیم قهراً چنان‌چه کسی قبل از تحقق این اماره عبادت را ترک کند قضا بر او واجب نیست ولی اگر آن را کاشف و دلیل بر سبق بلوغ بدانیم قضا بر او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نفوذ اقرار و تصرفات مالی که قبل از اختبار و امتحان واقع شده، به گونه‌ای که علم به عدم تأخر بلوغ از آن داریم، این ثمره ظاهر می‌شود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94" w:name="__RefHeading___Toc188950_237004111"/>
      <w:bookmarkStart w:id="95" w:name="_Toc35"/>
      <w:bookmarkEnd w:id="94"/>
      <w:r>
        <w:rPr>
          <w:rtl w:val="true"/>
        </w:rPr>
        <w:t>تنبیه دوم</w:t>
      </w:r>
      <w:r>
        <w:rPr>
          <w:rtl w:val="true"/>
        </w:rPr>
        <w:t xml:space="preserve">: </w:t>
      </w:r>
      <w:r>
        <w:rPr>
          <w:rtl w:val="true"/>
        </w:rPr>
        <w:t>طریقت یا موضوعیت امارات بلوغ</w:t>
      </w:r>
      <w:bookmarkEnd w:id="95"/>
    </w:p>
    <w:p>
      <w:pPr>
        <w:pStyle w:val="BookText"/>
        <w:rPr/>
      </w:pPr>
      <w:r>
        <w:rPr>
          <w:rFonts w:ascii="IRNazanin" w:hAnsi="IRNazanin" w:eastAsia="IRNazanin"/>
          <w:color w:val="111111"/>
          <w:sz w:val="28"/>
          <w:sz w:val="28"/>
          <w:szCs w:val="28"/>
          <w:rtl w:val="true"/>
          <w:lang w:bidi="fa-IR"/>
        </w:rPr>
        <w:t>لازم است این مسئله بر طبق هر سه اصطلاح در باب بلوغ مورد بررسی قرار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بلوغ را به معنای بلوغ جنسی دانستیم و آن را به کمال طبیعی و</w:t>
      </w:r>
    </w:p>
    <w:p>
      <w:pPr>
        <w:pStyle w:val="BookText"/>
        <w:rPr/>
      </w:pPr>
      <w:r>
        <w:rPr>
          <w:rFonts w:ascii="IRNazanin" w:hAnsi="IRNazanin" w:eastAsia="IRNazanin"/>
          <w:color w:val="111111"/>
          <w:sz w:val="28"/>
          <w:sz w:val="28"/>
          <w:szCs w:val="28"/>
          <w:rtl w:val="true"/>
          <w:lang w:bidi="fa-IR"/>
        </w:rPr>
        <w:t>آمادگی برای ازدواج و تولید مثل تفسیر نمودیم، واضح است امارات و نشانه‌های آن از قبیل احتلام و حیض برای اماریت نیازمند تعبد نبوده بلکه از نشانه‌های تکوینی و طبیعی تحقق بلوغ جنسی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آیت‌الله خوانساری در مورد انبات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یقال ان انبات الشعر لیس من الامارات التی تحتاج اماریتها الی التعبد بل هی من الامارات التی تعتبرها العقلاء وتوجب الاطمینان بحصول البلوغ وما لم یردع عنه الشرع یکون حجة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جامع المدراک،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انبات شعر از اماراتی است که اماریت آن محتاج تعبد نیست بلکه از نشانه‌هایی است که عقلا آن را اعتبار می‌کنند و موجب اطمینان به حصول بلوغ جنسی می‌شود و چیزی که شارع از آن منع نکند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ایشان این است که همان‌گونه که احتلام و حیض موجب اطمینان به حصول بلوغ جنسی می‌باشند، انبات نیز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و حیض صرفاً طریق و راهی برای اطمینان به حصول کمال طبیعی انسان بوده و طریقیت آن‌ها نیز واقعی است، نه آن‌که شارع آن‌ها را به عنوان طریق جعل کرده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سن را به عنوان یکی از امارات و علائم بلوغ جنسی دانستیم واضح است که طریقیت آن تعبدی خواهد بود؛ یعنی شارع سن خاصی را به عنوان نشانۀ بلوغ طبیعی جعل کرده است؛ زیرا جمع بین بلوغ جنسی و التزام به این‌که سن خاص طریق واقعی و اماره طبیعی بر بلوغ</w:t>
      </w:r>
      <w:bookmarkStart w:id="96" w:name="pg6142_67301"/>
    </w:p>
    <w:p>
      <w:pPr>
        <w:pStyle w:val="BookText"/>
        <w:rPr/>
      </w:pPr>
      <w:bookmarkEnd w:id="96"/>
      <w:r>
        <w:rPr>
          <w:rFonts w:ascii="IRNazanin" w:hAnsi="IRNazanin" w:eastAsia="IRNazanin"/>
          <w:color w:val="111111"/>
          <w:sz w:val="28"/>
          <w:sz w:val="28"/>
          <w:szCs w:val="28"/>
          <w:rtl w:val="true"/>
          <w:lang w:bidi="fa-IR"/>
        </w:rPr>
        <w:t>جنسی باشد، مشکل است؛ به عبارت دیگر نمی‌توان از طرفی بلوغ را به کمال طبیعی انسان تفسیر کرد و از سوی دیگر سن را به عنوان اماره تکوینی آن پذیرفت بلکه در این فرض سن یک اماره تعبدی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بلوغ را به معنای رسیدن به سن خاصی دانستیم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پیدا می‌کند و دیگر طریقیت معنی ندارد؛ زیرا ورای آن چیزی وجود ندارد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طریق به سوی آن حقیقت و کاشف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بلوغ را به معنای رسیدن به حد تکلیف دانستیم، آن‌گاه احتلام و حیض و سن موضوعیت پیدا کرده و این امور به عنوان مبدأ ثبوت تکلیف پذیرفته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باید به نوعی بین ادلۀ اعتبار این امور جمع نمود تا تعارض بین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آینده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97" w:name="__RefHeading___Toc188952_237004111"/>
      <w:bookmarkStart w:id="98" w:name="_Toc36"/>
      <w:bookmarkEnd w:id="97"/>
      <w:r>
        <w:rPr>
          <w:rtl w:val="true"/>
        </w:rPr>
        <w:t>تنبیه سوم</w:t>
      </w:r>
      <w:r>
        <w:rPr>
          <w:rtl w:val="true"/>
        </w:rPr>
        <w:t xml:space="preserve">: </w:t>
      </w:r>
      <w:r>
        <w:rPr>
          <w:rtl w:val="true"/>
        </w:rPr>
        <w:t>عمومیت معنای لفظ صبی</w:t>
      </w:r>
      <w:bookmarkEnd w:id="98"/>
    </w:p>
    <w:p>
      <w:pPr>
        <w:pStyle w:val="BookText"/>
        <w:rPr/>
      </w:pPr>
      <w:r>
        <w:rPr>
          <w:rFonts w:ascii="IRNazanin" w:hAnsi="IRNazanin" w:eastAsia="IRNazanin"/>
          <w:color w:val="111111"/>
          <w:sz w:val="28"/>
          <w:sz w:val="28"/>
          <w:szCs w:val="28"/>
          <w:rtl w:val="true"/>
          <w:lang w:bidi="fa-IR"/>
        </w:rPr>
        <w:t>یکی از نکاتی که توجه به آن لازم است عمومیت معنای لفظ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برخی روایات این واژه استعمال شده و بسیاری آن را حمل بر مذکّر نموده‌اند، لازم است معنای آن مورد مداقّۀ بیشتر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 جهت اهمیت بیشتری پیدا می‌کند که نظر مختار به نوعی بر استفاده معنای عام از لفظ صبی استوار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متفاهم عرفی از لفظ صبی، شخص غیر بالغ، اعم از مذکر و مؤنث است، لذا اگر این لفظ به تنهایی استعمال شود شامل اناث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چنان‌چه لفظ صبی و صبیه با هم استعمال</w:t>
      </w:r>
      <w:bookmarkStart w:id="99" w:name="pg6142_67302"/>
    </w:p>
    <w:p>
      <w:pPr>
        <w:pStyle w:val="BookText"/>
        <w:rPr/>
      </w:pPr>
      <w:bookmarkEnd w:id="99"/>
      <w:r>
        <w:rPr>
          <w:rFonts w:ascii="IRNazanin" w:hAnsi="IRNazanin" w:eastAsia="IRNazanin"/>
          <w:color w:val="111111"/>
          <w:sz w:val="28"/>
          <w:sz w:val="28"/>
          <w:szCs w:val="28"/>
          <w:rtl w:val="true"/>
          <w:lang w:bidi="fa-IR"/>
        </w:rPr>
        <w:t>شوند، معنای آن‌ها متفاوت است؛ زیرا جمع صَبی، صَبیة و جمع صَبیه، صبایا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بسیاری از موارد، این لفظ به نحوی استعمال شده که شامل غیر ذکور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استعمالات شرعی نیز این‌چنین است؛ از جمله در حدیث رفع قلم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وعن المجنون حتی یفیق وعن النائم حتی یستیقظ</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حدیث، صبی تا زمانی که بالغ نشده مرفوع القلم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ادعا نکرده که مراد از صبی فقط جنس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آن است که دو لفظ مجنون و نائم که در روایت استعمال شده‌اند، اختصاص به ذکور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روایات دیگری نیز لفظ صبی استعمال شده ولی هیچ فقیهی اختصاص را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سرق الصبی عفی عنه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نظیر این مطلب را در بعضی الفاظ دیگر هم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مسلم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مختص ذکور نبوده و شامل انثی هم می‌شود</w:t>
      </w:r>
      <w:r>
        <w:rPr>
          <w:rFonts w:eastAsia="IRNazanin" w:cs="IRNazanin"/>
          <w:color w:val="111111"/>
          <w:sz w:val="28"/>
          <w:szCs w:val="28"/>
          <w:rtl w:val="true"/>
          <w:lang w:bidi="fa-IR"/>
        </w:rPr>
        <w:t>.</w:t>
      </w:r>
    </w:p>
    <w:p>
      <w:pPr>
        <w:pStyle w:val="Heading3"/>
        <w:numPr>
          <w:ilvl w:val="2"/>
          <w:numId w:val="1"/>
        </w:numPr>
        <w:rPr/>
      </w:pPr>
      <w:bookmarkStart w:id="100" w:name="__RefHeading___Toc188954_237004111"/>
      <w:bookmarkStart w:id="101" w:name="_Toc37"/>
      <w:bookmarkEnd w:id="100"/>
      <w:r>
        <w:rPr>
          <w:rtl w:val="true"/>
        </w:rPr>
        <w:t>تنبیه چهارم</w:t>
      </w:r>
      <w:r>
        <w:rPr>
          <w:rtl w:val="true"/>
        </w:rPr>
        <w:t xml:space="preserve">: </w:t>
      </w:r>
      <w:r>
        <w:rPr>
          <w:rtl w:val="true"/>
        </w:rPr>
        <w:t>فرق بین احکام شرعی از حیث موضوع</w:t>
      </w:r>
      <w:bookmarkEnd w:id="101"/>
    </w:p>
    <w:p>
      <w:pPr>
        <w:pStyle w:val="BookText"/>
        <w:rPr/>
      </w:pPr>
      <w:r>
        <w:rPr>
          <w:rFonts w:ascii="IRNazanin" w:hAnsi="IRNazanin" w:eastAsia="IRNazanin"/>
          <w:color w:val="111111"/>
          <w:sz w:val="28"/>
          <w:sz w:val="28"/>
          <w:szCs w:val="28"/>
          <w:rtl w:val="true"/>
          <w:lang w:bidi="fa-IR"/>
        </w:rPr>
        <w:t>با نگاهی اجمالی به فقه درمی‌یابیم، موضوع احکام شرعی بر دو قسم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از آن‌ها ماهیتی شرعی دارند؛ بدین معنا که مخترع آن‌ها شارع</w:t>
      </w:r>
    </w:p>
    <w:p>
      <w:pPr>
        <w:pStyle w:val="BookText"/>
        <w:rPr/>
      </w:pPr>
      <w:r>
        <w:rPr>
          <w:rFonts w:ascii="IRNazanin" w:hAnsi="IRNazanin" w:eastAsia="IRNazanin"/>
          <w:color w:val="111111"/>
          <w:sz w:val="28"/>
          <w:sz w:val="28"/>
          <w:szCs w:val="28"/>
          <w:rtl w:val="true"/>
          <w:lang w:bidi="fa-IR"/>
        </w:rPr>
        <w:t>بوده و خود اقدام به تعریف و تحدید آن‌ها نموده است؛ مانند صلوة، صوم، حج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الفاظ عبادات به نحو حقیقت در معانی خود استعمال شده باشند یا به نحو مجاز، به بحث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موضوعات احکام، عرفی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شارع متکفل تحدید و تعریف نیست ولی گاهی برخی از مصادیق آن ماهیت عرفی را به دلایلی از شمول حکم خویش خارج یا داخل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موضوعات احکام شرعی از این دو قسم خارج نیستند و مرجع تبیین و تحدید هر یک نیز مشخص است ولی در عین حال در فقه به مواردی برمی خوریم که موضوع یک حکم شرعی امری عرفی بوده ولی شارع به نحوی متعرض آن امر عرفی شده و اموری را در رابطه با آن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ورود شارع به این عرصه چند توجیه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دخالت شارع به منظور تقیید موضوع عرفی باشد؛ یعنی شارع در مقام جعل حکم، ضمن آن‌که حکم را بر روی یک موضوع عرفی قرار می‌دهد، به نحوی آن را مقید می‌کند؛ مانند این‌که عنوان سفر را به مقدار هشت فرسنگ تحدید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محتمل است این اقدام شارع به عنوان طریقی برای کشف موضوع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بنابراین توجیه این طریق در موارد شک در تحقق موضوع عرفی کارگشا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دخالت شارع به جهت ضابطه مند کردن موضوع عرفی باشد که به نحو دقیق قابل تحدید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ورود شارع به عنوان یک اقدام تکمیلی باشد؛ بدین</w:t>
      </w:r>
      <w:bookmarkStart w:id="102" w:name="pg6142_67304"/>
    </w:p>
    <w:p>
      <w:pPr>
        <w:pStyle w:val="BookText"/>
        <w:rPr/>
      </w:pPr>
      <w:bookmarkEnd w:id="102"/>
      <w:r>
        <w:rPr>
          <w:rFonts w:ascii="IRNazanin" w:hAnsi="IRNazanin" w:eastAsia="IRNazanin"/>
          <w:color w:val="111111"/>
          <w:sz w:val="28"/>
          <w:sz w:val="28"/>
          <w:szCs w:val="28"/>
          <w:rtl w:val="true"/>
          <w:lang w:bidi="fa-IR"/>
        </w:rPr>
        <w:t>معنا که ضمن آن‌که حکمی را بر یک موضوع عرفی جعل می‌کند، خود نیز مستقلاً موضوع جداگانه‌ای برای این حکم تعریف می‌نماید، لکن ترتب حکم بر هر یک از این دو موضوع در ظروف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کدام توجیه در مورد اقدام شارع سزاوارتر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موارد مختلف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در مباحث آینده مطرح خواهد شد چه بسا در رابطه با ورود شارع به مسئلۀ مورد بحث بتوان ادعا کرد توجیه چهارم مناسب تر از سایر توجیهات است</w:t>
      </w:r>
      <w:r>
        <w:rPr>
          <w:rFonts w:eastAsia="IRNazanin" w:cs="IRNazanin"/>
          <w:color w:val="111111"/>
          <w:sz w:val="28"/>
          <w:szCs w:val="28"/>
          <w:rtl w:val="true"/>
          <w:lang w:bidi="fa-IR"/>
        </w:rPr>
        <w:t>.</w:t>
      </w:r>
    </w:p>
    <w:p>
      <w:pPr>
        <w:pStyle w:val="Heading3"/>
        <w:numPr>
          <w:ilvl w:val="2"/>
          <w:numId w:val="1"/>
        </w:numPr>
        <w:rPr/>
      </w:pPr>
      <w:bookmarkStart w:id="103" w:name="__RefHeading___Toc188956_237004111"/>
      <w:bookmarkStart w:id="104" w:name="_Toc38"/>
      <w:bookmarkEnd w:id="103"/>
      <w:r>
        <w:rPr>
          <w:rtl w:val="true"/>
        </w:rPr>
        <w:t>تنبیه پنجم</w:t>
      </w:r>
      <w:r>
        <w:rPr>
          <w:rtl w:val="true"/>
        </w:rPr>
        <w:t xml:space="preserve">: </w:t>
      </w:r>
      <w:r>
        <w:rPr>
          <w:rtl w:val="true"/>
        </w:rPr>
        <w:t>تأسیس اصل در مسئله</w:t>
      </w:r>
      <w:bookmarkEnd w:id="104"/>
    </w:p>
    <w:p>
      <w:pPr>
        <w:pStyle w:val="BookText"/>
        <w:rPr/>
      </w:pPr>
      <w:r>
        <w:rPr>
          <w:rFonts w:ascii="IRNazanin" w:hAnsi="IRNazanin" w:eastAsia="IRNazanin"/>
          <w:color w:val="111111"/>
          <w:sz w:val="28"/>
          <w:sz w:val="28"/>
          <w:szCs w:val="28"/>
          <w:rtl w:val="true"/>
          <w:lang w:bidi="fa-IR"/>
        </w:rPr>
        <w:t>قبل از بررسی ادلۀ این باب لازم است مقتضای قاعده در این مسئله مورد بررسی قرار گیرد؛ به عبارت دیگر باید معلوم شود با قطع نظر از ادلۀ خاصه، اصل و مقتضای عمومات و اطلاقات در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اصل در فرض عدم وجدان دلیل خاص مرجع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لازم است به دو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بلوغ شرط شرعی تکلیف است نه شرط عقلی آن؛ زیرا به نظر عقل ثبوت تکلیف برای صبی ممیز مخصوصاً مراهق هیچ استحاله‌ای در پی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به طور کلی در مورد بلوغ و نسبت آن با تکلیف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قائل‌اند بلوغ شرط ثبوت تکلیف و در مقابل گروهی بر این باورند که صغر موجب سقوط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حدیث رفع استناد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ظهور در ثبوت تکلیف</w:t>
      </w:r>
    </w:p>
    <w:p>
      <w:pPr>
        <w:pStyle w:val="BookText"/>
        <w:rPr/>
      </w:pPr>
      <w:r>
        <w:rPr>
          <w:rFonts w:ascii="IRNazanin" w:hAnsi="IRNazanin" w:eastAsia="IRNazanin"/>
          <w:color w:val="111111"/>
          <w:sz w:val="28"/>
          <w:sz w:val="28"/>
          <w:szCs w:val="28"/>
          <w:rtl w:val="true"/>
          <w:lang w:bidi="fa-IR"/>
        </w:rPr>
        <w:t>دارد ولی شارع از باب ارفاق و امتنان آن را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آن‌چه ذکر شد، اگر دلیل خاصی بر ثبوت تکلیف بر دختران در زمان خاص نیافتیم و مشخص نشد که آیا تکالیف الزامی بر آنان در سن نُه سالگی ثابت می‌شود یا سیزده سالگی و یا اساساً ملاک، تحقق حیض است، آن‌گاه طبق مبنای مشهور، مقتضای عمومات تکالیف و اطلاقات ادله اتیان به واجبات و ترک محرمات است؛ چون خروج اقل یعنی کمتر از نُه سالگی از عام یقینی است و شک در خروج اکثر از دایرۀ عموم داریم و در صورت شک در تخصیص زائد، عموم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صغر را موجب سقوط تکلیف بدانیم؛ زیرا برای سقوط تکلیف آن هم از باب ارفاق و امتنان، احراز عنوان صغر لازم است و چنان‌چه شک در این عنوان پیدا شود، دیگر نمی‌توان حکم به سقوط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مبنا هم به عمومات و اطلاقات رجوع شده و حدیث رفع شامل آن نمی‌شود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کلی چنان‌چه در مورد ثبوت تکلیف بر دختران در مقطع خاصی شک داشته باشیم، به مقتضای عمومات و اطلاقات ادلۀ تکالیف، حکم به ثبوت تکلیف می‌شود</w:t>
      </w:r>
      <w:r>
        <w:rPr>
          <w:rFonts w:eastAsia="IRNazanin" w:cs="IRNazanin"/>
          <w:color w:val="111111"/>
          <w:sz w:val="28"/>
          <w:szCs w:val="28"/>
          <w:rtl w:val="true"/>
          <w:lang w:bidi="fa-IR"/>
        </w:rPr>
        <w:t>.</w:t>
      </w:r>
      <w:bookmarkStart w:id="105" w:name="pg6142_67306"/>
    </w:p>
    <w:p>
      <w:pPr>
        <w:pStyle w:val="Heading2"/>
        <w:numPr>
          <w:ilvl w:val="1"/>
          <w:numId w:val="1"/>
        </w:numPr>
        <w:rPr/>
      </w:pPr>
      <w:bookmarkStart w:id="106" w:name="__RefHeading___Toc188958_237004111"/>
      <w:bookmarkStart w:id="107" w:name="_Toc39"/>
      <w:bookmarkEnd w:id="105"/>
      <w:bookmarkEnd w:id="106"/>
      <w:r>
        <w:rPr>
          <w:rtl w:val="true"/>
        </w:rPr>
        <w:t>بخش دوم</w:t>
      </w:r>
      <w:r>
        <w:rPr>
          <w:rtl w:val="true"/>
        </w:rPr>
        <w:t xml:space="preserve">: </w:t>
      </w:r>
      <w:r>
        <w:rPr>
          <w:rtl w:val="true"/>
        </w:rPr>
        <w:t>اهمّ نشانه های طبیعی</w:t>
      </w:r>
      <w:bookmarkEnd w:id="1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88960_237004111"/>
      <w:bookmarkStart w:id="109" w:name="_Toc40"/>
      <w:bookmarkEnd w:id="108"/>
      <w:r>
        <w:rPr>
          <w:rtl w:val="true"/>
        </w:rPr>
        <w:t>اشاره</w:t>
      </w:r>
      <w:bookmarkStart w:id="110" w:name="pg6142_67308"/>
      <w:bookmarkEnd w:id="109"/>
    </w:p>
    <w:p>
      <w:pPr>
        <w:pStyle w:val="Heading3"/>
        <w:numPr>
          <w:ilvl w:val="2"/>
          <w:numId w:val="1"/>
        </w:numPr>
        <w:rPr/>
      </w:pPr>
      <w:bookmarkStart w:id="111" w:name="__RefHeading___Toc188962_237004111"/>
      <w:bookmarkStart w:id="112" w:name="_Toc41"/>
      <w:bookmarkEnd w:id="110"/>
      <w:bookmarkEnd w:id="111"/>
      <w:r>
        <w:rPr>
          <w:rtl w:val="true"/>
        </w:rPr>
        <w:t>مقدمه</w:t>
      </w:r>
      <w:bookmarkEnd w:id="112"/>
    </w:p>
    <w:p>
      <w:pPr>
        <w:pStyle w:val="BookText"/>
        <w:rPr/>
      </w:pPr>
      <w:r>
        <w:rPr>
          <w:rFonts w:ascii="IRNazanin" w:hAnsi="IRNazanin" w:eastAsia="IRNazanin"/>
          <w:color w:val="111111"/>
          <w:sz w:val="28"/>
          <w:sz w:val="28"/>
          <w:szCs w:val="28"/>
          <w:rtl w:val="true"/>
          <w:lang w:bidi="fa-IR"/>
        </w:rPr>
        <w:t>در این فصل به بررسی نشانه‌های طبیعی که در ادلۀ شرعی به عنوان مبدأ ثبوت تکلیف ذکر شده، می‌پردازیم</w:t>
      </w:r>
      <w:r>
        <w:rPr>
          <w:rFonts w:eastAsia="IRNazanin" w:cs="IRNazanin"/>
          <w:color w:val="111111"/>
          <w:sz w:val="28"/>
          <w:szCs w:val="28"/>
          <w:rtl w:val="true"/>
          <w:lang w:bidi="fa-IR"/>
        </w:rPr>
        <w:t>.</w:t>
      </w:r>
    </w:p>
    <w:p>
      <w:pPr>
        <w:pStyle w:val="Heading3"/>
        <w:numPr>
          <w:ilvl w:val="2"/>
          <w:numId w:val="1"/>
        </w:numPr>
        <w:rPr/>
      </w:pPr>
      <w:bookmarkStart w:id="113" w:name="__RefHeading___Toc188964_237004111"/>
      <w:bookmarkStart w:id="114" w:name="_Toc42"/>
      <w:bookmarkEnd w:id="113"/>
      <w:r>
        <w:rPr>
          <w:rtl w:val="true"/>
        </w:rPr>
        <w:t>نشانه های طبیعی</w:t>
      </w:r>
      <w:bookmarkEnd w:id="114"/>
    </w:p>
    <w:p>
      <w:pPr>
        <w:pStyle w:val="Heading4"/>
        <w:numPr>
          <w:ilvl w:val="3"/>
          <w:numId w:val="1"/>
        </w:numPr>
        <w:rPr/>
      </w:pPr>
      <w:bookmarkStart w:id="115" w:name="__RefHeading___Toc188966_237004111"/>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منظور از نشانه‌های طبیعی علایمی هستند که نشان‌دهندۀ تغییرات جسمی در بدن شخص بالغ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امور قطعا از علایم بلوغ محسوب شده و برخی دیگر به عنوان مقارنات بلوغ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ممکن است با تاخیر از زمان بلوغ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بعضی از متخصصین تغییرات جسمی در دختران تقریباً به ترتیب زیر ظاهر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شدن سینه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موهای زهاری صاف و کم رنگ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 رشد سریع بدنی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موهای زهاری مجعد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قاعدگی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موهای زیر بغل</w:t>
      </w:r>
    </w:p>
    <w:p>
      <w:pPr>
        <w:pStyle w:val="BookText"/>
        <w:rPr/>
      </w:pPr>
      <w:r>
        <w:rPr>
          <w:rFonts w:ascii="IRNazanin" w:hAnsi="IRNazanin" w:eastAsia="IRNazanin"/>
          <w:color w:val="111111"/>
          <w:sz w:val="28"/>
          <w:sz w:val="28"/>
          <w:szCs w:val="28"/>
          <w:rtl w:val="true"/>
          <w:lang w:bidi="fa-IR"/>
        </w:rPr>
        <w:t xml:space="preserve">حدود سنی بروز قاعدگی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معدل سنی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قاعدگی حدود سه چهارم دختران در سنین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قاعدگی نشانه‌ای کامل از بلوغ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اولین قاعدگی، در دوره قاعدگی بی‌نظمی‌هایی مشاهده شود و به نظر می‌رسد قاعدگی بسیاری از دختران قبل از این‌که تخمدانشان قادر به تولید تخمک‌های قابل باروری باشد و نیز قبل از این‌که رحم‌شان آمادگی حمل بچه را داشته باشد،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شواهدی وجود دارد مبنی بر این‌که تعداد بسیار کمی از دختران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قادر به تولید مثل‌اند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اینان نیز احتمال آبستنی‌شان بسیار کمتر از سال‌های بعد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روانشناسی رشد،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ضمن برشمردن علایم بلوغ جنسی در پسران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 متخصصین فن، پسران حدود یکسال و نیم تا دو سال دیرتر از دختران به بلوغ جنسی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مطالعه معلوم شد،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بین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جنسی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مطالعات مشابه در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در اوائل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مرحلۀ بلوغ جنسی رسیده بودند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نشانه‌های طبیعی بلوغ در دختران بیش از موارد</w:t>
      </w:r>
      <w:bookmarkStart w:id="117" w:name="pg6142_67310"/>
    </w:p>
    <w:p>
      <w:pPr>
        <w:pStyle w:val="BookText"/>
        <w:rPr/>
      </w:pPr>
      <w:bookmarkEnd w:id="117"/>
      <w:r>
        <w:rPr>
          <w:rFonts w:ascii="IRNazanin" w:hAnsi="IRNazanin" w:eastAsia="IRNazanin"/>
          <w:color w:val="111111"/>
          <w:sz w:val="28"/>
          <w:sz w:val="28"/>
          <w:szCs w:val="28"/>
          <w:rtl w:val="true"/>
          <w:lang w:bidi="fa-IR"/>
        </w:rPr>
        <w:t>مذکور باشد، خصوصاً اگر درصدد باشیم مقارنات آن را هم ذکر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آن‌چه در ادلۀ شرعی وارد شده، فقها نیز متعرض نشانه‌های طبیعی بلوغ گشته و بر اساس برخی از آن‌ها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ما صرفا در صدد استقصای این علامت‌ها از لابلای کلمات فقها می‌باشیم، بدون آن‌که وارد بحث و بررسی ادله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به کار بردن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بدین معنا نیست که همۀ فقیهان از این واژه استفاده نموده باشند بلکه چه بسا برخی از آنان صراحتا از این نشانه‌ها نیز به عنوان نشانه‌های شرعی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فقها ضمن برشمردن نشانه‌های بلوغ، به اشتراک بعضی از آن‌ها بین پسران و دختران تصریح و اختصاص برخی دیگر را به پسران یا دختران بیان کرده‌اند ولی در این مقام سخن از نشانه‌های اختصاصی بلوغ دختران و نشانه‌های مشترک است، گرچه در مورد برخی از آن‌ها اختلاف وجود دارد</w:t>
      </w:r>
      <w:r>
        <w:rPr>
          <w:rFonts w:eastAsia="IRNazanin" w:cs="IRNazanin"/>
          <w:color w:val="111111"/>
          <w:sz w:val="28"/>
          <w:szCs w:val="28"/>
          <w:rtl w:val="true"/>
          <w:lang w:bidi="fa-IR"/>
        </w:rPr>
        <w:t>.</w:t>
      </w:r>
    </w:p>
    <w:p>
      <w:pPr>
        <w:pStyle w:val="Heading4"/>
        <w:numPr>
          <w:ilvl w:val="3"/>
          <w:numId w:val="1"/>
        </w:numPr>
        <w:rPr/>
      </w:pPr>
      <w:bookmarkStart w:id="118" w:name="__RefHeading___Toc188968_237004111"/>
      <w:bookmarkStart w:id="119" w:name="_Toc44"/>
      <w:bookmarkEnd w:id="118"/>
      <w:r>
        <w:rPr>
          <w:rtl w:val="true"/>
        </w:rPr>
        <w:t>الف</w:t>
      </w:r>
      <w:r>
        <w:rPr>
          <w:rtl w:val="true"/>
        </w:rPr>
        <w:t xml:space="preserve">) </w:t>
      </w:r>
      <w:r>
        <w:rPr>
          <w:rtl w:val="true"/>
        </w:rPr>
        <w:t>نشانه های مشترک</w:t>
      </w:r>
      <w:bookmarkEnd w:id="119"/>
    </w:p>
    <w:p>
      <w:pPr>
        <w:pStyle w:val="BookText"/>
        <w:rPr/>
      </w:pPr>
      <w:r>
        <w:rPr>
          <w:rFonts w:ascii="IRNazanin" w:hAnsi="IRNazanin" w:eastAsia="IRNazanin"/>
          <w:color w:val="111111"/>
          <w:sz w:val="28"/>
          <w:sz w:val="28"/>
          <w:szCs w:val="28"/>
          <w:rtl w:val="true"/>
          <w:lang w:bidi="fa-IR"/>
        </w:rPr>
        <w:t>ذیلاً نشانه‌های مشترک را که در برخی کتب فقهی ذکر شده مرور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والبلوغ یکون باحد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وخروج الحیض والحمل والانبات والسن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فثلاثة منها یشترک فیها الذکور والاناث واثنان ینفرد بهما الاناث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فالثلاثة المشترکة</w:t>
      </w:r>
    </w:p>
    <w:p>
      <w:pPr>
        <w:pStyle w:val="BookText"/>
        <w:rPr/>
      </w:pPr>
      <w:r>
        <w:rPr>
          <w:rFonts w:ascii="IRNazanin" w:hAnsi="IRNazanin" w:eastAsia="IRNazanin"/>
          <w:color w:val="111111"/>
          <w:sz w:val="28"/>
          <w:sz w:val="28"/>
          <w:szCs w:val="28"/>
          <w:rtl w:val="true"/>
          <w:lang w:bidi="fa-IR"/>
        </w:rPr>
        <w:t>فهی السن وخروج المنی والانبات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به یکی از پنج 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و خارج شدن خون حیض و حامله شدن و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ذکور و اناث در سه چیز از پنج چیز مشترک می‌باشند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خروج منی و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چیز مختص اناث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حیض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ویعرف البلوغ بامور خمسة ثلاثة مشترکة بین الذکر والانثی واثنان مختصان بالانثی فالمشترکة خروج المنی من القبل والسن والانبات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به پنج امر شناخته می‌شود که سه امر مشترک بین مذکر و مؤنث است و دو چیز مختص به مؤنث، پس سه امر مشترک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و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زهاری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وهو یعلم بانبات الشعر الخشن علی العانة او خروج المنی الذی منه الولد من الموضع المعتاد ویشترک فی هذین الذکور والاناث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به روییدن موی خشن بر زیر شکم یا خروج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قابلیت تولید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و محل متعارف و این دو بین مذکر و مؤنث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در مسالک در ذیل این عبارت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ویشترک فی هذین الذکور الاناث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عندنا وعند الأکثر موضع وفاق وانما نبه به علی خلاف الشافعی فان له قولاً بان خروج المنی من النساء لا یوجب بلوغهن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مسالک الافهام،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نشانۀ مشترک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عامه مورد اتفاق است ولی علت ذکر آن توجه دادن به نظر شافعی است که برخلاف دیگران معتقد است که خارج شدن منی از زنان موجب بلوغ آنان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البلوغ بالسن وخروج المنی وانبات الشعر الخشن علی العانة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به سبب سن و خروج منی و رویش موی زبر بر زیر شکم دانسته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البلوغ فی الذکر والانثی باحد امور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الشعر الخشن علی العانة ولا اعتبار بالزغب والشعر الضعیف،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یقظة او نوما بجماع او احتلام او غیرهما،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bookmarkStart w:id="120" w:name="pg6142_67313"/>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در دختر و پسر به یکی از امور سه‌گانه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روییدن موی خشن بر زیر شکم و 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ضعیف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منی در حال بیداری یا خواب به واسطۀ آمیزش یا احتلام یا غیر این 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عبارات استفاده می‌شود که حداقل دو علامت مشترک برای بلوغ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خروج منی و دیگری رویش موی زهاری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حدود و قیود این دو نشانه نیز بحث‌هایی وجود دارد که در آینده متعرض آن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شیخ طوسی، علامه، مقدس اردبیلی و اکثر متأخرین نیز، سن را با وجود اختلاف در حد آن از علایم مشترک دانسته‌اند، تعداد کمی از فقیهان نیز در مورد احتلام و خروج منی به عنوان مبدأ ثبوت تکلیف در دختران اشکال کرده ولی اکثریت قریب به اتفاق آنان این علامت را از علامت‌ها و نشانه‌های مشترک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ما مسئلۀ سن را از بحث نشانه‌های طبیعی تفکیک کرده و مستقلاً مورد بررسی قرار خواهیم داد</w:t>
      </w:r>
      <w:r>
        <w:rPr>
          <w:rFonts w:eastAsia="IRNazanin" w:cs="IRNazanin"/>
          <w:color w:val="111111"/>
          <w:sz w:val="28"/>
          <w:szCs w:val="28"/>
          <w:rtl w:val="true"/>
          <w:lang w:bidi="fa-IR"/>
        </w:rPr>
        <w:t>.</w:t>
      </w:r>
    </w:p>
    <w:p>
      <w:pPr>
        <w:pStyle w:val="Heading4"/>
        <w:numPr>
          <w:ilvl w:val="3"/>
          <w:numId w:val="1"/>
        </w:numPr>
        <w:rPr/>
      </w:pPr>
      <w:bookmarkStart w:id="121" w:name="__RefHeading___Toc188970_237004111"/>
      <w:bookmarkStart w:id="122" w:name="_Toc45"/>
      <w:bookmarkEnd w:id="121"/>
      <w:r>
        <w:rPr>
          <w:rtl w:val="true"/>
        </w:rPr>
        <w:t>ب</w:t>
      </w:r>
      <w:r>
        <w:rPr>
          <w:rtl w:val="true"/>
        </w:rPr>
        <w:t xml:space="preserve">). </w:t>
      </w:r>
      <w:r>
        <w:rPr>
          <w:rtl w:val="true"/>
        </w:rPr>
        <w:t>نشانه های اختصاصی</w:t>
      </w:r>
      <w:bookmarkEnd w:id="122"/>
    </w:p>
    <w:p>
      <w:pPr>
        <w:pStyle w:val="BookText"/>
        <w:rPr/>
      </w:pPr>
      <w:r>
        <w:rPr>
          <w:rFonts w:ascii="IRNazanin" w:hAnsi="IRNazanin" w:eastAsia="IRNazanin"/>
          <w:color w:val="111111"/>
          <w:sz w:val="28"/>
          <w:sz w:val="28"/>
          <w:szCs w:val="28"/>
          <w:rtl w:val="true"/>
          <w:lang w:bidi="fa-IR"/>
        </w:rPr>
        <w:t>در بسیاری از کتب فقهی به بعضی از نشانه‌های اختصاصی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والاثنان اللذان یختص بهما الاناث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فالحیض والحمل</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چیزی که مختص دختران است حیض و حمل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والمختصه الحیض والحمل</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تحریر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اختصاصی دختران حیض و حمل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حلی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والحیض والحمل وبلوغ تسع سنین فی المرئة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حمل و رسیدن به نه سالگی در دختران از نشانه‌های بلوغ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مضمون در بسیاری از کتب فقهی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فهرستی از علایم و نشانه‌های مشترک و مختص بلوغ دختران که در کتب فقهی ذکر شده، ارائه دهیم، بدون آن‌که در این مجال درصدد ارزیابی آن‌ها باشیم، می‌توانیم به موارد زیر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انبات شعر خشن بر 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موی خشن زهاری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نشانه‌هایی هستند که بیشتر مورد بررسی و تجزیه و تحلیل قرار گرفته‌اند ولی امور دیگری نیز به عنوان نشانه‌های بلوغ مطرح شده که مورد قبول واقع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به برخی از آن‌ها اشاره کرده است</w:t>
      </w:r>
      <w:r>
        <w:rPr>
          <w:rStyle w:val="FootnoteAnchor"/>
          <w:rtl w:val="true"/>
        </w:rPr>
        <w:footnoteReference w:id="81"/>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بوی زیر بغل، قد، وزن، برآمدن پستان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گفتارهای بعدی به بررسی تفصیلی نشانه‌های طبیعی بلوغ در دختران خواهیم پرداخت</w:t>
      </w:r>
      <w:r>
        <w:rPr>
          <w:rFonts w:eastAsia="IRNazanin" w:cs="IRNazanin"/>
          <w:color w:val="111111"/>
          <w:sz w:val="28"/>
          <w:szCs w:val="28"/>
          <w:rtl w:val="true"/>
          <w:lang w:bidi="fa-IR"/>
        </w:rPr>
        <w:t>.</w:t>
      </w:r>
      <w:bookmarkStart w:id="123" w:name="pg6142_67316"/>
    </w:p>
    <w:p>
      <w:pPr>
        <w:pStyle w:val="Heading3"/>
        <w:numPr>
          <w:ilvl w:val="2"/>
          <w:numId w:val="1"/>
        </w:numPr>
        <w:rPr/>
      </w:pPr>
      <w:bookmarkStart w:id="124" w:name="__RefHeading___Toc188972_237004111"/>
      <w:bookmarkStart w:id="125" w:name="_Toc46"/>
      <w:bookmarkEnd w:id="123"/>
      <w:bookmarkEnd w:id="124"/>
      <w:r>
        <w:rPr>
          <w:rtl w:val="true"/>
        </w:rPr>
        <w:t>فصل اول</w:t>
      </w:r>
      <w:r>
        <w:rPr>
          <w:rtl w:val="true"/>
        </w:rPr>
        <w:t xml:space="preserve">: </w:t>
      </w:r>
      <w:r>
        <w:rPr>
          <w:rtl w:val="true"/>
        </w:rPr>
        <w:t>رویش موی زبر در زیر شکم</w:t>
      </w:r>
      <w:bookmarkEnd w:id="1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188974_237004111"/>
      <w:bookmarkStart w:id="127" w:name="_Toc47"/>
      <w:bookmarkEnd w:id="126"/>
      <w:r>
        <w:rPr>
          <w:rtl w:val="true"/>
        </w:rPr>
        <w:t>اشاره</w:t>
      </w:r>
      <w:bookmarkStart w:id="128" w:name="pg6142_67318"/>
      <w:bookmarkEnd w:id="127"/>
    </w:p>
    <w:p>
      <w:pPr>
        <w:pStyle w:val="Heading4"/>
        <w:numPr>
          <w:ilvl w:val="3"/>
          <w:numId w:val="1"/>
        </w:numPr>
        <w:rPr/>
      </w:pPr>
      <w:bookmarkStart w:id="129" w:name="__RefHeading___Toc188976_237004111"/>
      <w:bookmarkStart w:id="130" w:name="_Toc48"/>
      <w:bookmarkEnd w:id="128"/>
      <w:bookmarkEnd w:id="129"/>
      <w:r>
        <w:rPr>
          <w:rtl w:val="true"/>
        </w:rPr>
        <w:t>مقدمه</w:t>
      </w:r>
      <w:bookmarkEnd w:id="130"/>
    </w:p>
    <w:p>
      <w:pPr>
        <w:pStyle w:val="BookText"/>
        <w:rPr/>
      </w:pPr>
      <w:r>
        <w:rPr>
          <w:rFonts w:ascii="IRNazanin" w:hAnsi="IRNazanin" w:eastAsia="IRNazanin"/>
          <w:color w:val="111111"/>
          <w:sz w:val="28"/>
          <w:sz w:val="28"/>
          <w:szCs w:val="28"/>
          <w:rtl w:val="true"/>
          <w:lang w:bidi="fa-IR"/>
        </w:rPr>
        <w:t>انبات از ماده نبت به معنای روییدن و مراد از آن رویش موی خشن در زیر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 دو قید خشونت و رویش برعانه ذکر شده که به جهت احتراز از برخی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وصف خشونت برای احتراز از موهای غیر خشن و مراد از آن مویی است که محتاج تراشیدن و حلق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والاعتبار بانبات العانه علی وجه الخشونة التی یحتاج الی الحلق دون ما کان مثل الزغب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رویش مو عبارت از رویش موی زبر در زیر شکم است که نیازمند تراشیدن می‌باشد، نه موهای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نیز همین تفسیر را از خشونت ارائه داده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تذکرة الفقهاء،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فرموده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 بالخشن عن الشعر الضعیف الذی ینبت قبل الخشن ثم یزول ویعبر عنه بالزغب</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ذکر قید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موهایی احتراز شده که نرم بوده و قبل از موهای خشن روییده و سپس از بین می‌روند و از آن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جامع المقاصد در مورد زغب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الزغب هو الریش الذی ینبت علی الفرخ قبل ریشه والشعر الضعیف الذی ینبت قبل الشعر الخشن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زعب عبارت از مویی است که بر فرخ می‌روید و موی نرمی است که قبل از موی زبر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زغب موی ضعیفی است که قبل از موی خشن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مانند علامه در کتاب تذکرة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اعتبار بالزغب ولا الشعر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لکن در تحریر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اعتبار بالزغب الضعیف</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به هر حال مقصود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قید رویش برعانه نیز به جهت احتراز از موهای سایر قسمت‌های بدن از جمله موی زیر بغل و موی دست و پا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واحترز بشعر العانة عن غیره کشعر الابط والشارب واللحیة فلا عبرة بها عندنا</w:t>
      </w:r>
      <w:r>
        <w:rPr>
          <w:rFonts w:eastAsia="IRNazanin" w:cs="IRNazanin"/>
          <w:color w:val="111111"/>
          <w:sz w:val="28"/>
          <w:szCs w:val="28"/>
          <w:rtl w:val="true"/>
          <w:lang w:bidi="fa-IR"/>
        </w:rPr>
        <w:t>».</w:t>
      </w:r>
      <w:r>
        <w:rPr>
          <w:rStyle w:val="FootnoteAnchor"/>
          <w:rtl w:val="true"/>
        </w:rPr>
        <w:footnoteReference w:id="8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موی زیر شکم از غیر آن مثل موی زیر بغل و موی بالای لب و ریش احتراز کرده، پس این موها نزد ما معتبر نیست</w:t>
      </w:r>
      <w:r>
        <w:rPr>
          <w:rFonts w:eastAsia="IRNazanin" w:cs="IRNazanin"/>
          <w:color w:val="111111"/>
          <w:sz w:val="28"/>
          <w:szCs w:val="28"/>
          <w:rtl w:val="true"/>
          <w:lang w:bidi="fa-IR"/>
        </w:rPr>
        <w:t>».</w:t>
      </w:r>
      <w:bookmarkStart w:id="131" w:name="pg6142_67320"/>
    </w:p>
    <w:p>
      <w:pPr>
        <w:pStyle w:val="Heading4"/>
        <w:numPr>
          <w:ilvl w:val="3"/>
          <w:numId w:val="1"/>
        </w:numPr>
        <w:rPr/>
      </w:pPr>
      <w:bookmarkStart w:id="132" w:name="__RefHeading___Toc188978_237004111"/>
      <w:bookmarkStart w:id="133" w:name="_Toc49"/>
      <w:bookmarkEnd w:id="131"/>
      <w:bookmarkEnd w:id="132"/>
      <w:r>
        <w:rPr>
          <w:rtl w:val="true"/>
        </w:rPr>
        <w:t>گفتار اول</w:t>
      </w:r>
      <w:r>
        <w:rPr>
          <w:rtl w:val="true"/>
        </w:rPr>
        <w:t xml:space="preserve">: </w:t>
      </w:r>
      <w:r>
        <w:rPr>
          <w:rtl w:val="true"/>
        </w:rPr>
        <w:t>ادلۀ اثبات تکلیف بر دختران با رویش موی زهاری</w:t>
      </w:r>
      <w:bookmarkEnd w:id="133"/>
    </w:p>
    <w:p>
      <w:pPr>
        <w:pStyle w:val="Heading5"/>
        <w:numPr>
          <w:ilvl w:val="4"/>
          <w:numId w:val="1"/>
        </w:numPr>
        <w:rPr/>
      </w:pPr>
      <w:bookmarkStart w:id="134" w:name="__RefHeading___Toc188980_237004111"/>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به چند دلیل بر اثبات تکلیف در دختران به سبب رویش موی زهاری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ادله‌ای که به این منظور اقامه شده برخی در صدد اثبات رویش موی زهاری به عنوان مبدأ ثبوت تکلیف می‌باشند و برخی در صدد اثبات اماریت آن بر بلوغ به معنای بلوغ جنسی و کمال طبیعی دختر و توانایی او بر آمیزش و تولیدمثل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ادله از این قرارند</w:t>
      </w:r>
      <w:r>
        <w:rPr>
          <w:rFonts w:eastAsia="IRNazanin" w:cs="IRNazanin"/>
          <w:color w:val="111111"/>
          <w:sz w:val="28"/>
          <w:szCs w:val="28"/>
          <w:rtl w:val="true"/>
          <w:lang w:bidi="fa-IR"/>
        </w:rPr>
        <w:t>:</w:t>
      </w:r>
    </w:p>
    <w:p>
      <w:pPr>
        <w:pStyle w:val="Heading5"/>
        <w:numPr>
          <w:ilvl w:val="4"/>
          <w:numId w:val="1"/>
        </w:numPr>
        <w:rPr/>
      </w:pPr>
      <w:bookmarkStart w:id="136" w:name="__RefHeading___Toc188982_237004111"/>
      <w:bookmarkStart w:id="137" w:name="_Toc51"/>
      <w:bookmarkEnd w:id="136"/>
      <w:r>
        <w:rPr>
          <w:rtl w:val="true"/>
        </w:rPr>
        <w:t>دلیل اول</w:t>
      </w:r>
      <w:bookmarkEnd w:id="137"/>
    </w:p>
    <w:p>
      <w:pPr>
        <w:pStyle w:val="Heading6"/>
        <w:numPr>
          <w:ilvl w:val="5"/>
          <w:numId w:val="1"/>
        </w:numPr>
        <w:rPr/>
      </w:pPr>
      <w:bookmarkStart w:id="138" w:name="__RefHeading___Toc188984_237004111"/>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جمعی بر این مطلب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زهره، علامه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رابطه علامه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هذا الشعر دلیل علی البلوغ فی حق المسلمین والکفار عند علمائنا اجمع</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تذکرة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این مو دلیل بر بلوغ در حق مسلمین و کفار نزد همه</w:t>
      </w:r>
      <w:bookmarkStart w:id="140" w:name="pg6142_67321"/>
    </w:p>
    <w:p>
      <w:pPr>
        <w:pStyle w:val="BookText"/>
        <w:rPr/>
      </w:pPr>
      <w:bookmarkEnd w:id="140"/>
      <w:r>
        <w:rPr>
          <w:rFonts w:ascii="IRNazanin" w:hAnsi="IRNazanin" w:eastAsia="IRNazanin"/>
          <w:color w:val="111111"/>
          <w:sz w:val="28"/>
          <w:sz w:val="28"/>
          <w:szCs w:val="28"/>
          <w:rtl w:val="true"/>
          <w:lang w:bidi="fa-IR"/>
        </w:rPr>
        <w:t>علمای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ایشان انبات دلیل بر سبق بلوغ است 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والاقرب انه دلالة علی البلوغ فانا نعلم سبق البلوغ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آن است که رویش موی زهاری دلالت بر بلوغ دارد؛ زیرا ما به وسیلۀ آن یقین به تحقق بلوغ در گذشته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باره در آینده بیشتر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با استشهاد به عبارت علامه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فکانه دلیله الاجماع</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به نظر وی کأن دلیل علامه بر این مطلب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صاحب ریاض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بانبات الشعر الخشن علی العانة بلا خلاف، بل علیه الاجماع فی الغنیة ونهج الحق والتذکرة وغیرها من کتب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به واسطۀ رویش موی خشن در زیر شکم دانسته می‌شود و در آن اختلافی نیست، بلکه در برخی کتب مانند غنیه و نهج الحق وتذکره بر آن ادعای اجماع شده است</w:t>
      </w:r>
      <w:r>
        <w:rPr>
          <w:rFonts w:eastAsia="IRNazanin" w:cs="IRNazanin"/>
          <w:color w:val="111111"/>
          <w:sz w:val="28"/>
          <w:szCs w:val="28"/>
          <w:rtl w:val="true"/>
          <w:lang w:bidi="fa-IR"/>
        </w:rPr>
        <w:t>».</w:t>
      </w:r>
    </w:p>
    <w:p>
      <w:pPr>
        <w:pStyle w:val="Heading6"/>
        <w:numPr>
          <w:ilvl w:val="5"/>
          <w:numId w:val="1"/>
        </w:numPr>
        <w:rPr/>
      </w:pPr>
      <w:bookmarkStart w:id="141" w:name="__RefHeading___Toc188986_237004111"/>
      <w:bookmarkStart w:id="142" w:name="_Toc53"/>
      <w:bookmarkEnd w:id="141"/>
      <w:r>
        <w:rPr>
          <w:rtl w:val="true"/>
        </w:rPr>
        <w:t>بررسی دلیل اول</w:t>
      </w:r>
      <w:bookmarkEnd w:id="1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مخدوش است؛ زیرا با قطع نظر از وجود مخالف در مسئله، این اجماع منقول است و لذا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محتمل المدرکیة</w:t>
      </w:r>
      <w:bookmarkStart w:id="143" w:name="pg6142_67322"/>
    </w:p>
    <w:p>
      <w:pPr>
        <w:pStyle w:val="BookText"/>
        <w:rPr/>
      </w:pPr>
      <w:bookmarkEnd w:id="143"/>
      <w:r>
        <w:rPr>
          <w:rFonts w:ascii="IRNazanin" w:hAnsi="IRNazanin" w:eastAsia="IRNazanin"/>
          <w:color w:val="111111"/>
          <w:sz w:val="28"/>
          <w:sz w:val="28"/>
          <w:szCs w:val="28"/>
          <w:rtl w:val="true"/>
          <w:lang w:bidi="fa-IR"/>
        </w:rPr>
        <w:t>می‌باشد؛ چون احتمال دارد مستند مجمعین همین روایاتی باشد که نزد ما معلوم‌اند</w:t>
      </w:r>
      <w:r>
        <w:rPr>
          <w:rFonts w:eastAsia="IRNazanin" w:cs="IRNazanin"/>
          <w:color w:val="111111"/>
          <w:sz w:val="28"/>
          <w:szCs w:val="28"/>
          <w:rtl w:val="true"/>
          <w:lang w:bidi="fa-IR"/>
        </w:rPr>
        <w:t>.</w:t>
      </w:r>
    </w:p>
    <w:p>
      <w:pPr>
        <w:pStyle w:val="Heading5"/>
        <w:numPr>
          <w:ilvl w:val="4"/>
          <w:numId w:val="1"/>
        </w:numPr>
        <w:rPr/>
      </w:pPr>
      <w:bookmarkStart w:id="144" w:name="__RefHeading___Toc188988_237004111"/>
      <w:bookmarkStart w:id="145" w:name="_Toc54"/>
      <w:bookmarkEnd w:id="144"/>
      <w:r>
        <w:rPr>
          <w:rtl w:val="true"/>
        </w:rPr>
        <w:t>دلیل دوم</w:t>
      </w:r>
      <w:bookmarkEnd w:id="145"/>
    </w:p>
    <w:p>
      <w:pPr>
        <w:pStyle w:val="BookText"/>
        <w:rPr/>
      </w:pPr>
      <w:r>
        <w:rPr>
          <w:rFonts w:ascii="IRNazanin" w:hAnsi="IRNazanin" w:eastAsia="IRNazanin"/>
          <w:color w:val="111111"/>
          <w:sz w:val="28"/>
          <w:sz w:val="28"/>
          <w:szCs w:val="28"/>
          <w:rtl w:val="true"/>
          <w:lang w:bidi="fa-IR"/>
        </w:rPr>
        <w:t>تجربه نشان داده که بین بلوغ و انبات ملازمه وجود دارد؛ بدین معنا که معمولاً موی خشن زهاری قبل از بلوغ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رد ابوحنیفه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رویش موی زهاری نه بلوغ است و نه دلیل بر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 ظاهر فان التجربة قاضیة بان هذا الشعر لا ینبت الا بعد البلوغ بخلاف غیره من الشعور التی فی البدن والرأس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تذکرة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این دو روشن است؛ زیرا به حکم تجربه این مو فقط پس از بلوغ می‌روید، بر خلاف سایر موهایی که در بدن و سر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گفته شد، علامه بر این عقیده است که انبات کاشف از سبق بلوغ است ولی این مطلب دیگری است که در آینده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اصل ملازمه بین انبات و بلوغ به حکم تجربه و عادت قابل دفاع است، لکن چنان‌چه در جای خود اشاره خواهد شد، انبات از نشانه‌هایی است که کاشف از تحقق بلوغ در زمان سابق است</w:t>
      </w:r>
      <w:r>
        <w:rPr>
          <w:rFonts w:eastAsia="IRNazanin" w:cs="IRNazanin"/>
          <w:color w:val="111111"/>
          <w:sz w:val="28"/>
          <w:szCs w:val="28"/>
          <w:rtl w:val="true"/>
          <w:lang w:bidi="fa-IR"/>
        </w:rPr>
        <w:t>.</w:t>
      </w:r>
    </w:p>
    <w:p>
      <w:pPr>
        <w:pStyle w:val="Heading5"/>
        <w:numPr>
          <w:ilvl w:val="4"/>
          <w:numId w:val="1"/>
        </w:numPr>
        <w:rPr/>
      </w:pPr>
      <w:bookmarkStart w:id="146" w:name="__RefHeading___Toc188990_237004111"/>
      <w:bookmarkStart w:id="147" w:name="_Toc55"/>
      <w:bookmarkEnd w:id="146"/>
      <w:r>
        <w:rPr>
          <w:rtl w:val="true"/>
        </w:rPr>
        <w:t>دلیل سوم</w:t>
      </w:r>
      <w:bookmarkEnd w:id="1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مختلفی هم از طریق عامه و هم خاصه در این رابطه وارد شده ولی این روایات یا به مسئلۀ انبات در خصوص رجال اشاره کرده که</w:t>
      </w:r>
    </w:p>
    <w:p>
      <w:pPr>
        <w:pStyle w:val="BookText"/>
        <w:rPr/>
      </w:pPr>
      <w:r>
        <w:rPr>
          <w:rFonts w:ascii="IRNazanin" w:hAnsi="IRNazanin" w:eastAsia="IRNazanin"/>
          <w:color w:val="111111"/>
          <w:sz w:val="28"/>
          <w:sz w:val="28"/>
          <w:szCs w:val="28"/>
          <w:rtl w:val="true"/>
          <w:lang w:bidi="fa-IR"/>
        </w:rPr>
        <w:t>در این صورت باید شمول آن نسبت به دختران به دلیل دیگری ثابت شود و یا به نحو کلی به اماریت آن اشاره نموده که در این صورت منعی برای شمول آن نسبت به دختران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پس از ذکر ادله مستقلا به مسئلۀ شمول اماریت انبات نسبت به دختران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عامه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ابی، حدثنا عفان، حدثنا حماد بن سلمه، عن ابی جعفر الخطعی، عن محمد بن کعب القرظی، عن کثیر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ابناء قریظة انهم عرضوا علی النبی صلی الله علیه و آله زمن قریظة فمن کان منهم محتلماً او نبتت عانته قتل ومن لا 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قریظه به من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بنی‌قریظه با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زمان نزد پیامبر برده شدند، آن‌ها که 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یا موی زهاری آن‌ها روییده بود کشته می‌شدند، و آن‌ها که این‌گونه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أبو عبدالله، قال واخبرنی عبدالرحمن بن الحسن القاضی، حدثنا ابراهیم بن الحسین، حدثنا آدم بن أبی ایاس، حدثنا شعبه، عن عبدالملک بن عمیر، عن عطیة‌القرظی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رسول الله صلی الله علیه و آله یوم قریظة فشکوا فی فأمر النبی صلی الله علیه و آله ان ینظر الی هل انبت فنظروا الی فلم یجدونی انبت فخلی عنی والحقنی بالسبی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باب البلوغ بالانبات،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مورد من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امر کرد تا بررسی شود آیا انبات محقق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بلوغ حاصل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 کردند و دیدند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ملحق به اسیران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روایات از یک واقعه حکایت دارند تردیدی نیست ولی به هر حال در بسیاری از جوامع روایی اهل سنت این روایات نقل شده و جمعی از آن‌ها بر این اساس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خاصه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احمد بن ابی عبدالله، عن ابیه، عن ابی البختری، عن جعفر،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عرضهم یومئذ علی العانات فمن وجده انبت قتله ومن لم یجده انبت الحقه بالذراری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ورواه الحمیری فی قرب الاسناد عن السندی بن محمد عن ابی البختری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روز آنان را بر رویش موی زهاری می‌آموزد، پس کسی که موی زهاری در او روییده بود او را می‌کشت و کسی که در او این مو روییده نشده بود، ملحق به اسیران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همان است که قبلا از طریق عامه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سند منتهی به ابوالبختری است که در مورد او بحث‌هایی وجود دارد و به همین جهت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احمد بن محمد، عن ابن محبوب، عن عبدالعزیز العبدی، عن حمزة بن حمران،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جعفر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ان یوخذ بالحدود التامة ویقام علیه ویؤخذ بها؟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عنه الیتم وادرک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احتلم او بلغ خمس عشرة سنة او الشعر او انبت قبل ذلک اقیمت علیه الحدود التامة واخذ بها واخذت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لا یجوز امره فی الشراء والبیع ولا یخرج من الیتم حتی یبلغ خمس عشرة سنه او یحتلم او یشعر او ینبت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چه زمانی حدود تامه در مورد بچه اجرا و مورد مواخذه قرار می‌گیرد؟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کودکی بیرون آید و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برای خروج از کودکی حدی وجود دارد تا به واسطه آن شناخته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محتلم شود یا به پانزده سالگی برسد یا قبل از آن مو در بیاورد و انبات محقق شود، حدود تامه در مورد او جاری و مواخذه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تامه در مقابل حدود غیر تامه است که صرفاً برای تأدیب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حدیث چنان‌چه در کتاب کافی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راوی از امام علیه السلام، حمزة بن حمران است ولی در وسائل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از جمله عبدالله بن مسکان، ابن بکیر، ابن ابی عمیر، حسن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و حتی صفوان بن یحیی که از اصحاب اجماع هستند،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طور کلی در مورد حمزة بن حمران در کتب رجالی معروف توثیق خاصی وارد نشده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عبدالعزیز عبدی که هم در طریق شیخ و هم در طریق کلینی واقع شده، بحث‌هایی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بنابر نقل شیخ از اصحاب امام صادق علیه السلام بوده ولی نجاشی او را ضعیف می‌داند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همین جهت محقق اردبیلی روایت را ضعیف محسوب کرده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این رابطه صاحب جواهر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عبدالعزیز لم ینص علیه بمدح ولا ذم لکن روایة الحسن بن محبوب وخصوصا فی کتاب المشیخة المعروف بالاعتماد قد یحصل منه الظن بعدالته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عبدالعزیز تصریح به مدح و ذم نشده ولی روایت حسن بن محبوب به ویژه در کتاب مشیخه که معروف به اعتماد است، چه بسا موجب ظن به عدالت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صاحب ریاض نیز این روایت معتبره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نقل اصحاب اجماع را از حمزة بن حمران و عبدالعزیز عبدی موجب ظن به وثوق یا عدالت آنان بدانیم، در این صورت می‌توان این روایت را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دلالت هم وضوح آن قابل 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روایت یزید کناسی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باسناده عن احمد بن عیسی، عن الحسن بن محبوب عن ابی ایوب الخزاز 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الکناسی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ان الغلام اذا زوجه ابوه ولم یدرک کان بالخیار اذا ادرک وبلغ خمس عشرة سنة او یشعر فی وجهه او ینبت فی عانته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پسرش را در حالی که هنوز بالغ نشده به دیگری تزویج کند، چنان‌چه آن پسر بالغ شود و به پانزده سالگی برسد یا قبل از آن در صورتش مو بروید یا در زیر شکمش مو ظاهر شود، حق خیار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سند روایت، اگر اتحاد یزید کناسی و یزید ابو خالد القماط را بپذیریم، چنان‌چه مرحوم آیت‌الله خویی دو مؤید برای این اتحاد ذکر کرده، آن‌گاه می‌توان ادعا نمود سند روایت قابل قبول است؛ زیرا ابو خالد القماط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مقدس اردبیلی این روایت را ضعیف می‌داند؛ چون به نظر ایشان یزید مجهول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شاید در نظر ایشان یزید الکناسی با یزید ابو خالد القماط الکناسی یکی نیستند، چنان‌چه ذکر نام هر دو نفر در زمره اصحاب امام صادق علیه السلام توسط برقی اشعار به تعدد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نمی‌توان این روایت را صحیحه دانست و لذا شیخ</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النکاح واولیاء العقد،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انصاری آن را حسنه می‌داند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کتاب الصوم، الاول،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نیز ضمن تأکید بر اعتبار این حدیث آن را قریب به صحیحه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وجه اعتبار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بتضمنها لابن محبوب الذی قد حکی علی تصحیح روایاته اجماع العصابة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متضمن ابن محبوب است که نقل اصحاب اجماع از او موجب تصحیح روایات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این روایت اگرچه سنداً صحیح محسوب نمی‌شود و حتی ممکن است برخی آن را ضعیف بدانند ولی با توجه به عمل مشهور ضعف سندی آن جبران می‌شود؛ زیرا این روایت یکی از مستندات فتوای مشهور به بلوغ پسر در پانزده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حیث دلالت به نظر می‌رسد این روایت بر اعتبار رویش موی زهاری به عنوان یکی از نشانه‌های بلوغ دلالت دارد، لکن مشکل در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کمتر کسی بر اساس آن فتوا داده ولی این مطلب مضربه حجیت روایت نسبت به این مورد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روایتی که در تفسیر علی بن ابراهیم در ذیل آیه شریفه حَتّی إِذا بَلَغُوا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والقمی عنه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یده مال بعض الیتامی فلا یجوز له ان یعطیه حتی یبلغ النکاح</w:t>
      </w:r>
    </w:p>
    <w:p>
      <w:pPr>
        <w:pStyle w:val="BookText"/>
        <w:rPr/>
      </w:pPr>
      <w:r>
        <w:rPr>
          <w:rFonts w:ascii="IRNazanin" w:hAnsi="IRNazanin" w:eastAsia="IRNazanin"/>
          <w:color w:val="111111"/>
          <w:sz w:val="28"/>
          <w:sz w:val="28"/>
          <w:szCs w:val="28"/>
          <w:rtl w:val="true"/>
          <w:lang w:bidi="fa-IR"/>
        </w:rPr>
        <w:t>ویحتلم فاذا احتلم وجب علیه الحدود واقامة الفرائض ولا یکون مضیعا ولا شارب خمر ولا زانیا فاذا انس منه الرشد دفع الیه المال واشهد علیه وان کانوا لا یعلمون انه قد بلغ فانه یمتحن بریح ابطه او نبت عانته فاذا کان ذلک فقد بلغ فیدفع الیه ماله اذا کان رشیدا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قمی در ذیل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یتیم در دست اوست جایز نیست تا زمانی که او به بلوغ جنسی نرسیده و محتلم نشده، آن را در اختیار او بگذارد، پس زمانی که محتلم شد حدود و اقامۀ فرایض بر او واجب می‌شود و دیگر نمی‌تواند شراب بنوشد و زنا کند و فرایض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چنان‌چه به رشد رسدی مالش به او داده می‌شود و بر آن شاهد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معلوم نیست بالغ شده یا نه، باید با بوی زیر بغل و رویش موی زهاری آزمایش شود و اگر این‌چنین بود بالغ شده و مالش به او داده شود در صورتی که رشید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روایت ضمن بیان دو شرط اساسی برای خروج از حجر و ممنوعیت تصرفات مالی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بلوغ نکاح و احتلام دانسته نشد راه دیگر برای کشف بلوغ، رویش موی زهاری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هم مانند روایت حمزة بن حمران به غیر از انبات، بوی زیر بغل نیز مطرح شده، لکن کسی به آن فتوا نداده است، هرچند این موجب خدشه در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bookmarkStart w:id="148" w:name="pg6142_67330"/>
    </w:p>
    <w:p>
      <w:pPr>
        <w:pStyle w:val="BookText"/>
        <w:rPr/>
      </w:pPr>
      <w:bookmarkEnd w:id="148"/>
      <w:r>
        <w:rPr>
          <w:rFonts w:ascii="IRNazanin" w:hAnsi="IRNazanin" w:eastAsia="IRNazanin"/>
          <w:color w:val="111111"/>
          <w:sz w:val="28"/>
          <w:sz w:val="28"/>
          <w:szCs w:val="28"/>
          <w:rtl w:val="true"/>
          <w:lang w:bidi="fa-IR"/>
        </w:rPr>
        <w:t xml:space="preserve">مجاهد در این رابطه احتمال دیگری از مصابیح نقل می‌کند و آن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رجوع نمی‌کند بلکه این کلام خود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مویدی نیز برای این احتمال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تکرر مثله فی هذا الکتاب مع التصریح بالاسناد الی نفسه کما هو طریقة القدما لکن کلام مثله ان لم یکن حجة فلاریب فی تأییده علی ما یعلم من طریقة السلف خصوصاً فی تفسیر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احتمال را تأیید می‌کند تکرار مثل این مسئله در این کتاب است، در حالی که صراحتاً آن را به خودش اسناد داده، چنان‌چه این طریقۀ قدما است ولی سخن کسی مانند او اگرچه حجت نباشد، ولی تردیدی در تأیید آن با ملاحظۀ طریقۀ گذشتگان به ویژه در تفسیر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ایشان در ادامه تصریح بعضی از بزرگان مبنی بر این‌که این کلام از خود امام علیه السلام است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عنایت به این احتمال، ایشان این روایت را به عنوان مؤید ذکر کرده نه دلیل</w:t>
      </w:r>
      <w:r>
        <w:rPr>
          <w:rFonts w:eastAsia="IRNazanin" w:cs="IRNazanin"/>
          <w:color w:val="111111"/>
          <w:sz w:val="28"/>
          <w:szCs w:val="28"/>
          <w:rtl w:val="true"/>
          <w:lang w:bidi="fa-IR"/>
        </w:rPr>
        <w:t>.</w:t>
      </w:r>
    </w:p>
    <w:p>
      <w:pPr>
        <w:pStyle w:val="Heading5"/>
        <w:numPr>
          <w:ilvl w:val="4"/>
          <w:numId w:val="1"/>
        </w:numPr>
        <w:rPr/>
      </w:pPr>
      <w:bookmarkStart w:id="149" w:name="__RefHeading___Toc188992_237004111"/>
      <w:bookmarkStart w:id="150" w:name="_Toc56"/>
      <w:bookmarkEnd w:id="149"/>
      <w:r>
        <w:rPr>
          <w:rtl w:val="true"/>
        </w:rPr>
        <w:t>نتیجه</w:t>
      </w:r>
      <w:bookmarkEnd w:id="1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استفاده می‌شود رویش موی زهاری از نشانه‌های طبیعی بلوغ است و وضوح دلالت آن‌ها بر مدعا قابل دفاع می‌باشد، هرچند در برخی از این روایات مطلق رویش مو به عنوان</w:t>
      </w:r>
    </w:p>
    <w:p>
      <w:pPr>
        <w:pStyle w:val="BookText"/>
        <w:rPr/>
      </w:pPr>
      <w:r>
        <w:rPr>
          <w:rFonts w:ascii="IRNazanin" w:hAnsi="IRNazanin" w:eastAsia="IRNazanin"/>
          <w:color w:val="111111"/>
          <w:sz w:val="28"/>
          <w:sz w:val="28"/>
          <w:szCs w:val="28"/>
          <w:rtl w:val="true"/>
          <w:lang w:bidi="fa-IR"/>
        </w:rPr>
        <w:t>علامت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سند نیز چنان‌چه برخی از روایات دارای اشکال باشند می‌توان ضعف سندی آن‌ها را با شهرت جبران نمود، همان‌گونه که محقق اردبیلی بدان تصریح نموده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الفائدة و البرهان،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bookmarkStart w:id="151" w:name="pg6142_67332"/>
    </w:p>
    <w:p>
      <w:pPr>
        <w:pStyle w:val="Heading4"/>
        <w:numPr>
          <w:ilvl w:val="3"/>
          <w:numId w:val="1"/>
        </w:numPr>
        <w:rPr/>
      </w:pPr>
      <w:bookmarkStart w:id="152" w:name="__RefHeading___Toc188994_237004111"/>
      <w:bookmarkStart w:id="153" w:name="_Toc57"/>
      <w:bookmarkEnd w:id="151"/>
      <w:bookmarkEnd w:id="152"/>
      <w:r>
        <w:rPr>
          <w:rtl w:val="true"/>
        </w:rPr>
        <w:t>گفتار دوم</w:t>
      </w:r>
      <w:r>
        <w:rPr>
          <w:rtl w:val="true"/>
        </w:rPr>
        <w:t xml:space="preserve">: </w:t>
      </w:r>
      <w:r>
        <w:rPr>
          <w:rtl w:val="true"/>
        </w:rPr>
        <w:t>شمول این علامت نسبت به دختران</w:t>
      </w:r>
      <w:bookmarkEnd w:id="153"/>
    </w:p>
    <w:p>
      <w:pPr>
        <w:pStyle w:val="Heading5"/>
        <w:numPr>
          <w:ilvl w:val="4"/>
          <w:numId w:val="1"/>
        </w:numPr>
        <w:rPr/>
      </w:pPr>
      <w:bookmarkStart w:id="154" w:name="__RefHeading___Toc188996_237004111"/>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همان‌گونه که قبلا اشاره شد در نظر مشهور رویش موی زهاری یکی از نشانه‌های مشترک می‌باشد، ولی با تامل در روایات معلوم می‌گردد اکثر آن‌ها ظهور در اختصاص به پسران دارند؛ زیرا برخی مربوط به واقعه بنی‌قریظه‌اند که مختص رجال است و در برخی دیگر هم از بلوغ غلام سؤال شده و در مورد دختران سؤال جداگانه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چند دلیل بر علامیت رویش موی زهاری بر بلوغ دختران اقامه شده است</w:t>
      </w:r>
      <w:r>
        <w:rPr>
          <w:rFonts w:eastAsia="IRNazanin" w:cs="IRNazanin"/>
          <w:color w:val="111111"/>
          <w:sz w:val="28"/>
          <w:szCs w:val="28"/>
          <w:rtl w:val="true"/>
          <w:lang w:bidi="fa-IR"/>
        </w:rPr>
        <w:t>.</w:t>
      </w:r>
    </w:p>
    <w:p>
      <w:pPr>
        <w:pStyle w:val="Heading5"/>
        <w:numPr>
          <w:ilvl w:val="4"/>
          <w:numId w:val="1"/>
        </w:numPr>
        <w:rPr/>
      </w:pPr>
      <w:bookmarkStart w:id="156" w:name="__RefHeading___Toc188998_237004111"/>
      <w:bookmarkStart w:id="157" w:name="_Toc59"/>
      <w:bookmarkEnd w:id="156"/>
      <w:r>
        <w:rPr>
          <w:rtl w:val="true"/>
        </w:rPr>
        <w:t>دلیل اول</w:t>
      </w:r>
      <w:bookmarkEnd w:id="157"/>
    </w:p>
    <w:p>
      <w:pPr>
        <w:pStyle w:val="Heading6"/>
        <w:numPr>
          <w:ilvl w:val="5"/>
          <w:numId w:val="1"/>
        </w:numPr>
        <w:rPr/>
      </w:pPr>
      <w:bookmarkStart w:id="158" w:name="__RefHeading___Toc189000_237004111"/>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جمعی از فقها مانند شیخ طوسی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عنوان علامت بلوغ در دختران پذیرفته و بر آن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عمومیت معقد</w:t>
      </w:r>
      <w:bookmarkStart w:id="160" w:name="pg6142_67333"/>
    </w:p>
    <w:p>
      <w:pPr>
        <w:pStyle w:val="BookText"/>
        <w:rPr/>
      </w:pPr>
      <w:bookmarkEnd w:id="160"/>
      <w:r>
        <w:rPr>
          <w:rFonts w:ascii="IRNazanin" w:hAnsi="IRNazanin" w:eastAsia="IRNazanin"/>
          <w:color w:val="111111"/>
          <w:sz w:val="28"/>
          <w:sz w:val="28"/>
          <w:szCs w:val="28"/>
          <w:rtl w:val="true"/>
          <w:lang w:bidi="fa-IR"/>
        </w:rPr>
        <w:t>اجماع در کلام شیخ طوسی از ترک تفصیل و در کلام علامه از تصریح ایشان استفاده می‌شود</w:t>
      </w:r>
      <w:r>
        <w:rPr>
          <w:rFonts w:eastAsia="IRNazanin" w:cs="IRNazanin"/>
          <w:color w:val="111111"/>
          <w:sz w:val="28"/>
          <w:szCs w:val="28"/>
          <w:rtl w:val="true"/>
          <w:lang w:bidi="fa-IR"/>
        </w:rPr>
        <w:t>.</w:t>
      </w:r>
    </w:p>
    <w:p>
      <w:pPr>
        <w:pStyle w:val="Heading6"/>
        <w:numPr>
          <w:ilvl w:val="5"/>
          <w:numId w:val="1"/>
        </w:numPr>
        <w:rPr/>
      </w:pPr>
      <w:bookmarkStart w:id="161" w:name="__RefHeading___Toc189002_237004111"/>
      <w:bookmarkStart w:id="162" w:name="_Toc61"/>
      <w:bookmarkEnd w:id="161"/>
      <w:r>
        <w:rPr>
          <w:rtl w:val="true"/>
        </w:rPr>
        <w:t>بررسی دلیل اول</w:t>
      </w:r>
      <w:bookmarkEnd w:id="162"/>
    </w:p>
    <w:p>
      <w:pPr>
        <w:pStyle w:val="BookText"/>
        <w:rPr/>
      </w:pPr>
      <w:r>
        <w:rPr>
          <w:rFonts w:ascii="IRNazanin" w:hAnsi="IRNazanin" w:eastAsia="IRNazanin"/>
          <w:color w:val="111111"/>
          <w:sz w:val="28"/>
          <w:sz w:val="28"/>
          <w:szCs w:val="28"/>
          <w:rtl w:val="true"/>
          <w:lang w:bidi="fa-IR"/>
        </w:rPr>
        <w:t>به نظر می‌رسد این وجه وافی به مقصد نباشد؛ زیرا اولاً مخالفان زیادی در مسئله وجود دارد و چنان‌چه صاحب جواهر فرموده از کلمات برخی اختصاص به پسران استفاده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شیخ طوسی نیز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رویش موی زهاری به عنوان علامت بلوغ پذیرفته شود آن‌گاه شامل مسلمین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ثانیاً این اجماع منقول است</w:t>
      </w:r>
      <w:r>
        <w:rPr>
          <w:rFonts w:eastAsia="IRNazanin" w:cs="IRNazanin"/>
          <w:color w:val="111111"/>
          <w:sz w:val="28"/>
          <w:szCs w:val="28"/>
          <w:rtl w:val="true"/>
          <w:lang w:bidi="fa-IR"/>
        </w:rPr>
        <w:t>.</w:t>
      </w:r>
    </w:p>
    <w:p>
      <w:pPr>
        <w:pStyle w:val="Heading5"/>
        <w:numPr>
          <w:ilvl w:val="4"/>
          <w:numId w:val="1"/>
        </w:numPr>
        <w:rPr/>
      </w:pPr>
      <w:bookmarkStart w:id="163" w:name="__RefHeading___Toc189004_237004111"/>
      <w:bookmarkStart w:id="164" w:name="_Toc62"/>
      <w:bookmarkEnd w:id="163"/>
      <w:r>
        <w:rPr>
          <w:rtl w:val="true"/>
        </w:rPr>
        <w:t>دلیل دوم</w:t>
      </w:r>
      <w:bookmarkEnd w:id="164"/>
    </w:p>
    <w:p>
      <w:pPr>
        <w:pStyle w:val="BookText"/>
        <w:rPr/>
      </w:pPr>
      <w:r>
        <w:rPr>
          <w:rFonts w:ascii="IRNazanin" w:hAnsi="IRNazanin" w:eastAsia="IRNazanin"/>
          <w:color w:val="111111"/>
          <w:sz w:val="28"/>
          <w:sz w:val="28"/>
          <w:szCs w:val="28"/>
          <w:rtl w:val="true"/>
          <w:lang w:bidi="fa-IR"/>
        </w:rPr>
        <w:t>رویش موی زهاری از علاماتی است که اماریت آن محتاج تعبد نیست بلکه نشانه‌ای طبیعی است که موجب اطمینان به حصول بلوغ می‌شود و شارع نیز آن را به جهت کشف از تحقق بلوغ معتبر دانسته و از این جهت فرقی بین پسر و دختر نیست</w:t>
      </w:r>
      <w:r>
        <w:rPr>
          <w:rFonts w:eastAsia="IRNazanin" w:cs="IRNazanin"/>
          <w:color w:val="111111"/>
          <w:sz w:val="28"/>
          <w:szCs w:val="28"/>
          <w:rtl w:val="true"/>
          <w:lang w:bidi="fa-IR"/>
        </w:rPr>
        <w:t>.</w:t>
      </w:r>
    </w:p>
    <w:p>
      <w:pPr>
        <w:pStyle w:val="Heading5"/>
        <w:numPr>
          <w:ilvl w:val="4"/>
          <w:numId w:val="1"/>
        </w:numPr>
        <w:rPr/>
      </w:pPr>
      <w:bookmarkStart w:id="165" w:name="__RefHeading___Toc189006_237004111"/>
      <w:bookmarkStart w:id="166" w:name="_Toc63"/>
      <w:bookmarkEnd w:id="165"/>
      <w:r>
        <w:rPr>
          <w:rtl w:val="true"/>
        </w:rPr>
        <w:t>دلیل سوم</w:t>
      </w:r>
      <w:bookmarkEnd w:id="166"/>
    </w:p>
    <w:p>
      <w:pPr>
        <w:pStyle w:val="Heading6"/>
        <w:numPr>
          <w:ilvl w:val="5"/>
          <w:numId w:val="1"/>
        </w:numPr>
        <w:rPr/>
      </w:pPr>
      <w:bookmarkStart w:id="167" w:name="__RefHeading___Toc189008_237004111"/>
      <w:bookmarkStart w:id="168" w:name="_Toc64"/>
      <w:bookmarkEnd w:id="167"/>
      <w:r>
        <w:rPr>
          <w:rtl w:val="true"/>
        </w:rPr>
        <w:t>اشاره</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تجربه و عادت رویش موی زهاری پس از نه سالگی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تحقق آن ما به حصول بلوغ، هرچند در زمان سابق اطمینان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bookmarkStart w:id="169" w:name="pg6142_67334"/>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ذلک هو السبب فی ترک التعرض له فی النصوص لندرة الاحتیاج الیه فیهنّ کالاحتلام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رویش موی زهاری موجب اطمینان به حصول بلوغ در زمان سابق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گردیده در نصوص و عبارات متعرض آن نشوند؛ زیرا در دختران احتیاج چندانی به آن نیست، مانند احتلام</w:t>
      </w:r>
      <w:r>
        <w:rPr>
          <w:rFonts w:eastAsia="IRNazanin" w:cs="IRNazanin"/>
          <w:color w:val="111111"/>
          <w:sz w:val="28"/>
          <w:szCs w:val="28"/>
          <w:rtl w:val="true"/>
          <w:lang w:bidi="fa-IR"/>
        </w:rPr>
        <w:t>».</w:t>
      </w:r>
    </w:p>
    <w:p>
      <w:pPr>
        <w:pStyle w:val="Heading6"/>
        <w:numPr>
          <w:ilvl w:val="5"/>
          <w:numId w:val="1"/>
        </w:numPr>
        <w:rPr/>
      </w:pPr>
      <w:bookmarkStart w:id="170" w:name="__RefHeading___Toc189010_237004111"/>
      <w:bookmarkStart w:id="171" w:name="_Toc65"/>
      <w:bookmarkEnd w:id="170"/>
      <w:r>
        <w:rPr>
          <w:rtl w:val="true"/>
        </w:rPr>
        <w:t>بررسی دلیل سوم</w:t>
      </w:r>
      <w:bookmarkEnd w:id="171"/>
    </w:p>
    <w:p>
      <w:pPr>
        <w:pStyle w:val="BookText"/>
        <w:rPr/>
      </w:pPr>
      <w:r>
        <w:rPr>
          <w:rFonts w:ascii="IRNazanin" w:hAnsi="IRNazanin" w:eastAsia="IRNazanin"/>
          <w:color w:val="111111"/>
          <w:sz w:val="28"/>
          <w:sz w:val="28"/>
          <w:szCs w:val="28"/>
          <w:rtl w:val="true"/>
          <w:lang w:bidi="fa-IR"/>
        </w:rPr>
        <w:t>اساس این دلیل بر این استوار است که ما ملاک بلوغ دختران را رسیدن به نه سالگی قرار داده و انبات را کاشف از آن بدانیم، در حالی که خود این امر ابتدائا باید ثابت شود و ما آن را در آینده مستقلاً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ملاک ثبوت تکلیف را بلوغ جنسی بدانیم آن‌گاه انبات به عنوان یکی از نشانه‌های طبیعی آن فی الجمله قابل قبول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لازم است به آن اشاره شود این است که به طور کلی بین نظر مشهور و آن‌چه ما در این مقام در پی آن هستیم یک تفاوت اساسی وجود دارد و آن این‌که مشهور مناط بلوغ در دختران را نه سالگی می‌دانند و همۀ نشانه‌های طبیعی را از این زاویه بررسی می‌کنند که آیا این نشانه‌ها کاشف از رسیدن دختران به نه سالگی می‌باشند یا خیر، در حالی که به نظر ما نشانه‌های طبیعی و مسئلۀ سن باید مستقلا مورد بررسی قرار گیرند، چنان‌چه ما همین روش را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این روش لازم است به نوعی بین ذکر نشانه‌های طبیعی در</w:t>
      </w:r>
      <w:bookmarkStart w:id="172" w:name="pg6142_67335"/>
    </w:p>
    <w:p>
      <w:pPr>
        <w:pStyle w:val="BookText"/>
        <w:rPr/>
      </w:pPr>
      <w:bookmarkEnd w:id="172"/>
      <w:r>
        <w:rPr>
          <w:rFonts w:ascii="IRNazanin" w:hAnsi="IRNazanin" w:eastAsia="IRNazanin"/>
          <w:color w:val="111111"/>
          <w:sz w:val="28"/>
          <w:sz w:val="28"/>
          <w:szCs w:val="28"/>
          <w:rtl w:val="true"/>
          <w:lang w:bidi="fa-IR"/>
        </w:rPr>
        <w:t>روایات و ذکر سن خاص جمع شده و ارتباط آن‌ها مشخص شود که ما در آینده به آن خواهیم پرداخت</w:t>
      </w:r>
      <w:r>
        <w:rPr>
          <w:rFonts w:eastAsia="IRNazanin" w:cs="IRNazanin"/>
          <w:color w:val="111111"/>
          <w:sz w:val="28"/>
          <w:szCs w:val="28"/>
          <w:rtl w:val="true"/>
          <w:lang w:bidi="fa-IR"/>
        </w:rPr>
        <w:t>.</w:t>
      </w:r>
    </w:p>
    <w:p>
      <w:pPr>
        <w:pStyle w:val="Heading5"/>
        <w:numPr>
          <w:ilvl w:val="4"/>
          <w:numId w:val="1"/>
        </w:numPr>
        <w:rPr/>
      </w:pPr>
      <w:bookmarkStart w:id="173" w:name="__RefHeading___Toc189012_237004111"/>
      <w:bookmarkStart w:id="174" w:name="_Toc66"/>
      <w:bookmarkEnd w:id="173"/>
      <w:r>
        <w:rPr>
          <w:rtl w:val="true"/>
        </w:rPr>
        <w:t>تنبیه</w:t>
      </w:r>
      <w:r>
        <w:rPr>
          <w:rtl w:val="true"/>
        </w:rPr>
        <w:t xml:space="preserve">: </w:t>
      </w:r>
      <w:r>
        <w:rPr>
          <w:rtl w:val="true"/>
        </w:rPr>
        <w:t>وجه اعتبار خشونت در موی زهاری</w:t>
      </w:r>
      <w:bookmarkEnd w:id="174"/>
    </w:p>
    <w:p>
      <w:pPr>
        <w:pStyle w:val="BookText"/>
        <w:rPr/>
      </w:pPr>
      <w:r>
        <w:rPr>
          <w:rFonts w:ascii="IRNazanin" w:hAnsi="IRNazanin" w:eastAsia="IRNazanin"/>
          <w:color w:val="111111"/>
          <w:sz w:val="28"/>
          <w:sz w:val="28"/>
          <w:szCs w:val="28"/>
          <w:rtl w:val="true"/>
          <w:lang w:bidi="fa-IR"/>
        </w:rPr>
        <w:t>در عبارات فقها قید خشونت در موی زهاری ذکر شده، در حالی که در هیچ یک از روایات از این قید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مشخص شود فقها به چه دلیل این قید را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دو دلیل برای این تقیید ذکر 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زغب و موی ضعیف نمی‌تواند علامت بلوغ باشد؛ چون در دوران کودکی نیز این موها وجود دارند و حتی گفته شده موهای بسیار ضعیفی از بدو تولد در برخی قسمت‌های بدن یافت می‌شوند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انصراف به موی خشن دارند؛ زیرا با امتحان و اختبار دانسته می‌شود که موی خشن با بلوغ یا پس از آن ظاهر می‌شود و معهود و متعارف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اطلاقات ادله را به آن‌چه که معهود است برگرداند</w:t>
      </w:r>
      <w:r>
        <w:rPr>
          <w:rFonts w:eastAsia="IRNazanin" w:cs="IRNazanin"/>
          <w:color w:val="111111"/>
          <w:sz w:val="28"/>
          <w:szCs w:val="28"/>
          <w:rtl w:val="true"/>
          <w:lang w:bidi="fa-IR"/>
        </w:rPr>
        <w:t>.</w:t>
      </w:r>
      <w:bookmarkStart w:id="175" w:name="pg6142_67336"/>
    </w:p>
    <w:p>
      <w:pPr>
        <w:pStyle w:val="Heading4"/>
        <w:numPr>
          <w:ilvl w:val="3"/>
          <w:numId w:val="1"/>
        </w:numPr>
        <w:rPr/>
      </w:pPr>
      <w:bookmarkStart w:id="176" w:name="__RefHeading___Toc189014_237004111"/>
      <w:bookmarkStart w:id="177" w:name="_Toc67"/>
      <w:bookmarkEnd w:id="175"/>
      <w:bookmarkEnd w:id="176"/>
      <w:r>
        <w:rPr>
          <w:rtl w:val="true"/>
        </w:rPr>
        <w:t>گفتار سوم</w:t>
      </w:r>
      <w:r>
        <w:rPr>
          <w:rtl w:val="true"/>
        </w:rPr>
        <w:t xml:space="preserve">: </w:t>
      </w:r>
      <w:r>
        <w:rPr>
          <w:rtl w:val="true"/>
        </w:rPr>
        <w:t>رویش موی زهاری؛</w:t>
      </w:r>
      <w:bookmarkEnd w:id="177"/>
    </w:p>
    <w:p>
      <w:pPr>
        <w:pStyle w:val="Heading5"/>
        <w:numPr>
          <w:ilvl w:val="4"/>
          <w:numId w:val="1"/>
        </w:numPr>
        <w:rPr/>
      </w:pPr>
      <w:bookmarkStart w:id="178" w:name="__RefHeading___Toc189016_237004111"/>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نشانۀ بلوغ یا کاشف از سبق بلوغ ؟</w:t>
      </w:r>
    </w:p>
    <w:p>
      <w:pPr>
        <w:pStyle w:val="BookText"/>
        <w:rPr/>
      </w:pPr>
      <w:r>
        <w:rPr>
          <w:rFonts w:ascii="IRNazanin" w:hAnsi="IRNazanin" w:eastAsia="IRNazanin"/>
          <w:color w:val="111111"/>
          <w:sz w:val="28"/>
          <w:sz w:val="28"/>
          <w:szCs w:val="28"/>
          <w:rtl w:val="true"/>
          <w:lang w:bidi="fa-IR"/>
        </w:rPr>
        <w:t>قبل از پاسخ به این سوال، ذکر این نکته لازم است که اماره یا نشانه یا علامت بلوغ هم می‌تواند مقارن با بلوغ محقق شود و هم می‌تواند پس از بلوغ تحقق پیدا کند؛ زیرا اماره یا نشانه یا علامت هر چیزی به طور کلی کاشف از آن شیء است، لکن ممکن است کاشف از تحقق آن در زمان حال باشد و ممکن است از تحقق آن در زمان گذشته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شهید ثانی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شبهة فی کون شعر العانة علامة علی البلوغ، انما الکلام فی کونه نفسه بلوغا، او دلیلا علی سبق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مسالک الافهام،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در این نیست که موی زیر شکم علامت بلوغ است ولی بحث در این است که آیا خودش بلوغ است یا آن‌که کاشف از سبق بلوغ؟</w:t>
      </w:r>
      <w:r>
        <w:rPr>
          <w:rFonts w:eastAsia="IRNazanin" w:cs="IRNazanin"/>
          <w:color w:val="111111"/>
          <w:sz w:val="28"/>
          <w:szCs w:val="28"/>
          <w:rtl w:val="true"/>
          <w:lang w:bidi="fa-IR"/>
        </w:rPr>
        <w:t>».</w:t>
      </w:r>
      <w:bookmarkStart w:id="180" w:name="pg6142_67337"/>
    </w:p>
    <w:p>
      <w:pPr>
        <w:pStyle w:val="BookText"/>
        <w:rPr/>
      </w:pPr>
      <w:bookmarkEnd w:id="180"/>
      <w:r>
        <w:rPr>
          <w:rFonts w:ascii="IRNazanin" w:hAnsi="IRNazanin" w:eastAsia="IRNazanin"/>
          <w:color w:val="111111"/>
          <w:sz w:val="28"/>
          <w:sz w:val="28"/>
          <w:szCs w:val="28"/>
          <w:rtl w:val="true"/>
          <w:lang w:bidi="fa-IR"/>
        </w:rPr>
        <w:t>به هر حال ما به جهت آن‌که بین این دو تفکیک کنیم، از یکی تعبیر به نشانۀ بلوغ و از دیگری تعبیر به کاشف از سبق بلوغ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تعابیر فقها در این زمینه مختلف است و چه بسا این دو تعبیر را به جای یکدیگر استعمال کرده‌اند؛ مثلا محقق کرکی در مورد انبات دو احتمال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انبات خودش بلوغ باشد و دیگر آن‌که اماره بر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وی احتمال اول را رد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ایشان از احتمال اول بر طبق بیان ما نشانۀ بلوغ و مقصود از احتمال دوم کاشف از سبق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مشخص شود آیا انبات نشانۀ بلوغ است یا کاشف از سبق آن؟ در این باره دو قول وجود دارد</w:t>
      </w:r>
      <w:r>
        <w:rPr>
          <w:rFonts w:eastAsia="IRNazanin" w:cs="IRNazanin"/>
          <w:color w:val="111111"/>
          <w:sz w:val="28"/>
          <w:szCs w:val="28"/>
          <w:rtl w:val="true"/>
          <w:lang w:bidi="fa-IR"/>
        </w:rPr>
        <w:t>:</w:t>
      </w:r>
    </w:p>
    <w:p>
      <w:pPr>
        <w:pStyle w:val="Heading5"/>
        <w:numPr>
          <w:ilvl w:val="4"/>
          <w:numId w:val="1"/>
        </w:numPr>
        <w:rPr/>
      </w:pPr>
      <w:bookmarkStart w:id="181" w:name="__RefHeading___Toc189018_237004111"/>
      <w:bookmarkStart w:id="182" w:name="_Toc69"/>
      <w:bookmarkEnd w:id="181"/>
      <w:r>
        <w:rPr>
          <w:rtl w:val="true"/>
        </w:rPr>
        <w:t>قول اول</w:t>
      </w:r>
      <w:bookmarkEnd w:id="182"/>
    </w:p>
    <w:p>
      <w:pPr>
        <w:pStyle w:val="BookText"/>
        <w:rPr/>
      </w:pPr>
      <w:r>
        <w:rPr>
          <w:rFonts w:ascii="IRNazanin" w:hAnsi="IRNazanin" w:eastAsia="IRNazanin"/>
          <w:color w:val="111111"/>
          <w:sz w:val="28"/>
          <w:sz w:val="28"/>
          <w:szCs w:val="28"/>
          <w:rtl w:val="true"/>
          <w:lang w:bidi="fa-IR"/>
        </w:rPr>
        <w:t>برخی معتقدند انبات نشانۀ بلوغ و از اموری است که همزمان با بلوغ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شهید ثانی، صاحب ریاض قائل به این قول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جواهر از مفتاح الکرامة نقل می‌کند که بسیاری از بزرگان از جمله شیخ طوسی، ابن حمزه، ابن ادریس، صاحب جامع الشرایع و علامه انبات را دلیل بر سبق بلوغ نمی‌دانند بلکه معتقدند همزمان با بلوغ محقق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دلیل اول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 مسئله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جواهر در رد سخن صاحب مفتاح الکرامة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موارد را نیافتم و در عبارات آن‌ها ظهور و اشعاری که قابل اعتماد باشد به چشم نمی‌خورد؛ زیرا اساسا آن‌ها در صدد بیان این مسئله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جمع کثیری از فقیهان در مقامات دیگر تصریح به خلاف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از قول علامه طباطبایی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از اصحاب که تصریح به این امر کرده باشد را پیدا نکردم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 است 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شهرت مورد ادعای صاحب مفتاح الکرامة و اجماع مورد ادعای برخی دیگر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ظاهر برخی از روایات مانند روایت یزید کناسی</w:t>
      </w:r>
      <w:r>
        <w:rPr>
          <w:rStyle w:val="FootnoteAnchor"/>
          <w:rtl w:val="true"/>
        </w:rPr>
        <w:footnoteReference w:id="111"/>
      </w:r>
      <w:r>
        <w:rPr>
          <w:rFonts w:ascii="IRNazanin" w:hAnsi="IRNazanin" w:eastAsia="IRNazanin"/>
          <w:color w:val="111111"/>
          <w:sz w:val="28"/>
          <w:sz w:val="28"/>
          <w:szCs w:val="28"/>
          <w:rtl w:val="true"/>
          <w:lang w:bidi="fa-IR"/>
        </w:rPr>
        <w:t>و روایت حمزة بن حمران</w:t>
      </w:r>
      <w:r>
        <w:rPr>
          <w:rStyle w:val="FootnoteAnchor"/>
          <w:rtl w:val="true"/>
        </w:rPr>
        <w:footnoteReference w:id="112"/>
      </w:r>
      <w:r>
        <w:rPr>
          <w:rFonts w:ascii="IRNazanin" w:hAnsi="IRNazanin" w:eastAsia="IRNazanin"/>
          <w:color w:val="111111"/>
          <w:sz w:val="28"/>
          <w:sz w:val="28"/>
          <w:szCs w:val="28"/>
          <w:rtl w:val="true"/>
          <w:lang w:bidi="fa-IR"/>
        </w:rPr>
        <w:t>که در آن‌ها انبات در عِداد سن و احتلام ذکر شده، این است که انبات علامت و نشانۀ بلوغ است نه کاشف از سبق بلوغ؛ زیرا احتلام از نشانه‌های بلوغ است که همزمان با آن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مخدوش است؛ زیرا صرف ذکر انبات در عداد سن و احتلام دال بر مدعا نیست؛ چون رویش موی صورت نیز در هر دو</w:t>
      </w:r>
      <w:bookmarkStart w:id="183" w:name="pg6142_67339"/>
    </w:p>
    <w:p>
      <w:pPr>
        <w:pStyle w:val="BookText"/>
        <w:rPr/>
      </w:pPr>
      <w:bookmarkEnd w:id="183"/>
      <w:r>
        <w:rPr>
          <w:rFonts w:ascii="IRNazanin" w:hAnsi="IRNazanin" w:eastAsia="IRNazanin"/>
          <w:color w:val="111111"/>
          <w:sz w:val="28"/>
          <w:sz w:val="28"/>
          <w:szCs w:val="28"/>
          <w:rtl w:val="true"/>
          <w:lang w:bidi="fa-IR"/>
        </w:rPr>
        <w:t>روایت در عداد بقیه امور ذکر شده، در حالی که کمتر کسی به آن فتوا داده و خود صاحب مفتاح الکرامة نیز آن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آن هم تأخر رویش موی صورت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این مطلب نمی‌توان کیفیت دلالت انبات بر بلوغ را استفاده کرد بلکه اصل دلالت بر بلوغ ثابت می‌شود</w:t>
      </w:r>
      <w:r>
        <w:rPr>
          <w:rFonts w:eastAsia="IRNazanin" w:cs="IRNazanin"/>
          <w:color w:val="111111"/>
          <w:sz w:val="28"/>
          <w:szCs w:val="28"/>
          <w:rtl w:val="true"/>
          <w:lang w:bidi="fa-IR"/>
        </w:rPr>
        <w:t>.</w:t>
      </w:r>
    </w:p>
    <w:p>
      <w:pPr>
        <w:pStyle w:val="Heading5"/>
        <w:numPr>
          <w:ilvl w:val="4"/>
          <w:numId w:val="1"/>
        </w:numPr>
        <w:rPr/>
      </w:pPr>
      <w:bookmarkStart w:id="184" w:name="__RefHeading___Toc189020_237004111"/>
      <w:bookmarkStart w:id="185" w:name="_Toc70"/>
      <w:bookmarkEnd w:id="184"/>
      <w:r>
        <w:rPr>
          <w:rtl w:val="true"/>
        </w:rPr>
        <w:t>قول دوم</w:t>
      </w:r>
      <w:bookmarkEnd w:id="185"/>
    </w:p>
    <w:p>
      <w:pPr>
        <w:pStyle w:val="BookText"/>
        <w:rPr/>
      </w:pPr>
      <w:r>
        <w:rPr>
          <w:rFonts w:ascii="IRNazanin" w:hAnsi="IRNazanin" w:eastAsia="IRNazanin"/>
          <w:color w:val="111111"/>
          <w:sz w:val="28"/>
          <w:sz w:val="28"/>
          <w:szCs w:val="28"/>
          <w:rtl w:val="true"/>
          <w:lang w:bidi="fa-IR"/>
        </w:rPr>
        <w:t>گروه دیگری از فقها انبات را دلیل بر سبق بلوغ و کاشف از تحقق آن در زمان سابق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این است که انبات دلیل بر سبق بلوغ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مسالک الافهام،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از بسیاری از کسانی که صاحب مفتاح الکرامة قول اول را به آن‌ها نسبت داده، نقل می‌کند که آن‌ها نیز انبات را کاشف از سبق بلوغ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کرکی، فخر المحققین، محقق عاملی قائل به این قول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برای اثبات این مطلب که انبات دلیل بر سبق بلوغ است سه دلیل اقامه کرده</w:t>
      </w:r>
      <w:r>
        <w:rPr>
          <w:rStyle w:val="FootnoteAnchor"/>
          <w:rtl w:val="true"/>
        </w:rPr>
        <w:footnoteReference w:id="114"/>
      </w:r>
      <w:r>
        <w:rPr>
          <w:rFonts w:ascii="IRNazanin" w:hAnsi="IRNazanin" w:eastAsia="IRNazanin"/>
          <w:color w:val="111111"/>
          <w:sz w:val="28"/>
          <w:sz w:val="28"/>
          <w:szCs w:val="28"/>
          <w:rtl w:val="true"/>
          <w:lang w:bidi="fa-IR"/>
        </w:rPr>
        <w:t>و یک دلیل نیز صاحب جواهر به آن اضافه نموده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پس مجموعاً چهار دلیل بر این قول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احکام معلق بر حُلم و احتلام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انبات بنفسه بلوغ بود دیگر وجهی برای اختصاص وجود نداشت و</w:t>
      </w:r>
    </w:p>
    <w:p>
      <w:pPr>
        <w:pStyle w:val="BookText"/>
        <w:rPr/>
      </w:pPr>
      <w:r>
        <w:rPr>
          <w:rFonts w:ascii="IRNazanin" w:hAnsi="IRNazanin" w:eastAsia="IRNazanin"/>
          <w:color w:val="111111"/>
          <w:sz w:val="28"/>
          <w:sz w:val="28"/>
          <w:szCs w:val="28"/>
          <w:rtl w:val="true"/>
          <w:lang w:bidi="fa-IR"/>
        </w:rPr>
        <w:t>احکام فقط معلق بر حُلم و احتلام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انبات از اموری نیست که بلوغ به آن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در برخی روایات احکام بر انبات نیز معلق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ادعای اختصاص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بلوغ قابل اکتساب نیست ولی انبات گاهی به سبب معالجه قابل اکتساب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نیز ناتمام است؛ زیرا لازمه‌اش آن است که انبات به هیچ وجه نباید به عنوان علامت بلوغ پذیرفته شود، حتی به این عنوان که کاشف از سبق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آن را کاشف از سبق بلوغ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انبات یک امر تدریجی الحصول است، در حالی که بلوغ این‌گونه نیست؛ زیرا نمی‌توان به درستی اولین زمان تحقق موی خشن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صاحب جواهر نیز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عادتاً رویش موی خشن پس از بلوغ محقق می‌شود، لذا کاشف از سبق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رویش موی خشن پس از بلوغ این است که عادتاً این مو</w:t>
      </w:r>
      <w:bookmarkStart w:id="186" w:name="pg6142_67341"/>
    </w:p>
    <w:p>
      <w:pPr>
        <w:pStyle w:val="BookText"/>
        <w:rPr/>
      </w:pPr>
      <w:bookmarkEnd w:id="186"/>
      <w:r>
        <w:rPr>
          <w:rFonts w:ascii="IRNazanin" w:hAnsi="IRNazanin" w:eastAsia="IRNazanin"/>
          <w:color w:val="111111"/>
          <w:sz w:val="28"/>
          <w:sz w:val="28"/>
          <w:szCs w:val="28"/>
          <w:rtl w:val="true"/>
          <w:lang w:bidi="fa-IR"/>
        </w:rPr>
        <w:t>پس از نه سالگی محقق می‌شود، همان اشکالی که بر دلیل سوم اشتراک این علامت بین دختران و پسران وارد بود، بر این بیان نیز وارد است و اگر مراد این است که عادتا موی خشن پس از بلوغ طبیعی و جنسی پدیدار می‌شود، چنان‌چه ظاهر نیز همین است، قابل قبول می‌باشد؛ زیرا این علامت معمولاً پس از سایر نشانه‌های طبیعی بلوغ محقق می‌شود و چه بسا این امر بخصوص در مورد دختران آشکار تر باشد</w:t>
      </w:r>
      <w:r>
        <w:rPr>
          <w:rFonts w:eastAsia="IRNazanin" w:cs="IRNazanin"/>
          <w:color w:val="111111"/>
          <w:sz w:val="28"/>
          <w:szCs w:val="28"/>
          <w:rtl w:val="true"/>
          <w:lang w:bidi="fa-IR"/>
        </w:rPr>
        <w:t>.</w:t>
      </w:r>
    </w:p>
    <w:p>
      <w:pPr>
        <w:pStyle w:val="Heading5"/>
        <w:numPr>
          <w:ilvl w:val="4"/>
          <w:numId w:val="1"/>
        </w:numPr>
        <w:rPr/>
      </w:pPr>
      <w:bookmarkStart w:id="187" w:name="__RefHeading___Toc189022_237004111"/>
      <w:bookmarkStart w:id="188" w:name="_Toc71"/>
      <w:bookmarkEnd w:id="187"/>
      <w:r>
        <w:rPr>
          <w:rtl w:val="true"/>
        </w:rPr>
        <w:t>نتیجه</w:t>
      </w:r>
      <w:bookmarkEnd w:id="188"/>
    </w:p>
    <w:p>
      <w:pPr>
        <w:pStyle w:val="BookText"/>
        <w:rPr/>
      </w:pPr>
      <w:r>
        <w:rPr>
          <w:rFonts w:ascii="IRNazanin" w:hAnsi="IRNazanin" w:eastAsia="IRNazanin"/>
          <w:color w:val="111111"/>
          <w:sz w:val="28"/>
          <w:sz w:val="28"/>
          <w:szCs w:val="28"/>
          <w:rtl w:val="true"/>
          <w:lang w:bidi="fa-IR"/>
        </w:rPr>
        <w:t>پس از بررسی ادله دو قول به نظر می‌رسد قول دوم اصح است؛ یعنی رویش موی زهاری دلیل بر سبق بلوغ و کاشف از تحقق آن در زمان گذشته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سابقاً به ثمرۀ عملی این دو قول اشاره شده است</w:t>
      </w:r>
      <w:r>
        <w:rPr>
          <w:rFonts w:eastAsia="IRNazanin" w:cs="IRNazanin"/>
          <w:color w:val="111111"/>
          <w:sz w:val="28"/>
          <w:szCs w:val="28"/>
          <w:rtl w:val="true"/>
          <w:lang w:bidi="fa-IR"/>
        </w:rPr>
        <w:t>.</w:t>
      </w:r>
      <w:bookmarkStart w:id="189" w:name="pg6142_67342"/>
    </w:p>
    <w:p>
      <w:pPr>
        <w:pStyle w:val="Heading4"/>
        <w:numPr>
          <w:ilvl w:val="3"/>
          <w:numId w:val="1"/>
        </w:numPr>
        <w:rPr/>
      </w:pPr>
      <w:bookmarkStart w:id="190" w:name="__RefHeading___Toc189024_237004111"/>
      <w:bookmarkStart w:id="191" w:name="_Toc72"/>
      <w:bookmarkEnd w:id="189"/>
      <w:bookmarkEnd w:id="190"/>
      <w:r>
        <w:rPr>
          <w:rtl w:val="true"/>
        </w:rPr>
        <w:t>گفتار چهارم</w:t>
      </w:r>
      <w:r>
        <w:rPr>
          <w:rtl w:val="true"/>
        </w:rPr>
        <w:t xml:space="preserve">: </w:t>
      </w:r>
      <w:r>
        <w:rPr>
          <w:rtl w:val="true"/>
        </w:rPr>
        <w:t>اختصاص رویش مو به عانه</w:t>
      </w:r>
      <w:bookmarkEnd w:id="191"/>
    </w:p>
    <w:p>
      <w:pPr>
        <w:pStyle w:val="Heading5"/>
        <w:numPr>
          <w:ilvl w:val="4"/>
          <w:numId w:val="1"/>
        </w:numPr>
        <w:rPr/>
      </w:pPr>
      <w:bookmarkStart w:id="192" w:name="__RefHeading___Toc189026_237004111"/>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بدون تردید مراد از رویش مو، رویش آن در سایر قسمت‌های بدن مانند سر نیست؛ زیرا این موها در دوران کودکی نیز وجود دارند و لذا نمی‌توانند علامت بلوغ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هم که در صورت و سینه ظاهر می‌شوند، مختص پسران بوده و از محل بحث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موهای محل بحث شعر الابط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زیر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اطراف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معتقدند روییدن موی زیر بغل و موی اطراف دُبُر علامت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عبارات فقها از شعر الدُبر به خصوص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اعتبار بشعر الابط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تذکرة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زیر بغل نزد علمای امامیه معتبر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ظهور در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تحریر می‌فرماید</w:t>
      </w:r>
      <w:r>
        <w:rPr>
          <w:rFonts w:eastAsia="IRNazanin" w:cs="IRNazanin"/>
          <w:color w:val="111111"/>
          <w:sz w:val="28"/>
          <w:szCs w:val="28"/>
          <w:rtl w:val="true"/>
          <w:lang w:bidi="fa-IR"/>
        </w:rPr>
        <w:t>:</w:t>
      </w:r>
      <w:bookmarkStart w:id="194" w:name="pg6142_67343"/>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باقی الشعور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تحریر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بقیۀ موها نشانۀ بلوغ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هم که رویش مو در مورد پسران را شامل لحیه دانسته‌اند، موی زیر بغل و موی اطراف مقعد را به عنوان علامت بلوغ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طبق یکی از دو قول شافعی، موی زیر بغل به عنوان یکی از نشانه‌های بلوغ قلمداد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با این‌که صاحب جواهر ادعا می‌کند در این مسئله روایاتی وجود دارد، ولی در این رابطه روایت معتبری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احتساب موی زیر بغل را به عنوان یکی از علامات بلوغ امری شاذ قلمداد کرده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95" w:name="__RefHeading___Toc189028_237004111"/>
      <w:bookmarkStart w:id="196" w:name="_Toc74"/>
      <w:bookmarkEnd w:id="195"/>
      <w:r>
        <w:rPr>
          <w:rtl w:val="true"/>
        </w:rPr>
        <w:t>ادلۀ اختصاص</w:t>
      </w:r>
      <w:bookmarkEnd w:id="196"/>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از ظاهر عبارت علامه در تحریر استفاده می‌شود که این مسئله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اجماع منقول است و لذا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در روایت حمزة بن حمران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یشعر أو ینبت قبل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استفاده کرد انبات مختص عانه و اشعار مربوط به غیر عانه است و قرینه آن نیز روایت یزید کناسی است که متعلق انبات و اشعار 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 xml:space="preserve">ضعف این دلیل نیز واضح است؛ زیرا از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عادتاً رویش این مو متأخر از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توجیه علامیت انبات لحیه و شارب که از سوی بعضی فقها مطرح 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یکون ذلک منهم لتأخر نباتهما عن البلوغ عادة بکثیر ومدارهم علی ذکر العلامات النافعة عند الاشتباه، لا حال معلومیة البلوغ الحاصلة غالباً نباتهما بحیث لا یحتاج الی استناد العلامات وخرق العادات لا ینافی الاطمینان المعتبر فی الاحکام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ذکر انبات لحیه و شارب از ناحیۀ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علامت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تأخر رویش این موها از بلوغ باشد که اکثراً دیرتر می‌رویند و ملاک آن‌ها ذکر نشانه‌هایی است که در حالت اشتباه سودمند باشند، نه در حالتی که بلوغ معلوم است و نیاز به استناد به این علامت‌ها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که برخلاف متعارف است نافی اطمینان معتبر در احکام شرعی نمی‌باشد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مبنای فقها این باشد که علامت‌هایی را ذکر کنند که در حالت اشتباه و شک نافع باشند، نه در حالی که بلوغ معلوم شده باشد و هم‌چنین تأخر رویش این مو از بلوغ را بپذیریم، بدیهی است دیگر موی زیر بغل نمی‌تواند به عنوان علامت بلوغ مورد پذیرش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لازمه این بیان آن است که رویش موی زهاری نیز نمی‌تواند به عنوان علامت بلوغ مورد پذیرش قرار گیرد؛ زیرا چنان‌چه سابقا اشاره شد رویش این مو کاشف از تحقق بلوغ در زمان سابق و دلیل بر سبق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موی زهاری در اوایل تحرک طبیعت و تحقق بلوغ جنسی و رویش موی زیر بغل پس از آن حاصل می‌شود؛ بدین معنا که موی زیر بغل با فاصلۀ بیشتری از بلوغ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حق آن است که موی زیر بغل از این جهت همانند موی زهاری است؛ یعنی همان‌گونه که انبات بر عانه کاشف از سبق بلوغ است رویش مو در زیر بغل نیز کاشف از تحقق بلوغ در زمان سابق می‌باشد و از این جهت فرقی بین آن‌ها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بعینه در مورد موی اطراف مقعد هم جریان دارد</w:t>
      </w:r>
      <w:r>
        <w:rPr>
          <w:rFonts w:eastAsia="IRNazanin" w:cs="IRNazanin"/>
          <w:color w:val="111111"/>
          <w:sz w:val="28"/>
          <w:szCs w:val="28"/>
          <w:rtl w:val="true"/>
          <w:lang w:bidi="fa-IR"/>
        </w:rPr>
        <w:t>.</w:t>
      </w:r>
      <w:bookmarkStart w:id="197" w:name="pg6142_67346"/>
    </w:p>
    <w:p>
      <w:pPr>
        <w:pStyle w:val="Heading3"/>
        <w:numPr>
          <w:ilvl w:val="2"/>
          <w:numId w:val="1"/>
        </w:numPr>
        <w:rPr/>
      </w:pPr>
      <w:bookmarkStart w:id="198" w:name="__RefHeading___Toc189030_237004111"/>
      <w:bookmarkStart w:id="199" w:name="_Toc75"/>
      <w:bookmarkEnd w:id="197"/>
      <w:bookmarkEnd w:id="198"/>
      <w:r>
        <w:rPr>
          <w:rtl w:val="true"/>
        </w:rPr>
        <w:t>فصل دوم</w:t>
      </w:r>
      <w:r>
        <w:rPr>
          <w:rtl w:val="true"/>
        </w:rPr>
        <w:t xml:space="preserve">: </w:t>
      </w:r>
      <w:r>
        <w:rPr>
          <w:rtl w:val="true"/>
        </w:rPr>
        <w:t xml:space="preserve">خروج منی </w:t>
      </w:r>
      <w:r>
        <w:rPr>
          <w:rtl w:val="true"/>
        </w:rPr>
        <w:t>(</w:t>
      </w:r>
      <w:r>
        <w:rPr>
          <w:rtl w:val="true"/>
        </w:rPr>
        <w:t>احتلام</w:t>
      </w:r>
      <w:r>
        <w:rPr>
          <w:rtl w:val="true"/>
        </w:rPr>
        <w:t>)</w:t>
      </w:r>
      <w:bookmarkEnd w:id="1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189032_237004111"/>
      <w:bookmarkStart w:id="201" w:name="_Toc76"/>
      <w:bookmarkEnd w:id="200"/>
      <w:r>
        <w:rPr>
          <w:rtl w:val="true"/>
        </w:rPr>
        <w:t>اشاره</w:t>
      </w:r>
      <w:bookmarkStart w:id="202" w:name="pg6142_67348"/>
      <w:bookmarkEnd w:id="201"/>
    </w:p>
    <w:p>
      <w:pPr>
        <w:pStyle w:val="Heading4"/>
        <w:numPr>
          <w:ilvl w:val="3"/>
          <w:numId w:val="1"/>
        </w:numPr>
        <w:rPr/>
      </w:pPr>
      <w:bookmarkStart w:id="203" w:name="__RefHeading___Toc189034_237004111"/>
      <w:bookmarkStart w:id="204" w:name="_Toc77"/>
      <w:bookmarkEnd w:id="202"/>
      <w:bookmarkEnd w:id="203"/>
      <w:r>
        <w:rPr>
          <w:rtl w:val="true"/>
        </w:rPr>
        <w:t>مقدمه</w:t>
      </w:r>
      <w:bookmarkEnd w:id="204"/>
    </w:p>
    <w:p>
      <w:pPr>
        <w:pStyle w:val="BookText"/>
        <w:rPr/>
      </w:pPr>
      <w:r>
        <w:rPr>
          <w:rFonts w:ascii="IRNazanin" w:hAnsi="IRNazanin" w:eastAsia="IRNazanin"/>
          <w:color w:val="111111"/>
          <w:sz w:val="28"/>
          <w:sz w:val="28"/>
          <w:szCs w:val="28"/>
          <w:rtl w:val="true"/>
          <w:lang w:bidi="fa-IR"/>
        </w:rPr>
        <w:t>یکی از اموری که به عنوان مبدأ ثبوت تکلیف در دختران ذکر گردیده، خروج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 در این رابطه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علامت به احتلام و گاهی نیز از آن به خروج منی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 عنوان خروج منی از احتلام بیشتر است، برخلاف روایات که در آن فقط از عنوان احتلام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نمونه‌هایی از عبارات فقها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مبسوط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والبلوغ یکون باحد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زهره حلبی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والبلوغ یکون باحد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وظهور المنی و</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بانبات الشعر الخشن علی العانه، سواء کان مسلما او مشرکا وخروج المنی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شرائع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ارشاد الاذهان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 بلوغ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بالمنی وانبات الشعر الخشن علی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محقق اردبیلی</w:t>
      </w:r>
      <w:r>
        <w:rPr>
          <w:rStyle w:val="FootnoteAnchor"/>
          <w:rtl w:val="true"/>
        </w:rPr>
        <w:footnoteReference w:id="125"/>
      </w:r>
      <w:r>
        <w:rPr>
          <w:rFonts w:ascii="IRNazanin" w:hAnsi="IRNazanin" w:eastAsia="IRNazanin"/>
          <w:color w:val="111111"/>
          <w:sz w:val="28"/>
          <w:sz w:val="28"/>
          <w:szCs w:val="28"/>
          <w:rtl w:val="true"/>
          <w:lang w:bidi="fa-IR"/>
        </w:rPr>
        <w:t>و جمع کثیری از فقها، از متقدمین و متاخرین و معاصرین از جمله امام خمینی،</w:t>
      </w:r>
      <w:r>
        <w:rPr>
          <w:rStyle w:val="FootnoteAnchor"/>
          <w:rtl w:val="true"/>
        </w:rPr>
        <w:footnoteReference w:id="126"/>
      </w:r>
      <w:r>
        <w:rPr>
          <w:rFonts w:ascii="IRNazanin" w:hAnsi="IRNazanin" w:eastAsia="IRNazanin"/>
          <w:color w:val="111111"/>
          <w:sz w:val="28"/>
          <w:sz w:val="28"/>
          <w:szCs w:val="28"/>
          <w:rtl w:val="true"/>
          <w:lang w:bidi="fa-IR"/>
        </w:rPr>
        <w:t>خروج منی را علامت بلوغ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نیز عنوان ظهور منی را بکار برده و جمعی نیز فقط عنوان منی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بیشتر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جمعی از فقها از عنوان احتلام نام برده‌اند؛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تذکره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المشترک فثلاثة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الانبات للشعر والاحتلام والسن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 حلی در الجامع للشرایع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انبات العانة ما یفتقر الی الحلق والاحتلام فی الرجل والمرئة و</w:t>
      </w:r>
      <w:r>
        <w:rPr>
          <w:rFonts w:eastAsia="IRNazanin" w:cs="IRNazanin"/>
          <w:color w:val="111111"/>
          <w:sz w:val="28"/>
          <w:szCs w:val="28"/>
          <w:rtl w:val="true"/>
          <w:lang w:bidi="fa-IR"/>
        </w:rPr>
        <w:t>....».</w:t>
      </w:r>
      <w:r>
        <w:rPr>
          <w:rStyle w:val="FootnoteAnchor"/>
          <w:rtl w:val="true"/>
        </w:rPr>
        <w:footnoteReference w:id="1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اکثر فقها عنوان خروج منی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در آینده نقل خواهد شد</w:t>
      </w:r>
      <w:r>
        <w:rPr>
          <w:rFonts w:eastAsia="IRNazanin" w:cs="IRNazanin"/>
          <w:color w:val="111111"/>
          <w:sz w:val="28"/>
          <w:szCs w:val="28"/>
          <w:rtl w:val="true"/>
          <w:lang w:bidi="fa-IR"/>
        </w:rPr>
        <w:t>.</w:t>
      </w:r>
      <w:bookmarkStart w:id="205" w:name="pg6142_67350"/>
    </w:p>
    <w:p>
      <w:pPr>
        <w:pStyle w:val="Heading4"/>
        <w:numPr>
          <w:ilvl w:val="3"/>
          <w:numId w:val="1"/>
        </w:numPr>
        <w:rPr/>
      </w:pPr>
      <w:bookmarkStart w:id="206" w:name="__RefHeading___Toc189036_237004111"/>
      <w:bookmarkStart w:id="207" w:name="_Toc78"/>
      <w:bookmarkEnd w:id="205"/>
      <w:bookmarkEnd w:id="206"/>
      <w:r>
        <w:rPr>
          <w:rtl w:val="true"/>
        </w:rPr>
        <w:t>گفتار اول</w:t>
      </w:r>
      <w:r>
        <w:rPr>
          <w:rtl w:val="true"/>
        </w:rPr>
        <w:t xml:space="preserve">: </w:t>
      </w:r>
      <w:r>
        <w:rPr>
          <w:rtl w:val="true"/>
        </w:rPr>
        <w:t>نسبت احتلام و خروج منی</w:t>
      </w:r>
      <w:bookmarkEnd w:id="207"/>
    </w:p>
    <w:p>
      <w:pPr>
        <w:pStyle w:val="BookText"/>
        <w:rPr/>
      </w:pPr>
      <w:r>
        <w:rPr>
          <w:rFonts w:ascii="IRNazanin" w:hAnsi="IRNazanin" w:eastAsia="IRNazanin"/>
          <w:color w:val="111111"/>
          <w:sz w:val="28"/>
          <w:sz w:val="28"/>
          <w:szCs w:val="28"/>
          <w:rtl w:val="true"/>
          <w:lang w:bidi="fa-IR"/>
        </w:rPr>
        <w:t>با آن‌که در روایات تعبیر احتلام وارد شده ولی سؤال این است که چرا اکثر فقها واژۀ خروج منی را به کار برده‌اند؟ آیا احتلام و خروج منی مفهوماً مساوی هستند و اگر مساوی نیستند وجه عدول فقها از این تعبیر چیست؟</w:t>
      </w:r>
    </w:p>
    <w:p>
      <w:pPr>
        <w:pStyle w:val="BookText"/>
        <w:rPr/>
      </w:pPr>
      <w:r>
        <w:rPr>
          <w:rFonts w:ascii="IRNazanin" w:hAnsi="IRNazanin" w:eastAsia="IRNazanin"/>
          <w:color w:val="111111"/>
          <w:sz w:val="28"/>
          <w:sz w:val="28"/>
          <w:szCs w:val="28"/>
          <w:rtl w:val="true"/>
          <w:lang w:bidi="fa-IR"/>
        </w:rPr>
        <w:t>علامه در تذکرة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 وهو خروج المنی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تذکرة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بیان معنای حُلم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هو خروج المنی من الذکر او قُبُل المراة مطلقا سواء کان بشهوة او غیر شهوة وسواء کان بجماع او غیر جماع وسواء کان فی نوم او یقظة ولا یختص بالاحتلام بل هو منوط بمطلق الخروج مع امکانه باستکمال تسع سنین مطلقا</w:t>
      </w:r>
    </w:p>
    <w:p>
      <w:pPr>
        <w:pStyle w:val="BookText"/>
        <w:rPr/>
      </w:pPr>
      <w:r>
        <w:rPr>
          <w:rFonts w:ascii="IRNazanin" w:hAnsi="IRNazanin" w:eastAsia="IRNazanin"/>
          <w:color w:val="111111"/>
          <w:sz w:val="28"/>
          <w:sz w:val="28"/>
          <w:szCs w:val="28"/>
          <w:rtl w:val="true"/>
          <w:lang w:bidi="fa-IR"/>
        </w:rPr>
        <w:t>عند الشافعی وعندنا فی المراة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عبارت است از خروج منی از مرد یا زن مطلقا، همراه با شهوت باشد یا بدون آن، به سبب آمیزش باشد یا غیر آن، در بیداری باشد یا در خواب و این اختصاص به احتلام ندارد، بلکه منوط به مطلق خروج منی است در صورت امکان آن‌که نزد شافعی وقت امکان مطلقاً پایان نه سالگی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پسر و چه 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 علمای امامیه وقت امکان در دختران نه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حُلم با خروج منی مفهوماً مساوی بوده، هرچند به تفاوت احتلام و خروج منی نیز در این عبارت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در مورد این کلام علامه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یرید بیان المعنی المقصود شرعا واما اللغة فالظاهر انه مخصوص بالنوم کما یظهر من القاموس ولهذا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بالاحتلام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وی در صدد بیان معنای شرعی حُلم است و اما معنای لغوی آن مخصوص به خواب است، چنان‌چه ظاهر قاموس این است و به همین جهت علامه در تذکره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احتلام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مطلب را صاحب حدائق</w:t>
      </w:r>
      <w:r>
        <w:rPr>
          <w:rStyle w:val="FootnoteAnchor"/>
          <w:rtl w:val="true"/>
        </w:rPr>
        <w:footnoteReference w:id="132"/>
      </w:r>
      <w:r>
        <w:rPr>
          <w:rFonts w:ascii="IRNazanin" w:hAnsi="IRNazanin" w:eastAsia="IRNazanin"/>
          <w:color w:val="111111"/>
          <w:sz w:val="28"/>
          <w:sz w:val="28"/>
          <w:szCs w:val="28"/>
          <w:rtl w:val="true"/>
          <w:lang w:bidi="fa-IR"/>
        </w:rPr>
        <w:t>و صاحب ریاض</w:t>
      </w:r>
      <w:r>
        <w:rPr>
          <w:rStyle w:val="FootnoteAnchor"/>
          <w:rtl w:val="true"/>
        </w:rPr>
        <w:footnoteReference w:id="133"/>
      </w:r>
      <w:r>
        <w:rPr>
          <w:rFonts w:ascii="IRNazanin" w:hAnsi="IRNazanin" w:eastAsia="IRNazanin"/>
          <w:color w:val="111111"/>
          <w:sz w:val="28"/>
          <w:sz w:val="28"/>
          <w:szCs w:val="28"/>
          <w:rtl w:val="true"/>
          <w:lang w:bidi="fa-IR"/>
        </w:rPr>
        <w:t>نیز در مورد</w:t>
      </w:r>
    </w:p>
    <w:p>
      <w:pPr>
        <w:pStyle w:val="BookText"/>
        <w:rPr/>
      </w:pPr>
      <w:r>
        <w:rPr>
          <w:rFonts w:ascii="IRNazanin" w:hAnsi="IRNazanin" w:eastAsia="IRNazanin"/>
          <w:color w:val="111111"/>
          <w:sz w:val="28"/>
          <w:sz w:val="28"/>
          <w:szCs w:val="28"/>
          <w:rtl w:val="true"/>
          <w:lang w:bidi="fa-IR"/>
        </w:rPr>
        <w:t>سخن علامه بیان کرده‌اند؛ یعنی در حقیقت آنان با توجه به اشکال فوق‌الذکر در عبارت به نوعی در صدد توجیه آن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بخواهیم بر اساس معنای لغوی احتلام و حُلم به کلام علامه بنگریم، سخن این بزرگان صحیح نیست؛ زیرا در احتلام و حلم بنابر بعضی معانی لغوی حتی خروج منی نیز معتبر نیست بلکه معنای آن یا رؤیت یک امری است که باعث لذت می‌شود یا عبارت از رؤیت یک امر قبیح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فقط در ناحیۀ نوم نیست بلکه اساساً انزال در کتب لغت قید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شاید نیازی به این توجیه هم نباشد؛ زیرا از یک سو احتلام به معنای بلوغ و ادراک است، چنان‌چه سابقاً در بحث از معنای لغوی و عرفی احتلام و حُلم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احتلم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بچه بالغ 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برخی روایات آمده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بدون خروج منی محقق نمی‌شود؛ یعنی حداقل یکی از نشانه‌های طبیعی بلوغ جنسی خروج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این دو در حقیقت مبین یک واقعیت هستند و چه بسا در روایات که تعبیر احتلام به کار رفته، به این جهت است که غالباً خروج منی و رسیدن به این مرحله برای کودکان نزدیک به بلوغ در خواب اتفاق می‌افتد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اگر کسی بگوید این دو تغایر مفهومی دارند، دلیل دیگری نیز می‌توان ذکر کرد و آن این‌که اگر خروج منی علامت و نشانۀ بلوغ نباشد و صرفاً احتلام به معنای خاص خود علامت بلوغ</w:t>
      </w:r>
    </w:p>
    <w:p>
      <w:pPr>
        <w:pStyle w:val="BookText"/>
        <w:rPr/>
      </w:pPr>
      <w:r>
        <w:rPr>
          <w:rFonts w:ascii="IRNazanin" w:hAnsi="IRNazanin" w:eastAsia="IRNazanin"/>
          <w:color w:val="111111"/>
          <w:sz w:val="28"/>
          <w:sz w:val="28"/>
          <w:szCs w:val="28"/>
          <w:rtl w:val="true"/>
          <w:lang w:bidi="fa-IR"/>
        </w:rPr>
        <w:t>باشد، لازمه‌اش آن است که اگر مردی ازدواج کند و صاحب فرزند گردد، مادامی که احتلام برای او محقق نشده، بگوییم بالغ نشده است، و این مطلبی است که نمی‌توان به آن ملتزم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نشانۀ دوم بلوغ خارج شدن منی است؛ چه در خواب و چه در بیداری، چه به سبب آمیزش و چه به سبب غیر آن</w:t>
      </w:r>
      <w:r>
        <w:rPr>
          <w:rFonts w:eastAsia="IRNazanin" w:cs="IRNazanin"/>
          <w:color w:val="111111"/>
          <w:sz w:val="28"/>
          <w:szCs w:val="28"/>
          <w:rtl w:val="true"/>
          <w:lang w:bidi="fa-IR"/>
        </w:rPr>
        <w:t>.</w:t>
      </w:r>
      <w:bookmarkStart w:id="208" w:name="pg6142_67354"/>
    </w:p>
    <w:p>
      <w:pPr>
        <w:pStyle w:val="Heading4"/>
        <w:numPr>
          <w:ilvl w:val="3"/>
          <w:numId w:val="1"/>
        </w:numPr>
        <w:rPr/>
      </w:pPr>
      <w:bookmarkStart w:id="209" w:name="__RefHeading___Toc189038_237004111"/>
      <w:bookmarkStart w:id="210" w:name="_Toc79"/>
      <w:bookmarkEnd w:id="208"/>
      <w:bookmarkEnd w:id="209"/>
      <w:r>
        <w:rPr>
          <w:rtl w:val="true"/>
        </w:rPr>
        <w:t>گفتار دوم</w:t>
      </w:r>
      <w:r>
        <w:rPr>
          <w:rtl w:val="true"/>
        </w:rPr>
        <w:t xml:space="preserve">: </w:t>
      </w:r>
      <w:r>
        <w:rPr>
          <w:rtl w:val="true"/>
        </w:rPr>
        <w:t>ادلۀ ثبوت تکلیف بر دختران با خروج منی</w:t>
      </w:r>
      <w:bookmarkEnd w:id="210"/>
    </w:p>
    <w:p>
      <w:pPr>
        <w:pStyle w:val="Heading5"/>
        <w:numPr>
          <w:ilvl w:val="4"/>
          <w:numId w:val="1"/>
        </w:numPr>
        <w:rPr/>
      </w:pPr>
      <w:bookmarkStart w:id="211" w:name="__RefHeading___Toc189040_237004111"/>
      <w:bookmarkStart w:id="212" w:name="_Toc8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ثبوت تکالیف به سبب خروج خروج منی در مورد پسران امری قطعی و مسلم است و در این رابطه علاوه بر آیات و روایات به اجماع هم می‌توان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مقام لازم است مورد بررسی قرار گیرد ثبوت تکلیف با تحقق این نشانه در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به شمول این علامت نسبت به دختران تصریح کرده‌اند؛ مانند علامه،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تحریر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فاضل آبی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عندنا وعند الاکثر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bookmarkStart w:id="213" w:name="pg6142_67355"/>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تکالیف به سبب خروج منی نزد علمای امامیه و اکثر عامه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مخالفت عده‌ای از عامه با این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مخالف اشتراک می‌باشند شافعی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5"/>
        <w:numPr>
          <w:ilvl w:val="4"/>
          <w:numId w:val="1"/>
        </w:numPr>
        <w:rPr/>
      </w:pPr>
      <w:bookmarkStart w:id="214" w:name="__RefHeading___Toc189042_237004111"/>
      <w:bookmarkStart w:id="215" w:name="_Toc81"/>
      <w:bookmarkEnd w:id="214"/>
      <w:r>
        <w:rPr>
          <w:rtl w:val="true"/>
        </w:rPr>
        <w:t>دلیل اول</w:t>
      </w:r>
      <w:bookmarkEnd w:id="215"/>
    </w:p>
    <w:p>
      <w:pPr>
        <w:pStyle w:val="BookText"/>
        <w:rPr/>
      </w:pPr>
      <w:r>
        <w:rPr>
          <w:rFonts w:ascii="IRNazanin" w:hAnsi="IRNazanin" w:eastAsia="IRNazanin"/>
          <w:color w:val="111111"/>
          <w:sz w:val="28"/>
          <w:sz w:val="28"/>
          <w:szCs w:val="28"/>
          <w:rtl w:val="true"/>
          <w:lang w:bidi="fa-IR"/>
        </w:rPr>
        <w:t>ظاهرا در بین علمای شیعه کسی قائل به عدم اشتراک نیست، بلکه برخی ادعای اجماع بر اشتراک کرده‌اند؛ از جمله شهید ثانی و صاحب ریاض</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 خروج المنی وهو الماء الدافق الذی یخلق منه الولد، بلوغ فی الرجل والمرئه، عند علمائنا اجمع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عبارت از خروج منی است و منی همان آب جهنده‌ای است که از آن بچه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بلوغ در دختر و پسر نزد همۀ علمای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عبارت آن است که هم اصل علامیت خروج منی برای بلوغ و هم اشتراک آن بین دختران و پسران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تأیید این اجماع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فاجماع التذکرة مما یشهد التتبع مع التأمل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مورد ادعای تذکره از اموری است که تتبع با دقت گواهی</w:t>
      </w:r>
      <w:bookmarkStart w:id="216" w:name="pg6142_67356"/>
    </w:p>
    <w:p>
      <w:pPr>
        <w:pStyle w:val="BookText"/>
        <w:rPr/>
      </w:pPr>
      <w:bookmarkEnd w:id="216"/>
      <w:r>
        <w:rPr>
          <w:rFonts w:ascii="IRNazanin" w:hAnsi="IRNazanin" w:eastAsia="IRNazanin"/>
          <w:color w:val="111111"/>
          <w:sz w:val="28"/>
          <w:sz w:val="28"/>
          <w:szCs w:val="28"/>
          <w:rtl w:val="true"/>
          <w:lang w:bidi="fa-IR"/>
        </w:rPr>
        <w:t>به صحت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همان‌گونه که صاحب جواهر فرموده قابل تحصیل بوده و لذا قابل قبول است، اگرچه در مورد برخی از قیود آن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کسی ادعا کند این اجماع محتمل المدرکیة یا مدرکی است</w:t>
      </w:r>
      <w:r>
        <w:rPr>
          <w:rFonts w:eastAsia="IRNazanin" w:cs="IRNazanin"/>
          <w:color w:val="111111"/>
          <w:sz w:val="28"/>
          <w:szCs w:val="28"/>
          <w:rtl w:val="true"/>
          <w:lang w:bidi="fa-IR"/>
        </w:rPr>
        <w:t>.</w:t>
      </w:r>
    </w:p>
    <w:p>
      <w:pPr>
        <w:pStyle w:val="Heading5"/>
        <w:numPr>
          <w:ilvl w:val="4"/>
          <w:numId w:val="1"/>
        </w:numPr>
        <w:rPr/>
      </w:pPr>
      <w:bookmarkStart w:id="217" w:name="__RefHeading___Toc189044_237004111"/>
      <w:bookmarkStart w:id="218" w:name="_Toc82"/>
      <w:bookmarkEnd w:id="217"/>
      <w:r>
        <w:rPr>
          <w:rtl w:val="true"/>
        </w:rPr>
        <w:t>دلیل دوم</w:t>
      </w:r>
      <w:bookmarkEnd w:id="218"/>
    </w:p>
    <w:p>
      <w:pPr>
        <w:pStyle w:val="BookText"/>
        <w:rPr/>
      </w:pPr>
      <w:r>
        <w:rPr>
          <w:rFonts w:ascii="IRNazanin" w:hAnsi="IRNazanin" w:eastAsia="IRNazanin"/>
          <w:color w:val="111111"/>
          <w:sz w:val="28"/>
          <w:sz w:val="28"/>
          <w:szCs w:val="28"/>
          <w:rtl w:val="true"/>
          <w:lang w:bidi="fa-IR"/>
        </w:rPr>
        <w:t>آیۀ وَ ابْتَلُوا الْیَتامی حَتّی إِذا بَلَغُوا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وَ إِذا بَلَغَ الْأَطْفالُ مِنْکُمُ الْحُلُمَ فَلْیَسْتَأْذِنُوا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وَ لا تَقْرَبُوا مالَ الْیَتِیمِ إِلاّ بِالَّتِی هِیَ أَحْسَنُ حَتّی یَبْلُغَ أَشُدَّهُ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اعتبار بلوغ نکاح، بلوغ حُلُم و بلوغ اشُدّ در برخی امور دارد و همان‌گونه که در بحث بلوغ در قرآن گفته شد مقصود از این سه واژه همان بلوغ جنسی و آمادگی برای تولید مثل و توانایی بر آمیزش است که جز با خروج منی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ظاهر فی عدم الحصول الا بالمنی</w:t>
      </w:r>
      <w:r>
        <w:rPr>
          <w:rFonts w:eastAsia="IRNazanin" w:cs="IRNazanin"/>
          <w:color w:val="111111"/>
          <w:sz w:val="28"/>
          <w:szCs w:val="28"/>
          <w:rtl w:val="true"/>
          <w:lang w:bidi="fa-IR"/>
        </w:rPr>
        <w:t>».</w:t>
      </w:r>
      <w:r>
        <w:rPr>
          <w:rStyle w:val="FootnoteAnchor"/>
          <w:rtl w:val="true"/>
        </w:rPr>
        <w:footnoteReference w:id="14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بلوغ نکاح و بلوغ حُلُم رجوع می‌کند و چه بسا امر به امتحان و اختبار در آیه اول هم به نوعی مؤید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آیات نسبت به دختران و پسران عمومیت داشته و تخصیص هم نخورده‌اند</w:t>
      </w:r>
      <w:r>
        <w:rPr>
          <w:rFonts w:eastAsia="IRNazanin" w:cs="IRNazanin"/>
          <w:color w:val="111111"/>
          <w:sz w:val="28"/>
          <w:szCs w:val="28"/>
          <w:rtl w:val="true"/>
          <w:lang w:bidi="fa-IR"/>
        </w:rPr>
        <w:t>.</w:t>
      </w:r>
      <w:bookmarkStart w:id="219" w:name="pg6142_67357"/>
    </w:p>
    <w:p>
      <w:pPr>
        <w:pStyle w:val="Heading5"/>
        <w:numPr>
          <w:ilvl w:val="4"/>
          <w:numId w:val="1"/>
        </w:numPr>
        <w:rPr/>
      </w:pPr>
      <w:bookmarkStart w:id="220" w:name="__RefHeading___Toc189046_237004111"/>
      <w:bookmarkStart w:id="221" w:name="_Toc83"/>
      <w:bookmarkEnd w:id="219"/>
      <w:bookmarkEnd w:id="220"/>
      <w:r>
        <w:rPr>
          <w:rtl w:val="true"/>
        </w:rPr>
        <w:t>دلیل سوم</w:t>
      </w:r>
      <w:bookmarkEnd w:id="221"/>
    </w:p>
    <w:p>
      <w:pPr>
        <w:pStyle w:val="Heading6"/>
        <w:numPr>
          <w:ilvl w:val="5"/>
          <w:numId w:val="1"/>
        </w:numPr>
        <w:rPr/>
      </w:pPr>
      <w:bookmarkStart w:id="222" w:name="__RefHeading___Toc189048_237004111"/>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همان‌گونه که اشاره شد، در برخی روایات از تعبیر احتلام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روایاتی که مطلق بوده و شامل پسران و دختران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دیگر روایاتی که یا ظهور در اختصاص به پسران داشته و یا ظهور در اختصاص به دختران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مختص پسران از محل بحث خارجند و لذا از این دسته تنها روایات مختص به دختران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دو دسته از روایات مورد بررسی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p>
    <w:p>
      <w:pPr>
        <w:pStyle w:val="BookText"/>
        <w:rPr/>
      </w:pPr>
      <w:r>
        <w:rPr>
          <w:rFonts w:ascii="IRNazanin" w:hAnsi="IRNazanin" w:eastAsia="IRNazanin"/>
          <w:color w:val="111111"/>
          <w:sz w:val="28"/>
          <w:sz w:val="28"/>
          <w:szCs w:val="28"/>
          <w:rtl w:val="true"/>
          <w:lang w:bidi="fa-IR"/>
        </w:rPr>
        <w:t>بعضی از روایات احتلام مطلق بوده و لذا شامل دختران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احمد بن محمد بن عیسی، عن محمد بن عیسی، عن منصور عن هشام بن سالم،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یتم الیتیم بالاحتلام وهو اشده وان احتلم ولم یؤنس منه رشده وکان سفیها او ضعیفا فلیمسک عنه ولیّه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دورۀ یتیمی احتلام است، ولی چنان‌چه یتیم محتلم شود و رشد پیدا نکند و هم‌چنان سفیه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او باید حافظ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پایان دورۀ کودکی احتلام و خروج منی است، لکن علاوه بر احتلام قید رشد نیز در تصرفات مالی معتبر دانسته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الحجر،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الخصال، عن الحسن بن محمد السکونی، عن الحضرمی، عن ابراهیم بن ابی معاویة، عن ابیه عن الاعمش، عن ابن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بامرئة مجنونة قد زنت فامر برجمها،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القلم یرفع عن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وعن المجنون حتی یفیق وعن النائم حتی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مواجهه با زن دیوانه‌ای که زنا کرده بود دستور به رجم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گروه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تا زمانی که محتلم شود و از دیوانه تا زمانی که بهبود پیدا کند و از شخص خواب تا زمانی که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اطلاق داشته و شامل پسران و دختران می‌شوند و قرینه‌ای هم بر اختصاص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عمومیت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عمومیت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به ویژه آن‌که مورد روایت دوم خصوص 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علی بن جعفر عن اخیه،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 متی ینقطع یتمه؟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احتلم وعرف الاخذ والاعطاء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سؤال کردم چه زمانی دوران یتیمی پایان می‌پذیرد؟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محتلم شود و گرفتن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روایت زمانی دوران کودکی به پایان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تصرف در اموال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محتلم شده و شناخت لازم برای گرفتن و دادن اموال خود را پیدا کند؛ بدین معنا که بتواند صلاح مالی خویش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اطلاق داشته و شامل دختران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الخصال عن أبیه، عن سعد، عن أحمد بن محمد، عن أبی نصر، عن أبی الحسین الخادم بیّاع اللولو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وأنا حاضر عن الیتیم، متی یجوز امره؟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اشده،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حالی که من حاضر بودم از امام صادق علیه السلام دربارۀ یتیم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کار او جایز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چه زمانی اختیار کارهایش در دست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بلوغ اشدّ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زمانی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محتلم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بلوغ اشُد که به احتلام تفسیر شده به عنوان مبدا نفوذ و جواز تصرفات مالی کودک معرفی شده و از آن‌جا که سؤال از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الحجر،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اطلاقش شامل دختر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حماد بن عمرو وانس بن محمد عن أبیه، جمیعا عن جعفر بن محمد، عن أبیه، عن آبائه علیهم السلام فی وصیة النبی صلی الله علیه و آله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یتم بعد الاحتلام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احتلام دوران یتیمی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روایت و شمول آن نسبت به دختران نیز همانند روایات قبلی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احمد بن محمد بن عیسی، عن محمد بن یحیی، عن طلحة بن زید،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اولاد المسلمین موسومون عندالله شافع ومشفع، فاذا بلغوا اثنتی عشرة سنة کتبت لهم الحسنات فاذا بلغوا الحلم کتبت علیهم السیئات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این حدیث اگر اولاد مسلمین به حد احتلام رسیدند گناهان آن‌ها نوشته می‌شود و این به معنای ثبوت تکالیف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اولاد مسلمین شامل دختر و پسر می‌شود و قرینه‌ای هم بر اختصاص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دسته اول روایات بوضوح می‌توان شمول این علامت را نسبت به دختران استفاده کرد و لذا همان‌گونه که احتلام سبب ثبوت</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بر پسران است، تکلیف را در دختران نیز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p>
    <w:p>
      <w:pPr>
        <w:pStyle w:val="BookText"/>
        <w:rPr/>
      </w:pPr>
      <w:r>
        <w:rPr>
          <w:rFonts w:ascii="IRNazanin" w:hAnsi="IRNazanin" w:eastAsia="IRNazanin"/>
          <w:color w:val="111111"/>
          <w:sz w:val="28"/>
          <w:sz w:val="28"/>
          <w:szCs w:val="28"/>
          <w:rtl w:val="true"/>
          <w:lang w:bidi="fa-IR"/>
        </w:rPr>
        <w:t>دستۀ دوم از روایات، سببیت احتلام و خروج منی را برای ثبوت بعضی از تکالیف، به خصوص در مورد دختران بیان می‌کند و از آن‌جا که این تکالیف خصوصیتی ندارند، سببیت احتلام بر ثبوت همۀ تکالیف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ابن أبی عمیر، عن حماد بن عثمان،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المرئة تری فی المنام ما یری الرجل،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انزلت فعلیها الغسل وان لم تنزل فلیس علیها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زنی سؤال کردم که در خواب چیزی را می‌بیند که مرد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صورت گیرد بر او غسل واجب است و اگر انزال محقق نشود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مدعا واضح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یجامع المرئة فیما دون الفرج وتنزل المرئة، هل علیها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 احمد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الجنابة،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الجنابة،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امام رضا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زنش بدون دخول در فرج آمیزش می‌کند و انزال هم در زن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آن زن واجب است؟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این روایت همانند روایت سابق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الحسین بن محمد، عن عبدالله بن عامر، عن علی بن مهزیار، عن الحسین ابن سعید،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المرئة تعانق زوجها من خلفه، فتحرک علی ظهره، فتاتیها الشهوة، فتنزل الماء، علیها الغسل او لا یجب علیها الغسل؟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جائتها الشهوة فانزلت الماء، وجب علیها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زنی سؤال پرسیدم که همسرش را از پشت در آغوش گرفته و سپس با حرکت دادن خود، شهوت بر او عارض و در او انزال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بر او واجب است؟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بر آن زن عارض شود و انزال صورت گیرد غسل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 آن‌که دخول محقق نشده ولی به جهت انزال منی غسل واجب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احمد بن محمد عن ابن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المرئة تری ان الرجل یجامعها فی المنام فی فرجها حتی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باسناده عن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224" w:name="pg6142_67363"/>
    </w:p>
    <w:p>
      <w:pPr>
        <w:pStyle w:val="BookText"/>
        <w:rPr/>
      </w:pPr>
      <w:bookmarkEnd w:id="224"/>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از امام صادق علیه السلام در مورد زنی سؤال می‌کند که در خواب می‌بیند مردی با او آمیزش کرده و سپس انزال در زن محقق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با همین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تکمیل استدلال به این روایات باید مطلبی ضمیمه شود و آن این‌که خروج منی یا احتلام به طور کلی سبب ثبوت تکلیف به غسل است و خروج منی هم اعم از آن است که برای اولین بار محقق شود یا غیر آن؛ چون اگر انزال در زن بالغی هم صورت گیرد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خروج منی یا انزال را به طور کلی موجب ثبوت تکلیف به غسل دانست و از آن‌جا که تکلیف به غسل خصوصیتی ندارد، پس می‌توان آن را ملاک ثبوت همۀ تکالیف دانست</w:t>
      </w:r>
      <w:r>
        <w:rPr>
          <w:rFonts w:eastAsia="IRNazanin" w:cs="IRNazanin"/>
          <w:color w:val="111111"/>
          <w:sz w:val="28"/>
          <w:szCs w:val="28"/>
          <w:rtl w:val="true"/>
          <w:lang w:bidi="fa-IR"/>
        </w:rPr>
        <w:t>.</w:t>
      </w:r>
    </w:p>
    <w:p>
      <w:pPr>
        <w:pStyle w:val="Heading6"/>
        <w:numPr>
          <w:ilvl w:val="5"/>
          <w:numId w:val="1"/>
        </w:numPr>
        <w:rPr/>
      </w:pPr>
      <w:bookmarkStart w:id="225" w:name="__RefHeading___Toc189050_237004111"/>
      <w:bookmarkStart w:id="226" w:name="_Toc85"/>
      <w:bookmarkEnd w:id="225"/>
      <w:r>
        <w:rPr>
          <w:rtl w:val="true"/>
        </w:rPr>
        <w:t>کلام صاحب جواهر و بررسی آن</w:t>
      </w:r>
      <w:bookmarkEnd w:id="226"/>
    </w:p>
    <w:p>
      <w:pPr>
        <w:pStyle w:val="BookText"/>
        <w:rPr/>
      </w:pPr>
      <w:r>
        <w:rPr>
          <w:rFonts w:ascii="IRNazanin" w:hAnsi="IRNazanin" w:eastAsia="IRNazanin"/>
          <w:color w:val="111111"/>
          <w:sz w:val="28"/>
          <w:sz w:val="28"/>
          <w:szCs w:val="28"/>
          <w:rtl w:val="true"/>
          <w:lang w:bidi="fa-IR"/>
        </w:rPr>
        <w:t>صاحب جواهر ضمن نقل روایتی از ام سلمه که بروزان روایت اول است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مبنی علی استفادة الفوریة المقتضیة لثبوت التکلیف المشروط بالبلوغ، والا فسببیة الاحتلام للغسل بناء علی حصوله من الصغیر، لا ینافی عدم البلوغ حال وجود السبب، کما فی الحدث الاصغر</w:t>
      </w:r>
      <w:r>
        <w:rPr>
          <w:rFonts w:eastAsia="IRNazanin" w:cs="IRNazanin"/>
          <w:color w:val="111111"/>
          <w:sz w:val="28"/>
          <w:szCs w:val="28"/>
          <w:rtl w:val="true"/>
          <w:lang w:bidi="fa-IR"/>
        </w:rPr>
        <w:t>».</w:t>
      </w:r>
      <w:r>
        <w:rPr>
          <w:rStyle w:val="FootnoteAnchor"/>
          <w:rtl w:val="true"/>
        </w:rPr>
        <w:footnoteReference w:id="142"/>
      </w:r>
      <w:bookmarkStart w:id="227" w:name="pg6142_67364"/>
    </w:p>
    <w:p>
      <w:pPr>
        <w:pStyle w:val="BookText"/>
        <w:rPr/>
      </w:pPr>
      <w:bookmarkEnd w:id="227"/>
      <w:r>
        <w:rPr>
          <w:rFonts w:ascii="IRNazanin" w:hAnsi="IRNazanin" w:eastAsia="IRNazanin"/>
          <w:color w:val="111111"/>
          <w:sz w:val="28"/>
          <w:sz w:val="28"/>
          <w:szCs w:val="28"/>
          <w:rtl w:val="true"/>
          <w:lang w:bidi="fa-IR"/>
        </w:rPr>
        <w:t>این بیان در حقیقت اشکال به استدلال به این روایت و روایاتی نظیر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اشکال ایشان این است که استدلال به این روایت برای اثبات سببیت احتلام نسبت به ثبوت تکالیف مبتنی بر این است که از امر به غسل فوریت استفاده شود که مقتضی ثبوت تکلیف مشروط به بلوغ است والا اگر احتلام را در مورد صغیر ممکن بدانیم، سببیت احتلام برای غسل هیچ منافاتی با عدم بلوغ در حال وجود سبب غسل ندارد، همان‌گونه که در مورد حدث اصغر این‌چنین است؛ یعنی ممکن است سبب که احتلام است محقق شود ولی مسبب که غسل است الآن واجب نباشد بلکه پس از بلوغ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مقصود صاحب جواهر این است که آن‌چه از این دسته از روایات با قطع نظر از سایر روایات استفاده می‌شود این است که غسل بر محتلم واجب است ولی این‌که احتلام ملاک ثبوت تکلیف باشد قابل استفاده نیست؛ زیرا ممکن است تکلیف به ملاک دیگری ثابت شود و لو آن‌که احتلام محقق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ایشان از صغیر، غیرمکلف باشد که ظاهرا هم این‌چنین است، فی الجمله می‌توان این سخن را پذیرفت، لکن عرفاً به شخصی که حالت احتلام برای او پیش آید صغیر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قدر متیقن آن است که این روایات برای نفی ادعای کسانی که احتلام و خروج منی را در زنان و دختران انکار می‌کنند، قابل استناد است</w:t>
      </w:r>
      <w:r>
        <w:rPr>
          <w:rFonts w:eastAsia="IRNazanin" w:cs="IRNazanin"/>
          <w:color w:val="111111"/>
          <w:sz w:val="28"/>
          <w:szCs w:val="28"/>
          <w:rtl w:val="true"/>
          <w:lang w:bidi="fa-IR"/>
        </w:rPr>
        <w:t>.</w:t>
      </w:r>
    </w:p>
    <w:p>
      <w:pPr>
        <w:pStyle w:val="Heading6"/>
        <w:numPr>
          <w:ilvl w:val="5"/>
          <w:numId w:val="1"/>
        </w:numPr>
        <w:rPr/>
      </w:pPr>
      <w:bookmarkStart w:id="228" w:name="__RefHeading___Toc189052_237004111"/>
      <w:bookmarkStart w:id="229" w:name="_Toc86"/>
      <w:bookmarkEnd w:id="228"/>
      <w:r>
        <w:rPr>
          <w:rtl w:val="true"/>
        </w:rPr>
        <w:t>نتیجه</w:t>
      </w:r>
      <w:bookmarkEnd w:id="22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 ملاحظۀ این روایات که فی الجمله از حیث سند قابل</w:t>
      </w:r>
      <w:bookmarkStart w:id="230" w:name="pg6142_67365"/>
    </w:p>
    <w:p>
      <w:pPr>
        <w:pStyle w:val="BookText"/>
        <w:rPr/>
      </w:pPr>
      <w:bookmarkEnd w:id="230"/>
      <w:r>
        <w:rPr>
          <w:rFonts w:ascii="IRNazanin" w:hAnsi="IRNazanin" w:eastAsia="IRNazanin"/>
          <w:color w:val="111111"/>
          <w:sz w:val="28"/>
          <w:sz w:val="28"/>
          <w:szCs w:val="28"/>
          <w:rtl w:val="true"/>
          <w:lang w:bidi="fa-IR"/>
        </w:rPr>
        <w:t>اعتمادند، می‌توان دو مطلب را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احتلام و خروج منی همان‌گونه که در مردان واقع می‌شود، در زنان هم قابل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منی سبب ثبوت تکلیف است</w:t>
      </w:r>
      <w:r>
        <w:rPr>
          <w:rFonts w:eastAsia="IRNazanin" w:cs="IRNazanin"/>
          <w:color w:val="111111"/>
          <w:sz w:val="28"/>
          <w:szCs w:val="28"/>
          <w:rtl w:val="true"/>
          <w:lang w:bidi="fa-IR"/>
        </w:rPr>
        <w:t>.</w:t>
      </w:r>
    </w:p>
    <w:p>
      <w:pPr>
        <w:pStyle w:val="Heading5"/>
        <w:numPr>
          <w:ilvl w:val="4"/>
          <w:numId w:val="1"/>
        </w:numPr>
        <w:rPr/>
      </w:pPr>
      <w:bookmarkStart w:id="231" w:name="__RefHeading___Toc189054_237004111"/>
      <w:bookmarkStart w:id="232" w:name="_Toc87"/>
      <w:bookmarkEnd w:id="231"/>
      <w:r>
        <w:rPr>
          <w:rtl w:val="true"/>
        </w:rPr>
        <w:t>دلیل چهارم</w:t>
      </w:r>
      <w:bookmarkEnd w:id="232"/>
    </w:p>
    <w:p>
      <w:pPr>
        <w:pStyle w:val="BookText"/>
        <w:rPr/>
      </w:pPr>
      <w:r>
        <w:rPr>
          <w:rFonts w:ascii="IRNazanin" w:hAnsi="IRNazanin" w:eastAsia="IRNazanin"/>
          <w:color w:val="111111"/>
          <w:sz w:val="28"/>
          <w:sz w:val="28"/>
          <w:szCs w:val="28"/>
          <w:rtl w:val="true"/>
          <w:lang w:bidi="fa-IR"/>
        </w:rPr>
        <w:t>از یک سو تا زمانی که دلیلی بر اختصاص حکمی از احکام شرعی به صنف یا گروه خاصی وارد نشده، اصل آن است که همۀ انسان‌ها بدون در نظر گرفتن جنسیت و سایر اوصاف مشمول احکام هستند؛ یعنی در احکام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ثبوت بعضی از تکالیف به واسطۀ احتلام شامل دختران نیز می‌گردد و از آن‌جا که این تکالیف خصوصیتی ندارند، لذا می‌توان آن را به همۀ تکالیف تعمیم داد</w:t>
      </w:r>
      <w:r>
        <w:rPr>
          <w:rFonts w:eastAsia="IRNazanin" w:cs="IRNazanin"/>
          <w:color w:val="111111"/>
          <w:sz w:val="28"/>
          <w:szCs w:val="28"/>
          <w:rtl w:val="true"/>
          <w:lang w:bidi="fa-IR"/>
        </w:rPr>
        <w:t>.</w:t>
      </w:r>
    </w:p>
    <w:p>
      <w:pPr>
        <w:pStyle w:val="Heading5"/>
        <w:numPr>
          <w:ilvl w:val="4"/>
          <w:numId w:val="1"/>
        </w:numPr>
        <w:rPr/>
      </w:pPr>
      <w:bookmarkStart w:id="233" w:name="__RefHeading___Toc189056_237004111"/>
      <w:bookmarkStart w:id="234" w:name="_Toc88"/>
      <w:bookmarkEnd w:id="233"/>
      <w:r>
        <w:rPr>
          <w:rtl w:val="true"/>
        </w:rPr>
        <w:t>دلیل پنجم</w:t>
      </w:r>
      <w:bookmarkEnd w:id="234"/>
    </w:p>
    <w:p>
      <w:pPr>
        <w:pStyle w:val="BookText"/>
        <w:rPr/>
      </w:pPr>
      <w:r>
        <w:rPr>
          <w:rFonts w:ascii="IRNazanin" w:hAnsi="IRNazanin" w:eastAsia="IRNazanin"/>
          <w:color w:val="111111"/>
          <w:sz w:val="28"/>
          <w:sz w:val="28"/>
          <w:szCs w:val="28"/>
          <w:rtl w:val="true"/>
          <w:lang w:bidi="fa-IR"/>
        </w:rPr>
        <w:t>بلوغ چنان‌چه سابقاً هم اشاره شد امری تکوینی و طبیعی بوده و احتلام منبعث از این حال طبیعی است و در این جهت فرقی بین دختر و پسر نیست؛ یعنی اگر احتلام نشانۀ طبیعی بلوغ جنسی باشد و نیز تحقق احتلام در دختران را بپذیریم، دیگر فرقی بین دختر و پسر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احتلام در پسر نشانۀ طبیعی بلوغ است، در دختر هم نشانۀ طبیعی بلوغ می‌باشد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بین این دلیل و بین برخی از ادلۀ سابق الذکر تفاوت وجود دارد؛ زیرا ادلۀ مذکور در صدد اثبات ثبوت تکلیف در دختران به واسطۀ احتلام است ولی این دلیل به دنبال اثبات تحقق بلوغ جنسی</w:t>
      </w:r>
    </w:p>
    <w:p>
      <w:pPr>
        <w:pStyle w:val="BookText"/>
        <w:rPr/>
      </w:pPr>
      <w:r>
        <w:rPr>
          <w:rFonts w:ascii="IRNazanin" w:hAnsi="IRNazanin" w:eastAsia="IRNazanin"/>
          <w:color w:val="111111"/>
          <w:sz w:val="28"/>
          <w:sz w:val="28"/>
          <w:szCs w:val="28"/>
          <w:rtl w:val="true"/>
          <w:lang w:bidi="fa-IR"/>
        </w:rPr>
        <w:t>به سبب احتلام می‌باشد، هرچند بلوغ جنسی خود بر اساس برخی ادله ملازم با ثبوت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دو دلیل اخیر به نحو اجمال اشاره کرده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bookmarkStart w:id="235" w:name="pg6142_67367"/>
    </w:p>
    <w:p>
      <w:pPr>
        <w:pStyle w:val="Heading4"/>
        <w:numPr>
          <w:ilvl w:val="3"/>
          <w:numId w:val="1"/>
        </w:numPr>
        <w:rPr/>
      </w:pPr>
      <w:bookmarkStart w:id="236" w:name="__RefHeading___Toc189058_237004111"/>
      <w:bookmarkStart w:id="237" w:name="_Toc89"/>
      <w:bookmarkEnd w:id="235"/>
      <w:bookmarkEnd w:id="236"/>
      <w:r>
        <w:rPr>
          <w:rtl w:val="true"/>
        </w:rPr>
        <w:t>گفتار سوم</w:t>
      </w:r>
      <w:r>
        <w:rPr>
          <w:rtl w:val="true"/>
        </w:rPr>
        <w:t xml:space="preserve">: </w:t>
      </w:r>
      <w:r>
        <w:rPr>
          <w:rtl w:val="true"/>
        </w:rPr>
        <w:t>ادلۀ منکرین اماریت احتلام در دختران</w:t>
      </w:r>
      <w:bookmarkEnd w:id="237"/>
    </w:p>
    <w:p>
      <w:pPr>
        <w:pStyle w:val="Heading5"/>
        <w:numPr>
          <w:ilvl w:val="4"/>
          <w:numId w:val="1"/>
        </w:numPr>
        <w:rPr/>
      </w:pPr>
      <w:bookmarkStart w:id="238" w:name="__RefHeading___Toc189060_237004111"/>
      <w:bookmarkStart w:id="239" w:name="_Toc90"/>
      <w:bookmarkEnd w:id="238"/>
      <w:r>
        <w:rPr>
          <w:rtl w:val="true"/>
        </w:rPr>
        <w:t>دلیل اول</w:t>
      </w:r>
      <w:bookmarkEnd w:id="239"/>
    </w:p>
    <w:p>
      <w:pPr>
        <w:pStyle w:val="Heading6"/>
        <w:numPr>
          <w:ilvl w:val="5"/>
          <w:numId w:val="1"/>
        </w:numPr>
        <w:rPr/>
      </w:pPr>
      <w:bookmarkStart w:id="240" w:name="__RefHeading___Toc189062_237004111"/>
      <w:bookmarkStart w:id="241" w:name="_Toc91"/>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خروج منی از دختران نشانۀ بلوغ آن‌ها نیست؛ چون این امر در زنان نادر است و لذا نمی‌توان آن را اماره بلوغ در دختران دانست</w:t>
      </w:r>
      <w:r>
        <w:rPr>
          <w:rFonts w:eastAsia="IRNazanin" w:cs="IRNazanin"/>
          <w:color w:val="111111"/>
          <w:sz w:val="28"/>
          <w:szCs w:val="28"/>
          <w:rtl w:val="true"/>
          <w:lang w:bidi="fa-IR"/>
        </w:rPr>
        <w:t>.</w:t>
      </w:r>
    </w:p>
    <w:p>
      <w:pPr>
        <w:pStyle w:val="Heading6"/>
        <w:numPr>
          <w:ilvl w:val="5"/>
          <w:numId w:val="1"/>
        </w:numPr>
        <w:rPr/>
      </w:pPr>
      <w:bookmarkStart w:id="242" w:name="__RefHeading___Toc189064_237004111"/>
      <w:bookmarkStart w:id="243" w:name="_Toc92"/>
      <w:bookmarkEnd w:id="242"/>
      <w:r>
        <w:rPr>
          <w:rtl w:val="true"/>
        </w:rPr>
        <w:t>بررسی دلیل اول</w:t>
      </w:r>
      <w:bookmarkEnd w:id="243"/>
    </w:p>
    <w:p>
      <w:pPr>
        <w:pStyle w:val="BookText"/>
        <w:rPr/>
      </w:pPr>
      <w:r>
        <w:rPr>
          <w:rFonts w:ascii="IRNazanin" w:hAnsi="IRNazanin" w:eastAsia="IRNazanin"/>
          <w:color w:val="111111"/>
          <w:sz w:val="28"/>
          <w:sz w:val="28"/>
          <w:szCs w:val="28"/>
          <w:rtl w:val="true"/>
          <w:lang w:bidi="fa-IR"/>
        </w:rPr>
        <w:t>این دلیل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ندرت در کلام مستدل، ندرت در تحقق باشد این باطل است؛ چون احتلام در زنان امر نادری نیست و تجربه و عادت برخلاف آن است و اگر مقصود ندرت مقارن بودن آن با بلوغ باشد این هم محل کلام است؛ چون ممکن است قلیل باشد ولی نادر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عمومات کتاب و سنت و عمومیت معقد اجماع این ادعا مردود است و همان‌طور که شهید ثانی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bookmarkStart w:id="244" w:name="pg6142_67368"/>
    </w:p>
    <w:p>
      <w:pPr>
        <w:pStyle w:val="BookText"/>
        <w:rPr/>
      </w:pPr>
      <w:bookmarkEnd w:id="244"/>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مسالک الافهام،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 امر وهمی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صاحب جواهر به اختلاف نظر دو گروه از حکما و اطبا در این باره اشاره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ارسطو و پیروانش قائل‌اند که زن منی ندارد بلکه آن چیزی که از زن خارج می‌شود، رطوبتی شبیه منی است که اگر منی مرد با آن مخلوط گردد بچه از آن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از جمله جالینوس و اکثر اطبا قائل‌اند که زن همانند مرد دارای منی است ولی منی مرد قوی تر از منی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ضمن تأکید بر لفظی بودن این نزاع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بر این‌که بچه از مجموع هر دو رطوبت تشکیل می‌شود اتفاق دارند و ملاک در نامگذاری هم عرف و لغة است و در عرف و لغت به رطوبت زن منی گفته می‌شود و همین مقدار برای ثبوت حکم شرعی کافی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45" w:name="__RefHeading___Toc189066_237004111"/>
      <w:bookmarkStart w:id="246" w:name="_Toc93"/>
      <w:bookmarkEnd w:id="245"/>
      <w:r>
        <w:rPr>
          <w:rtl w:val="true"/>
        </w:rPr>
        <w:t>دلیل دوم</w:t>
      </w:r>
      <w:bookmarkEnd w:id="246"/>
    </w:p>
    <w:p>
      <w:pPr>
        <w:pStyle w:val="Heading6"/>
        <w:numPr>
          <w:ilvl w:val="5"/>
          <w:numId w:val="1"/>
        </w:numPr>
        <w:rPr/>
      </w:pPr>
      <w:bookmarkStart w:id="247" w:name="__RefHeading___Toc189068_237004111"/>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روایاتی که احتلام و خروج منی را مبدأ توجه خطاب و تکالیف قرار داده‌اند، مختص پسران بوده و لذا نمی‌توان آن را شامل دختران دانست</w:t>
      </w:r>
      <w:r>
        <w:rPr>
          <w:rFonts w:eastAsia="IRNazanin" w:cs="IRNazanin"/>
          <w:color w:val="111111"/>
          <w:sz w:val="28"/>
          <w:szCs w:val="28"/>
          <w:rtl w:val="true"/>
          <w:lang w:bidi="fa-IR"/>
        </w:rPr>
        <w:t>.</w:t>
      </w:r>
    </w:p>
    <w:p>
      <w:pPr>
        <w:pStyle w:val="Heading6"/>
        <w:numPr>
          <w:ilvl w:val="5"/>
          <w:numId w:val="1"/>
        </w:numPr>
        <w:rPr/>
      </w:pPr>
      <w:bookmarkStart w:id="249" w:name="__RefHeading___Toc189070_237004111"/>
      <w:bookmarkStart w:id="250" w:name="_Toc95"/>
      <w:bookmarkEnd w:id="249"/>
      <w:r>
        <w:rPr>
          <w:rtl w:val="true"/>
        </w:rPr>
        <w:t>بررسی دلیل دوم</w:t>
      </w:r>
      <w:bookmarkEnd w:id="25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نیز ناتمام است؛ چون اگرچه در بعضی از روایات خروج منی در مورد پسران وارد شده، لکن اطلاق بسیاری از روایات شامل دختران هم می‌شود، چنان‌چه سابقاً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روایات نیز</w:t>
      </w:r>
      <w:bookmarkStart w:id="251" w:name="pg6142_67369"/>
    </w:p>
    <w:p>
      <w:pPr>
        <w:pStyle w:val="BookText"/>
        <w:rPr/>
      </w:pPr>
      <w:bookmarkEnd w:id="251"/>
      <w:r>
        <w:rPr>
          <w:rFonts w:ascii="IRNazanin" w:hAnsi="IRNazanin" w:eastAsia="IRNazanin"/>
          <w:color w:val="111111"/>
          <w:sz w:val="28"/>
          <w:sz w:val="28"/>
          <w:szCs w:val="28"/>
          <w:rtl w:val="true"/>
          <w:lang w:bidi="fa-IR"/>
        </w:rPr>
        <w:t>مختص به دختران است، هرچند در مورد قسم اخیر اشکالی مطرح شد</w:t>
      </w:r>
      <w:r>
        <w:rPr>
          <w:rFonts w:eastAsia="IRNazanin" w:cs="IRNazanin"/>
          <w:color w:val="111111"/>
          <w:sz w:val="28"/>
          <w:szCs w:val="28"/>
          <w:rtl w:val="true"/>
          <w:lang w:bidi="fa-IR"/>
        </w:rPr>
        <w:t>.</w:t>
      </w:r>
    </w:p>
    <w:p>
      <w:pPr>
        <w:pStyle w:val="Heading5"/>
        <w:numPr>
          <w:ilvl w:val="4"/>
          <w:numId w:val="1"/>
        </w:numPr>
        <w:rPr/>
      </w:pPr>
      <w:bookmarkStart w:id="252" w:name="__RefHeading___Toc189072_237004111"/>
      <w:bookmarkStart w:id="253" w:name="_Toc96"/>
      <w:bookmarkEnd w:id="252"/>
      <w:r>
        <w:rPr>
          <w:rtl w:val="true"/>
        </w:rPr>
        <w:t>دلیل سوم</w:t>
      </w:r>
      <w:bookmarkEnd w:id="253"/>
    </w:p>
    <w:p>
      <w:pPr>
        <w:pStyle w:val="Heading6"/>
        <w:numPr>
          <w:ilvl w:val="5"/>
          <w:numId w:val="1"/>
        </w:numPr>
        <w:rPr/>
      </w:pPr>
      <w:bookmarkStart w:id="254" w:name="__RefHeading___Toc189074_237004111"/>
      <w:bookmarkStart w:id="255" w:name="_Toc97"/>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برخی از بزرگان مانند شیخ طوسی، ابن حمزه و ابن ادریس در مورد انبات تصریح به اشترک کرده‌اند ولی در این مورد سخنی از اشتراک به میان نیاورده‌اند</w:t>
      </w:r>
      <w:r>
        <w:rPr>
          <w:rFonts w:eastAsia="IRNazanin" w:cs="IRNazanin"/>
          <w:color w:val="111111"/>
          <w:sz w:val="28"/>
          <w:szCs w:val="28"/>
          <w:rtl w:val="true"/>
          <w:lang w:bidi="fa-IR"/>
        </w:rPr>
        <w:t>.</w:t>
      </w:r>
    </w:p>
    <w:p>
      <w:pPr>
        <w:pStyle w:val="Heading6"/>
        <w:numPr>
          <w:ilvl w:val="5"/>
          <w:numId w:val="1"/>
        </w:numPr>
        <w:rPr/>
      </w:pPr>
      <w:bookmarkStart w:id="256" w:name="__RefHeading___Toc189076_237004111"/>
      <w:bookmarkStart w:id="257" w:name="_Toc98"/>
      <w:bookmarkEnd w:id="256"/>
      <w:r>
        <w:rPr>
          <w:rtl w:val="true"/>
        </w:rPr>
        <w:t>بررسی دلیل سوم</w:t>
      </w:r>
      <w:bookmarkEnd w:id="257"/>
    </w:p>
    <w:p>
      <w:pPr>
        <w:pStyle w:val="BookText"/>
        <w:rPr/>
      </w:pPr>
      <w:r>
        <w:rPr>
          <w:rFonts w:ascii="IRNazanin" w:hAnsi="IRNazanin" w:eastAsia="IRNazanin"/>
          <w:color w:val="111111"/>
          <w:sz w:val="28"/>
          <w:sz w:val="28"/>
          <w:szCs w:val="28"/>
          <w:rtl w:val="true"/>
          <w:lang w:bidi="fa-IR"/>
        </w:rPr>
        <w:t>این مطلب در حقیقت نمی‌تواند به عنوان دلیلِ بر عدم اشتراک قلمداد شود بلکه صرفاً اعتراضی بر اجماعِ مورد ادعای قائلین به اشتراک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اجماع قطعی بر اشتراک وجود دارد و عدم تصریح این گروه دلیلی بر مخالفت آن‌ها با اشتراک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ترک تصریح در این مقام به جهت وضوح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برخی مانند شیخ طوسی در بعضی از کتب خود تصریح به اشتراک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فثلاثة المشترکة فهی السن وخروج المنی والانبات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5"/>
        <w:numPr>
          <w:ilvl w:val="4"/>
          <w:numId w:val="1"/>
        </w:numPr>
        <w:rPr/>
      </w:pPr>
      <w:bookmarkStart w:id="258" w:name="__RefHeading___Toc189078_237004111"/>
      <w:bookmarkStart w:id="259" w:name="_Toc99"/>
      <w:bookmarkEnd w:id="258"/>
      <w:r>
        <w:rPr>
          <w:rtl w:val="true"/>
        </w:rPr>
        <w:t>دلیل چهارم</w:t>
      </w:r>
      <w:bookmarkEnd w:id="259"/>
    </w:p>
    <w:p>
      <w:pPr>
        <w:pStyle w:val="Heading6"/>
        <w:numPr>
          <w:ilvl w:val="5"/>
          <w:numId w:val="1"/>
        </w:numPr>
        <w:rPr/>
      </w:pPr>
      <w:bookmarkStart w:id="260" w:name="__RefHeading___Toc189080_237004111"/>
      <w:bookmarkStart w:id="261" w:name="_Toc100"/>
      <w:bookmarkEnd w:id="260"/>
      <w:r>
        <w:rPr>
          <w:rtl w:val="true"/>
        </w:rPr>
        <w:t>اشاره</w:t>
      </w:r>
      <w:bookmarkEnd w:id="2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دلالت می‌کنند بر این‌که در صورت احتلام و انزال در زن بر او غسل واجب نیست؛ یعنی اگر در زن انزال صورت بگیرد بدون این‌که با مردی آمیزش کرده باشد و دخول محقق شود، چه در خواب و چه در بیداری، تکلیف به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احتلام و انزال مبدأ ثبوت تکلیف نیست؛ چون اگر این‌چنین بود</w:t>
      </w:r>
      <w:bookmarkStart w:id="262" w:name="pg6142_67370"/>
    </w:p>
    <w:p>
      <w:pPr>
        <w:pStyle w:val="BookText"/>
        <w:rPr/>
      </w:pPr>
      <w:bookmarkEnd w:id="262"/>
      <w:r>
        <w:rPr>
          <w:rFonts w:ascii="IRNazanin" w:hAnsi="IRNazanin" w:eastAsia="IRNazanin"/>
          <w:color w:val="111111"/>
          <w:sz w:val="28"/>
          <w:sz w:val="28"/>
          <w:szCs w:val="28"/>
          <w:rtl w:val="true"/>
          <w:lang w:bidi="fa-IR"/>
        </w:rPr>
        <w:t>می‌بایست غسل بر او واجب می‌شد؛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الحسین بن سعید، عن ابن ابی عمیر، عن عمر بن اذینه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المرئة تحتلم فی المنام، فتهریق الماء الاعظم،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الجنابة،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زنی که در خواب محتلم شده و در او انزال صورت می‌گیرد،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غسل واجب نیست</w:t>
      </w:r>
      <w:r>
        <w:rPr>
          <w:rFonts w:eastAsia="IRNazanin" w:cs="IRNazanin"/>
          <w:color w:val="111111"/>
          <w:sz w:val="28"/>
          <w:szCs w:val="28"/>
          <w:rtl w:val="true"/>
          <w:lang w:bidi="fa-IR"/>
        </w:rPr>
        <w:t>».</w:t>
      </w:r>
    </w:p>
    <w:p>
      <w:pPr>
        <w:pStyle w:val="Heading6"/>
        <w:numPr>
          <w:ilvl w:val="5"/>
          <w:numId w:val="1"/>
        </w:numPr>
        <w:rPr/>
      </w:pPr>
      <w:bookmarkStart w:id="263" w:name="__RefHeading___Toc189082_237004111"/>
      <w:bookmarkStart w:id="264" w:name="_Toc101"/>
      <w:bookmarkEnd w:id="263"/>
      <w:r>
        <w:rPr>
          <w:rtl w:val="true"/>
        </w:rPr>
        <w:t>بررسی دلیل چهارم</w:t>
      </w:r>
      <w:bookmarkEnd w:id="264"/>
    </w:p>
    <w:p>
      <w:pPr>
        <w:pStyle w:val="BookText"/>
        <w:rPr/>
      </w:pPr>
      <w:r>
        <w:rPr>
          <w:rFonts w:ascii="IRNazanin" w:hAnsi="IRNazanin" w:eastAsia="IRNazanin"/>
          <w:color w:val="111111"/>
          <w:sz w:val="28"/>
          <w:sz w:val="28"/>
          <w:szCs w:val="28"/>
          <w:rtl w:val="true"/>
          <w:lang w:bidi="fa-IR"/>
        </w:rPr>
        <w:t>این دلیل در واقع همان روایات معارض با روایات دال بر اشتراک است ولی به نظر می‌رسد این روایات، معارض با روایات دال بر وجوب غسل در صورت انزال زن نیست؛ چون این دسته از روایات قابل حمل بر وجوهی است که بر اساس آن تعارض برطرف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حمل بر موردی می‌شوند که زن در خواب دیده که انزال صورت گرفته ولی وقتی بیدار شده معلوم گردیده که در واقع انزال صورت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حمل بر صورتی می‌شوند که زن احساس کرده منی از محل خود حرکت کرده ولی این‌چنین نبوده و منی از محل خود حرکت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حمل بر تقیه می‌شوند؛ چون موافق با رأی بعضی از</w:t>
      </w:r>
      <w:bookmarkStart w:id="265" w:name="pg6142_67371"/>
    </w:p>
    <w:p>
      <w:pPr>
        <w:pStyle w:val="BookText"/>
        <w:rPr/>
      </w:pPr>
      <w:bookmarkEnd w:id="265"/>
      <w:r>
        <w:rPr>
          <w:rFonts w:ascii="IRNazanin" w:hAnsi="IRNazanin" w:eastAsia="IRNazanin"/>
          <w:color w:val="111111"/>
          <w:sz w:val="28"/>
          <w:sz w:val="28"/>
          <w:szCs w:val="28"/>
          <w:rtl w:val="true"/>
          <w:lang w:bidi="fa-IR"/>
        </w:rPr>
        <w:t>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از این روایات مشکل سندی دارند</w:t>
      </w:r>
      <w:r>
        <w:rPr>
          <w:rFonts w:eastAsia="IRNazanin" w:cs="IRNazanin"/>
          <w:color w:val="111111"/>
          <w:sz w:val="28"/>
          <w:szCs w:val="28"/>
          <w:rtl w:val="true"/>
          <w:lang w:bidi="fa-IR"/>
        </w:rPr>
        <w:t>.</w:t>
      </w:r>
    </w:p>
    <w:p>
      <w:pPr>
        <w:pStyle w:val="Heading5"/>
        <w:numPr>
          <w:ilvl w:val="4"/>
          <w:numId w:val="1"/>
        </w:numPr>
        <w:rPr/>
      </w:pPr>
      <w:bookmarkStart w:id="266" w:name="__RefHeading___Toc189084_237004111"/>
      <w:bookmarkStart w:id="267" w:name="_Toc102"/>
      <w:bookmarkEnd w:id="266"/>
      <w:r>
        <w:rPr>
          <w:rtl w:val="true"/>
        </w:rPr>
        <w:t>دلیل پنجم</w:t>
      </w:r>
      <w:bookmarkEnd w:id="267"/>
    </w:p>
    <w:p>
      <w:pPr>
        <w:pStyle w:val="Heading6"/>
        <w:numPr>
          <w:ilvl w:val="5"/>
          <w:numId w:val="1"/>
        </w:numPr>
        <w:rPr/>
      </w:pPr>
      <w:bookmarkStart w:id="268" w:name="__RefHeading___Toc189086_237004111"/>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در برخی از روایات احتلام به عنوان مبدأ ثبوت تکلیف در پسران و حیض به عنوان مبدأ ثبوت تکلیف در دختران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مقابله بین حیض و احتلام معلوم می‌شود احتلام دلیل ثبوت تکلیف در دختران نیست بلکه فقط حیض ملاک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عمار ساباطی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الصلوة،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 علیه ثلاث عشرة سنة فان احتلم قبل ذلک فقد وجبت علیه الصلوة وجری علیه القلم، والجاریة مثل ذلک ان اتی لها ثلاث عشرة سنة او حاضت قبل ذلک فقد وجبت علیها الصلوة وجری علیه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پسربچه سؤال کردم که چه زمانی نماز بر او واجب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سیزده سالگی برسد ولی اگر قبل از آن محتلم شود نماز بر او واجب و قلم تکلیف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دختربچه نیز زمانی که به سیزده سالگی برسد یا قبل از آن حیض شود، نماز بر او واجب و قلم تکلیف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بلوغ در پسران با رسیدن به سیزده سالگی یا احتلام و در دختران با رسیدن به سیزده سالگی یا حیض قبل از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مقابله بین این دو معلوم می‌شود حیض 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12</w:t>
      </w:r>
      <w:r>
        <w:rPr>
          <w:rFonts w:eastAsia="IRNazanin" w:cs="IRNazanin"/>
          <w:color w:val="111111"/>
          <w:sz w:val="28"/>
          <w:szCs w:val="28"/>
          <w:rtl w:val="true"/>
          <w:lang w:bidi="fa-IR"/>
        </w:rPr>
        <w:t>.</w:t>
      </w:r>
      <w:bookmarkStart w:id="270" w:name="pg6142_67372"/>
    </w:p>
    <w:p>
      <w:pPr>
        <w:pStyle w:val="BookText"/>
        <w:rPr/>
      </w:pPr>
      <w:bookmarkEnd w:id="270"/>
      <w:r>
        <w:rPr>
          <w:rFonts w:ascii="IRNazanin" w:hAnsi="IRNazanin" w:eastAsia="IRNazanin"/>
          <w:color w:val="111111"/>
          <w:sz w:val="28"/>
          <w:sz w:val="28"/>
          <w:szCs w:val="28"/>
          <w:rtl w:val="true"/>
          <w:lang w:bidi="fa-IR"/>
        </w:rPr>
        <w:t>دختران مانند احتلام در پسران است و اگر احتلام در مورد دختران ملاک بود امام علیه السلام متعرض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می‌گردد احتلام، مبدأ ثبوت تکلیف در دختران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اصحاب از این روایت اعراض کرده‌اند و لذا معتبر نیست ولی پاسخ این است که استشهاد به این روایت برای اثبات مدعا هیچ منافاتی با اعراض اصحاب ندارد؛ چون آن‌چه اصحاب از آن روی گردان شده‌اند، حکم به ثبوت تکلیف بر دختران و پسران در سیزده سالگی است ولی حکم به جریان قلم تکلیف در پسران به جهت احتلام و در دختران به جهت حیض معرض عنه نیست و بر اساس صحت تبعّض در حجیت می‌توان به آن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ابی عبدالله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الصبی اذا احتلم الصیام وعلی الجاریة إذا حاضت الصیام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پسربچه زمانی که محتلم شود روزه واجب است و بر دختربچه زمانی که حیض شود روزه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علی الصبی اذا احتلم الصیام وعلی المرئة إذا حاضت الصیام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خبر دیگری از شیخ صدوق نیز همین مضمون وارد شده است</w:t>
      </w:r>
      <w:r>
        <w:rPr>
          <w:rFonts w:eastAsia="IRNazanin" w:cs="IRNazanin"/>
          <w:color w:val="111111"/>
          <w:sz w:val="28"/>
          <w:szCs w:val="28"/>
          <w:rtl w:val="true"/>
          <w:lang w:bidi="fa-IR"/>
        </w:rPr>
        <w:t>.</w:t>
      </w:r>
    </w:p>
    <w:p>
      <w:pPr>
        <w:pStyle w:val="Heading6"/>
        <w:numPr>
          <w:ilvl w:val="5"/>
          <w:numId w:val="1"/>
        </w:numPr>
        <w:rPr/>
      </w:pPr>
      <w:bookmarkStart w:id="271" w:name="__RefHeading___Toc189088_237004111"/>
      <w:bookmarkStart w:id="272" w:name="_Toc104"/>
      <w:bookmarkEnd w:id="271"/>
      <w:r>
        <w:rPr>
          <w:rtl w:val="true"/>
        </w:rPr>
        <w:t>بررسی دلیل پنجم</w:t>
      </w:r>
      <w:bookmarkEnd w:id="272"/>
    </w:p>
    <w:p>
      <w:pPr>
        <w:pStyle w:val="BookText"/>
        <w:rPr/>
      </w:pPr>
      <w:r>
        <w:rPr>
          <w:rFonts w:ascii="IRNazanin" w:hAnsi="IRNazanin" w:eastAsia="IRNazanin"/>
          <w:color w:val="111111"/>
          <w:sz w:val="28"/>
          <w:sz w:val="28"/>
          <w:szCs w:val="28"/>
          <w:rtl w:val="true"/>
          <w:lang w:bidi="fa-IR"/>
        </w:rPr>
        <w:t>روایت ابوبصیر و مرسله صدوق از حیث سند ضعیف‌اند؛ چون در سلسله سند روایت ابوبصیر، علی بن ابی حمزه بطائنی واقع شده که</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12</w:t>
      </w:r>
      <w:r>
        <w:rPr>
          <w:rFonts w:eastAsia="IRNazanin" w:cs="IRNazanin"/>
          <w:color w:val="111111"/>
          <w:sz w:val="28"/>
          <w:szCs w:val="28"/>
          <w:rtl w:val="true"/>
          <w:lang w:bidi="fa-IR"/>
        </w:rPr>
        <w:t>.</w:t>
      </w:r>
      <w:bookmarkStart w:id="273" w:name="pg6142_67373"/>
    </w:p>
    <w:p>
      <w:pPr>
        <w:pStyle w:val="BookText"/>
        <w:rPr/>
      </w:pPr>
      <w:bookmarkEnd w:id="273"/>
      <w:r>
        <w:rPr>
          <w:rFonts w:ascii="IRNazanin" w:hAnsi="IRNazanin" w:eastAsia="IRNazanin"/>
          <w:color w:val="111111"/>
          <w:sz w:val="28"/>
          <w:sz w:val="28"/>
          <w:szCs w:val="28"/>
          <w:rtl w:val="true"/>
          <w:lang w:bidi="fa-IR"/>
        </w:rPr>
        <w:t>ضعیف و مذهبش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 هم از جمله مرسلاتی نیست که مانند مسانید او باشد؛ چون خودش به امام علیه السلام نسبت نداده و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کرده و لذا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موثقۀ عمار از حیث سند معتبر بوده ولی حمل بر غالب می‌شود؛ بدین معنا که چون غالباً احتلام در پسران اتفاق می‌افتد، لذا حضرت به نشانه‌های غالبی اشاره کرده و این به معنای نفی تحقق احتلام در دختران نیست، هرچند وقوع آن در دختران کمتر از پسران است</w:t>
      </w:r>
      <w:r>
        <w:rPr>
          <w:rFonts w:eastAsia="IRNazanin" w:cs="IRNazanin"/>
          <w:color w:val="111111"/>
          <w:sz w:val="28"/>
          <w:szCs w:val="28"/>
          <w:rtl w:val="true"/>
          <w:lang w:bidi="fa-IR"/>
        </w:rPr>
        <w:t>.</w:t>
      </w:r>
    </w:p>
    <w:p>
      <w:pPr>
        <w:pStyle w:val="Heading5"/>
        <w:numPr>
          <w:ilvl w:val="4"/>
          <w:numId w:val="1"/>
        </w:numPr>
        <w:rPr/>
      </w:pPr>
      <w:bookmarkStart w:id="274" w:name="__RefHeading___Toc189090_237004111"/>
      <w:bookmarkStart w:id="275" w:name="_Toc105"/>
      <w:bookmarkEnd w:id="274"/>
      <w:r>
        <w:rPr>
          <w:rtl w:val="true"/>
        </w:rPr>
        <w:t>نتیجه</w:t>
      </w:r>
      <w:bookmarkEnd w:id="275"/>
    </w:p>
    <w:p>
      <w:pPr>
        <w:pStyle w:val="BookText"/>
        <w:rPr/>
      </w:pPr>
      <w:r>
        <w:rPr>
          <w:rFonts w:ascii="IRNazanin" w:hAnsi="IRNazanin" w:eastAsia="IRNazanin"/>
          <w:color w:val="111111"/>
          <w:sz w:val="28"/>
          <w:sz w:val="28"/>
          <w:szCs w:val="28"/>
          <w:rtl w:val="true"/>
          <w:lang w:bidi="fa-IR"/>
        </w:rPr>
        <w:t>با توجه به بررسی‌های به عمل آمده معلوم گردید خروج منی به عنوان مبدأ ثبوت تکلیف در دختران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مطلبی که باقی می‌ماند بررسی روایات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روایات احتلام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احتلام را به عنوان مبدأ ثبوت تکلیف در پسران و دختران معرفی کرده و روایاتی که احتلام را بخصوص برای دختران، مبدأ ثبوت تکلیف قرار داده‌اند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روایات مربوط به سن و دسته اول تعارضی نیست، لکن باید مسئلۀ تعارض بین روایات سن و دسته دوم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در آینده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واضح است بین روایاتی که متعرض احتلام شده‌اند و روایاتی که مبین سایر امور می‌باشند، تعارضی نیست؛ چون از این روایات انحصار ثبوت تکلیف به واسطۀ احتلام در دختران استفاده نمی‌شود</w:t>
      </w:r>
      <w:r>
        <w:rPr>
          <w:rFonts w:eastAsia="IRNazanin" w:cs="IRNazanin"/>
          <w:color w:val="111111"/>
          <w:sz w:val="28"/>
          <w:szCs w:val="28"/>
          <w:rtl w:val="true"/>
          <w:lang w:bidi="fa-IR"/>
        </w:rPr>
        <w:t>.</w:t>
      </w:r>
      <w:bookmarkStart w:id="276" w:name="pg6142_67374"/>
    </w:p>
    <w:p>
      <w:pPr>
        <w:pStyle w:val="Heading4"/>
        <w:numPr>
          <w:ilvl w:val="3"/>
          <w:numId w:val="1"/>
        </w:numPr>
        <w:rPr/>
      </w:pPr>
      <w:bookmarkStart w:id="277" w:name="__RefHeading___Toc189092_237004111"/>
      <w:bookmarkStart w:id="278" w:name="_Toc106"/>
      <w:bookmarkEnd w:id="276"/>
      <w:bookmarkEnd w:id="277"/>
      <w:r>
        <w:rPr>
          <w:rtl w:val="true"/>
        </w:rPr>
        <w:t>گفتار چهارم</w:t>
      </w:r>
      <w:r>
        <w:rPr>
          <w:rtl w:val="true"/>
        </w:rPr>
        <w:t xml:space="preserve">: </w:t>
      </w:r>
      <w:r>
        <w:rPr>
          <w:rtl w:val="true"/>
        </w:rPr>
        <w:t>خصوصیات و شرایط اماریت خروج منی</w:t>
      </w:r>
      <w:bookmarkEnd w:id="278"/>
    </w:p>
    <w:p>
      <w:pPr>
        <w:pStyle w:val="Heading5"/>
        <w:numPr>
          <w:ilvl w:val="4"/>
          <w:numId w:val="1"/>
        </w:numPr>
        <w:rPr/>
      </w:pPr>
      <w:bookmarkStart w:id="279" w:name="__RefHeading___Toc189094_237004111"/>
      <w:bookmarkStart w:id="280" w:name="_Toc10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پس از آن‌که معلوم گردید خروج منی یکی از اموری است که به واسطۀ آن تکلیف بر دختران ثابت می‌شود، نوبت به این بحث می‌رسد که در چه صورتی و با چه خصوصیاتی این امر به عنوان مبدأ ثبوت تکلیف قلمداد می‌شود؟ در مورد این خصوصیات و شرایط اختلافاتی واقع شده که به طور جداگانه مورد بررسی قرار می‌گیرند</w:t>
      </w:r>
      <w:r>
        <w:rPr>
          <w:rFonts w:eastAsia="IRNazanin" w:cs="IRNazanin"/>
          <w:color w:val="111111"/>
          <w:sz w:val="28"/>
          <w:szCs w:val="28"/>
          <w:rtl w:val="true"/>
          <w:lang w:bidi="fa-IR"/>
        </w:rPr>
        <w:t>.</w:t>
      </w:r>
    </w:p>
    <w:p>
      <w:pPr>
        <w:pStyle w:val="Heading5"/>
        <w:numPr>
          <w:ilvl w:val="4"/>
          <w:numId w:val="1"/>
        </w:numPr>
        <w:rPr/>
      </w:pPr>
      <w:bookmarkStart w:id="281" w:name="__RefHeading___Toc189096_237004111"/>
      <w:bookmarkStart w:id="282" w:name="_Toc108"/>
      <w:bookmarkEnd w:id="281"/>
      <w:r>
        <w:rPr/>
        <w:t>1</w:t>
      </w:r>
      <w:r>
        <w:rPr>
          <w:rtl w:val="true"/>
        </w:rPr>
        <w:t xml:space="preserve">. </w:t>
      </w:r>
      <w:r>
        <w:rPr>
          <w:rtl w:val="true"/>
        </w:rPr>
        <w:t>خروج منی در وقت امکان</w:t>
      </w:r>
      <w:bookmarkEnd w:id="2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شرایطی که در منی معتبر دانسته شده خروج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برخی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اگر رطوبتی با همۀ اوصاف و خصوصیات منی در زمانی که امکان خروج منی نیست، خارج شود، نمی‌توان آن را به عنوان مبدأ ثبوت تکلیف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زمان را در مورد پسران ده سالگی و عموماً در مورد دختران نه سالگی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مراد از امکان هم امکان بالقیاس است نه امکان ذاتی و وقوعی؛ یعنی چنان‌چه رطوبتی با ویژگی‌های لازم و در زمان خاصی که بالقیاس به سایر شرایط از ادله و روایات دیگر استفاده می‌شود خارج شود، حکم به منی بودن آن رطوبت و و ثبوت تکلیف به واسطۀ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احتلام و خروج منی را سبب ثبوت تکالیف قرار داده دلیل بر این مدعا است؛ زیرا این ادله مطلق نبوده بلکه مقید به موردی است که امتناعش ثابت نشده باشد؛ یعنی اگر به دلیل دیگری امتناع تحقق بلوغ و احتلام در فرض خاصی ثابت شود، بدیهی است دیگر خروج منی و احتلام نمی‌تواند مبدأ ثبوت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احتلام و خروج منی یک امر واقعی است که وقتی انسان در موقعیت خاصی قرار گیرد، محقق می‌شود و بر همین اساس هیچ منعی از تحقق آن قبل از نه سالگی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چنین احتمالی هرچند ثبوتاً ممکن است ولی از آن‌جا که بر طبق بعضی روایات، ثبوت تکلیف قبل از نه سالگی نفی شده، لذا تعبداً حکم به عدم منی بودن رطوبتی می‌شود که از شخص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این‌که وقت امکان در مورد دختران نه سالگی قرار داده شده، روایاتی است که اقدام به تحدید سن دختران برای ثبوت تکالیف نموده و ما در آینده به تفصیل در مورد آن سخن خواهیم 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مطلبی که باقی می‌ماند این است که اگر احتلام مشروط به رسیدن دختر به سن نه سالگی است، آن‌گاه چگونه احتلام در فرض</w:t>
      </w:r>
      <w:bookmarkStart w:id="283" w:name="pg6142_67376"/>
    </w:p>
    <w:p>
      <w:pPr>
        <w:pStyle w:val="BookText"/>
        <w:rPr/>
      </w:pPr>
      <w:bookmarkEnd w:id="283"/>
      <w:r>
        <w:rPr>
          <w:rFonts w:ascii="IRNazanin" w:hAnsi="IRNazanin" w:eastAsia="IRNazanin"/>
          <w:color w:val="111111"/>
          <w:sz w:val="28"/>
          <w:sz w:val="28"/>
          <w:szCs w:val="28"/>
          <w:rtl w:val="true"/>
          <w:lang w:bidi="fa-IR"/>
        </w:rPr>
        <w:t>شک در سن دختر کشف از بلوغ می‌کند؟ این اشکال تفصیلاً در جای خود مورد بررسی قرار خواهد گرفت</w:t>
      </w:r>
      <w:r>
        <w:rPr>
          <w:rFonts w:eastAsia="IRNazanin" w:cs="IRNazanin"/>
          <w:color w:val="111111"/>
          <w:sz w:val="28"/>
          <w:szCs w:val="28"/>
          <w:rtl w:val="true"/>
          <w:lang w:bidi="fa-IR"/>
        </w:rPr>
        <w:t>.</w:t>
      </w:r>
    </w:p>
    <w:p>
      <w:pPr>
        <w:pStyle w:val="Heading5"/>
        <w:numPr>
          <w:ilvl w:val="4"/>
          <w:numId w:val="1"/>
        </w:numPr>
        <w:rPr/>
      </w:pPr>
      <w:bookmarkStart w:id="284" w:name="__RefHeading___Toc189098_237004111"/>
      <w:bookmarkStart w:id="285" w:name="_Toc109"/>
      <w:bookmarkEnd w:id="284"/>
      <w:r>
        <w:rPr/>
        <w:t>2</w:t>
      </w:r>
      <w:r>
        <w:rPr>
          <w:rtl w:val="true"/>
        </w:rPr>
        <w:t xml:space="preserve">. </w:t>
      </w:r>
      <w:r>
        <w:rPr>
          <w:rtl w:val="true"/>
        </w:rPr>
        <w:t>فعلیت خروج منی</w:t>
      </w:r>
      <w:bookmarkEnd w:id="285"/>
    </w:p>
    <w:p>
      <w:pPr>
        <w:pStyle w:val="BookText"/>
        <w:rPr/>
      </w:pPr>
      <w:r>
        <w:rPr>
          <w:rFonts w:ascii="IRNazanin" w:hAnsi="IRNazanin" w:eastAsia="IRNazanin"/>
          <w:color w:val="111111"/>
          <w:sz w:val="28"/>
          <w:sz w:val="28"/>
          <w:szCs w:val="28"/>
          <w:rtl w:val="true"/>
          <w:lang w:bidi="fa-IR"/>
        </w:rPr>
        <w:t>خصوصیت دیگری که مورد بحث واقع شده این است که ثبوت تکلیف به واسطۀ خروج منی منوط به فعلیت آن است یا استعداد آن؟ البته این مسئله در کتب فقهی به بیان‌های مختلف مطرح شده؛ از جمله آن‌که آیا در مورد این علامت انفصال حسی معتبر است یا خیر و یا این‌که صرف حرکت منی از محل خود کفایت می‌کند یا الزاماً باید منتهی به خروج از فرج و ذکر شود؟</w:t>
      </w:r>
    </w:p>
    <w:p>
      <w:pPr>
        <w:pStyle w:val="BookText"/>
        <w:rPr/>
      </w:pPr>
      <w:r>
        <w:rPr>
          <w:rFonts w:ascii="IRNazanin" w:hAnsi="IRNazanin" w:eastAsia="IRNazanin"/>
          <w:color w:val="111111"/>
          <w:sz w:val="28"/>
          <w:sz w:val="28"/>
          <w:szCs w:val="28"/>
          <w:rtl w:val="true"/>
          <w:lang w:bidi="fa-IR"/>
        </w:rPr>
        <w:t>ممکن است گفته شود استعداد خروج منی اعم است از حرکت منی از محل خود و غیر آن؛ زیرا چه بسا شخصی استعداد خروج منی را پیدا کند ولی منی حتی از محل خود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عبارات فقها به درستی این تعابیر از یکدیگر تفکیک نشده و بعضا خلطهایی نیز صورت گرفته ولی مراد از استعداد معنای اعم آن نیست، چنان‌چه این مطلب در پاسخ به ادله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مسئله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جمعی بر این عقیده‌اند که صرف استعداد خروج منی کفایت می‌کند و انفصال حسی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ادعا چند دلیل اقامه شده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المناهل،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بلوغ یک امر طبیعی بوده و عبارت از توانایی بر تولید مثل و آمادگی برای آمیزش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طبیعی و حالت تکوینی نیز با ظهور انفصال و عدم آن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ناتمام است؛ چون درست است که بلوغ به معنای کمال طبیعی انسان و توانایی بر تولیدمثل و انزال با ظهور انفصال و عدم آن تغییری نمی‌کند، لکن سخن در این است که چگونه می‌توان این کمال را کشف نمود و آن را مبدأ ثبوت تکلیف قرار داد؟ آن‌چه در روایات مطرح شده خروج منی و احتلام است که یکی از راه‌های استکشاف آن کمال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خروج منی ملاک باشد این دلیل نمی‌تواند عدم لزوم انفصال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بلوغ در آیۀ وَ ابْتَلُوا الْیَتامی حَتّی إِذا بَلَغُوا النِّکاحَ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بلوغ نکاح و قدرت بر آمیزش و انزال است و روشن است که قدرت بر انزال بدون انفصال حسی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استعداد خروج منی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این آیه در مقام بیان زمان خروج از ممنوعیت تصرفات مالی یتیمان است و زمان آن هم وقتی است که یتیمان به</w:t>
      </w:r>
    </w:p>
    <w:p>
      <w:pPr>
        <w:pStyle w:val="BookText"/>
        <w:rPr/>
      </w:pPr>
      <w:r>
        <w:rPr>
          <w:rFonts w:ascii="IRNazanin" w:hAnsi="IRNazanin" w:eastAsia="IRNazanin"/>
          <w:color w:val="111111"/>
          <w:sz w:val="28"/>
          <w:sz w:val="28"/>
          <w:szCs w:val="28"/>
          <w:rtl w:val="true"/>
          <w:lang w:bidi="fa-IR"/>
        </w:rPr>
        <w:t>توانایی‌های مذکور می‌رسند، ولی چگونگی استکشاف و چیستی نشانه‌های آن از آیه قابل استفاده نیست، بلکه این مهم با خروج منی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در روایات خروج منی مبدأ ثبوت تکلیف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با مراجعه به عرف معلوم می‌شود شخصی که قدرت بر انزال و توانایی بر آمیزش داشته باشد، بالغ است و از آن‌جا که تکالیف بر شخص بالغ ثابت می شوند و این مطلب با رجوع به عرف مشخص می‌گردد، پس همین که چنین قدرتی حاصل شود کافی است و دیگر نیازی به خروج فعلی منی و انفصال حسی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اشکالی که به دلیل اول و دوم وارد کردیم بر این دلیل نیز وارد است؛ زیرا قدرت بر آمیزش و انزال همان کمال طبیعی انسان است که با تحقق آن می‌گوییم شخص بالغ شده و قلم تکلیف بر او جاری می‌شود، لکن بحث در این است که چگونه می‌توان این کمال طبیعی را کشف کرد و زمان مشخصی را به عنوان مبدأ ثبوت تکلیف قرار داد؟ این زمان طبق برخی روایات همان زمان خروج منی است که بدون انفصال حسی و بدون تحقق عنوان خروج قابل تشخیص نیست؛ به عبارت دیگر درست است که عرف می‌گوید کسی که به این توانایی‌ها رسیده بالغ است ولی سخن در این است که عرف از چه راهی این کمال طبیعی را کشف می‌کند؟ از دید عرف خروج منی یکی از راه‌های</w:t>
      </w:r>
    </w:p>
    <w:p>
      <w:pPr>
        <w:pStyle w:val="BookText"/>
        <w:rPr/>
      </w:pPr>
      <w:r>
        <w:rPr>
          <w:rFonts w:ascii="IRNazanin" w:hAnsi="IRNazanin" w:eastAsia="IRNazanin"/>
          <w:color w:val="111111"/>
          <w:sz w:val="28"/>
          <w:sz w:val="28"/>
          <w:szCs w:val="28"/>
          <w:rtl w:val="true"/>
          <w:lang w:bidi="fa-IR"/>
        </w:rPr>
        <w:t>استکشاف توانایی‌های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گروه دیگری ملاک را فعلیت خروج منی می‌دانند و معتقدند مبدأ ثبوت تکلیف در دختران انفصال منی است، نه صرف استعداد خروج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این مدعا می‌توان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از آن‌جا که مهمترین دلیل اعتبار احتلام و خروج منی روایات است و روایات هم ظهور در احتلام فعلی دارند، حمل آن‌ها بر استعداد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اگر انفصال حسی و فعلیت خروج منی ملاک باشد لازمه‌اش آن است که چنان‌چه منی از محل خود حرکت کرده و نزدیک به خروج باشد، ولی به نوعی از خروج آن جلوگیری شود، بگوییم او بالغ نشده در حالی که نمی‌توان به این مطلب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از قبیل حرکت منی از جای خود یا احساس لذت یا شهوت از اموری نیستند که بتوان به سبب آن تشخیص داد کمال طبیعی مذکور محقق شده یا خیر؛ زیرا شخصی که برای اولین بار در این موقعیت قرار گرفته نمی‌تواند حرکت منی را از محل خودش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لذت یا شهوت چیزی نیست که نخستین بار قابل درک باشد، به ویژه آن‌که احساس در اشخاص غیر بالغ مخصوصا مراهقین نیز وجود دارد</w:t>
      </w:r>
      <w:r>
        <w:rPr>
          <w:rFonts w:eastAsia="IRNazanin" w:cs="IRNazanin"/>
          <w:color w:val="111111"/>
          <w:sz w:val="28"/>
          <w:szCs w:val="28"/>
          <w:rtl w:val="true"/>
          <w:lang w:bidi="fa-IR"/>
        </w:rPr>
        <w:t>.</w:t>
      </w:r>
      <w:bookmarkStart w:id="286" w:name="pg6142_67380"/>
    </w:p>
    <w:p>
      <w:pPr>
        <w:pStyle w:val="BookText"/>
        <w:rPr/>
      </w:pPr>
      <w:bookmarkEnd w:id="286"/>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ملاک بلوغ در دختران خروج فعلی منی است نه استعداد آن</w:t>
      </w:r>
      <w:r>
        <w:rPr>
          <w:rFonts w:eastAsia="IRNazanin" w:cs="IRNazanin"/>
          <w:color w:val="111111"/>
          <w:sz w:val="28"/>
          <w:szCs w:val="28"/>
          <w:rtl w:val="true"/>
          <w:lang w:bidi="fa-IR"/>
        </w:rPr>
        <w:t>.</w:t>
      </w:r>
    </w:p>
    <w:p>
      <w:pPr>
        <w:pStyle w:val="Heading5"/>
        <w:numPr>
          <w:ilvl w:val="4"/>
          <w:numId w:val="1"/>
        </w:numPr>
        <w:rPr/>
      </w:pPr>
      <w:bookmarkStart w:id="287" w:name="__RefHeading___Toc189100_237004111"/>
      <w:bookmarkStart w:id="288" w:name="_Toc110"/>
      <w:bookmarkEnd w:id="287"/>
      <w:r>
        <w:rPr/>
        <w:t>3</w:t>
      </w:r>
      <w:r>
        <w:rPr>
          <w:rtl w:val="true"/>
        </w:rPr>
        <w:t xml:space="preserve">. </w:t>
      </w:r>
      <w:r>
        <w:rPr>
          <w:rtl w:val="true"/>
        </w:rPr>
        <w:t>خروج از محل متعارف</w:t>
      </w:r>
      <w:bookmarkEnd w:id="288"/>
    </w:p>
    <w:p>
      <w:pPr>
        <w:pStyle w:val="BookText"/>
        <w:rPr/>
      </w:pPr>
      <w:r>
        <w:rPr>
          <w:rFonts w:ascii="IRNazanin" w:hAnsi="IRNazanin" w:eastAsia="IRNazanin"/>
          <w:color w:val="111111"/>
          <w:sz w:val="28"/>
          <w:sz w:val="28"/>
          <w:szCs w:val="28"/>
          <w:rtl w:val="true"/>
          <w:lang w:bidi="fa-IR"/>
        </w:rPr>
        <w:t>بسیاری از فقیهان این خصوصیت را معتبر دانسته و تأکید کرده‌اند چنان‌چه منی از موضع معتاد و متعارف خارج شود مبدأ ثبوت تکلیف می‌باشد و لذا اگر به خاطر جراحت یا مرض، از غیر مجرای معمولی خود خارج شود، موجب ثبوت تکلیف نیست؛ چون ظاهر ادله اگرچه مطلق است ولی باید آن را حمل بر معهود و متعارف نمود و معهود و متعارف هم این است که منی از مجرای معمولی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به این دلیل اشاره کرده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مسالک الافهام،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قائل به عدم لزوم انفصال حسی شد و صرف استعداد خروج منی یا حرکت آن را از محل خود کافی دانست، بدیهی است ذکر این قید برایش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کاشف الغطاء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نفس حرکت از محل خودش ما را از ذکر این قید بی‌نیاز می‌کند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89" w:name="__RefHeading___Toc189102_237004111"/>
      <w:bookmarkStart w:id="290" w:name="_Toc111"/>
      <w:bookmarkEnd w:id="289"/>
      <w:r>
        <w:rPr/>
        <w:t>4</w:t>
      </w:r>
      <w:r>
        <w:rPr>
          <w:rtl w:val="true"/>
        </w:rPr>
        <w:t xml:space="preserve">. </w:t>
      </w:r>
      <w:r>
        <w:rPr>
          <w:rtl w:val="true"/>
        </w:rPr>
        <w:t>اقتران به شهوت</w:t>
      </w:r>
      <w:bookmarkEnd w:id="2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دیگری که برای خروج منی ذکر شده این است که باید همراه با شهوت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از جمله محقق کرکی در جامع المقاصد</w:t>
      </w:r>
      <w:r>
        <w:rPr>
          <w:rStyle w:val="FootnoteAnchor"/>
          <w:rtl w:val="true"/>
        </w:rPr>
        <w:footnoteReference w:id="151"/>
      </w:r>
      <w:r>
        <w:rPr>
          <w:rFonts w:ascii="IRNazanin" w:hAnsi="IRNazanin" w:eastAsia="IRNazanin"/>
          <w:color w:val="111111"/>
          <w:sz w:val="28"/>
          <w:sz w:val="28"/>
          <w:szCs w:val="28"/>
          <w:rtl w:val="true"/>
          <w:lang w:bidi="fa-IR"/>
        </w:rPr>
        <w:t>و صاحب مناهل</w:t>
      </w:r>
      <w:r>
        <w:rPr>
          <w:rStyle w:val="FootnoteAnchor"/>
          <w:rtl w:val="true"/>
        </w:rPr>
        <w:footnoteReference w:id="152"/>
      </w:r>
      <w:r>
        <w:rPr>
          <w:rFonts w:ascii="IRNazanin" w:hAnsi="IRNazanin" w:eastAsia="IRNazanin"/>
          <w:color w:val="111111"/>
          <w:sz w:val="28"/>
          <w:sz w:val="28"/>
          <w:szCs w:val="28"/>
          <w:rtl w:val="true"/>
          <w:lang w:bidi="fa-IR"/>
        </w:rPr>
        <w:t>این خصوصیت را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 از ظاهر اطلاق کلام اکثر اصحاب استفاده می‌شود اقتران به شهوت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جمله مرحوم علامه تصریح به عدم لزوم اقتران نیز نموده‌اند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تذکرة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بر مدعای خویش دو دلیل اقامه کرده‌اند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اصل در خروج منی این است که همراه با شهوت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اصل این خصوصیت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مراد از این اصل ظاهر حال است، لذا اگر به جای اصل تعبیر به ظاهر می‌شد، مناسب‌تر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اطلاق ادله‌ای که خروج منی را به عنوان مبدأ ثبوت تکلیف بیان کرده‌اند، منصرف به غالب است و غالباً هم خروج منی همراه با شهوت است؛ به عبارت دیگر ادلۀ مذکور را باید حمل بر معهود و متعارف نمود و متعارف نیز خروج منی همراه با شهوت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خصوصیت در خروج منی معتبر است و این‌که گفته شده ظاهر اطلاق کلام اصحاب اقتضا می‌کند این قید را معتبر ندانند صحیح نیست؛ چون چه بسا ترک تعرض آنان نسبت به این خصوصیت به جهت وضوح مدخلیت آن بوده است</w:t>
      </w:r>
      <w:r>
        <w:rPr>
          <w:rFonts w:eastAsia="IRNazanin" w:cs="IRNazanin"/>
          <w:color w:val="111111"/>
          <w:sz w:val="28"/>
          <w:szCs w:val="28"/>
          <w:rtl w:val="true"/>
          <w:lang w:bidi="fa-IR"/>
        </w:rPr>
        <w:t>.</w:t>
      </w:r>
      <w:bookmarkStart w:id="291" w:name="pg6142_67382"/>
    </w:p>
    <w:p>
      <w:pPr>
        <w:pStyle w:val="Heading5"/>
        <w:numPr>
          <w:ilvl w:val="4"/>
          <w:numId w:val="1"/>
        </w:numPr>
        <w:rPr/>
      </w:pPr>
      <w:bookmarkStart w:id="292" w:name="__RefHeading___Toc189104_237004111"/>
      <w:bookmarkStart w:id="293" w:name="_Toc112"/>
      <w:bookmarkEnd w:id="291"/>
      <w:bookmarkEnd w:id="292"/>
      <w:r>
        <w:rPr>
          <w:rtl w:val="true"/>
        </w:rPr>
        <w:t>نتیجه کلی</w:t>
      </w:r>
      <w:bookmarkEnd w:id="2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فصل دوم این شد که خروج منی مبدأ ثبوت تکلیف در دختران است و ادلۀ آن هیچ تعارضی با ادلۀ سایر اموری که مبدأ ثبوت تکلیف در دختران قرار داده شده‌اند، ندارند؛ زیرا از ادلۀ خروج منی و احتلام، انحصار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ممکن است با این نشانه تعارض داشته باشد، روایات مربوطه به سن است که در جای خود آن‌ها را بررسی خواهیم کرد</w:t>
      </w:r>
      <w:r>
        <w:rPr>
          <w:rFonts w:eastAsia="IRNazanin" w:cs="IRNazanin"/>
          <w:color w:val="111111"/>
          <w:sz w:val="28"/>
          <w:szCs w:val="28"/>
          <w:rtl w:val="true"/>
          <w:lang w:bidi="fa-IR"/>
        </w:rPr>
        <w:t>.</w:t>
      </w:r>
      <w:bookmarkStart w:id="294" w:name="pg6142_67384"/>
    </w:p>
    <w:p>
      <w:pPr>
        <w:pStyle w:val="Heading3"/>
        <w:numPr>
          <w:ilvl w:val="2"/>
          <w:numId w:val="1"/>
        </w:numPr>
        <w:rPr/>
      </w:pPr>
      <w:bookmarkStart w:id="295" w:name="__RefHeading___Toc189106_237004111"/>
      <w:bookmarkStart w:id="296" w:name="_Toc113"/>
      <w:bookmarkEnd w:id="294"/>
      <w:bookmarkEnd w:id="295"/>
      <w:r>
        <w:rPr>
          <w:rtl w:val="true"/>
        </w:rPr>
        <w:t>فصل سوم</w:t>
      </w:r>
      <w:r>
        <w:rPr>
          <w:rtl w:val="true"/>
        </w:rPr>
        <w:t xml:space="preserve">: </w:t>
      </w:r>
      <w:r>
        <w:rPr>
          <w:rtl w:val="true"/>
        </w:rPr>
        <w:t>حیض</w:t>
      </w:r>
      <w:bookmarkEnd w:id="2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189108_237004111"/>
      <w:bookmarkStart w:id="298" w:name="_Toc114"/>
      <w:bookmarkEnd w:id="297"/>
      <w:r>
        <w:rPr>
          <w:rtl w:val="true"/>
        </w:rPr>
        <w:t>اشاره</w:t>
      </w:r>
      <w:bookmarkStart w:id="299" w:name="pg6142_67386"/>
      <w:bookmarkEnd w:id="298"/>
    </w:p>
    <w:p>
      <w:pPr>
        <w:pStyle w:val="Heading4"/>
        <w:numPr>
          <w:ilvl w:val="3"/>
          <w:numId w:val="1"/>
        </w:numPr>
        <w:rPr/>
      </w:pPr>
      <w:bookmarkStart w:id="300" w:name="__RefHeading___Toc189110_237004111"/>
      <w:bookmarkStart w:id="301" w:name="_Toc115"/>
      <w:bookmarkEnd w:id="299"/>
      <w:bookmarkEnd w:id="300"/>
      <w:r>
        <w:rPr>
          <w:rtl w:val="true"/>
        </w:rPr>
        <w:t>مقدمه</w:t>
      </w:r>
      <w:bookmarkEnd w:id="301"/>
    </w:p>
    <w:p>
      <w:pPr>
        <w:pStyle w:val="BookText"/>
        <w:rPr/>
      </w:pPr>
      <w:r>
        <w:rPr>
          <w:rFonts w:ascii="IRNazanin" w:hAnsi="IRNazanin" w:eastAsia="IRNazanin"/>
          <w:color w:val="111111"/>
          <w:sz w:val="28"/>
          <w:sz w:val="28"/>
          <w:szCs w:val="28"/>
          <w:rtl w:val="true"/>
          <w:lang w:bidi="fa-IR"/>
        </w:rPr>
        <w:t>سومین علامتی که به عنوان مبدأ ثبوت تکلیف در دختران ذکر شده،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فقها در این باره مختلف بوده و لذا جمعی از آن به عنوان علامت و نشانۀ بلوغ یا دلیل بر بلوغ و گروهی نیز به عنوان دلیل بر سبق بلوغ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اول می‌توان شیخ طوسی را نام برد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والبلوغ یکون باحد خمسة اشیاء</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از آن‌ها را حیض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علی انه 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 این تعبیر این است که حیض یکی از نشانه‌های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تعبیر از سوی ابن زهره در غنیه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علامه در تحریر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والحیض دلالة علی البلوغ بلا خلاف</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محقق اردبیلی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الحیض والحبل، فالظاهر انهما دلیلان علی البلوغ فی المرئة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مجمع الفائدة و البرهان،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حیض و حمل اجماعاً دلیل بر بلوغ در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گروه دوم صاحب ایضاح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الحیض والحمل دلیلان علی سبق البلوغ</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شهید ثانی نیز در مسالک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کونهما دلیلین علی سبق البلوغ</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برخی از فقها نیز در این باره سخنی به میان نیاورده‌اند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این اختلاف که در جای خود آن را بررسی خواهیم کرد، فی الجمله حیض یکی از اموری است که به عنوان مبدأ ثبوت تکلیف در دختران قرار داده شده و حتی بعضی بر آن ادعای اجماع نموده‌اند</w:t>
      </w:r>
      <w:r>
        <w:rPr>
          <w:rFonts w:eastAsia="IRNazanin" w:cs="IRNazanin"/>
          <w:color w:val="111111"/>
          <w:sz w:val="28"/>
          <w:szCs w:val="28"/>
          <w:rtl w:val="true"/>
          <w:lang w:bidi="fa-IR"/>
        </w:rPr>
        <w:t>.</w:t>
      </w:r>
      <w:bookmarkStart w:id="302" w:name="pg6142_67388"/>
    </w:p>
    <w:p>
      <w:pPr>
        <w:pStyle w:val="Heading4"/>
        <w:numPr>
          <w:ilvl w:val="3"/>
          <w:numId w:val="1"/>
        </w:numPr>
        <w:rPr/>
      </w:pPr>
      <w:bookmarkStart w:id="303" w:name="__RefHeading___Toc189112_237004111"/>
      <w:bookmarkStart w:id="304" w:name="_Toc116"/>
      <w:bookmarkEnd w:id="302"/>
      <w:bookmarkEnd w:id="303"/>
      <w:r>
        <w:rPr>
          <w:rtl w:val="true"/>
        </w:rPr>
        <w:t>گفتار اول</w:t>
      </w:r>
      <w:r>
        <w:rPr>
          <w:rtl w:val="true"/>
        </w:rPr>
        <w:t xml:space="preserve">: </w:t>
      </w:r>
      <w:r>
        <w:rPr>
          <w:rtl w:val="true"/>
        </w:rPr>
        <w:t>ادلۀ ثبوت تکلیف بر دختران با حیض</w:t>
      </w:r>
      <w:bookmarkEnd w:id="304"/>
    </w:p>
    <w:p>
      <w:pPr>
        <w:pStyle w:val="Heading5"/>
        <w:numPr>
          <w:ilvl w:val="4"/>
          <w:numId w:val="1"/>
        </w:numPr>
        <w:rPr/>
      </w:pPr>
      <w:bookmarkStart w:id="305" w:name="__RefHeading___Toc189114_237004111"/>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برای این منظور به چند دلیل تمسک شده است</w:t>
      </w:r>
      <w:r>
        <w:rPr>
          <w:rFonts w:eastAsia="IRNazanin" w:cs="IRNazanin"/>
          <w:color w:val="111111"/>
          <w:sz w:val="28"/>
          <w:szCs w:val="28"/>
          <w:rtl w:val="true"/>
          <w:lang w:bidi="fa-IR"/>
        </w:rPr>
        <w:t>.</w:t>
      </w:r>
    </w:p>
    <w:p>
      <w:pPr>
        <w:pStyle w:val="Heading5"/>
        <w:numPr>
          <w:ilvl w:val="4"/>
          <w:numId w:val="1"/>
        </w:numPr>
        <w:rPr/>
      </w:pPr>
      <w:bookmarkStart w:id="307" w:name="__RefHeading___Toc189116_237004111"/>
      <w:bookmarkStart w:id="308" w:name="_Toc118"/>
      <w:bookmarkEnd w:id="307"/>
      <w:r>
        <w:rPr>
          <w:rtl w:val="true"/>
        </w:rPr>
        <w:t>دلیل اول</w:t>
      </w:r>
      <w:bookmarkEnd w:id="308"/>
    </w:p>
    <w:p>
      <w:pPr>
        <w:pStyle w:val="BookText"/>
        <w:rPr/>
      </w:pPr>
      <w:r>
        <w:rPr>
          <w:rFonts w:ascii="IRNazanin" w:hAnsi="IRNazanin" w:eastAsia="IRNazanin"/>
          <w:color w:val="111111"/>
          <w:sz w:val="28"/>
          <w:sz w:val="28"/>
          <w:szCs w:val="28"/>
          <w:rtl w:val="true"/>
          <w:lang w:bidi="fa-IR"/>
        </w:rPr>
        <w:t>جمعی از فقها به این مطلب ادعای اجماع کرده‌اند؛ از جمله محقق اردبیلی،</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مجمع الفائدة والبرهان،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در تحریر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شهید 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از آن‌جا که این اجماع منقول است، حجیت ندارد</w:t>
      </w:r>
      <w:r>
        <w:rPr>
          <w:rFonts w:eastAsia="IRNazanin" w:cs="IRNazanin"/>
          <w:color w:val="111111"/>
          <w:sz w:val="28"/>
          <w:szCs w:val="28"/>
          <w:rtl w:val="true"/>
          <w:lang w:bidi="fa-IR"/>
        </w:rPr>
        <w:t>.</w:t>
      </w:r>
    </w:p>
    <w:p>
      <w:pPr>
        <w:pStyle w:val="Heading5"/>
        <w:numPr>
          <w:ilvl w:val="4"/>
          <w:numId w:val="1"/>
        </w:numPr>
        <w:rPr/>
      </w:pPr>
      <w:bookmarkStart w:id="309" w:name="__RefHeading___Toc189118_237004111"/>
      <w:bookmarkStart w:id="310" w:name="_Toc119"/>
      <w:bookmarkEnd w:id="309"/>
      <w:r>
        <w:rPr>
          <w:rtl w:val="true"/>
        </w:rPr>
        <w:t>دلیل دوم</w:t>
      </w:r>
      <w:bookmarkEnd w:id="3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روایاتی هم از طریق عامه و هم از طریق خاصه نقل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ابوسعید بن أبی عمرو، انبأ ابوعبدالله محمد بن عبدالله الصفار، ثنا أحمد بن محمد البرتی القاضی، ثنا أبو الولید الطیالسی، ثنا حماد بن سلمة، عن قتادة، عن محمد بن سیرین، عن صفیة بن الحارث عن عایشة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صلوة حائض الا بخمار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شخصی که حائض شده قبول نمی‌شود مگر آن‌که خمار داشته باشد؛ یعنی از پوشش لازم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حیض سبب تعلق تکلیف به پوشاندن سر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الفقیه ابو الفتح العمری، انبأ عبدالرحمن ابی شریح، ثنا ابوالقاسم البغوی، ثنا علی بن الجعد، انبا شریک، عن عثمان بن ابی زرعة، عن ماهان الحنفی، 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الجاریة وجب علیها ما یجب علی امها تقول من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حیض دید پوششی که بر مادرش واجب است، بر او نیز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ام‌سلمه این روایت را از پیامبر صلی الله علیه و آله نقل کرده و الا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واخبرنا ابوالحسن علی بن احمد بن عبدان، انبأ احمد بن عبید الصفار، ثنا ابن ابی قماش، ثنا داوود بن رشید، عن الولید بن مسلم، عن سعید بن بشیر، عن قتادة، عن خالد بن در یک، عن عایشة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اسماء بنت ابی بکر دخلت علیها وعندها النبی صلی الله علیه و آله فی ثیاب شامیة رقاق فضرب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ببصره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اسماء ان المرئة اذا بلغت المحیض لم یصلح ان یری منها الا هذا واشار الی کفه ووجهه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ابوبکر نزد او آمد، در حالی که لباس نازکی پوشیده بود و پیامبر صلی الله علیه و آله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او پیامبر صلی الله علیه و آله چشم‌هایش را به زمین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زن وقتی که حیض می‌شود، سزاوار نیست به جز دست و صورتش جای دیگری از بدن او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عدم جواز است نه به معنای کراهت،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لسان روایات به معنای عدم جواز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خاصه</w:t>
      </w:r>
    </w:p>
    <w:p>
      <w:pPr>
        <w:pStyle w:val="BookText"/>
        <w:rPr/>
      </w:pPr>
      <w:r>
        <w:rPr>
          <w:rFonts w:ascii="IRNazanin" w:hAnsi="IRNazanin" w:eastAsia="IRNazanin"/>
          <w:color w:val="111111"/>
          <w:sz w:val="28"/>
          <w:sz w:val="28"/>
          <w:szCs w:val="28"/>
          <w:rtl w:val="true"/>
          <w:lang w:bidi="fa-IR"/>
        </w:rPr>
        <w:t>این روایات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بعضی از روایات زمان وجوب تستّر بر زن در نماز را رؤیت دم حیض قرار داده‌اند؛ از جمله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السندی بن محمد، عن ابی البختری، عن جعفر بن محمد، عن ابیه،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الجاریه فلا تصلی الابخمار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حائض شود نمی‌تواند بدون پوشش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با آن‌که مشتمل بر ابوالبختری است و به قرینۀ نقل از سندی بن محمد، مقصود از وی وهب بن وهب بن عبدالله است که اکثر اصحاب به ضعف او تصریح کرده‌اند، ولی با توجه به روایت او از جعفر بن محمد علیه السلام و عدم اختصاص نقل این روایت از او می‌توان این روایت را معتبر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یونس بن یعقوب انه سأل ابا عبدالله علیه السلام عن الرجل یصلی فی ثوب واحد؟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یصلح للحرة اذا حاضت الاالخمار الا ان لا تجده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 از امام صادق علیه السلام سؤال کرد دربارۀ مرد که آیا با یک لباس می‌تواند نماز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سپس دربارۀ 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زنی که حایض شده جایز نیست، بدون پوشش مناسب نماز بخواند مگر آن‌که لباسی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المصلی، 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المصلی،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عن ابیه، عن جده، عن جعفر بن محمد، عن ابیه، عن جده علی بن الحسین، عن ابیه،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یقبل الله صلوة جاریة قد حاضت حتی تختمر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المصلی،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زنی که حایض شده مورد قبول واقع نمی‌شود، مگر آن‌که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p>
    <w:p>
      <w:pPr>
        <w:pStyle w:val="BookText"/>
        <w:rPr/>
      </w:pPr>
      <w:r>
        <w:rPr>
          <w:rFonts w:ascii="IRNazanin" w:hAnsi="IRNazanin" w:eastAsia="IRNazanin"/>
          <w:color w:val="111111"/>
          <w:sz w:val="28"/>
          <w:sz w:val="28"/>
          <w:szCs w:val="28"/>
          <w:rtl w:val="true"/>
          <w:lang w:bidi="fa-IR"/>
        </w:rPr>
        <w:t>در برخی روایات وجوب صوم معلق بر حیض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الحسین بن سعید، عن القاسم بن محمد، عن علی بن ابی حمزه، عن ابی بصیر، عن ابی عبدالله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الصبی اذا احتلم الصیام وعلی الجاریة اذا حاضت الصیام والخمار الا ان تکون مملوکة فانه لیس علیها خمار الا ان تحب ان تختمر وعلیها الصیام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پسربچه وقتی محتلم شود روزه واجب می‌گردد و بر دختربچه زمانی که حیض شود روزه و پوشش واجب می‌گردد، مگر آن‌که مملوکه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پوشش بر او واجب نیست ولی اگر مایل باشد می‌تواند خود را بپوشاند و البته بر او روزه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علی الصبی اذا احتلم الصیام وعلی المرئة اذا حاضت الصیام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معنای این روایت نیز مانند روایات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 چون از آن دسته از مرسلات شیخ صدوق نیست که همانند مسانید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p>
    <w:p>
      <w:pPr>
        <w:pStyle w:val="BookText"/>
        <w:rPr/>
      </w:pPr>
      <w:r>
        <w:rPr>
          <w:rFonts w:ascii="IRNazanin" w:hAnsi="IRNazanin" w:eastAsia="IRNazanin"/>
          <w:color w:val="111111"/>
          <w:sz w:val="28"/>
          <w:sz w:val="28"/>
          <w:szCs w:val="28"/>
          <w:rtl w:val="true"/>
          <w:lang w:bidi="fa-IR"/>
        </w:rPr>
        <w:t>در قسم دیگری از روایات وجوب حج معلق بر حیض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صفوان، عن اسحق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اباالحسن علیه السلام عن ابن عشر سنین یحج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اذا احتلم وکذالک الجاریة علیها الحج اذا طمثت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و شرائطه،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پسر ده ساله سؤال کردم که آیا حج به جا آورد؟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محتلم شود حج بر او واجب است و نیز اگر دختر حیض شود، بر او حج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وجوب حجة الاسلام معلق بر حیض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p>
    <w:p>
      <w:pPr>
        <w:pStyle w:val="BookText"/>
        <w:rPr/>
      </w:pPr>
      <w:r>
        <w:rPr>
          <w:rFonts w:ascii="IRNazanin" w:hAnsi="IRNazanin" w:eastAsia="IRNazanin"/>
          <w:color w:val="111111"/>
          <w:sz w:val="28"/>
          <w:sz w:val="28"/>
          <w:szCs w:val="28"/>
          <w:rtl w:val="true"/>
          <w:lang w:bidi="fa-IR"/>
        </w:rPr>
        <w:t>بعضی از روایات، وجوب حفظ عده را مشروط به حیض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باسناده عن علی بن ابراهیم، عن ابیه، عن ابن محبوب، عن حمادبن عثمان، عمن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فی الصبیة التی لا یحیض</w:t>
      </w:r>
    </w:p>
    <w:p>
      <w:pPr>
        <w:pStyle w:val="BookText"/>
        <w:rPr/>
      </w:pPr>
      <w:r>
        <w:rPr>
          <w:rFonts w:ascii="IRNazanin" w:hAnsi="IRNazanin" w:eastAsia="IRNazanin"/>
          <w:color w:val="111111"/>
          <w:sz w:val="28"/>
          <w:sz w:val="28"/>
          <w:szCs w:val="28"/>
          <w:rtl w:val="true"/>
          <w:lang w:bidi="fa-IR"/>
        </w:rPr>
        <w:t>مثلها والتی قد یئست من المحیض،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علیهما عدة وان دخل بهما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دختری که مثل او حیض نمی‌بیند و نیز زنی که یائسه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گروه عده لازم نیست هرچند مدخول‌بها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یکی از شرایط وجوب حفظ عده این است که زن حائض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مطلبی است که روایت مفهوماً بر آن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علی بن اسماعیل، عن فضالة، عن ابان، عن 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الرجل یشتری الجاریة‌التی لم تبلغ المحیض واذا قعدت من المحیض ما عدتها؟ وما یحل للرجل من الامة حتی یستبرئها قبل أن تحیض؟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قعدت عن المحیض او لم تحض فلا عدة لها والتی تحیض فلا یقربها حتی تحیض وتطهر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سؤال کردم که جاریه‌ای خریده که هنوز به سن حیض نرسیده و نیز اگر از حیض باز بماند، عده‌اش چیست؟ و آیا برای او قبل از حیض و تا زمانی که استبراء نکرده و عده‌اش تمام نشده این کنیز حلال 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یائسه شده باشد یا اصلاً حیض ندیده باشد عده ندارد ولی چنان‌چه حیض شده باشد با او</w:t>
      </w:r>
      <w:bookmarkStart w:id="311" w:name="pg6142_67395"/>
    </w:p>
    <w:p>
      <w:pPr>
        <w:pStyle w:val="BookText"/>
        <w:rPr/>
      </w:pPr>
      <w:bookmarkEnd w:id="311"/>
      <w:r>
        <w:rPr>
          <w:rFonts w:ascii="IRNazanin" w:hAnsi="IRNazanin" w:eastAsia="IRNazanin"/>
          <w:color w:val="111111"/>
          <w:sz w:val="28"/>
          <w:sz w:val="28"/>
          <w:szCs w:val="28"/>
          <w:rtl w:val="true"/>
          <w:lang w:bidi="fa-IR"/>
        </w:rPr>
        <w:t xml:space="preserve">نزدیکی نکند تا آن‌که حیض ببیند و پاک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پنجم</w:t>
      </w:r>
    </w:p>
    <w:p>
      <w:pPr>
        <w:pStyle w:val="BookText"/>
        <w:rPr/>
      </w:pPr>
      <w:r>
        <w:rPr>
          <w:rFonts w:ascii="IRNazanin" w:hAnsi="IRNazanin" w:eastAsia="IRNazanin"/>
          <w:color w:val="111111"/>
          <w:sz w:val="28"/>
          <w:sz w:val="28"/>
          <w:szCs w:val="28"/>
          <w:rtl w:val="true"/>
          <w:lang w:bidi="fa-IR"/>
        </w:rPr>
        <w:t>در قسم دیگری از روایات وجوب حد معلق بر حیض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عبدالله، اخبرنا محمد، حدثنی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ابیه، عن جده جعفر بن محمد عن ابیه ان علیا علیه السلام اتی بلص جاریة سرقت ولم تحض، فضربها اسواطا ولم یقطعها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علیهما السلام از پدرش نقل کرده که علی علیه السلام در مواجهه با جاریه‌ای که هنوز حیض نشده و سرقت کرده بود، تعدادی تازیانه زد ولی دستان او را قطع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أتی بجاریة سرقت، فوجدها لم تحض، فلم یقطعها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 جاریه‌ای را که حائض نشده بود، به خاطر سرقت قطع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استفاده می‌شود اجرای حد سرقت در مورد دختربچه منوط به حیض می‌باشد</w:t>
      </w:r>
      <w:r>
        <w:rPr>
          <w:rFonts w:eastAsia="IRNazanin" w:cs="IRNazanin"/>
          <w:color w:val="111111"/>
          <w:sz w:val="28"/>
          <w:szCs w:val="28"/>
          <w:rtl w:val="true"/>
          <w:lang w:bidi="fa-IR"/>
        </w:rPr>
        <w:t>.</w:t>
      </w:r>
    </w:p>
    <w:p>
      <w:pPr>
        <w:pStyle w:val="Heading5"/>
        <w:numPr>
          <w:ilvl w:val="4"/>
          <w:numId w:val="1"/>
        </w:numPr>
        <w:rPr/>
      </w:pPr>
      <w:bookmarkStart w:id="312" w:name="__RefHeading___Toc189120_237004111"/>
      <w:bookmarkStart w:id="313" w:name="_Toc120"/>
      <w:bookmarkEnd w:id="312"/>
      <w:r>
        <w:rPr>
          <w:rtl w:val="true"/>
        </w:rPr>
        <w:t>نتیجه</w:t>
      </w:r>
      <w:bookmarkEnd w:id="313"/>
    </w:p>
    <w:p>
      <w:pPr>
        <w:pStyle w:val="BookText"/>
        <w:rPr/>
      </w:pPr>
      <w:r>
        <w:rPr>
          <w:rFonts w:ascii="IRNazanin" w:hAnsi="IRNazanin" w:eastAsia="IRNazanin"/>
          <w:color w:val="111111"/>
          <w:sz w:val="28"/>
          <w:sz w:val="28"/>
          <w:szCs w:val="28"/>
          <w:rtl w:val="true"/>
          <w:lang w:bidi="fa-IR"/>
        </w:rPr>
        <w:t>به طور کلی اگرچه برخی از این روایات از حیث سند و برخی دیگر از جهت دلالت مخدوش می‌باشند، لکن در مجموع می‌توان از این روایات استفاده کرد که حیض مبدأ تعلق تکلیف به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حد السرقة،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bookmarkStart w:id="314" w:name="pg6142_67396"/>
    </w:p>
    <w:p>
      <w:pPr>
        <w:pStyle w:val="BookText"/>
        <w:rPr/>
      </w:pPr>
      <w:bookmarkEnd w:id="314"/>
      <w:r>
        <w:rPr>
          <w:rFonts w:ascii="IRNazanin" w:hAnsi="IRNazanin" w:eastAsia="IRNazanin"/>
          <w:color w:val="111111"/>
          <w:sz w:val="28"/>
          <w:sz w:val="28"/>
          <w:szCs w:val="28"/>
          <w:rtl w:val="true"/>
          <w:lang w:bidi="fa-IR"/>
        </w:rPr>
        <w:t>تنها مطلبی که باقی می‌ماند این است که طبق برخی از روایات زمان تعلق تکالیف به دختران، سن نه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و تعارض آن‌ها با روایات حیض در آینده خواهیم پرداخت</w:t>
      </w:r>
      <w:r>
        <w:rPr>
          <w:rFonts w:eastAsia="IRNazanin" w:cs="IRNazanin"/>
          <w:color w:val="111111"/>
          <w:sz w:val="28"/>
          <w:szCs w:val="28"/>
          <w:rtl w:val="true"/>
          <w:lang w:bidi="fa-IR"/>
        </w:rPr>
        <w:t>.</w:t>
      </w:r>
    </w:p>
    <w:p>
      <w:pPr>
        <w:pStyle w:val="Heading5"/>
        <w:numPr>
          <w:ilvl w:val="4"/>
          <w:numId w:val="1"/>
        </w:numPr>
        <w:rPr/>
      </w:pPr>
      <w:bookmarkStart w:id="315" w:name="__RefHeading___Toc189122_237004111"/>
      <w:bookmarkStart w:id="316" w:name="_Toc121"/>
      <w:bookmarkEnd w:id="315"/>
      <w:r>
        <w:rPr>
          <w:rtl w:val="true"/>
        </w:rPr>
        <w:t>تنبیه</w:t>
      </w:r>
      <w:r>
        <w:rPr>
          <w:rtl w:val="true"/>
        </w:rPr>
        <w:t xml:space="preserve">: </w:t>
      </w:r>
      <w:r>
        <w:rPr>
          <w:rtl w:val="true"/>
        </w:rPr>
        <w:t>اعتبار وقت امکان در حیض</w:t>
      </w:r>
      <w:bookmarkEnd w:id="316"/>
    </w:p>
    <w:p>
      <w:pPr>
        <w:pStyle w:val="BookText"/>
        <w:rPr/>
      </w:pPr>
      <w:r>
        <w:rPr>
          <w:rFonts w:ascii="IRNazanin" w:hAnsi="IRNazanin" w:eastAsia="IRNazanin"/>
          <w:color w:val="111111"/>
          <w:sz w:val="28"/>
          <w:sz w:val="28"/>
          <w:szCs w:val="28"/>
          <w:rtl w:val="true"/>
          <w:lang w:bidi="fa-IR"/>
        </w:rPr>
        <w:t>در صورتی حیض مبدأ ثبوت تکلیف در دختران است در وقت امکان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امکان نیز امکان بالقیاس به سایر شروط است که از ادلۀ دیگر استفاده می‌شود، نه امکان ذاتی و امکان وقوعی؛ به عبارت دیگر مقتضای برخی روایات این است که دختر قبل از نه سالگی حیض نمی‌بیند، اگرچه خونی که دیده دارای اوصاف 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در بخش بعدی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یک امر تکوینی است که در شرایط خاصی خارج می‌شود و لذا امکان خروج آن حتی قبل از نه سالگی نیز وجود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گرچه چنین احتمالی ثبوتاً ممکن است ولی به واسطۀ برخی روایات تعبداً حکم به عدم حیضیت آن قبل از نه سالگی می‌کنیم</w:t>
      </w:r>
      <w:r>
        <w:rPr>
          <w:rFonts w:eastAsia="IRNazanin" w:cs="IRNazanin"/>
          <w:color w:val="111111"/>
          <w:sz w:val="28"/>
          <w:szCs w:val="28"/>
          <w:rtl w:val="true"/>
          <w:lang w:bidi="fa-IR"/>
        </w:rPr>
        <w:t>.</w:t>
      </w:r>
      <w:bookmarkStart w:id="317" w:name="pg6142_67397"/>
    </w:p>
    <w:p>
      <w:pPr>
        <w:pStyle w:val="Heading4"/>
        <w:numPr>
          <w:ilvl w:val="3"/>
          <w:numId w:val="1"/>
        </w:numPr>
        <w:rPr/>
      </w:pPr>
      <w:bookmarkStart w:id="318" w:name="__RefHeading___Toc189124_237004111"/>
      <w:bookmarkStart w:id="319" w:name="_Toc122"/>
      <w:bookmarkEnd w:id="317"/>
      <w:bookmarkEnd w:id="318"/>
      <w:r>
        <w:rPr>
          <w:rtl w:val="true"/>
        </w:rPr>
        <w:t>گفتار دوم</w:t>
      </w:r>
      <w:r>
        <w:rPr>
          <w:rtl w:val="true"/>
        </w:rPr>
        <w:t xml:space="preserve">: </w:t>
      </w:r>
      <w:r>
        <w:rPr>
          <w:rtl w:val="true"/>
        </w:rPr>
        <w:t>حیض نشانۀ بلوغ یا دلیل بر سبق بلوغ ؟</w:t>
      </w:r>
      <w:bookmarkEnd w:id="319"/>
    </w:p>
    <w:p>
      <w:pPr>
        <w:pStyle w:val="BookText"/>
        <w:rPr/>
      </w:pPr>
      <w:r>
        <w:rPr>
          <w:rFonts w:ascii="IRNazanin" w:hAnsi="IRNazanin" w:eastAsia="IRNazanin"/>
          <w:color w:val="111111"/>
          <w:sz w:val="28"/>
          <w:sz w:val="28"/>
          <w:szCs w:val="28"/>
          <w:rtl w:val="true"/>
          <w:lang w:bidi="fa-IR"/>
        </w:rPr>
        <w:t xml:space="preserve">با توجه به آن‌چه بارها در مورد معنای بلوغ گفته شد، نیازی به توضیح نیست که حیض عبارت از نفس بلوغ نیست؛ چون حیض چه به معنای اشتقاقی آن و چه به معنای جامدش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طبیعی دختر و آمادگی او برای تولید مثل و قدرت بر آمیزش نیست بلکه نشانه‌ای است که کاشف از تحقق کمال مذکور در دختر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 این است که آیا این علامت مقارن بلوغ محقق می‌شود یا کاشف از تحقق بلوغ در زمان سابق است؟</w:t>
      </w:r>
    </w:p>
    <w:p>
      <w:pPr>
        <w:pStyle w:val="BookText"/>
        <w:rPr/>
      </w:pPr>
      <w:r>
        <w:rPr>
          <w:rFonts w:ascii="IRNazanin" w:hAnsi="IRNazanin" w:eastAsia="IRNazanin"/>
          <w:color w:val="111111"/>
          <w:sz w:val="28"/>
          <w:sz w:val="28"/>
          <w:szCs w:val="28"/>
          <w:rtl w:val="true"/>
          <w:lang w:bidi="fa-IR"/>
        </w:rPr>
        <w:t>در مجموع از عبارات فقها می‌توان استفاده نمود که در این مسئله دو قول وجود دارد، هرچند تعابیر در این رابطه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فقها مانند شیخ طوسی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نشانۀ بلوغ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حیض را کاشف از سبق بلوغ و تحقق آن در زمان گذشته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صاحب ایضاح،</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ایضاح 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صاحب شرایع و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تذکر این نکته لازم است 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سبق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بلوغ عمدتاً اشاره به سن نه سالگی است و نوعاً کسانی که آن را کاشف از تحقق بلوغ در زمان گذشته می‌دانند منظورشان این است که حیض کشف از رسیدن دختر به سن نه سالگی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برخی مانند علامه</w:t>
      </w:r>
      <w:r>
        <w:rPr>
          <w:rStyle w:val="FootnoteAnchor"/>
          <w:rtl w:val="true"/>
        </w:rPr>
        <w:footnoteReference w:id="166"/>
      </w:r>
      <w:r>
        <w:rPr>
          <w:rFonts w:ascii="IRNazanin" w:hAnsi="IRNazanin" w:eastAsia="IRNazanin"/>
          <w:color w:val="111111"/>
          <w:sz w:val="28"/>
          <w:sz w:val="28"/>
          <w:szCs w:val="28"/>
          <w:rtl w:val="true"/>
          <w:lang w:bidi="fa-IR"/>
        </w:rPr>
        <w:t xml:space="preserve">نیز که صرفاً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ظاهراً مرادشان همین قول دوم یعنی دلیل بر سبق بلوغ و کاشف از تحقق آن در زمان سابق است، چنان‌چه صاحب جواهر نیز به این مطلب اشاره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ظاهر العلامه فی التذکرة والتحریر حیث نفی الخلاف فی کون الحیض دلیلا علی البلوغ والدلیل فی کلامهم هنا خلاف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ظاهر کلام علامه در تذکره و تحریر هم همین معناست چون او اختلاف در این‌که حیض دلیل بر بلوغ است را نفی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در کلام آن‌ها غیر از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 در شرایع فرموده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الحمل والحیض فلیسا بلوغاً فی حق النساء بل قد</w:t>
      </w:r>
    </w:p>
    <w:p>
      <w:pPr>
        <w:pStyle w:val="BookText"/>
        <w:rPr/>
      </w:pPr>
      <w:r>
        <w:rPr>
          <w:rFonts w:ascii="IRNazanin" w:hAnsi="IRNazanin" w:eastAsia="IRNazanin"/>
          <w:color w:val="111111"/>
          <w:sz w:val="28"/>
          <w:sz w:val="28"/>
          <w:szCs w:val="28"/>
          <w:rtl w:val="true"/>
          <w:lang w:bidi="fa-IR"/>
        </w:rPr>
        <w:t>یکونان دلیلین علی سبق البلوغ</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شرائع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حمل و حیض در مورد زنان بلوغ محسوب نمی‌شوند، بلکه گاهی دلیل بر سبق بلوغ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ایشان حمل و حیض دلیل بر سبق بلوغ هستند ولی سؤال این است که چرا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تقلیل می‌کند؟ آیا مراد این است که حمل و حیض‌گاهی از اوقات کاشف از تحقق بلوغ در زمان سابق می‌باشند یا آن‌که وی در این مسئله مردد بوده است؟ شهید ثانی به این سؤال این‌چنین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یکونان دلیلین‌لیس لتردده فی دلالتهما، لانها اجماعیه وانما اتی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التقلیلیه لانهما مسبوقان بغیرهما من العلامات، خصوصا السن، فدلالتهما علی البلوغ بحیث یتوقف علمه علیهما نادر، فناسبه التقلیل ویمکن ان یکون التقلیل فی الحیض اشاره الی فائدة اخری، هی انه وغیره من الاصحاب حکموا فی باب الحیض بان الدم الحاصل قبل التسع لایکون حیضا وان کان بصفته وانما یعتبر فی الحکم به ما کان بعدها واذا کان کذلک فتنتفی فائدة دلالته؛ لانه قبلها لا اعتبار به وبعدها لا یفتقر الیه</w:t>
      </w:r>
      <w:r>
        <w:rPr>
          <w:rFonts w:eastAsia="IRNazanin" w:cs="IRNazanin"/>
          <w:color w:val="111111"/>
          <w:sz w:val="28"/>
          <w:szCs w:val="28"/>
          <w:rtl w:val="true"/>
          <w:lang w:bidi="fa-IR"/>
        </w:rPr>
        <w:t>».</w:t>
      </w:r>
      <w:r>
        <w:rPr>
          <w:rStyle w:val="FootnoteAnchor"/>
          <w:rtl w:val="true"/>
        </w:rPr>
        <w:footnoteReference w:id="16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محقق فرموده گاهی حمل و حیض دلیل بر بلوغ می‌باشند به خاطر این نیست که ایشان در دلالت آن دو بر بلوغ تردید دارد</w:t>
      </w:r>
    </w:p>
    <w:p>
      <w:pPr>
        <w:pStyle w:val="BookText"/>
        <w:rPr/>
      </w:pPr>
      <w:r>
        <w:rPr>
          <w:rFonts w:ascii="IRNazanin" w:hAnsi="IRNazanin" w:eastAsia="IRNazanin"/>
          <w:color w:val="111111"/>
          <w:sz w:val="28"/>
          <w:sz w:val="28"/>
          <w:szCs w:val="28"/>
          <w:rtl w:val="true"/>
          <w:lang w:bidi="fa-IR"/>
        </w:rPr>
        <w:t>بلکه یا به این جهت است که غالباً این دو علامت مسبوق به علامات دیگری مثل سن می‌باشند، پس کمتر می‌شود از این راه علم به بلوغ پیدا کرد و یا به جهت دیگری است که این جهت فقط در حیض جاری است و آن این‌که بدین وسیله می‌خواهد اشاره به یک فایده‌ای کند و آن فایده این است که اصحاب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قبل از نه سالگی از دختر خارج شود هرچند همۀ صفات را هم داشته باشد،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این‌چنین است، پس دیگر دلالت حیض هیچ فائده‌ای ندارد؛ چون از نه سالگی اعتباری ندارد و پس از آن بدان محتاج نیستیم؛ زیرا با رسیدن به نه سالگی بلوغ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ادامه به فایدۀ دیگری اشاره می‌کند که در بحث مربوط به سن متعرض آن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آیا حیض نشانۀ بلوغ است یا آن‌که دلیل بر تحقق بلوغ در زمان سابق است؟</w:t>
      </w:r>
    </w:p>
    <w:p>
      <w:pPr>
        <w:pStyle w:val="BookText"/>
        <w:rPr/>
      </w:pPr>
      <w:r>
        <w:rPr>
          <w:rFonts w:ascii="IRNazanin" w:hAnsi="IRNazanin" w:eastAsia="IRNazanin"/>
          <w:color w:val="111111"/>
          <w:sz w:val="28"/>
          <w:sz w:val="28"/>
          <w:szCs w:val="28"/>
          <w:rtl w:val="true"/>
          <w:lang w:bidi="fa-IR"/>
        </w:rPr>
        <w:t xml:space="preserve">با عنایت به معنای بلوغ و آن‌چه ما سابقاً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حیض دلیل بر سبق بلوغ نیست بلکه آمادگی دختر برای تولید مثل و کمال طبیعی او با حیض آغاز می‌شود و حیض یکی از نشانه‌های طبیعی کمال مذکور در دختر است و قبل از آن این کمال طبیعی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قاعدگی نشانۀ کاملی بر بلوغ نیست و با اولین قاعدگی، آمادگی برای تولید مثل پیدا نمی‌شود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روانشناسی رشد، ص </w:t>
      </w:r>
      <w:r>
        <w:rPr>
          <w:rFonts w:eastAsia="IRNazanin" w:cs="IRNazanin"/>
          <w:color w:val="111111"/>
          <w:sz w:val="28"/>
          <w:szCs w:val="28"/>
          <w:lang w:bidi="fa-IR"/>
        </w:rPr>
        <w:t>442</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توجه به این مطلب</w:t>
      </w:r>
    </w:p>
    <w:p>
      <w:pPr>
        <w:pStyle w:val="BookText"/>
        <w:rPr/>
      </w:pPr>
      <w:r>
        <w:rPr>
          <w:rFonts w:ascii="IRNazanin" w:hAnsi="IRNazanin" w:eastAsia="IRNazanin"/>
          <w:color w:val="111111"/>
          <w:sz w:val="28"/>
          <w:sz w:val="28"/>
          <w:szCs w:val="28"/>
          <w:rtl w:val="true"/>
          <w:lang w:bidi="fa-IR"/>
        </w:rPr>
        <w:t>حیض چگونه می‌تواند دلیل بر تحقق کمال مذکور در زمان گذشته باشد؟ بله، اگر ما معنای بلوغ را توسعه داده و بگوییم بلوغ معنایی اعم از بلوغ جنسی دارد، آن گاه می‌توان چنین ادعایی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کلام شهید ثانی خالی از اشکال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ملاحظۀ معنای بلوغ که کراراً مورد اشاره قرار گرفت، حق آن است که حیض فی نفسه و با قطع نظر از سایر ادله مبدأ ثبوت تکلیف در دختران است و نمی‌توان آن را دلیل بر سبق بلوغ دانست</w:t>
      </w:r>
      <w:r>
        <w:rPr>
          <w:rFonts w:eastAsia="IRNazanin" w:cs="IRNazanin"/>
          <w:color w:val="111111"/>
          <w:sz w:val="28"/>
          <w:szCs w:val="28"/>
          <w:rtl w:val="true"/>
          <w:lang w:bidi="fa-IR"/>
        </w:rPr>
        <w:t>.</w:t>
      </w:r>
      <w:bookmarkStart w:id="320" w:name="pg6142_67402"/>
    </w:p>
    <w:p>
      <w:pPr>
        <w:pStyle w:val="Heading3"/>
        <w:numPr>
          <w:ilvl w:val="2"/>
          <w:numId w:val="1"/>
        </w:numPr>
        <w:rPr/>
      </w:pPr>
      <w:bookmarkStart w:id="321" w:name="__RefHeading___Toc189126_237004111"/>
      <w:bookmarkStart w:id="322" w:name="_Toc123"/>
      <w:bookmarkEnd w:id="320"/>
      <w:bookmarkEnd w:id="321"/>
      <w:r>
        <w:rPr>
          <w:rtl w:val="true"/>
        </w:rPr>
        <w:t>فصل چهارم</w:t>
      </w:r>
      <w:r>
        <w:rPr>
          <w:rtl w:val="true"/>
        </w:rPr>
        <w:t xml:space="preserve">: </w:t>
      </w:r>
      <w:r>
        <w:rPr>
          <w:rtl w:val="true"/>
        </w:rPr>
        <w:t>سایر نشانه های طبیعی</w:t>
      </w:r>
      <w:bookmarkEnd w:id="3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189128_237004111"/>
      <w:bookmarkStart w:id="324" w:name="_Toc124"/>
      <w:bookmarkEnd w:id="323"/>
      <w:r>
        <w:rPr>
          <w:rtl w:val="true"/>
        </w:rPr>
        <w:t>اشاره</w:t>
      </w:r>
      <w:bookmarkStart w:id="325" w:name="pg6142_67404"/>
      <w:bookmarkEnd w:id="324"/>
    </w:p>
    <w:p>
      <w:pPr>
        <w:pStyle w:val="Heading4"/>
        <w:numPr>
          <w:ilvl w:val="3"/>
          <w:numId w:val="1"/>
        </w:numPr>
        <w:rPr/>
      </w:pPr>
      <w:bookmarkStart w:id="326" w:name="__RefHeading___Toc189130_237004111"/>
      <w:bookmarkStart w:id="327" w:name="_Toc125"/>
      <w:bookmarkEnd w:id="325"/>
      <w:bookmarkEnd w:id="326"/>
      <w:r>
        <w:rPr>
          <w:rtl w:val="true"/>
        </w:rPr>
        <w:t>گفتار اول</w:t>
      </w:r>
      <w:r>
        <w:rPr>
          <w:rtl w:val="true"/>
        </w:rPr>
        <w:t xml:space="preserve">: </w:t>
      </w:r>
      <w:r>
        <w:rPr>
          <w:rtl w:val="true"/>
        </w:rPr>
        <w:t>حمل</w:t>
      </w:r>
      <w:bookmarkEnd w:id="327"/>
    </w:p>
    <w:p>
      <w:pPr>
        <w:pStyle w:val="Heading5"/>
        <w:numPr>
          <w:ilvl w:val="4"/>
          <w:numId w:val="1"/>
        </w:numPr>
        <w:rPr/>
      </w:pPr>
      <w:bookmarkStart w:id="328" w:name="__RefHeading___Toc189132_237004111"/>
      <w:bookmarkStart w:id="329" w:name="_Toc12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برخی حمل را به مبدأ ثبوت تکلیف بر دختران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ارشاد،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پسر علامه در ایضاح،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ثانی در مسالک،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اردبیلی در مجمع الفائدة والبرهان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علامیت حمل و کاشفیت آن از سبق بلوغ تأکید کرده‌اند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دلیل بر این ادعا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ادله ضمن آن‌که در صدد بیان اصل علامیت حمل برای ثبوت تکلیف بر دختران می‌باشند، مبین کاشفیت از سبق بلوغ نیز هستند</w:t>
      </w:r>
      <w:r>
        <w:rPr>
          <w:rFonts w:eastAsia="IRNazanin" w:cs="IRNazanin"/>
          <w:color w:val="111111"/>
          <w:sz w:val="28"/>
          <w:szCs w:val="28"/>
          <w:rtl w:val="true"/>
          <w:lang w:bidi="fa-IR"/>
        </w:rPr>
        <w:t>.</w:t>
      </w:r>
      <w:bookmarkStart w:id="330" w:name="pg6142_67405"/>
    </w:p>
    <w:p>
      <w:pPr>
        <w:pStyle w:val="Heading5"/>
        <w:numPr>
          <w:ilvl w:val="4"/>
          <w:numId w:val="1"/>
        </w:numPr>
        <w:rPr/>
      </w:pPr>
      <w:bookmarkStart w:id="331" w:name="__RefHeading___Toc189134_237004111"/>
      <w:bookmarkStart w:id="332" w:name="_Toc127"/>
      <w:bookmarkEnd w:id="330"/>
      <w:bookmarkEnd w:id="331"/>
      <w:r>
        <w:rPr>
          <w:rtl w:val="true"/>
        </w:rPr>
        <w:t>ادلۀ اماریت حمل</w:t>
      </w:r>
      <w:bookmarkEnd w:id="332"/>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برخی مانند علامه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تحریرالاحکام،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اردبیلی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می‌رسد این اجماع منقول و محتمل المدرکیه بوده و لذا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زن عادة قبل از آن‌که حیض شود، حامله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قطعاً علامت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شیخ طوسی در مبسوط اشاره کرده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دلیل ضمن آن‌که ثابت می‌کند با حامله شدن زن می‌توان پی به بلوغ او برد، هم‌چنین نشان دهنده تحقق بلوغ در زمان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مسبوق به انزال است؛ چون پیدایش بچه از اختلاط ماء الرجل و ماء المرئة حاصل می‌شود، چنان‌چه آیه یَخْرُجُ مِنْ بَیْنِ الصُّلْبِ وَ التَّرائِبِ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مربوط به مرد و ترائب مربوط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آیۀ إِنّا خَلَقْنَا الْإِنْسانَ مِنْ نُطْفَةٍ أَمْشاجٍ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أَمْشاجٍ یعنی نطفه‌ای که مخلوط از منی زن و منی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روایات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توسط شیخ طوسی بیان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پس حمل ضمن آن‌که دلالت بر اصل بلوغ می‌کند، کاشف از تحقق آن در زمان سابق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برخی از روایات بر این مطلب دلالت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الحسین بن سعید، عن علی بن حدید، عن جمیل بن دراج، عن بعض اصحابنا، عن احدهما علیهما السلام، فی الرجل یطلق الصبیة التی لم تبلغ ولا یحمل مثلها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عدة وان دخل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مورد مردی که دختربچه غیربالغ که مثل او حامله نمی‌شود را طلاق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 او لازم نیست هرچند مدخول‌بها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هم با آن‌که مرسل است ولی با توجه به نقل جمیل بن دراج که از اصحاب اجماع است و طبق نظر بسیاری از اهل فن، ارسال از اصحاب اجماع موجب ضعف روایت نمی‌شود،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یحمل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ذکر شده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است که هنوز آمادگی حمل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آمادگی در او پیدا نشود این تکلیف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استعداد حمل، ملاک تعلق تکلیف باشد به طریق اولی حمل معیار توجه تکلیف و البته کاشف از سبق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این روایت استعداد حمل را ملاک توجه تکلیف قرار داده، لذا دیگر علامت و نشانۀ مستقلی محسوب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چون استعداد حمل در واقع به واسطه حیض و احتلام محقق می‌شود که آن‌ها خود مبدأ ثبوت تکلیف بر دختران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الحسین بن سعید، عن ابن ابی عمیر، عن حماد، عن الحلبی، عن ابی عبدالله علیه السلام انه قال فی رجل ابتاع جاریة ولم تطمث،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صغیرة لا یتخوف علیها الحبل فلیس له علیها عدة ولیطأها ان شاء وان کانت قد بلغت فان علیها العدة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مردی که جاریه‌ای که هنوز حیض نشده را خریداری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صغیره باشد به نحوی که خوف حمل در مورد او نیست پس عده بر او لازم نیست و چنان‌چه بخواهد می‌تواند با او آمیزش کند و اگر بالغ شده است بر او عده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خوف حمل و عدم آن ملاک است و چنان‌چه صغیره باشد خوف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حمل دلیل بر بلوغ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ابی علی الاشعری، عن محمد بن عبدالجبار وعن الرزاز، عن ایوب بن نوح وعن حمید بن زیاد، عن ابن سماعة، جمیعا عن صفوان، عن محمد بن حکیم، عن محمد بن مسلم،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تحبل مثلها لا عدة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 الدماء،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bookmarkStart w:id="333" w:name="pg6142_67408"/>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مثل او حامله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حمل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ذیل این روایت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یدل علی حکم الصغیرة ایضا وهو ظاهر</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همان، 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 عده بر دختران صغیر لازم نیست؛ چون امکان حمل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امکان حمل یکی از علایم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امکان حمل علامت بلوغ باشد، خود حمل به طریق اولی دلیل بر بلوغ و البته کاشف از سبق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الحسین بن سعید، عن القاسم، عن ابان،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الجاریة التی لا یخاف علیها الحبل،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دختری که خوف حمل در او نیست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نیز مانند روایات سابق است</w:t>
      </w:r>
      <w:r>
        <w:rPr>
          <w:rFonts w:eastAsia="IRNazanin" w:cs="IRNazanin"/>
          <w:color w:val="111111"/>
          <w:sz w:val="28"/>
          <w:szCs w:val="28"/>
          <w:rtl w:val="true"/>
          <w:lang w:bidi="fa-IR"/>
        </w:rPr>
        <w:t>.</w:t>
      </w:r>
    </w:p>
    <w:p>
      <w:pPr>
        <w:pStyle w:val="Heading5"/>
        <w:numPr>
          <w:ilvl w:val="4"/>
          <w:numId w:val="1"/>
        </w:numPr>
        <w:rPr/>
      </w:pPr>
      <w:bookmarkStart w:id="334" w:name="__RefHeading___Toc189136_237004111"/>
      <w:bookmarkStart w:id="335" w:name="_Toc128"/>
      <w:bookmarkEnd w:id="334"/>
      <w:r>
        <w:rPr>
          <w:rtl w:val="true"/>
        </w:rPr>
        <w:t>نتیجه</w:t>
      </w:r>
      <w:bookmarkEnd w:id="335"/>
    </w:p>
    <w:p>
      <w:pPr>
        <w:pStyle w:val="BookText"/>
        <w:rPr/>
      </w:pPr>
      <w:r>
        <w:rPr>
          <w:rFonts w:ascii="IRNazanin" w:hAnsi="IRNazanin" w:eastAsia="IRNazanin"/>
          <w:color w:val="111111"/>
          <w:sz w:val="28"/>
          <w:sz w:val="28"/>
          <w:szCs w:val="28"/>
          <w:rtl w:val="true"/>
          <w:lang w:bidi="fa-IR"/>
        </w:rPr>
        <w:t>مجموع ادلۀ مذکور دلالت می‌کند بر این‌که از راه حمل می‌توان به تحقق بلوغ در زمان سابق یقین پیدا کرد</w:t>
      </w:r>
      <w:r>
        <w:rPr>
          <w:rFonts w:eastAsia="IRNazanin" w:cs="IRNazanin"/>
          <w:color w:val="111111"/>
          <w:sz w:val="28"/>
          <w:szCs w:val="28"/>
          <w:rtl w:val="true"/>
          <w:lang w:bidi="fa-IR"/>
        </w:rPr>
        <w:t>.</w:t>
      </w:r>
    </w:p>
    <w:p>
      <w:pPr>
        <w:pStyle w:val="Heading5"/>
        <w:numPr>
          <w:ilvl w:val="4"/>
          <w:numId w:val="1"/>
        </w:numPr>
        <w:rPr/>
      </w:pPr>
      <w:bookmarkStart w:id="336" w:name="__RefHeading___Toc189138_237004111"/>
      <w:bookmarkStart w:id="337" w:name="_Toc129"/>
      <w:bookmarkEnd w:id="336"/>
      <w:r>
        <w:rPr>
          <w:rtl w:val="true"/>
        </w:rPr>
        <w:t>مدخلیت وضع در اماریت حمل</w:t>
      </w:r>
      <w:bookmarkEnd w:id="3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جمله علامه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دلیلیت حمل بر بلوغ متوقف بر وضع</w:t>
      </w:r>
    </w:p>
    <w:p>
      <w:pPr>
        <w:pStyle w:val="BookText"/>
        <w:rPr/>
      </w:pPr>
      <w:r>
        <w:rPr>
          <w:rFonts w:ascii="IRNazanin" w:hAnsi="IRNazanin" w:eastAsia="IRNazanin"/>
          <w:color w:val="111111"/>
          <w:sz w:val="28"/>
          <w:sz w:val="28"/>
          <w:szCs w:val="28"/>
          <w:rtl w:val="true"/>
          <w:lang w:bidi="fa-IR"/>
        </w:rPr>
        <w:t>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تأکید بر این‌که حمل دلیل بر بلوغ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الولد لا یتیقن الا بالوضع فاذا وضعت حکمنا بالبلوغ قبل الوضع بستة اشهر وشیء لان اقل الحمل ستة اشهر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تذکرة الفقها،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بچه متقین نیست مگر آن‌که متولد شود و پس از تولد می‌توانیم حکم به تحقق بلوغ قبل از شش ماه و اندی نماییم چون اقل حمل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این نظر را به شهید ثانی نسبت می‌دهد</w:t>
      </w:r>
      <w:r>
        <w:rPr>
          <w:rStyle w:val="FootnoteAnchor"/>
          <w:rtl w:val="true"/>
        </w:rPr>
        <w:footnoteReference w:id="177"/>
      </w:r>
      <w:r>
        <w:rPr>
          <w:rFonts w:ascii="IRNazanin" w:hAnsi="IRNazanin" w:eastAsia="IRNazanin"/>
          <w:color w:val="111111"/>
          <w:sz w:val="28"/>
          <w:sz w:val="28"/>
          <w:szCs w:val="28"/>
          <w:rtl w:val="true"/>
          <w:lang w:bidi="fa-IR"/>
        </w:rPr>
        <w:t>که در مسالک چنین گفته ولی ما در مسالک چنین مطلبی را مشاهده نکردیم، بلکه عبارت شهید ثانی در مسالک بر خلاف ادعای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دلالتهما علی سبقه انهما اذا وقعا یحکم ببلوغ المرئة قبلهما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ومعنای دلالت حیض و حمل بر سبق بلوغ این استکه اگر حیض و حمل محقق شوند حکم به بلوغ دختر قبل از آن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ملاک، تحقق حمل است و به هیچ وجه سخن از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برخلاف نظر علامه و همفکران او از ادله استفاده می‌شود که حمل دلیل بر بلوغ است و لذا منوط به وضع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همان‌طور که صاحب جواهر فرموده حکم به بلوغ منوط به</w:t>
      </w:r>
    </w:p>
    <w:p>
      <w:pPr>
        <w:pStyle w:val="BookText"/>
        <w:rPr/>
      </w:pPr>
      <w:r>
        <w:rPr>
          <w:rFonts w:ascii="IRNazanin" w:hAnsi="IRNazanin" w:eastAsia="IRNazanin"/>
          <w:color w:val="111111"/>
          <w:sz w:val="28"/>
          <w:sz w:val="28"/>
          <w:szCs w:val="28"/>
          <w:rtl w:val="true"/>
          <w:lang w:bidi="fa-IR"/>
        </w:rPr>
        <w:t>علم به اصل حمل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الاجود اناطة الحکم بالعلم فی اصل الحمل وابتدائه فلو علم به قبل الوضع حکم بالبلوغ</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حکم به بلوغ منوط به علم به اصل حمل و ابتدای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قبل از وضع علم به حمل حاصل گردد حکم به بلوغ می‌شود</w:t>
      </w:r>
      <w:r>
        <w:rPr>
          <w:rFonts w:eastAsia="IRNazanin" w:cs="IRNazanin"/>
          <w:color w:val="111111"/>
          <w:sz w:val="28"/>
          <w:szCs w:val="28"/>
          <w:rtl w:val="true"/>
          <w:lang w:bidi="fa-IR"/>
        </w:rPr>
        <w:t>».</w:t>
      </w:r>
      <w:bookmarkStart w:id="338" w:name="pg6142_67411"/>
    </w:p>
    <w:p>
      <w:pPr>
        <w:pStyle w:val="Heading4"/>
        <w:numPr>
          <w:ilvl w:val="3"/>
          <w:numId w:val="1"/>
        </w:numPr>
        <w:rPr/>
      </w:pPr>
      <w:bookmarkStart w:id="339" w:name="__RefHeading___Toc189140_237004111"/>
      <w:bookmarkStart w:id="340" w:name="_Toc130"/>
      <w:bookmarkEnd w:id="338"/>
      <w:bookmarkEnd w:id="339"/>
      <w:r>
        <w:rPr>
          <w:rtl w:val="true"/>
        </w:rPr>
        <w:t>گفتار دوم</w:t>
      </w:r>
      <w:r>
        <w:rPr>
          <w:rtl w:val="true"/>
        </w:rPr>
        <w:t xml:space="preserve">: </w:t>
      </w:r>
      <w:r>
        <w:rPr>
          <w:rtl w:val="true"/>
        </w:rPr>
        <w:t>قد</w:t>
      </w:r>
      <w:bookmarkEnd w:id="340"/>
    </w:p>
    <w:p>
      <w:pPr>
        <w:pStyle w:val="Heading5"/>
        <w:numPr>
          <w:ilvl w:val="4"/>
          <w:numId w:val="1"/>
        </w:numPr>
        <w:rPr/>
      </w:pPr>
      <w:bookmarkStart w:id="341" w:name="__RefHeading___Toc189142_237004111"/>
      <w:bookmarkStart w:id="342" w:name="_Toc131"/>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در بعضی روایات امور دیگری نیز به عنوان مبدأ ثبوت برخی تکالیف بر دختران ذکر شده‌اند، لکن فقها ضمن برشمردن آن‌ها نوعاً این امور را به عنوان نشانه‌های بلوغ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این امور تعبیر به مقارنات بلوغ کرده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و گفتارهای بعدی اشارۀ مختصری به این موارد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اندازه خاصی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اگر شخص به آن حد رسید برخی احکام بر او ثابت می‌شوند؛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ذبیحة الصبی،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تحرک وکان له خمسة اشبار واطاق الشفرة، الحدیث</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3" w:name="pg6142_67412"/>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حکم ذبیحه کودک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ذابح کودکی فعال و قد او پنج وجب باشد و بتواند چاقوی بزرگ در دست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ظاهر روایت اگر ذابح کودک باشد شرایطی لازم دارد؛ از جمله آن‌که قد او پنج وجب باشد و پنج وجب متعارف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الحسین بن محمد، عن معلی بن محمد، عن الوشاء، عن ابان بن عثمان، عن 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الصبی خمسة اشبار اکلت ذبیحته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پنج وجب برسد، خوردن ذبیحۀ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اظهر از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روایات آن است که خصوصیات مذکور از جمله قد، حداقل در خصوص این حکم مدخلیت دارد ولی با عنایت به این‌که هیچ کس بر اساس آن فتوا نداده و اصحاب از آن اعراض کرده‌اند، باید به نوعی این روایات را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توجیه برای این روایات ذکر شده است</w:t>
      </w:r>
      <w:r>
        <w:rPr>
          <w:rFonts w:eastAsia="IRNazanin" w:cs="IRNazanin"/>
          <w:color w:val="111111"/>
          <w:sz w:val="28"/>
          <w:szCs w:val="28"/>
          <w:rtl w:val="true"/>
          <w:lang w:bidi="fa-IR"/>
        </w:rPr>
        <w:t>:</w:t>
      </w:r>
    </w:p>
    <w:p>
      <w:pPr>
        <w:pStyle w:val="Heading5"/>
        <w:numPr>
          <w:ilvl w:val="4"/>
          <w:numId w:val="1"/>
        </w:numPr>
        <w:rPr/>
      </w:pPr>
      <w:bookmarkStart w:id="344" w:name="__RefHeading___Toc189144_237004111"/>
      <w:bookmarkStart w:id="345" w:name="_Toc132"/>
      <w:bookmarkEnd w:id="344"/>
      <w:r>
        <w:rPr>
          <w:rtl w:val="true"/>
        </w:rPr>
        <w:t>توجیه اول</w:t>
      </w:r>
      <w:bookmarkEnd w:id="345"/>
    </w:p>
    <w:p>
      <w:pPr>
        <w:pStyle w:val="BookText"/>
        <w:rPr/>
      </w:pPr>
      <w:r>
        <w:rPr>
          <w:rFonts w:ascii="IRNazanin" w:hAnsi="IRNazanin" w:eastAsia="IRNazanin"/>
          <w:color w:val="111111"/>
          <w:sz w:val="28"/>
          <w:sz w:val="28"/>
          <w:szCs w:val="28"/>
          <w:rtl w:val="true"/>
          <w:lang w:bidi="fa-IR"/>
        </w:rPr>
        <w:t>یک توجیه آن است که منظور از این حد خاص برای قد، رسیدن کودک به حد تمیز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w:t>
      </w:r>
      <w:r>
        <w:rPr>
          <w:rFonts w:eastAsia="IRNazanin" w:cs="IRNazanin"/>
          <w:color w:val="111111"/>
          <w:sz w:val="28"/>
          <w:szCs w:val="28"/>
          <w:rtl w:val="true"/>
          <w:lang w:bidi="fa-IR"/>
        </w:rPr>
        <w:t>.</w:t>
      </w:r>
      <w:bookmarkStart w:id="346" w:name="pg6142_67413"/>
    </w:p>
    <w:p>
      <w:pPr>
        <w:pStyle w:val="BookText"/>
        <w:rPr/>
      </w:pPr>
      <w:bookmarkEnd w:id="346"/>
      <w:r>
        <w:rPr>
          <w:rFonts w:ascii="IRNazanin" w:hAnsi="IRNazanin" w:eastAsia="IRNazanin"/>
          <w:color w:val="111111"/>
          <w:sz w:val="28"/>
          <w:sz w:val="28"/>
          <w:szCs w:val="28"/>
          <w:rtl w:val="true"/>
          <w:lang w:bidi="fa-IR"/>
        </w:rPr>
        <w:t>صاحب جواهر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ارادة الاشاره الی التمییز مما ذکر فی بعض النصوص من بلوغ خمسة اشبار وقوی واطاق الشفرة ونحو ذلک لا ان ذلک شرطا خصوصا بعد عدم القائل به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ذکر خصوصیاتی مانند پنج وجب قد و قدرت و توانایی به دست گرفتن چاقو و امثال آن، اشاره به تمییز کودک دارد نه آن‌که این امور شرط باشد، به خصوص آن که کسی قائل به اعتبار این امور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اعتبار این امور بدان جهت باشد که بدین‌وسیله اطمینان به ذبح با شرایط کامل از جمله بریدن رگهای چهارگانه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مضمون روایت محمد بن مسلم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دیگر این‌که گاهی حکم به عدم حلیت ذبیحه کودک می‌شود به این دلیل که شرایط لازم تذکیه احراز نشده، در حالی که باید تذکیه احراز گردد و اصالة الصحة در فعل کودک هم جاری نیست</w:t>
      </w:r>
      <w:r>
        <w:rPr>
          <w:rFonts w:eastAsia="IRNazanin" w:cs="IRNazanin"/>
          <w:color w:val="111111"/>
          <w:sz w:val="28"/>
          <w:szCs w:val="28"/>
          <w:rtl w:val="true"/>
          <w:lang w:bidi="fa-IR"/>
        </w:rPr>
        <w:t>.</w:t>
      </w:r>
    </w:p>
    <w:p>
      <w:pPr>
        <w:pStyle w:val="Heading5"/>
        <w:numPr>
          <w:ilvl w:val="4"/>
          <w:numId w:val="1"/>
        </w:numPr>
        <w:rPr/>
      </w:pPr>
      <w:bookmarkStart w:id="347" w:name="__RefHeading___Toc189146_237004111"/>
      <w:bookmarkStart w:id="348" w:name="_Toc133"/>
      <w:bookmarkEnd w:id="347"/>
      <w:r>
        <w:rPr>
          <w:rtl w:val="true"/>
        </w:rPr>
        <w:t>توجیه دوم</w:t>
      </w:r>
      <w:bookmarkEnd w:id="348"/>
    </w:p>
    <w:p>
      <w:pPr>
        <w:pStyle w:val="BookText"/>
        <w:rPr/>
      </w:pPr>
      <w:r>
        <w:rPr>
          <w:rFonts w:ascii="IRNazanin" w:hAnsi="IRNazanin" w:eastAsia="IRNazanin"/>
          <w:color w:val="111111"/>
          <w:sz w:val="28"/>
          <w:sz w:val="28"/>
          <w:szCs w:val="28"/>
          <w:rtl w:val="true"/>
          <w:lang w:bidi="fa-IR"/>
        </w:rPr>
        <w:t>توجیه دیگر این است که این اندازه از قد در واقع حاکی از سن تکلیف یعنی نه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خوئی این مطلب را در ذیل روایتی دیگر در مورد پسران ذکر کرده</w:t>
      </w:r>
      <w:r>
        <w:rPr>
          <w:rStyle w:val="FootnoteAnchor"/>
          <w:rtl w:val="true"/>
        </w:rPr>
        <w:footnoteReference w:id="182"/>
      </w:r>
      <w:r>
        <w:rPr>
          <w:rFonts w:ascii="IRNazanin" w:hAnsi="IRNazanin" w:eastAsia="IRNazanin"/>
          <w:color w:val="111111"/>
          <w:sz w:val="28"/>
          <w:sz w:val="28"/>
          <w:szCs w:val="28"/>
          <w:rtl w:val="true"/>
          <w:lang w:bidi="fa-IR"/>
        </w:rPr>
        <w:t>ولی می‌توان آن را دربارۀ دختران هم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حمل الروایة علی معرفیة وصوله سن البلوغ وهو خمس عشرة ولا یبعد ان یکون هذا هو الغالب والا فلابد</w:t>
      </w:r>
      <w:bookmarkStart w:id="349" w:name="pg6142_67414"/>
    </w:p>
    <w:p>
      <w:pPr>
        <w:pStyle w:val="BookText"/>
        <w:rPr/>
      </w:pPr>
      <w:bookmarkEnd w:id="349"/>
      <w:r>
        <w:rPr>
          <w:rFonts w:ascii="IRNazanin" w:hAnsi="IRNazanin" w:eastAsia="IRNazanin"/>
          <w:color w:val="111111"/>
          <w:sz w:val="28"/>
          <w:sz w:val="28"/>
          <w:szCs w:val="28"/>
          <w:rtl w:val="true"/>
          <w:lang w:bidi="fa-IR"/>
        </w:rPr>
        <w:t>من طرحها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باید روایت را بر معرفیت و حکایت از رسیدن به سن بلوغ یعنی پانزده سالگی حمل کرد و چه بسا غالباً این‌چنین است و الا باید روایت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این روایت با ذکر این امور در حقیقت در صدد بیان معرف و نشانۀ رسیدن به سن است؛ چون غالباً پسر با رسیدن به پانزده سالگی به چنین قدی می‌رسد ولی همین بیان را در مورد دختران نیز می‌توان گفت که چنین قدی در دختر نشانۀ رسیدن به نه سالگی است</w:t>
      </w:r>
      <w:r>
        <w:rPr>
          <w:rFonts w:eastAsia="IRNazanin" w:cs="IRNazanin"/>
          <w:color w:val="111111"/>
          <w:sz w:val="28"/>
          <w:szCs w:val="28"/>
          <w:rtl w:val="true"/>
          <w:lang w:bidi="fa-IR"/>
        </w:rPr>
        <w:t>.</w:t>
      </w:r>
    </w:p>
    <w:p>
      <w:pPr>
        <w:pStyle w:val="Heading5"/>
        <w:numPr>
          <w:ilvl w:val="4"/>
          <w:numId w:val="1"/>
        </w:numPr>
        <w:rPr/>
      </w:pPr>
      <w:bookmarkStart w:id="350" w:name="__RefHeading___Toc189148_237004111"/>
      <w:bookmarkStart w:id="351" w:name="_Toc134"/>
      <w:bookmarkEnd w:id="350"/>
      <w:r>
        <w:rPr>
          <w:rtl w:val="true"/>
        </w:rPr>
        <w:t>بررسی توجیه دوم</w:t>
      </w:r>
      <w:bookmarkEnd w:id="351"/>
    </w:p>
    <w:p>
      <w:pPr>
        <w:pStyle w:val="BookText"/>
        <w:rPr/>
      </w:pPr>
      <w:r>
        <w:rPr>
          <w:rFonts w:ascii="IRNazanin" w:hAnsi="IRNazanin" w:eastAsia="IRNazanin"/>
          <w:color w:val="111111"/>
          <w:sz w:val="28"/>
          <w:sz w:val="28"/>
          <w:szCs w:val="28"/>
          <w:rtl w:val="true"/>
          <w:lang w:bidi="fa-IR"/>
        </w:rPr>
        <w:t>این توجیه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بین پنج وجب و پانزده سالگی در پسران و نه سالگی در دختران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مسئله در دختران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 مؤیدی هم برای این توجیه وجود ندارد، مگر آن‌چه که ایشان به عنوان اشکال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وضرورة انه اذا افترضنا سبیین متساوین فی السن ولکن بلغ احد هما خمسة اشبار دون الآخر، فلازم ذلک هو ان من بلغ منهما خمسة اشبار اذا قتل نفسا متعمدا اقتص منه دون الآخر وهذا مقطوع البطلان، فاذن لا بد من طرحها ورد علمها الی اهله</w:t>
      </w:r>
      <w:r>
        <w:rPr>
          <w:rFonts w:eastAsia="IRNazanin" w:cs="IRNazanin"/>
          <w:color w:val="111111"/>
          <w:sz w:val="28"/>
          <w:szCs w:val="28"/>
          <w:rtl w:val="true"/>
          <w:lang w:bidi="fa-IR"/>
        </w:rPr>
        <w:t>».</w:t>
      </w:r>
      <w:r>
        <w:rPr>
          <w:rStyle w:val="FootnoteAnchor"/>
          <w:rtl w:val="true"/>
        </w:rPr>
        <w:footnoteReference w:id="18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بچه که سنشان مساوی است و یکی قدش پنج وجب شده</w:t>
      </w:r>
      <w:bookmarkStart w:id="352" w:name="pg6142_67415"/>
    </w:p>
    <w:p>
      <w:pPr>
        <w:pStyle w:val="BookText"/>
        <w:rPr/>
      </w:pPr>
      <w:bookmarkEnd w:id="352"/>
      <w:r>
        <w:rPr>
          <w:rFonts w:ascii="IRNazanin" w:hAnsi="IRNazanin" w:eastAsia="IRNazanin"/>
          <w:color w:val="111111"/>
          <w:sz w:val="28"/>
          <w:sz w:val="28"/>
          <w:szCs w:val="28"/>
          <w:rtl w:val="true"/>
          <w:lang w:bidi="fa-IR"/>
        </w:rPr>
        <w:t xml:space="preserve">و دیگری هنوز به این اندازه نرسیده مرتکب قتل عمد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 قصاص شود و دومی قصاص نشود، در حالی که این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روایت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آن را به اهلش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مخدوش است؛ زیرا بر فرض چنین اشکالی وارد بوده و لازمه پذیرش روایت التزام به یک حکم مقطوع البطلان باشد، راه حل منحصر در توجیه ایشان نیست؛ به عبارت دیگر تنها راه فرار از این تالی فاسد این نیست که ما این امور و به ویژه قد مذکور را معرف رسیدن به سن بلوغ بدانیم، بلکه راه دیگری نیز وجود دارد و آن توجیه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می‌رسد توجیه اول مناسب‌تر از توجیه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آن‌که در این روایات امور دیگری از قبیل فعال بودن و توانایی بدست گرفتن چاقوی بزرگ هم ذکر شده است</w:t>
      </w:r>
      <w:r>
        <w:rPr>
          <w:rFonts w:eastAsia="IRNazanin" w:cs="IRNazanin"/>
          <w:color w:val="111111"/>
          <w:sz w:val="28"/>
          <w:szCs w:val="28"/>
          <w:rtl w:val="true"/>
          <w:lang w:bidi="fa-IR"/>
        </w:rPr>
        <w:t>.</w:t>
      </w:r>
    </w:p>
    <w:p>
      <w:pPr>
        <w:pStyle w:val="Heading5"/>
        <w:numPr>
          <w:ilvl w:val="4"/>
          <w:numId w:val="1"/>
        </w:numPr>
        <w:rPr/>
      </w:pPr>
      <w:bookmarkStart w:id="353" w:name="__RefHeading___Toc189150_237004111"/>
      <w:bookmarkStart w:id="354" w:name="_Toc135"/>
      <w:bookmarkEnd w:id="353"/>
      <w:r>
        <w:rPr>
          <w:rtl w:val="true"/>
        </w:rPr>
        <w:t>نتیجه</w:t>
      </w:r>
      <w:bookmarkEnd w:id="3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 عنوان مبدأ ثبوت تکلیف پذیرفت؛ مخصوصا با توجه به این‌که تفاوت‌های زیادی از این جهت بین انسان‌ها وجود دارد و نمی‌توان ضابطه‌ای برای آن تعیین کرد</w:t>
      </w:r>
      <w:r>
        <w:rPr>
          <w:rFonts w:eastAsia="IRNazanin" w:cs="IRNazanin"/>
          <w:color w:val="111111"/>
          <w:sz w:val="28"/>
          <w:szCs w:val="28"/>
          <w:rtl w:val="true"/>
          <w:lang w:bidi="fa-IR"/>
        </w:rPr>
        <w:t>.</w:t>
      </w:r>
      <w:bookmarkStart w:id="355" w:name="pg6142_67416"/>
    </w:p>
    <w:p>
      <w:pPr>
        <w:pStyle w:val="Heading4"/>
        <w:numPr>
          <w:ilvl w:val="3"/>
          <w:numId w:val="1"/>
        </w:numPr>
        <w:rPr/>
      </w:pPr>
      <w:bookmarkStart w:id="356" w:name="__RefHeading___Toc189152_237004111"/>
      <w:bookmarkStart w:id="357" w:name="_Toc136"/>
      <w:bookmarkEnd w:id="355"/>
      <w:bookmarkEnd w:id="356"/>
      <w:r>
        <w:rPr>
          <w:rtl w:val="true"/>
        </w:rPr>
        <w:t>گفتار سوم</w:t>
      </w:r>
      <w:r>
        <w:rPr>
          <w:rtl w:val="true"/>
        </w:rPr>
        <w:t xml:space="preserve">: </w:t>
      </w:r>
      <w:r>
        <w:rPr>
          <w:rtl w:val="true"/>
        </w:rPr>
        <w:t>ازدواج و دخول و</w:t>
      </w:r>
      <w:r>
        <w:rPr>
          <w:rtl w:val="true"/>
        </w:rPr>
        <w:t>...</w:t>
      </w:r>
      <w:bookmarkEnd w:id="357"/>
    </w:p>
    <w:p>
      <w:pPr>
        <w:pStyle w:val="Heading5"/>
        <w:numPr>
          <w:ilvl w:val="4"/>
          <w:numId w:val="1"/>
        </w:numPr>
        <w:rPr/>
      </w:pPr>
      <w:bookmarkStart w:id="358" w:name="__RefHeading___Toc189154_237004111"/>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در بعضی از روایات ازدواج و دخول در کنار مسئلۀ سن به عنوان مبدأ ثبوت تکلیف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بخشی از روایت حمزة بن حمران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الجاریة اذا تزوجت ودخل بها ولها تسع سنین، ذهب عنها الیتم ودفع الیها مالها وجاز امرها فی الشراء والبیع واقیمت علیها الحدود التامة واخذ لها وبها الحدیث</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هنگامی که ازدواج کند و دخول صورت بگیرد و دارای نه سال باشد، دوران یتیمی او به پایان می‌رسد و مالش به او داده می‌شود و کار او در خرید و فروش جایز و حدود تامه بر او جاری می‌گردد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زمان خروج دختر از یتم و وقت تعلق تکالیف</w:t>
      </w:r>
      <w:bookmarkStart w:id="360" w:name="pg6142_67417"/>
    </w:p>
    <w:p>
      <w:pPr>
        <w:pStyle w:val="BookText"/>
        <w:rPr/>
      </w:pPr>
      <w:bookmarkEnd w:id="360"/>
      <w:r>
        <w:rPr>
          <w:rFonts w:ascii="IRNazanin" w:hAnsi="IRNazanin" w:eastAsia="IRNazanin"/>
          <w:color w:val="111111"/>
          <w:sz w:val="28"/>
          <w:sz w:val="28"/>
          <w:szCs w:val="28"/>
          <w:rtl w:val="true"/>
          <w:lang w:bidi="fa-IR"/>
        </w:rPr>
        <w:t>و جواز تصرفات مالی رسیدن به سن نه سالگی و ازدواج و دخول به آن دختر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هم بر همین اساس فتوا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الحجر لا یرتفع عنها الا بالتزویج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کفایة الاحکام،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کسی به جز او چنین فتوایی نداده و کلام ایشان نیز قابل توجیه است؛ چون بعید نیست گفته شود منظور او این است که تزویج برای رفع حجر است نه آن‌که علامت بلوغ و مبدأ ثبوت تکلیف باشد؛ یعنی وقتی دختری ازدواج کند و به او دخول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به نه سالگی هم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 به حدی از رشد رسیده که می‌تواند صلاح و فساد خویش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روایت را هم می‌توان بر این معنا حمل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صدد بیان خصوصیت دیگری غیر از بلوغ یعنی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بخواهیم ازدواج و دخول را نشانۀ بلوغ و معیار توجه خطابات شرعی و تعلق تکالیف الهی بدانیم، لازمه‌اش آن است که در مورد دختری که به سن چهل سالگی رسیده ولی ازدواج نکرده، بگوییم بالغ نشده، در حالی که این امر مقطوع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ازدواج و دخول نمی‌تواند علامت بلوغ باشد</w:t>
      </w:r>
      <w:r>
        <w:rPr>
          <w:rFonts w:eastAsia="IRNazanin" w:cs="IRNazanin"/>
          <w:color w:val="111111"/>
          <w:sz w:val="28"/>
          <w:szCs w:val="28"/>
          <w:rtl w:val="true"/>
          <w:lang w:bidi="fa-IR"/>
        </w:rPr>
        <w:t>.</w:t>
      </w:r>
    </w:p>
    <w:p>
      <w:pPr>
        <w:pStyle w:val="Heading5"/>
        <w:numPr>
          <w:ilvl w:val="4"/>
          <w:numId w:val="1"/>
        </w:numPr>
        <w:rPr/>
      </w:pPr>
      <w:bookmarkStart w:id="361" w:name="__RefHeading___Toc189156_237004111"/>
      <w:bookmarkStart w:id="362" w:name="_Toc138"/>
      <w:bookmarkEnd w:id="361"/>
      <w:r>
        <w:rPr>
          <w:rtl w:val="true"/>
        </w:rPr>
        <w:t>سایر امور</w:t>
      </w:r>
      <w:bookmarkEnd w:id="3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دیگری همزمان با بلوغ جنسی دختر محقق می‌شوند که بعضی از آن‌ها بر اساس آن‌چه در کشف الغطاء</w:t>
      </w:r>
      <w:r>
        <w:rPr>
          <w:rStyle w:val="FootnoteAnchor"/>
          <w:rtl w:val="true"/>
        </w:rPr>
        <w:footnoteReference w:id="187"/>
      </w:r>
      <w:r>
        <w:rPr>
          <w:rFonts w:ascii="IRNazanin" w:hAnsi="IRNazanin" w:eastAsia="IRNazanin"/>
          <w:color w:val="111111"/>
          <w:sz w:val="28"/>
          <w:sz w:val="28"/>
          <w:szCs w:val="28"/>
          <w:rtl w:val="true"/>
          <w:lang w:bidi="fa-IR"/>
        </w:rPr>
        <w:t>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 موی خشن در بینی، تمایل شدید به لمس و نگاه کردن به جنس مخالف،</w:t>
      </w:r>
    </w:p>
    <w:p>
      <w:pPr>
        <w:pStyle w:val="BookText"/>
        <w:rPr/>
      </w:pPr>
      <w:r>
        <w:rPr>
          <w:rFonts w:ascii="IRNazanin" w:hAnsi="IRNazanin" w:eastAsia="IRNazanin"/>
          <w:color w:val="111111"/>
          <w:sz w:val="28"/>
          <w:sz w:val="28"/>
          <w:szCs w:val="28"/>
          <w:rtl w:val="true"/>
          <w:lang w:bidi="fa-IR"/>
        </w:rPr>
        <w:t>هیجان شهوت در موقع گوش دادن به غنا، تمایل شدید به آمیزش، خارج شدن خون استحاضه، بوی بد زیر بغل، برآمدگی پستان‌ها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اکثر این علائم در مورد پسران ذکر شده ولی دلیلی بر اختصاص آن‌ها به پسران نیست و قابل تعمیم به دختران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از این علائم می‌توان پی به بلوغ برد یا خیر؟</w:t>
      </w:r>
    </w:p>
    <w:p>
      <w:pPr>
        <w:pStyle w:val="BookText"/>
        <w:rPr/>
      </w:pPr>
      <w:r>
        <w:rPr>
          <w:rFonts w:ascii="IRNazanin" w:hAnsi="IRNazanin" w:eastAsia="IRNazanin"/>
          <w:color w:val="111111"/>
          <w:sz w:val="28"/>
          <w:sz w:val="28"/>
          <w:szCs w:val="28"/>
          <w:rtl w:val="true"/>
          <w:lang w:bidi="fa-IR"/>
        </w:rPr>
        <w:t>مرحوم کاشف الغطاء یک ضابه کلی بیان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حصل من احدها فقط علم، او من اجتماع البعض او الکل، وجب العمل علیه والا فلا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کشف الغطاء،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همۀ این امور یا یکی از آن‌ها یا اجتماع بعضی از آن‌ها یقین به تحقق بلوغ حاصل شود، در این صورت باید بر طبق آن عمل نمود و الا تکلیفی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مورد مقارنات بلوغ پسران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الامور المقارنة له فی العادة غالباً کقوة التمییز وغلظ الصوت وشق الغضروف ونتو الحنجره ونهود الثدی ونحو ذلک، فاقصاها افادة الظن بحصوله، لعدم ثبوت التلازم المورث للقطع ولا دلیل علی اعتباره فی المصداق، بل الدلیل علی خلافه قائم، ودعوی انها کانبات الشعر الخشن علی العانة، یدفعها ان الفارق بینهما الدلیل</w:t>
      </w:r>
      <w:r>
        <w:rPr>
          <w:rFonts w:eastAsia="IRNazanin" w:cs="IRNazanin"/>
          <w:color w:val="111111"/>
          <w:sz w:val="28"/>
          <w:szCs w:val="28"/>
          <w:rtl w:val="true"/>
          <w:lang w:bidi="fa-IR"/>
        </w:rPr>
        <w:t>».</w:t>
      </w:r>
      <w:r>
        <w:rPr>
          <w:rStyle w:val="FootnoteAnchor"/>
          <w:rtl w:val="true"/>
        </w:rPr>
        <w:footnoteReference w:id="1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امور مقارن با بلوغ که اغلب به نحو متعارف محقق می‌شوند مثل قدرت تمییز و غلظت صدا و ورم حنجره و برآمدگی پستان و</w:t>
      </w:r>
    </w:p>
    <w:p>
      <w:pPr>
        <w:pStyle w:val="BookText"/>
        <w:rPr/>
      </w:pPr>
      <w:r>
        <w:rPr>
          <w:rFonts w:ascii="IRNazanin" w:hAnsi="IRNazanin" w:eastAsia="IRNazanin"/>
          <w:color w:val="111111"/>
          <w:sz w:val="28"/>
          <w:sz w:val="28"/>
          <w:szCs w:val="28"/>
          <w:rtl w:val="true"/>
          <w:lang w:bidi="fa-IR"/>
        </w:rPr>
        <w:t>امثال آن، نهایتاً موجب ظن به حصول بلوغ می‌شوند؛ چون ملازمه‌ای که موجب یقین به آن شود بین آن‌ها وجود ندارد و دلیلی بر اعتبار آن‌ها بخصوص نیست، بلکه دلیل بر خلاف آن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این‌که این امور هم مانند رویش موی زبر زهاری می‌باشند مردود است چون فارق بین آن‌ها دلیل است که در مورد انبات دلیل داریم ولی در مورد آن‌ها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سخن صاحب جواهر منافاتی با بیان کاشف الغطاء ندارد؛ چون طبق نظر کاشف الغطاء اگر از این نشانه‌ها و علایم یقین به بلوغ حاصل شود، باید بر طبق آن عمل کرد ولی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نشانه‌ها نهایتاً ظن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کبری با هم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صغری نیز کاشف الغطاء از این‌که آیا از این موارد علم پیدا می‌شود یا ظن، سخنی به میان نیاورده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کسی از فقها بر طبق این امارات فتوی نداده و حق همان است که کاشف‌الغطاء فرموده است</w:t>
      </w:r>
      <w:r>
        <w:rPr>
          <w:rFonts w:eastAsia="IRNazanin" w:cs="IRNazanin"/>
          <w:color w:val="111111"/>
          <w:sz w:val="28"/>
          <w:szCs w:val="28"/>
          <w:rtl w:val="true"/>
          <w:lang w:bidi="fa-IR"/>
        </w:rPr>
        <w:t>.</w:t>
      </w:r>
      <w:bookmarkStart w:id="363" w:name="pg6142_67420"/>
    </w:p>
    <w:p>
      <w:pPr>
        <w:pStyle w:val="Heading5"/>
        <w:numPr>
          <w:ilvl w:val="4"/>
          <w:numId w:val="1"/>
        </w:numPr>
        <w:rPr/>
      </w:pPr>
      <w:bookmarkStart w:id="364" w:name="__RefHeading___Toc189158_237004111"/>
      <w:bookmarkStart w:id="365" w:name="_Toc139"/>
      <w:bookmarkEnd w:id="363"/>
      <w:bookmarkEnd w:id="364"/>
      <w:r>
        <w:rPr>
          <w:rtl w:val="true"/>
        </w:rPr>
        <w:t>نتیجۀ کلی بخش دوم</w:t>
      </w:r>
      <w:bookmarkEnd w:id="365"/>
    </w:p>
    <w:p>
      <w:pPr>
        <w:pStyle w:val="BookText"/>
        <w:rPr/>
      </w:pPr>
      <w:r>
        <w:rPr>
          <w:rFonts w:ascii="IRNazanin" w:hAnsi="IRNazanin" w:eastAsia="IRNazanin"/>
          <w:color w:val="111111"/>
          <w:sz w:val="28"/>
          <w:sz w:val="28"/>
          <w:szCs w:val="28"/>
          <w:rtl w:val="true"/>
          <w:lang w:bidi="fa-IR"/>
        </w:rPr>
        <w:t>از مباحثی که در این بخش مطرح شد، معلوم گردید احتلام و حیض مبدأ ثبوت تکلیف بر دختران بوده و در واقع به منزله سبب می‌باشند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مسئله‌ای که باقی می‌ماند این است که اگر سن نه سالگی را نیز به عنوان مبدأ ثبوت تکلیف بپذیریم، با توجه به این‌که این امور نوعاً پس از نه سالگی در دختران اتفاق می‌افتد، آن‌گاه فایده ذکر این علائم و نشانه‌ها چیست؟ به این مسئله در آینده رسیدگی خواهیم کرد</w:t>
      </w:r>
      <w:r>
        <w:rPr>
          <w:rFonts w:eastAsia="IRNazanin" w:cs="IRNazanin"/>
          <w:color w:val="111111"/>
          <w:sz w:val="28"/>
          <w:szCs w:val="28"/>
          <w:rtl w:val="true"/>
          <w:lang w:bidi="fa-IR"/>
        </w:rPr>
        <w:t>.</w:t>
      </w:r>
      <w:bookmarkStart w:id="366" w:name="pg6142_67422"/>
    </w:p>
    <w:p>
      <w:pPr>
        <w:pStyle w:val="Heading2"/>
        <w:numPr>
          <w:ilvl w:val="1"/>
          <w:numId w:val="1"/>
        </w:numPr>
        <w:rPr/>
      </w:pPr>
      <w:bookmarkStart w:id="367" w:name="__RefHeading___Toc189160_237004111"/>
      <w:bookmarkStart w:id="368" w:name="_Toc140"/>
      <w:bookmarkEnd w:id="366"/>
      <w:bookmarkEnd w:id="367"/>
      <w:r>
        <w:rPr>
          <w:rtl w:val="true"/>
        </w:rPr>
        <w:t>بخش سوم</w:t>
      </w:r>
      <w:r>
        <w:rPr>
          <w:rtl w:val="true"/>
        </w:rPr>
        <w:t xml:space="preserve">: </w:t>
      </w:r>
      <w:r>
        <w:rPr>
          <w:rtl w:val="true"/>
        </w:rPr>
        <w:t>سنّ</w:t>
      </w:r>
      <w:bookmarkEnd w:id="3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189162_237004111"/>
      <w:bookmarkStart w:id="370" w:name="_Toc141"/>
      <w:bookmarkEnd w:id="369"/>
      <w:r>
        <w:rPr>
          <w:rtl w:val="true"/>
        </w:rPr>
        <w:t>اشاره</w:t>
      </w:r>
      <w:bookmarkStart w:id="371" w:name="pg6142_67424"/>
      <w:bookmarkEnd w:id="370"/>
    </w:p>
    <w:p>
      <w:pPr>
        <w:pStyle w:val="Heading3"/>
        <w:numPr>
          <w:ilvl w:val="2"/>
          <w:numId w:val="1"/>
        </w:numPr>
        <w:rPr/>
      </w:pPr>
      <w:bookmarkStart w:id="372" w:name="__RefHeading___Toc189164_237004111"/>
      <w:bookmarkStart w:id="373" w:name="_Toc142"/>
      <w:bookmarkEnd w:id="371"/>
      <w:bookmarkEnd w:id="372"/>
      <w:r>
        <w:rPr>
          <w:rtl w:val="true"/>
        </w:rPr>
        <w:t>مقدمه</w:t>
      </w:r>
      <w:bookmarkEnd w:id="373"/>
    </w:p>
    <w:p>
      <w:pPr>
        <w:pStyle w:val="BookText"/>
        <w:rPr/>
      </w:pPr>
      <w:r>
        <w:rPr>
          <w:rFonts w:ascii="IRNazanin" w:hAnsi="IRNazanin" w:eastAsia="IRNazanin"/>
          <w:color w:val="111111"/>
          <w:sz w:val="28"/>
          <w:sz w:val="28"/>
          <w:szCs w:val="28"/>
          <w:rtl w:val="true"/>
          <w:lang w:bidi="fa-IR"/>
        </w:rPr>
        <w:t>در بخش پیشین بلوغ جنسی و کمال طبیعی دختران و آمادگی آنان برای ازدواج و آمیزش و تولید مثل و نشانه‌های طبیعی آن‌که در ادله به عنوان ملاک ثبوت تکلیف ذکر شده‌اند،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مسئلۀ سن که در روایات به عنوان مبدأ ثبوت تکلیف و تعلق احکام به دختران ذکر شده خواهیم پرداخت</w:t>
      </w:r>
      <w:r>
        <w:rPr>
          <w:rFonts w:eastAsia="IRNazanin" w:cs="IRNazanin"/>
          <w:color w:val="111111"/>
          <w:sz w:val="28"/>
          <w:szCs w:val="28"/>
          <w:rtl w:val="true"/>
          <w:lang w:bidi="fa-IR"/>
        </w:rPr>
        <w:t>.</w:t>
      </w:r>
    </w:p>
    <w:p>
      <w:pPr>
        <w:pStyle w:val="Heading3"/>
        <w:numPr>
          <w:ilvl w:val="2"/>
          <w:numId w:val="1"/>
        </w:numPr>
        <w:rPr/>
      </w:pPr>
      <w:bookmarkStart w:id="374" w:name="__RefHeading___Toc189166_237004111"/>
      <w:bookmarkStart w:id="375" w:name="_Toc143"/>
      <w:bookmarkEnd w:id="374"/>
      <w:r>
        <w:rPr>
          <w:rtl w:val="true"/>
        </w:rPr>
        <w:t>احتمالات سه گانه در مورد سن</w:t>
      </w:r>
      <w:bookmarkEnd w:id="375"/>
    </w:p>
    <w:p>
      <w:pPr>
        <w:pStyle w:val="BookText"/>
        <w:rPr/>
      </w:pPr>
      <w:r>
        <w:rPr>
          <w:rFonts w:ascii="IRNazanin" w:hAnsi="IRNazanin" w:eastAsia="IRNazanin"/>
          <w:color w:val="111111"/>
          <w:sz w:val="28"/>
          <w:sz w:val="28"/>
          <w:szCs w:val="28"/>
          <w:rtl w:val="true"/>
          <w:lang w:bidi="fa-IR"/>
        </w:rPr>
        <w:t>به طور کلی در مورد سن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همانند احتلام و حیض یکی از نشانه‌های طبیعی بلوغ جنسی به عنوان مبدأ ثبوت تکلیف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یک اماره تعبدی بر بلوغ جنسی و کمال مذکور باشد؛ به این معنا که شارع ضمن پذیرش بلوغ جنسی به عنوان معیار تعلق تکالیف و حقوق، به غیر از نشانه‌ها و امارات طبیعی اماره دیگری</w:t>
      </w:r>
      <w:bookmarkStart w:id="376" w:name="pg6142_67425"/>
    </w:p>
    <w:p>
      <w:pPr>
        <w:pStyle w:val="BookText"/>
        <w:rPr/>
      </w:pPr>
      <w:bookmarkEnd w:id="376"/>
      <w:r>
        <w:rPr>
          <w:rFonts w:ascii="IRNazanin" w:hAnsi="IRNazanin" w:eastAsia="IRNazanin"/>
          <w:color w:val="111111"/>
          <w:sz w:val="28"/>
          <w:sz w:val="28"/>
          <w:szCs w:val="28"/>
          <w:rtl w:val="true"/>
          <w:lang w:bidi="fa-IR"/>
        </w:rPr>
        <w:t>نیز در این مورد قرار داده و آن سن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سن یک اماره تعبدی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مطلقاً اماره بر بلوغ جنسی نبوده بلکه خودش مستقلا و با صرف نظر از بلوغ جنسی مبدأ ثبوت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دو فرض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سن منحصراً بلوغ محسوب شده و به تنهایی مبدأ ثبوت تکلیف باشد و دیگر آن‌که سن و بلوغ جنسی مشترکاً و به ترتیبی که در آینده ذکر خواهد شد، مبدأ ثبوت تکلیف باشند</w:t>
      </w:r>
      <w:r>
        <w:rPr>
          <w:rFonts w:eastAsia="IRNazanin" w:cs="IRNazanin"/>
          <w:color w:val="111111"/>
          <w:sz w:val="28"/>
          <w:szCs w:val="28"/>
          <w:rtl w:val="true"/>
          <w:lang w:bidi="fa-IR"/>
        </w:rPr>
        <w:t>.</w:t>
      </w:r>
    </w:p>
    <w:p>
      <w:pPr>
        <w:pStyle w:val="Heading3"/>
        <w:numPr>
          <w:ilvl w:val="2"/>
          <w:numId w:val="1"/>
        </w:numPr>
        <w:rPr/>
      </w:pPr>
      <w:bookmarkStart w:id="377" w:name="__RefHeading___Toc189168_237004111"/>
      <w:bookmarkStart w:id="378" w:name="_Toc144"/>
      <w:bookmarkEnd w:id="377"/>
      <w:r>
        <w:rPr>
          <w:rtl w:val="true"/>
        </w:rPr>
        <w:t>بررسی احتمالات سه گانه</w:t>
      </w:r>
      <w:bookmarkEnd w:id="378"/>
    </w:p>
    <w:p>
      <w:pPr>
        <w:pStyle w:val="BookText"/>
        <w:rPr/>
      </w:pPr>
      <w:r>
        <w:rPr>
          <w:rFonts w:ascii="IRNazanin" w:hAnsi="IRNazanin" w:eastAsia="IRNazanin"/>
          <w:color w:val="111111"/>
          <w:sz w:val="28"/>
          <w:sz w:val="28"/>
          <w:szCs w:val="28"/>
          <w:rtl w:val="true"/>
          <w:lang w:bidi="fa-IR"/>
        </w:rPr>
        <w:t>به نظر می‌آید احتمال سوم فی الجمله بر سایر احتمالات رجحان دارد؛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را نمی‌توان به عنوان اماره طبیعی بر بلوغ جنسی و کمال مذکور قلمداد کرد؛ زیرا اگرچه علائم و نشانه‌های طبیعی مانند حیض و احتلام سرانجام در سنی ظاهر می‌شوند ولی این نشانه‌ها در افراد مختلف در سنین متفاوت آشکار می‌شوند و به همین جهت تعیین سن خاص برای بلوغ جنسی در مورد همۀ افراد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اول اساساً باطل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را نمی‌توان اماره تعبدی بر بلوغ جنسی دانست و آن را نازل منزله نشانه‌های طبیعی قرار داد؛ زیرا پذیرش این امر مبتنی بر ظهور ادله در تنزیل است، در حالی که ادله چنین ظهوری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سن بخواهد یک اماره تعبدی بر یک پدیده طبیعی باشد،</w:t>
      </w:r>
    </w:p>
    <w:p>
      <w:pPr>
        <w:pStyle w:val="BookText"/>
        <w:rPr/>
      </w:pPr>
      <w:r>
        <w:rPr>
          <w:rFonts w:ascii="IRNazanin" w:hAnsi="IRNazanin" w:eastAsia="IRNazanin"/>
          <w:color w:val="111111"/>
          <w:sz w:val="28"/>
          <w:sz w:val="28"/>
          <w:szCs w:val="28"/>
          <w:rtl w:val="true"/>
          <w:lang w:bidi="fa-IR"/>
        </w:rPr>
        <w:t>خلاف اصل است و اصل در این موارد طبیعی بودن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دوم نیز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سن مطلقاً اماره بر بلوغ جنسی نیست بلکه زمانی که شخص به سن معینی رسید، از دید شرع و قانون بالغ شده و تکالیف بر او ثابت می‌شود و این صرفاً یک اعتبار و قرارداد است و اساساً این یک شیوه و روش عقلایی است که به جهت پرهیز از تفرق و تشتت و ضابطه‌مند کردن امور، ثبوت تکلیف را منوط به سن معینی می‌کنند؛ زیرا اگر آن را بر اموری مترتب نمایند که به حسب افراد مختلف و زمان‌ها و مکان‌های گوناگون تغییر می‌کنند، موجب هرج و مرج و خلاف حکمت وضع قوانین و مقررات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احتمال سوم بر دو احتمال دیگر فی الجمله رجحان دارد ولی این‌که کدام یک از دو فرض این احتمال مورد پذیرش است، مطلبی است که در آینده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این بخش در پی آن هستیم، بررسی این مطلب است که آیا در شرع سن خاصی برای ثبوت تکالیف و حقوق بر دختران، تعیین شده یا خیر؟ با بررسی ادله مشخص می‌شود که در قرآن هیچ اشاره‌ای به اعتبار سنّ خاصی برای ثبوت احکام و تکالیف، نه برای پسران و نه برای دختران،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آیات مربوطه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دلیل در این رابطه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خود متعرض اجماع هم خواهیم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این فصل مورد بحث قرار خواهند گرفت، روایاتی</w:t>
      </w:r>
    </w:p>
    <w:p>
      <w:pPr>
        <w:pStyle w:val="BookText"/>
        <w:rPr/>
      </w:pPr>
      <w:r>
        <w:rPr>
          <w:rFonts w:ascii="IRNazanin" w:hAnsi="IRNazanin" w:eastAsia="IRNazanin"/>
          <w:color w:val="111111"/>
          <w:sz w:val="28"/>
          <w:sz w:val="28"/>
          <w:szCs w:val="28"/>
          <w:rtl w:val="true"/>
          <w:lang w:bidi="fa-IR"/>
        </w:rPr>
        <w:t>هستند که یا به خصوص در مورد دختران وارد شده‌اند و یا به قرائنی ظهور در شمول نسبت به دختران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روایات دو طایفه‌اند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طایفۀ اول آن‌ها که به صورت مردّد دو عدد سنّی را برای بلوغ دختران و توجه تکالیف به آن‌ها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دوم آن‌ها که به صورت قطعی سنی را معیار قرار داده و آن را تعیین کرده‌اند</w:t>
      </w:r>
      <w:r>
        <w:rPr>
          <w:rFonts w:eastAsia="IRNazanin" w:cs="IRNazanin"/>
          <w:color w:val="111111"/>
          <w:sz w:val="28"/>
          <w:szCs w:val="28"/>
          <w:rtl w:val="true"/>
          <w:lang w:bidi="fa-IR"/>
        </w:rPr>
        <w:t>.</w:t>
      </w:r>
      <w:bookmarkStart w:id="379" w:name="pg6142_67428"/>
    </w:p>
    <w:p>
      <w:pPr>
        <w:pStyle w:val="Heading3"/>
        <w:numPr>
          <w:ilvl w:val="2"/>
          <w:numId w:val="1"/>
        </w:numPr>
        <w:rPr/>
      </w:pPr>
      <w:bookmarkStart w:id="380" w:name="__RefHeading___Toc189170_237004111"/>
      <w:bookmarkStart w:id="381" w:name="_Toc145"/>
      <w:bookmarkEnd w:id="379"/>
      <w:bookmarkEnd w:id="380"/>
      <w:r>
        <w:rPr>
          <w:rtl w:val="true"/>
        </w:rPr>
        <w:t>گفتار اول</w:t>
      </w:r>
      <w:r>
        <w:rPr>
          <w:rtl w:val="true"/>
        </w:rPr>
        <w:t xml:space="preserve">: </w:t>
      </w:r>
      <w:r>
        <w:rPr>
          <w:rtl w:val="true"/>
        </w:rPr>
        <w:t>روایات مردّد</w:t>
      </w:r>
      <w:bookmarkEnd w:id="381"/>
    </w:p>
    <w:p>
      <w:pPr>
        <w:pStyle w:val="Heading4"/>
        <w:numPr>
          <w:ilvl w:val="3"/>
          <w:numId w:val="1"/>
        </w:numPr>
        <w:rPr/>
      </w:pPr>
      <w:bookmarkStart w:id="382" w:name="__RefHeading___Toc189172_237004111"/>
      <w:bookmarkStart w:id="383" w:name="_Toc146"/>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قبل از نقل و بررسی این طایفه از روایات ذکر دو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این‌که از این طایفه تعبیر به روایات مردّد کردیم این است که در این روایات دو عدد سنّی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عطف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دو عدد سنّی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شده‌اند، تعبیر دقیقی نیست ولی از آن‌جا که در این روایات سن خاصی به صورت معین ذکر نشده، می‌توان به نوعی از این عنوان استفاده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که مهم تر می‌باشد پیرامون وجه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سن بلوغ به صورت مردّد در روایاتی که سن انجام تکلیف نماز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داده‌اند، چندان مهم نیست؛ زیرا این روایات به قرائن روشنی حمل بر تمرین و تأدیب می‌شوند و در این موارد عدم تعیین سن مشکلی ایجاد نمی‌کند، لکن چنان‌چه شارع سنی را برای</w:t>
      </w:r>
    </w:p>
    <w:p>
      <w:pPr>
        <w:pStyle w:val="BookText"/>
        <w:rPr/>
      </w:pPr>
      <w:r>
        <w:rPr>
          <w:rFonts w:ascii="IRNazanin" w:hAnsi="IRNazanin" w:eastAsia="IRNazanin"/>
          <w:color w:val="111111"/>
          <w:sz w:val="28"/>
          <w:sz w:val="28"/>
          <w:szCs w:val="28"/>
          <w:rtl w:val="true"/>
          <w:lang w:bidi="fa-IR"/>
        </w:rPr>
        <w:t>بلوغ و زمان اتیان به تکالیف بیان کند و جنبه تمرین و تأدیب نداشته باشد، دیگر بیان به صورت مردّد وجهی نداشته بلکه مخلّ به غرض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این تردیدها چاره جوئی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تردیدها وجوهی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این روایات در مقام بیان تقریبی سن بلوغ جنسی می‌باشند، چنان‌چه در عرف هم بیان تقریبی مخصوصاً در کمیات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غرض اصلی بیان رسیدن به بلوغ جنسی است؛ یعنی میزان و ملاک برای تعلق تکالیف بلوغ جنسی بوده و این روایات در واقع درصدد بیان حدود سنی است که افراد در آن به بلوغ جنسی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یحمل الاختلاف فی هذه الاخبار علی اختلاف الناس فی الفهم والذکاء وقوة العقل وقوة البدن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اختلاف در این اخبار حمل بر اختلاف مردم در فهم و زکاوت و قدرت عقلی و بدنی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کلام مربوط به خصوص بلوغ جنسی نبوده بلکه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روایات مذکور در واقع ملحق به روایاتی می‌شوند که به نوعی مبدأ ثبوت تکلیف بر دختران را احتلام یا حیض قرار داده‌اند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آن‌که تردیدهای موجود در این روایات به نوعی به تعیین برگردد؛ بدین معنا که از دو عدد سنّی یکی اشاره به اکمال</w:t>
      </w:r>
      <w:bookmarkStart w:id="384" w:name="pg6142_67430"/>
    </w:p>
    <w:p>
      <w:pPr>
        <w:pStyle w:val="BookText"/>
        <w:rPr/>
      </w:pPr>
      <w:bookmarkEnd w:id="384"/>
      <w:r>
        <w:rPr>
          <w:rFonts w:ascii="IRNazanin" w:hAnsi="IRNazanin" w:eastAsia="IRNazanin"/>
          <w:color w:val="111111"/>
          <w:sz w:val="28"/>
          <w:sz w:val="28"/>
          <w:szCs w:val="28"/>
          <w:rtl w:val="true"/>
          <w:lang w:bidi="fa-IR"/>
        </w:rPr>
        <w:t>یک سن و دیگری اشاره به دخول در آن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مخصوصاً در مورد روایاتی که در آن سنین مختلف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شده‌اند،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یک از این روایات حمل بر عدد معینی شده و در این صورت داخل طایفۀ دوم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از روایات را می‌توان به چند دسته تقسیم کرد</w:t>
      </w:r>
      <w:r>
        <w:rPr>
          <w:rFonts w:eastAsia="IRNazanin" w:cs="IRNazanin"/>
          <w:color w:val="111111"/>
          <w:sz w:val="28"/>
          <w:szCs w:val="28"/>
          <w:rtl w:val="true"/>
          <w:lang w:bidi="fa-IR"/>
        </w:rPr>
        <w:t>.</w:t>
      </w:r>
    </w:p>
    <w:p>
      <w:pPr>
        <w:pStyle w:val="Heading4"/>
        <w:numPr>
          <w:ilvl w:val="3"/>
          <w:numId w:val="1"/>
        </w:numPr>
        <w:rPr/>
      </w:pPr>
      <w:bookmarkStart w:id="385" w:name="__RefHeading___Toc189174_237004111"/>
      <w:bookmarkStart w:id="386" w:name="_Toc147"/>
      <w:bookmarkEnd w:id="385"/>
      <w:r>
        <w:rPr>
          <w:rtl w:val="true"/>
        </w:rPr>
        <w:t>دستۀ اول</w:t>
      </w:r>
      <w:bookmarkEnd w:id="386"/>
    </w:p>
    <w:p>
      <w:pPr>
        <w:pStyle w:val="BookText"/>
        <w:rPr/>
      </w:pPr>
      <w:r>
        <w:rPr>
          <w:rFonts w:ascii="IRNazanin" w:hAnsi="IRNazanin" w:eastAsia="IRNazanin"/>
          <w:color w:val="111111"/>
          <w:sz w:val="28"/>
          <w:sz w:val="28"/>
          <w:szCs w:val="28"/>
          <w:rtl w:val="true"/>
          <w:lang w:bidi="fa-IR"/>
        </w:rPr>
        <w:t xml:space="preserve">در برخی روایات سن به صورت مردّد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محمد بن علی بن محبوب، عن العباس بن معروف، عن حماد بن عیسی،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فی کم یؤخذ الصبی بالصلوة؟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سبع سنین وست سنین الحدیث</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اعداد الفرائض،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چه زمانی بچه نماز بخواند؟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شش و هفت سالگی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شامل دختران هم می‌شود؛ چون لفظ صبی عمومیت داشته و قرینه‌ای هم بر اختصاص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زمان انجام تکلیف نماز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داده شده، لکن آن را حمل بر تمرین و تأدیب کرده‌اند و هیچ کس قائل به وجوب نماز در این سن نشده است</w:t>
      </w:r>
      <w:r>
        <w:rPr>
          <w:rFonts w:eastAsia="IRNazanin" w:cs="IRNazanin"/>
          <w:color w:val="111111"/>
          <w:sz w:val="28"/>
          <w:szCs w:val="28"/>
          <w:rtl w:val="true"/>
          <w:lang w:bidi="fa-IR"/>
        </w:rPr>
        <w:t>.</w:t>
      </w:r>
      <w:bookmarkStart w:id="387" w:name="pg6142_67431"/>
    </w:p>
    <w:p>
      <w:pPr>
        <w:pStyle w:val="Heading4"/>
        <w:numPr>
          <w:ilvl w:val="3"/>
          <w:numId w:val="1"/>
        </w:numPr>
        <w:rPr/>
      </w:pPr>
      <w:bookmarkStart w:id="388" w:name="__RefHeading___Toc189176_237004111"/>
      <w:bookmarkStart w:id="389" w:name="_Toc148"/>
      <w:bookmarkEnd w:id="387"/>
      <w:bookmarkEnd w:id="388"/>
      <w:r>
        <w:rPr>
          <w:rtl w:val="true"/>
        </w:rPr>
        <w:t>دستۀ دوم</w:t>
      </w:r>
      <w:bookmarkEnd w:id="389"/>
    </w:p>
    <w:p>
      <w:pPr>
        <w:pStyle w:val="BookText"/>
        <w:rPr/>
      </w:pPr>
      <w:r>
        <w:rPr>
          <w:rFonts w:ascii="IRNazanin" w:hAnsi="IRNazanin" w:eastAsia="IRNazanin"/>
          <w:color w:val="111111"/>
          <w:sz w:val="28"/>
          <w:sz w:val="28"/>
          <w:szCs w:val="28"/>
          <w:rtl w:val="true"/>
          <w:lang w:bidi="fa-IR"/>
        </w:rPr>
        <w:t xml:space="preserve">سن در بعضی روایات به نحو مردّد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ذکر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صفوان، عن موسی بن بکر،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 لایدخل بالجاریة حتی یأتی لها تسع سنین او عشر سنین ورواه الصدوق باسناده عن موسی بن بکر ورواه الکلینی عن حمید، عن الحسن، عن صفوان مثله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الوصایا،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به دختر جایز نیست تا به سن نه یا ده سالگی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بکر اگرچه صریحاً توثیق نشده ولی به جهت روایت بعضی از مشایخ ثلاثه مانند صفوان از او می‌توان وی را موثوق 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تصریح کرده که اصحاب ما در کتاب موسی بن بکر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به سند صحیح در کافی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به طرق دیگری نیز نقل شده که محل اشکال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دالّ بر حرمت آمیزش با دختر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این قبیل روایات در مبحث بعدی سخن خواهیم گفت ولی فعلاً در مقام برطرف کردن تردید در این روایت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دو وجهی که سابقا ذکر شد، در این مورد نیز</w:t>
      </w:r>
      <w:bookmarkStart w:id="390" w:name="pg6142_67432"/>
    </w:p>
    <w:p>
      <w:pPr>
        <w:pStyle w:val="BookText"/>
        <w:rPr/>
      </w:pPr>
      <w:bookmarkEnd w:id="390"/>
      <w:r>
        <w:rPr>
          <w:rFonts w:ascii="IRNazanin" w:hAnsi="IRNazanin" w:eastAsia="IRNazanin"/>
          <w:color w:val="111111"/>
          <w:sz w:val="28"/>
          <w:sz w:val="28"/>
          <w:szCs w:val="28"/>
          <w:rtl w:val="true"/>
          <w:lang w:bidi="fa-IR"/>
        </w:rPr>
        <w:t xml:space="preserve">جریان دارد؛ یعنی یا باید بگوییم امام علیه السلام درصدد بیان تقریبی هستند و یا آن‌که منظور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دخول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هرچند احتمال دوم به قرینه روایات دیگر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خصوص این روایت و امثال آن احتمال دیگری نیز وجود دارد و آن اینکه برای حکم به جواز آمیزش،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لازم و اکمال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اولی است</w:t>
      </w:r>
      <w:r>
        <w:rPr>
          <w:rFonts w:eastAsia="IRNazanin" w:cs="IRNazanin"/>
          <w:color w:val="111111"/>
          <w:sz w:val="28"/>
          <w:szCs w:val="28"/>
          <w:rtl w:val="true"/>
          <w:lang w:bidi="fa-IR"/>
        </w:rPr>
        <w:t>.</w:t>
      </w:r>
    </w:p>
    <w:p>
      <w:pPr>
        <w:pStyle w:val="Heading4"/>
        <w:numPr>
          <w:ilvl w:val="3"/>
          <w:numId w:val="1"/>
        </w:numPr>
        <w:rPr/>
      </w:pPr>
      <w:bookmarkStart w:id="391" w:name="__RefHeading___Toc189178_237004111"/>
      <w:bookmarkStart w:id="392" w:name="_Toc149"/>
      <w:bookmarkEnd w:id="391"/>
      <w:r>
        <w:rPr>
          <w:rtl w:val="true"/>
        </w:rPr>
        <w:t>دستۀ سوّم</w:t>
      </w:r>
      <w:bookmarkEnd w:id="392"/>
    </w:p>
    <w:p>
      <w:pPr>
        <w:pStyle w:val="BookText"/>
        <w:rPr/>
      </w:pPr>
      <w:r>
        <w:rPr>
          <w:rFonts w:ascii="IRNazanin" w:hAnsi="IRNazanin" w:eastAsia="IRNazanin"/>
          <w:color w:val="111111"/>
          <w:sz w:val="28"/>
          <w:sz w:val="28"/>
          <w:szCs w:val="28"/>
          <w:rtl w:val="true"/>
          <w:lang w:bidi="fa-IR"/>
        </w:rPr>
        <w:t xml:space="preserve">قسم دیگری از روایات متعرض مسئلۀ سن به صورت مردّد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الصفار، عن السندی بن الربیع، عن یحیی بن المبارک عن عبدالله بن جبله، عن عاصم بن حمید، عن ابی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تجری الاحکام علی الصبیان؟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عشرة واربع عشرة،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یحتلم فیها،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لم یحتلم فان الاحکام تجری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ابوحمزه ثمالی از امام باقر علیه السلام سئوال می‌کند چه زمانی احکام بر اطفال جاری می‌شوند؟ امام علیه السلام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هنوز محتلم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محتلم نشده باشد اما احکام بر او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وجه اوّل از دو وجه تردید منتفی است؛ چون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الوصایا،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صراحتاً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محتلم شده باشد و چه نشده باشد، احکام بر او جاری می‌شوند؛ یعنی چه به بلوغ جنسی رسیده باشد و چه نرسیده باشد، مگر آن‌که مقصود کسی باشد که قبلاً یکی دیگر از علامات بلوغ جنسی مثل انبات در او محقق شده است، لکن این احتمال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وجه دوم محتمل است و آن این‌که مراد اکمال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باشد بر این اساس این روایت به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ملحق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احمد بن محمد بن عیسی، عن الحسن بن بنت الیاس، عن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اشده ثلاث عشرة سنة ودخل فی الاربع عشرة وجب علیه ما وجب علی المحتلمین، احتلم او لم یحتلم وکتب علیه السیئات، وکتب له الحسنات وجاز له کل شیء الا ان یکون ضعیفاً او سفیها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بلوغ اشد و سیزده سالگی برسد و داخل در چهارده سالگی بر او واجب می‌شود هر آن‌چه بر محتلمین واجب است، چه محتلم شود چه نشود و در این زمان سیئات و حسنات او نوشته می‌شوند و تصرفات مختلف برای او جایز می‌شوند، مگر آن‌که ضعیف یا سفیه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تصریح به ثبوت احکام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روایت در وجه دوم از وجوه تردید نیازی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روایت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الوصایا، ح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93" w:name="pg6142_67434"/>
    </w:p>
    <w:p>
      <w:pPr>
        <w:pStyle w:val="BookText"/>
        <w:rPr/>
      </w:pPr>
      <w:bookmarkEnd w:id="393"/>
      <w:r>
        <w:rPr>
          <w:rFonts w:ascii="IRNazanin" w:hAnsi="IRNazanin" w:eastAsia="IRNazanin"/>
          <w:color w:val="111111"/>
          <w:sz w:val="28"/>
          <w:sz w:val="28"/>
          <w:szCs w:val="28"/>
          <w:rtl w:val="true"/>
          <w:lang w:bidi="fa-IR"/>
        </w:rPr>
        <w:t xml:space="preserve">نیز ملحق به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می‌شود</w:t>
      </w:r>
      <w:r>
        <w:rPr>
          <w:rFonts w:eastAsia="IRNazanin" w:cs="IRNazanin"/>
          <w:color w:val="111111"/>
          <w:sz w:val="28"/>
          <w:szCs w:val="28"/>
          <w:rtl w:val="true"/>
          <w:lang w:bidi="fa-IR"/>
        </w:rPr>
        <w:t>.</w:t>
      </w:r>
    </w:p>
    <w:p>
      <w:pPr>
        <w:pStyle w:val="Heading4"/>
        <w:numPr>
          <w:ilvl w:val="3"/>
          <w:numId w:val="1"/>
        </w:numPr>
        <w:rPr/>
      </w:pPr>
      <w:bookmarkStart w:id="394" w:name="__RefHeading___Toc189180_237004111"/>
      <w:bookmarkStart w:id="395" w:name="_Toc150"/>
      <w:bookmarkEnd w:id="394"/>
      <w:r>
        <w:rPr>
          <w:rtl w:val="true"/>
        </w:rPr>
        <w:t>دستۀ چهارم</w:t>
      </w:r>
      <w:bookmarkEnd w:id="395"/>
    </w:p>
    <w:p>
      <w:pPr>
        <w:pStyle w:val="BookText"/>
        <w:rPr/>
      </w:pPr>
      <w:r>
        <w:rPr>
          <w:rFonts w:ascii="IRNazanin" w:hAnsi="IRNazanin" w:eastAsia="IRNazanin"/>
          <w:color w:val="111111"/>
          <w:sz w:val="28"/>
          <w:sz w:val="28"/>
          <w:szCs w:val="28"/>
          <w:rtl w:val="true"/>
          <w:lang w:bidi="fa-IR"/>
        </w:rPr>
        <w:t xml:space="preserve">در بعضی روایات تردید در مسئلۀ سن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اصحابنا، عن احمد بن محمد، عن الحسین بن سعید، عن فضالة بن ایوب، عن معاویة بن وهب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فی کم یؤخذ الصبی بالصیام؟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وبین خمس عشرة سنة واربع عشرة سنة فان هو صام قبل ذلک فدعه ولقد صام ابنی فلان قبل ذلک فترکته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من یصح منه الصوم،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چه زمانی بچه باید روزه بگیرد؟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هفت سالگی و بین پانزده سالگی و چهارده سالگی، پس اگر قبل از آن روزه گرفت او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زمان وجوب صوم بین چهارده سالگی و پانزده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روایت در مورد بلوغ پسران استناد شده ولی از آن‌جا که لفظ صبی عمومیت داشته و شامل دختران نیز می‌شود، لذا ما آن را در این مقام مورد بررسی قرار می‌دهیم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مورد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جمع بین هر دو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استحاله به</w:t>
      </w:r>
    </w:p>
    <w:p>
      <w:pPr>
        <w:pStyle w:val="BookText"/>
        <w:rPr/>
      </w:pPr>
      <w:r>
        <w:rPr>
          <w:rFonts w:ascii="IRNazanin" w:hAnsi="IRNazanin" w:eastAsia="IRNazanin"/>
          <w:color w:val="111111"/>
          <w:sz w:val="28"/>
          <w:sz w:val="28"/>
          <w:szCs w:val="28"/>
          <w:rtl w:val="true"/>
          <w:lang w:bidi="fa-IR"/>
        </w:rPr>
        <w:t xml:space="preserve">نظر ایشان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درصدر روایت ذکر شده، آن گاه ممکن نیست زمان وجوب صوم هم مابین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هم مابین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فمقتضی السیاق والتردید کون ما تقدم علیهما وقتا للتمرین والاخذ علی سبیل التأدیب فیکون البلوغ حینئذٍ باحدهما ویمتنع ان یکون الاقل والا لم یکن الزمان المتوسط بینه وبین الاکثر تمرینیا، فیتعین کونه الاکثر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مقتضای سیاق روایت و تردید در آن این است که بلوغ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تحقق پیدا می‌کند و زمان مقدم بر آن‌ها وقت تمرین و تأدیب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 ممتنع است زمان بلوغ باشد؛ چون در این صورت دیگر زمان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تمرینی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اکثر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تعین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این روایت در زمره روایات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تردید به نظر صاحب جواهر این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النکته فی التردید التنبیه علی الفرق بین المتوسط بینهما والمتقدم علیهما فی التضییق وعدمه بالنسبة الی التمرین فان الصبی یضیق علیه فیما بین الاربعة عشر والخمسة عشر، بخلاف ما تقدم من الزمان فانه لا یضیق</w:t>
      </w:r>
      <w:bookmarkStart w:id="396" w:name="pg6142_67436"/>
    </w:p>
    <w:p>
      <w:pPr>
        <w:pStyle w:val="BookText"/>
        <w:rPr/>
      </w:pPr>
      <w:bookmarkEnd w:id="396"/>
      <w:r>
        <w:rPr>
          <w:rFonts w:ascii="IRNazanin" w:hAnsi="IRNazanin" w:eastAsia="IRNazanin"/>
          <w:color w:val="111111"/>
          <w:sz w:val="28"/>
          <w:sz w:val="28"/>
          <w:szCs w:val="28"/>
          <w:rtl w:val="true"/>
          <w:lang w:bidi="fa-IR"/>
        </w:rPr>
        <w:t>علیه لبعده عن البلوغ</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نکتۀ تردید تنبیه بر فرق بین متوسط بین این دو سن و متقدم بر آن دو در سخت‌گیری و عدم آن از حیث تمرین است؛ چون در مورد بچه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سخت‌گیری می‌شود، ولی قبل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جهت دور بودن از زمان بلوغ تضییقی در کار نیست، با آن‌که در هر دو زمان عمل بچه جنبۀ تمرین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 اساس آن‌چه سابقا در مورد وجوه تردید و رجحان احتمال سوم گفته شد، اکمال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ملاک بلوغ بوده و لذا این روایت در زمرۀ روایات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نیست که صاحب جواهر به این روایت بر بلوغ پسران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استدلال کرده ولی همان‌گونه که گفته شد، این روایت به واسطۀ عمومیت واژۀ صبی شامل دختران نیز می‌شود، هرچند به قرائنی این احتمال ضعیف است</w:t>
      </w:r>
      <w:r>
        <w:rPr>
          <w:rFonts w:eastAsia="IRNazanin" w:cs="IRNazanin"/>
          <w:color w:val="111111"/>
          <w:sz w:val="28"/>
          <w:szCs w:val="28"/>
          <w:rtl w:val="true"/>
          <w:lang w:bidi="fa-IR"/>
        </w:rPr>
        <w:t>.</w:t>
      </w:r>
    </w:p>
    <w:p>
      <w:pPr>
        <w:pStyle w:val="Heading4"/>
        <w:numPr>
          <w:ilvl w:val="3"/>
          <w:numId w:val="1"/>
        </w:numPr>
        <w:rPr/>
      </w:pPr>
      <w:bookmarkStart w:id="397" w:name="__RefHeading___Toc189182_237004111"/>
      <w:bookmarkStart w:id="398" w:name="_Toc151"/>
      <w:bookmarkEnd w:id="397"/>
      <w:r>
        <w:rPr>
          <w:rtl w:val="true"/>
        </w:rPr>
        <w:t>دستۀ پنجم</w:t>
      </w:r>
      <w:bookmarkEnd w:id="398"/>
    </w:p>
    <w:p>
      <w:pPr>
        <w:pStyle w:val="BookText"/>
        <w:rPr/>
      </w:pPr>
      <w:r>
        <w:rPr>
          <w:rFonts w:ascii="IRNazanin" w:hAnsi="IRNazanin" w:eastAsia="IRNazanin"/>
          <w:color w:val="111111"/>
          <w:sz w:val="28"/>
          <w:sz w:val="28"/>
          <w:szCs w:val="28"/>
          <w:rtl w:val="true"/>
          <w:lang w:bidi="fa-IR"/>
        </w:rPr>
        <w:t xml:space="preserve">در برخی روایات سن به نحو مردد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بیان شده است؛ مانند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الخصال عن جعفر بن علی، عن ابیه علی بن الحسن، عن ابیه الحسن بن علی، عن جدّه عبدالله بن المغیرة، عن العباس بن عامر، عمن ذکره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الصبی علی الصوم ما بین خمس عشرة سنة الی ستة عشرة سنه</w:t>
      </w:r>
      <w:r>
        <w:rPr>
          <w:rFonts w:eastAsia="IRNazanin" w:cs="IRNazanin"/>
          <w:color w:val="111111"/>
          <w:sz w:val="28"/>
          <w:szCs w:val="28"/>
          <w:rtl w:val="true"/>
          <w:lang w:bidi="fa-IR"/>
        </w:rPr>
        <w:t>».</w:t>
      </w:r>
      <w:r>
        <w:rPr>
          <w:rStyle w:val="FootnoteAnchor"/>
          <w:rtl w:val="true"/>
        </w:rPr>
        <w:footnoteReference w:id="196"/>
      </w:r>
      <w:bookmarkStart w:id="399" w:name="pg6142_67437"/>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بین پانزده سالگی و شانزده سالگی بر روزه تأدیب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عطف نشده‌اند و صرفا زمان تأدیب بچه بر صوم را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داده ولی در عین حال همان دو وجه سابق در آن جریان دارد، هرچند وجه سوم اولی است</w:t>
      </w:r>
      <w:r>
        <w:rPr>
          <w:rFonts w:eastAsia="IRNazanin" w:cs="IRNazanin"/>
          <w:color w:val="111111"/>
          <w:sz w:val="28"/>
          <w:szCs w:val="28"/>
          <w:rtl w:val="true"/>
          <w:lang w:bidi="fa-IR"/>
        </w:rPr>
        <w:t>.</w:t>
      </w:r>
    </w:p>
    <w:p>
      <w:pPr>
        <w:pStyle w:val="Heading4"/>
        <w:numPr>
          <w:ilvl w:val="3"/>
          <w:numId w:val="1"/>
        </w:numPr>
        <w:rPr/>
      </w:pPr>
      <w:bookmarkStart w:id="400" w:name="__RefHeading___Toc189184_237004111"/>
      <w:bookmarkStart w:id="401" w:name="_Toc152"/>
      <w:bookmarkEnd w:id="400"/>
      <w:r>
        <w:rPr>
          <w:rtl w:val="true"/>
        </w:rPr>
        <w:t>نتیجه</w:t>
      </w:r>
      <w:bookmarkEnd w:id="4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روایاتی که در این گفتار مورد بررسی قرار گرفتند، چنان‌چه بر بیان تقریبی زمان بلوغ جنسی حمل شوند، در این صورت به روایات بخش پیشین ملحق خواهند شد ولی اگر به عدد معینی تأویل شوند در این صورت به روایات معینه ملحق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کدام یک از این دو وجه اقوی می‌باشد، امری است که در آینده بدان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دوم اقوی است؛ زیرا در برخی از این روایات تصریح به سن خاصی شده، چه احتلام حاصل شده باشد و چه نشده باشد</w:t>
      </w:r>
      <w:r>
        <w:rPr>
          <w:rFonts w:eastAsia="IRNazanin" w:cs="IRNazanin"/>
          <w:color w:val="111111"/>
          <w:sz w:val="28"/>
          <w:szCs w:val="28"/>
          <w:rtl w:val="true"/>
          <w:lang w:bidi="fa-IR"/>
        </w:rPr>
        <w:t>.</w:t>
      </w:r>
      <w:bookmarkStart w:id="402" w:name="pg6142_67438"/>
    </w:p>
    <w:p>
      <w:pPr>
        <w:pStyle w:val="Heading3"/>
        <w:numPr>
          <w:ilvl w:val="2"/>
          <w:numId w:val="1"/>
        </w:numPr>
        <w:rPr/>
      </w:pPr>
      <w:bookmarkStart w:id="403" w:name="__RefHeading___Toc189186_237004111"/>
      <w:bookmarkStart w:id="404" w:name="_Toc153"/>
      <w:bookmarkEnd w:id="402"/>
      <w:bookmarkEnd w:id="403"/>
      <w:r>
        <w:rPr>
          <w:rtl w:val="true"/>
        </w:rPr>
        <w:t>گفتار دوم</w:t>
      </w:r>
      <w:r>
        <w:rPr>
          <w:rtl w:val="true"/>
        </w:rPr>
        <w:t xml:space="preserve">: </w:t>
      </w:r>
      <w:r>
        <w:rPr>
          <w:rtl w:val="true"/>
        </w:rPr>
        <w:t>روایات غیرمردّد</w:t>
      </w:r>
      <w:bookmarkEnd w:id="404"/>
    </w:p>
    <w:p>
      <w:pPr>
        <w:pStyle w:val="Heading4"/>
        <w:numPr>
          <w:ilvl w:val="3"/>
          <w:numId w:val="1"/>
        </w:numPr>
        <w:rPr/>
      </w:pPr>
      <w:bookmarkStart w:id="405" w:name="__RefHeading___Toc189188_237004111"/>
      <w:bookmarkStart w:id="406" w:name="_Toc154"/>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 xml:space="preserve">منظور از روایات غیرمردّد روایاتی هستند که در آن بدون هیچ گونه تردیدی سن خاصی به عنوان بلوغ و ملاک تعلق تکلیف ذکر شده است؛ مثل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مشهور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به عنوان سن بلوغ و تعلق تکلیف به دختران پذیرفته‌اند و روایات بیشتری در این رابطه وجود دارد، لذا آن را پس از بقیه طوائف ذکر می‌کنیم</w:t>
      </w:r>
      <w:r>
        <w:rPr>
          <w:rFonts w:eastAsia="IRNazanin" w:cs="IRNazanin"/>
          <w:color w:val="111111"/>
          <w:sz w:val="28"/>
          <w:szCs w:val="28"/>
          <w:rtl w:val="true"/>
          <w:lang w:bidi="fa-IR"/>
        </w:rPr>
        <w:t>.</w:t>
      </w:r>
    </w:p>
    <w:p>
      <w:pPr>
        <w:pStyle w:val="Heading4"/>
        <w:numPr>
          <w:ilvl w:val="3"/>
          <w:numId w:val="1"/>
        </w:numPr>
        <w:rPr/>
      </w:pPr>
      <w:bookmarkStart w:id="407" w:name="__RefHeading___Toc189190_237004111"/>
      <w:bookmarkStart w:id="408" w:name="_Toc155"/>
      <w:bookmarkEnd w:id="407"/>
      <w:r>
        <w:rPr>
          <w:rtl w:val="true"/>
        </w:rPr>
        <w:t>دستۀ اوّل</w:t>
      </w:r>
      <w:bookmarkEnd w:id="408"/>
    </w:p>
    <w:p>
      <w:p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مبدأ تعلق تکالیف به دختران قرار داده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 عن علی بن الحسن، عن العبدی، عن الحسن بن راشد، عن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الغلام ثمانی سنین فجائز امره فی ماله وقد وجب علیه الفرائض</w:t>
      </w:r>
      <w:bookmarkStart w:id="409" w:name="pg6142_67439"/>
    </w:p>
    <w:p>
      <w:pPr>
        <w:pStyle w:val="BookText"/>
        <w:rPr/>
      </w:pPr>
      <w:bookmarkEnd w:id="409"/>
      <w:r>
        <w:rPr>
          <w:rFonts w:ascii="IRNazanin" w:hAnsi="IRNazanin" w:eastAsia="IRNazanin"/>
          <w:color w:val="111111"/>
          <w:sz w:val="28"/>
          <w:sz w:val="28"/>
          <w:szCs w:val="28"/>
          <w:rtl w:val="true"/>
          <w:lang w:bidi="fa-IR"/>
        </w:rPr>
        <w:t>والحدود واذا تم للجاریة سبع سنین فکذلک</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الوقوف و الصدقات،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پسربچه به هشت سالگی برسد و دختر بچه هفت سالش تمام شود تصرفات مالی آنها جایز و فرائض و حدود بر آن‌ها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زمان وجوب فرایض و اقامه حدود برای دختر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است؛ چون عبدی در طریق آن واقع شده که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 است که طریق شیخ طوسی به علی بن الحسن بن فضال ضعیف می‌باشد؛ چون در این طریق علی بن محمد بن زبیر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دلالت هم با وجود قراین واضح و روشن نمی‌توان پذیرفت فرایض و حدود بر دخترِ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واجب گردیده و در بین علمای امامیه و علمای عامه کسی قائل به این قول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در صدر روایت زمان بلوغ پسر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ذکر شده و این برخلاف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 باید این روایت حمل بر تمرین شود و یا بگوئیم در نسخه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استنساخ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در این صورت در زمره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خواهد گرفت و مشکلی که در صدر روایت وجود دارد را هم از راه تبعض در حجیت می‌توان حل کرد</w:t>
      </w:r>
      <w:r>
        <w:rPr>
          <w:rFonts w:eastAsia="IRNazanin" w:cs="IRNazanin"/>
          <w:color w:val="111111"/>
          <w:sz w:val="28"/>
          <w:szCs w:val="28"/>
          <w:rtl w:val="true"/>
          <w:lang w:bidi="fa-IR"/>
        </w:rPr>
        <w:t>.</w:t>
      </w:r>
    </w:p>
    <w:p>
      <w:pPr>
        <w:pStyle w:val="Heading4"/>
        <w:numPr>
          <w:ilvl w:val="3"/>
          <w:numId w:val="1"/>
        </w:numPr>
        <w:rPr/>
      </w:pPr>
      <w:bookmarkStart w:id="410" w:name="__RefHeading___Toc189192_237004111"/>
      <w:bookmarkStart w:id="411" w:name="_Toc156"/>
      <w:bookmarkEnd w:id="410"/>
      <w:r>
        <w:rPr>
          <w:rtl w:val="true"/>
        </w:rPr>
        <w:t>دستۀ دوّم</w:t>
      </w:r>
      <w:bookmarkEnd w:id="4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بعضی روایات دختر وقتی به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می‌رسد، وصیت او</w:t>
      </w:r>
    </w:p>
    <w:p>
      <w:pPr>
        <w:pStyle w:val="BookText"/>
        <w:rPr/>
      </w:pPr>
      <w:r>
        <w:rPr>
          <w:rFonts w:ascii="IRNazanin" w:hAnsi="IRNazanin" w:eastAsia="IRNazanin"/>
          <w:color w:val="111111"/>
          <w:sz w:val="28"/>
          <w:sz w:val="28"/>
          <w:szCs w:val="28"/>
          <w:rtl w:val="true"/>
          <w:lang w:bidi="fa-IR"/>
        </w:rPr>
        <w:t>نافذ و دخول به او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فقها تعداد انگشت‌شماری قائل به بلوغ دختران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الانثی وفیه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وهو تسع سنین، ذهب الیه الشیخ فی باب الحجر من کتاب المبسوط وهو مذهب ابن ادریس والمصنف والعلامه،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سنین، ذهب الیه الشیخ فی باب الصوم من الکتاب</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المهذب البارع،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 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نه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باب حجر از کتاب مبسوط این قول را اختیار کرده و رأی ابن ادریس و مصنف و علامه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سالگی که شیخ طوسی در باب صوم آن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الصوم مبسوط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البلوغ فهو شرط فی وجوب العبادات الشرعیه، وحده الاحتلام فی الرجال والحیض فی النساء او الانبات او الاشعار او یکمل له خمس عشرة سنة والمرأة تبلغ عشر سنین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بلوغ شرط وجوب عبادات شرعی است و حدّ آن در مردان احتلام و در زنان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رویش موی زهاری یا اکمال پانزده سالگی در مردان و رسیدن به ده سالگی در زنان 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بعید نیست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پسران فرموده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دختران گفته، منظور ایشان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باشد که همان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در کتاب وسیله نیز این قول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وبلوغ المرئة باحد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او تمام عشر سنین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الوسیله،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دختر به یکی از دو چیز است؛ حیض یا پایان ده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نظر شیخ طوسی در کتاب الحجر</w:t>
      </w:r>
      <w:r>
        <w:rPr>
          <w:rStyle w:val="FootnoteAnchor"/>
          <w:rtl w:val="true"/>
        </w:rPr>
        <w:footnoteReference w:id="201"/>
      </w:r>
      <w:r>
        <w:rPr>
          <w:rFonts w:ascii="IRNazanin" w:hAnsi="IRNazanin" w:eastAsia="IRNazanin"/>
          <w:color w:val="111111"/>
          <w:sz w:val="28"/>
          <w:sz w:val="28"/>
          <w:szCs w:val="28"/>
          <w:rtl w:val="true"/>
          <w:lang w:bidi="fa-IR"/>
        </w:rPr>
        <w:t>و ابن حمزه در کتاب النکاح</w:t>
      </w:r>
      <w:r>
        <w:rPr>
          <w:rStyle w:val="FootnoteAnchor"/>
          <w:rtl w:val="true"/>
        </w:rPr>
        <w:footnoteReference w:id="202"/>
      </w:r>
      <w:r>
        <w:rPr>
          <w:rFonts w:ascii="IRNazanin" w:hAnsi="IRNazanin" w:eastAsia="IRNazanin"/>
          <w:color w:val="111111"/>
          <w:sz w:val="28"/>
          <w:sz w:val="28"/>
          <w:szCs w:val="28"/>
          <w:rtl w:val="true"/>
          <w:lang w:bidi="fa-IR"/>
        </w:rPr>
        <w:t xml:space="preserve">مطابق نظر مشهور است که سن بلوغ دختران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صاحب جواهر گویا نظر این دو فقیه را در این دو کتاب دلیل بر عدول آن‌ها از قول به بلوغ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 و لذا این دو را ملحق به مشهور کرده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به هر حال در روایات متعددی نفوذ وصیت و جواز دخول، در مورد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ثابت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علی بن الحسن فضال، عن محمد بن الولید، عن ابان بن عثمان، عن عبدالرحمن بن ابی عبدالله،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الصبی خمسة اشبار اکلت ذبیحته واذا بلغ عشر سنین جازت وصیته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قد بچه به پنج وجب برسد</w:t>
      </w:r>
    </w:p>
    <w:p>
      <w:pPr>
        <w:pStyle w:val="BookText"/>
        <w:rPr/>
      </w:pPr>
      <w:r>
        <w:rPr>
          <w:rFonts w:ascii="IRNazanin" w:hAnsi="IRNazanin" w:eastAsia="IRNazanin"/>
          <w:color w:val="111111"/>
          <w:sz w:val="28"/>
          <w:sz w:val="28"/>
          <w:szCs w:val="28"/>
          <w:rtl w:val="true"/>
          <w:lang w:bidi="fa-IR"/>
        </w:rPr>
        <w:t>ذبیحۀ او قابل خوردن است و زمانی که به ده سالگی برسد وصیت او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سنداً ضعیف است؛ چون طریق شیخ به علی بن حسن بن فضّال به جهت علی بن محمد بن زبیر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حسب دلالت نفوذ وصیت صبی که در این روایت منوط به رسیدن به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 شامل دختران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باسناده عن محمد بن ابی خالد، عن محمد بن یحیی، عن غیاث بن ابراهیم، عن جعفر، عن ابیه،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توطأ جاریة لاقل من عشر سنین، فان فعل فعیبت فقد ضمن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با دختر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جایز نیست و اگر دخول محقق شود و عیبی پدیدار گردد، شخص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روشن است ولی سند آن چندان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این روایت مربوط به ازدواج است و ازدواج یک امر تعبدی نیست ولی این احتمال باطل است؛ زیرا چه بسا ازدواج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محقق شود اما در عین حال عدم جواز دخول تا رسیدن به این سن ثابت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محمد بن عیسی، عن یونس، عن ابی ایوب الخزاز، عن اسماعیل بن جعفر فی حدیث ان رسول الله صلی الله علیه و آله دخل بعایشة وهی بنت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النکاح،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سنین ولیس یدخل بالجاریة حتی تکون امرأة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وارد شده پیامبر صلی الله علیه و آله با عایشه در حالی که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بود آمیزش کرد و تا زمانی که دختر به حد زنانگی نرسد، دخول به او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این عبارت که جنبه تعلیل دارد نشان می‌دهد جواز دخول منوط به رسیدن به 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در جمله قبلی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مورد این دسته از روایات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 xml:space="preserve">احتمال اول آن‌که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مختص به همین دو حکم بوده و لذا شامل سایر تکالیف نمی‌شوند؛ یعنی رسیدن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فقط ملاک جواز وصیت و جواز دخول به دختر می‌باشد، چنان‌چه شهید ثانی در مورد روایاتی که دربارۀ پسران وارد شده و جواز وصیت را به رسیدن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مقید کرده، این احتمال را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احکام تعمیم داده نمی‌شود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صاحب جواهر نیز قریب به همین مضمون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ذلک کله سهل بعد ان لم یکن فی شیء من نصوص العشر المتفرقه فی الابواب ما یدل علی کون العشر بلوغا، وغایتها ارتفاع الحجر بها عن الصبی فی تلک الامور المخصوصه، وبعضها کالصریح فی ذلک</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در این باره آسان است؛ زیرا در هیچ یک از روایات عشر که در ابواب مختلف وارد شده روایتی که دلالت بر بلوغ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داشته باشد،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با این روایات ثابت می‌شود رفع ممنوعیت از بچه در خصوص این امور است و برخی از آن‌ها همانند صریح در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p>
    <w:p>
      <w:pPr>
        <w:pStyle w:val="BookText"/>
        <w:rPr/>
      </w:pPr>
      <w:r>
        <w:rPr>
          <w:rFonts w:ascii="IRNazanin" w:hAnsi="IRNazanin" w:eastAsia="IRNazanin"/>
          <w:color w:val="111111"/>
          <w:sz w:val="28"/>
          <w:sz w:val="28"/>
          <w:szCs w:val="28"/>
          <w:rtl w:val="true"/>
          <w:lang w:bidi="fa-IR"/>
        </w:rPr>
        <w:t>اگر این احتمال را بپذیریم آنگاه باید بگوییم در هر روایتی که یکی از نشانه‌های طبیعی یا سن به عنوان مبدأ یکی از تکالیف بیان شده، آن نشانه یا سن مختص به همان تکلیف است، در حالی که نمی‌توان به این مطلب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کلام صاحب جواهر نیز مخدوش است؛ زیرا معلوم نیست که فرق روایات عشر با غیر آن چیست و چه بیانی می‌تواند دلالت کند بر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بلوغ است؟ تعدادی از روایات تسع نیز که مورد استناد مشهور واقع شده‌اند، به همین سیاق می‌باشند که در آن صرفاً حکمی از احکام معلق بر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گردیده، در حالی که ایشان چنین اشکالی در مورد آن‌ها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به قرینه روایات دیگر مشکلی در این رابطه وجود نداشته تا صاحب جواهر به آن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این روایات ملحق به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می‌شوند، در صورتی که در آن‌ها هم اکمال ثابت شود که حق نیز</w:t>
      </w:r>
      <w:bookmarkStart w:id="412" w:name="pg6142_67445"/>
    </w:p>
    <w:p>
      <w:pPr>
        <w:pStyle w:val="BookText"/>
        <w:rPr/>
      </w:pPr>
      <w:bookmarkEnd w:id="412"/>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احتمال با قول برخی از قائلین</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الوسیله،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تصریح به اتمام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کرده‌اند،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روایات ابایی از این احتمال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مورد این روایات سه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مضمون این روایات فقط در اموری که به آن تصریح شده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همۀ آن‌ها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هم بین وصیت و غیر وصیت تفصیل داده‌اند؛ چون روایات مربوط به وصیت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ایشان قول به حصول بلوغ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قائل ندارد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13" w:name="__RefHeading___Toc189194_237004111"/>
      <w:bookmarkStart w:id="414" w:name="_Toc157"/>
      <w:bookmarkEnd w:id="413"/>
      <w:r>
        <w:rPr>
          <w:rtl w:val="true"/>
        </w:rPr>
        <w:t>دستۀ سوم</w:t>
      </w:r>
      <w:bookmarkEnd w:id="414"/>
    </w:p>
    <w:p>
      <w:pPr>
        <w:pStyle w:val="BookText"/>
        <w:rPr/>
      </w:pPr>
      <w:r>
        <w:rPr>
          <w:rFonts w:ascii="IRNazanin" w:hAnsi="IRNazanin" w:eastAsia="IRNazanin"/>
          <w:color w:val="111111"/>
          <w:sz w:val="28"/>
          <w:sz w:val="28"/>
          <w:szCs w:val="28"/>
          <w:rtl w:val="true"/>
          <w:lang w:bidi="fa-IR"/>
        </w:rPr>
        <w:t xml:space="preserve">روایاتی چند بر حصول بلوغ و ثبوت تکالیف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محمد بن علی بن محبوب، عن محمد بن الحسین، عن احمد بن الحسن بن علی، عن عمرو بن سعید، عن مصدّق بن صدقه، عن عمار الساباطی،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الصلوة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 علیه ثلاث عشرة سنة، فان احتلم قبل ذلک فقد وجبت علیه الصلوة وجری علیه القلم والجاریة مثل ذلک ان اتی لها ثلاث عشرة سنة او</w:t>
      </w:r>
    </w:p>
    <w:p>
      <w:pPr>
        <w:pStyle w:val="BookText"/>
        <w:rPr/>
      </w:pPr>
      <w:r>
        <w:rPr>
          <w:rFonts w:ascii="IRNazanin" w:hAnsi="IRNazanin" w:eastAsia="IRNazanin"/>
          <w:color w:val="111111"/>
          <w:sz w:val="28"/>
          <w:sz w:val="28"/>
          <w:szCs w:val="28"/>
          <w:rtl w:val="true"/>
          <w:lang w:bidi="fa-IR"/>
        </w:rPr>
        <w:t>حاضت قبل ذلک فقد وجبت علیها الصلوة وجری علیها القلم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مقدمه العبادات،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پسربچه سؤال کردم که چه زمانی نماز بر او واجب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شود ولی اگر قبل از آن محتلم شود نماز بر او واجب و قلم تکلیف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نیز همانند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شود یا قبل از آن حیض شود نماز بر او واجب و قلم تکلیف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تکالیف بر دختر با رسیدن به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یا تحقق حیض قبل از آن ثابت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موثقه می‌باشد؛ چون عمار ساباطی متهم به پیروی از فطحیة بوده ولی برخی معتقدند او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موثوق به بوده و محمد بن مسعود او را از فقهای اصحاب دانسته و شیخ مفید در رساله عددیه‌اش او را از فقهای اعلام و کسانی که حلال و حرام و فتاوا و احکام از آن‌ها اخذ می‌شود، قرار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یطعن علیهم ولا طریق الی ذم واحد منهم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مورد طعن واقع نشده و راهی برای ذم هیچ یک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ذیل حدیث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عمار ساباطی 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واحد قد ضعفّه جماعة من اهل النقل وذکروا ان ما</w:t>
      </w:r>
    </w:p>
    <w:p>
      <w:pPr>
        <w:pStyle w:val="BookText"/>
        <w:rPr/>
      </w:pPr>
      <w:r>
        <w:rPr>
          <w:rFonts w:ascii="IRNazanin" w:hAnsi="IRNazanin" w:eastAsia="IRNazanin"/>
          <w:color w:val="111111"/>
          <w:sz w:val="28"/>
          <w:sz w:val="28"/>
          <w:szCs w:val="28"/>
          <w:rtl w:val="true"/>
          <w:lang w:bidi="fa-IR"/>
        </w:rPr>
        <w:t>یتفرد بنقله لایعمل به لانه کان فطحیا، غیرانا لا نطعن علیه بهذه الطریقه لانه وان کان کذلک فهو ثقة فی النقل لایطعن علیه فیه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گروهی از اهل نقل او را تضعیف کرده و متذکر شده‌اند آن‌چه او در نقل آن متفرد باشد به آن عمل نمی‌شود؛ زیرا فطحی مذهب است ولی ما او را بدین جهت مورد طعن قرار نمی‌دهیم؛ چون هرچند وی فطحی است ولی در نقل ثقه می‌باشد و این موجب طعن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خود مرحوم شیخ نیز به چنین روایاتی عمل نکرده؛ از جمله در باب سهو در نماز مغرب دو روایت از عمار نقل می‌کند که بر اساس آن نماز مغرب با شک باطل نشده و بنابر اکثر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الاصل فیهما واحد وهو عمار الساباطی وهو ضعیف فاسد المذهب لایعمل علی ما یختص بروایته وقد اجتمعت الطائفة علی ترک العمل بهذا الخبر</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در این دو خبر عمار سابطی است که ضعیف و فاسد المذهب است و به روایاتی که او به تنهایی نقل کرده عمل نمی‌شود و همه بر ترک عمل به این خبر اتفاق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همان‌طور که گفته شد، سند این روایت معتبر و دلالت آن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دید آیا عمار در نقل این روایت متفرد</w:t>
      </w:r>
    </w:p>
    <w:p>
      <w:pPr>
        <w:pStyle w:val="BookText"/>
        <w:rPr/>
      </w:pPr>
      <w:r>
        <w:rPr>
          <w:rFonts w:ascii="IRNazanin" w:hAnsi="IRNazanin" w:eastAsia="IRNazanin"/>
          <w:color w:val="111111"/>
          <w:sz w:val="28"/>
          <w:sz w:val="28"/>
          <w:szCs w:val="28"/>
          <w:rtl w:val="true"/>
          <w:lang w:bidi="fa-IR"/>
        </w:rPr>
        <w:t>است یا خیر؟</w:t>
      </w:r>
    </w:p>
    <w:p>
      <w:pPr>
        <w:pStyle w:val="BookText"/>
        <w:rPr/>
      </w:pPr>
      <w:r>
        <w:rPr>
          <w:rFonts w:ascii="IRNazanin" w:hAnsi="IRNazanin" w:eastAsia="IRNazanin"/>
          <w:color w:val="111111"/>
          <w:sz w:val="28"/>
          <w:sz w:val="28"/>
          <w:szCs w:val="28"/>
          <w:rtl w:val="true"/>
          <w:lang w:bidi="fa-IR"/>
        </w:rPr>
        <w:t>شاید بتوان ادعا کرد عمار ساباطی در این مسئله متفرد در نقل نیست و روایات دیگری نیز قریب به این مضمون وارد شده که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علی بن الحسن بن فضال، عن محمد واحمد ابنی الحسن علی ابیهما، عن احمد بن عمر الحلبی، عن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ابی وانا حاضر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بلغ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یحتلم فی ست عشرة وسبع عشرة سنة ونحوها؟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اذا اتت علیه ثلاث عشرة سنة کتبت له الحسنات وکتبت علیه السیئات وجاز امره الا ان یکون سفیها او ضعیفا،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السفیه؟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یشتری الدراهم باضعافه،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الضعیف؟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حالی که من نیز حاضر بودم از امام صادق علیه السلام در مورد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بلغ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احتلام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مانند آن محتلم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زمانی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شود حسنات و سیئات او نوشته می‌شود و کارهای او جایز می‌گردد مگر آن‌که سفیه یا ضعیف العقل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دراهم را به چند برابر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سؤال کرد ضعیف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باب وصیة الصبی و المحجور علیه،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تحقق احتلام و یا رسیدن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ملاک و میزان تکلیف است و فرقی هم بین پسر و دختر از این جهت نیست؛ چون هیچ قرینه‌ای که دال بر اختصاص به پسران باشد در آن وجود ندارد و چنان‌چه سابقاً هم اشاره شد، احتلام در دختران نیز ممکن است، اگرچه به کیفیت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ذکر احتلام را قرینه بر اراده خصوص پسران می‌دانند؛ چون بلوغ اشد به احتلام تفسیر شده و آن هم منصرف به ذکور است، اگرچه احتلام در مورد دختران هم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وجه انصراف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الانصراف انما هو کثرة استعماله فی الذکور و قلة استعماله فی الاناث، لاکثرة الوجود حتی یقال ان الثانیة لاتصلح للانصراف</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البلوغ، آیت الله سبحانی،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انصراف احتلام به پسران کثرت استعمال آن در پسران و قلت استعمال آن در دختران است، نه کثرت وجود تا اشکال شود که کثرت در وجود نمی‌تواند منشأ انصراف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صحیح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عدیده‌ای دال بر تحقق احتلام در دختران بوده و ادعای کثرت استعمال در ذکور بدون شاهد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بحث احتلام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روایات و کلمات فقها این است که فرقی بین مذکر و مؤنث از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اشاره‌ای به مسئلۀ انصرافِ احتلام به ذکور نکرده بلکه تنها مشکل به</w:t>
      </w:r>
    </w:p>
    <w:p>
      <w:pPr>
        <w:pStyle w:val="BookText"/>
        <w:rPr/>
      </w:pPr>
      <w:r>
        <w:rPr>
          <w:rFonts w:ascii="IRNazanin" w:hAnsi="IRNazanin" w:eastAsia="IRNazanin"/>
          <w:color w:val="111111"/>
          <w:sz w:val="28"/>
          <w:sz w:val="28"/>
          <w:szCs w:val="28"/>
          <w:rtl w:val="true"/>
          <w:lang w:bidi="fa-IR"/>
        </w:rPr>
        <w:t>نظر ایشان این است که علمای طبیعی وجود احتلام را در مورد زنان انکار می‌کنند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البلوغ، آیت الله سبحانی،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شمول این روایت نسبت به دختران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روایت و روایت بعدی که از عبدالله بن سنان نقل شده قرینه‌ای وجود دارد که این ظهور را قویتر می‌کند و آن این‌که در روایت سؤال از بلوغ اشُدّ مطرح شده و بلوغ اشدّ هم اختصاص به پسران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باسناده عن احمد بن محمد، عن الحسن بن بنت الیاس، عن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اشُده ثلاث عشرة سنه ودخل فی الاربع عشرة وجب علیه ما وجب علی المحتلمین احتلم او لم یحتلم، کتبت علیه السّیئات وکتبت له الحسنات وجاز له کل شیء الا ان یکون سفیها او ضعیفا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بن بنت الیاس که در سلسله سند این روایت واقع شده، همان حسن بن علی بن زیاد الوشاء است که در مورد او در روایت بعدی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اصحابنا، عن احمد بن محمد بن عیسی، عن الوشاء، عن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اشدّه ثلاث عشرة سنه ودخل فی الاربع عشرة وجب علیه ما وجب علی المسلمین احتلم او لم یحتلم، وکتبت علیه السیئات وکتب له الحسنات، وجاز</w:t>
      </w:r>
    </w:p>
    <w:p>
      <w:pPr>
        <w:pStyle w:val="BookText"/>
        <w:rPr/>
      </w:pPr>
      <w:r>
        <w:rPr>
          <w:rFonts w:ascii="IRNazanin" w:hAnsi="IRNazanin" w:eastAsia="IRNazanin"/>
          <w:color w:val="111111"/>
          <w:sz w:val="28"/>
          <w:sz w:val="28"/>
          <w:szCs w:val="28"/>
          <w:rtl w:val="true"/>
          <w:lang w:bidi="fa-IR"/>
        </w:rPr>
        <w:t>له کل شیء الا ان یکون ضعیفا او سفیها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البیع و شرائط،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و دو روایت قبلی یکی است؛ چون همۀ آن‌ها از عبدالله بن سنان نقل شده و الفاظ آن‌ها نزدیک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هم در سلسله سند این روایت حسن بن علی بن زیاد الوشاء واقع شده که همان حسن ابن بنت الیاس است و به نام‌های دیگری مانند حسن بن علی الخزاز، حسن بن علی الوشاء، ابن بنت الیاس، حسن بن علی بن بنت الیاس و الوشاء از او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واقفی بوده ولی بعداً رجوع کرده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شیخ صدوق رحمه الله نیز ضمن نقل حدیثی از او جریان عدول وی را از وقف بیان می‌کند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هر حال او ثقه است و طریق شیخ صدوق به او صحیح ولی طریق شیخ طوسی به او ضعیف است؛ چون ابن مفضل و ابن بطه در این طریق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مورد وی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الاکثر عدّ حدیثه من الحسن لا الصحیح، بل فی المحکی عن المسالک التصریح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بالصحة فی کلام بعض الاصحاب یراد به الصحة الاضافیه دون الحقیقه</w:t>
      </w:r>
      <w:r>
        <w:rPr>
          <w:rFonts w:eastAsia="IRNazanin" w:cs="IRNazanin"/>
          <w:color w:val="111111"/>
          <w:sz w:val="28"/>
          <w:szCs w:val="28"/>
          <w:rtl w:val="true"/>
          <w:lang w:bidi="fa-IR"/>
        </w:rPr>
        <w:t>».</w:t>
      </w:r>
      <w:r>
        <w:rPr>
          <w:rStyle w:val="FootnoteAnchor"/>
          <w:rtl w:val="true"/>
        </w:rPr>
        <w:footnoteReference w:id="218"/>
      </w:r>
      <w:bookmarkStart w:id="415" w:name="pg6142_67452"/>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اکثر اصحاب آن است که روایت او را حسن می‌دانند نه صحیح، بلکه در آن‌چه از مسالک حکایت شده تصریح به این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کلام برخی اصحاب این روایت را به وصف صحت توصیف کرده‌اند، مقصود صحت اضافیث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روایت معتبر است لکن صاحب جواهر اشکالی در مورد دلالت این حدیث ایراد کرده که محصّل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این حدیث اختلاف دارند و متن آن مضطرب است؛ چون روایت وشاء بلوغ را متوقف بر دخول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نموده، در حالی که مدعا این است که بلوغ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تحقق پیدا می‌کند و بین این دو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وارد نیست؛ چون اگر ملاک بلوغ اکمال سن باشد دیگر فرقی بین دو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مراد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اکمال آن می‌باشد که عین دخول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صاحب جواهر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می‌توان نتیجه گرفت که عمار ساباطی در نقل این روایت متفرد نبوده و عبدالله بن سنان نیز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با این دسته از روایات چه باید کرد و آیا بین این دسته و بقیه روایات تعارضی وجود دارد یا خیر و اگر تعارضی بود چگونه باید آن را حل نمود، مسئله‌ای است که در آینده به آن خواهیم پرداخت</w:t>
      </w:r>
      <w:r>
        <w:rPr>
          <w:rFonts w:eastAsia="IRNazanin" w:cs="IRNazanin"/>
          <w:color w:val="111111"/>
          <w:sz w:val="28"/>
          <w:szCs w:val="28"/>
          <w:rtl w:val="true"/>
          <w:lang w:bidi="fa-IR"/>
        </w:rPr>
        <w:t>.</w:t>
      </w:r>
    </w:p>
    <w:p>
      <w:pPr>
        <w:pStyle w:val="Heading4"/>
        <w:numPr>
          <w:ilvl w:val="3"/>
          <w:numId w:val="1"/>
        </w:numPr>
        <w:rPr/>
      </w:pPr>
      <w:bookmarkStart w:id="416" w:name="__RefHeading___Toc189196_237004111"/>
      <w:bookmarkStart w:id="417" w:name="_Toc158"/>
      <w:bookmarkEnd w:id="416"/>
      <w:r>
        <w:rPr>
          <w:rtl w:val="true"/>
        </w:rPr>
        <w:t>دستۀ چهارم</w:t>
      </w:r>
      <w:bookmarkEnd w:id="417"/>
    </w:p>
    <w:p>
      <w:pPr>
        <w:pStyle w:val="BookText"/>
        <w:rPr/>
      </w:pPr>
      <w:r>
        <w:rPr>
          <w:rFonts w:ascii="IRNazanin" w:hAnsi="IRNazanin" w:eastAsia="IRNazanin"/>
          <w:color w:val="111111"/>
          <w:sz w:val="28"/>
          <w:sz w:val="28"/>
          <w:szCs w:val="28"/>
          <w:rtl w:val="true"/>
          <w:lang w:bidi="fa-IR"/>
        </w:rPr>
        <w:t xml:space="preserve">در یک روایت زمان احتلام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داده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احمد بن محمد بن عیسی،</w:t>
      </w:r>
    </w:p>
    <w:p>
      <w:pPr>
        <w:pStyle w:val="BookText"/>
        <w:rPr/>
      </w:pPr>
      <w:r>
        <w:rPr>
          <w:rFonts w:ascii="IRNazanin" w:hAnsi="IRNazanin" w:eastAsia="IRNazanin"/>
          <w:color w:val="111111"/>
          <w:sz w:val="28"/>
          <w:sz w:val="28"/>
          <w:szCs w:val="28"/>
          <w:rtl w:val="true"/>
          <w:lang w:bidi="fa-IR"/>
        </w:rPr>
        <w:t>عن ابی محمد المدائنی، عن عائذ بن حبیب بیاع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زید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یثغر الصبی لسبع ویؤمر بالصلوة لتسع ویفرق بینهم فی المضاجع لعشر، ویحتلم لاربع عشر، ومنتهی طوله لاحدی وعشرین ومنتهی عقله لثمان وعشرین الا التجارب</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باب وصیة الصبی و المحجور علیه،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دندان دائمی درمی‌آورد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امر به نماز می‌شود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رختخوابب آن‌ها جدا می‌شود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محتلم می‌شود و نهایت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منتهای عقل 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مگر تجربه‌ها که حدی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اشکالاتی که در مورد سند این روایت وجود دارد، آن‌چه در این روایت بیان شده، فقط اخبار از وقوع احتلام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هیچ یک از تکالیف را در این سن لازم و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در بعضی روایات نیز سنین دیگری برای تحقق احتلام ذکر شده و این نشان می‌دهد که آن‌چه ملاک است خود احتلام است نه امر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روایت قابل استناد باشد ملحق به روایات احتلام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روایت نمی‌توان ثبوت تکالیف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احتمال در بین امامیه قائل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بنابراین است که شمول روایت را نسبت به دختران بپذیریم</w:t>
      </w:r>
      <w:r>
        <w:rPr>
          <w:rFonts w:eastAsia="IRNazanin" w:cs="IRNazanin"/>
          <w:color w:val="111111"/>
          <w:sz w:val="28"/>
          <w:szCs w:val="28"/>
          <w:rtl w:val="true"/>
          <w:lang w:bidi="fa-IR"/>
        </w:rPr>
        <w:t>.</w:t>
      </w:r>
      <w:bookmarkStart w:id="418" w:name="pg6142_67454"/>
    </w:p>
    <w:p>
      <w:pPr>
        <w:pStyle w:val="Heading4"/>
        <w:numPr>
          <w:ilvl w:val="3"/>
          <w:numId w:val="1"/>
        </w:numPr>
        <w:rPr/>
      </w:pPr>
      <w:bookmarkStart w:id="419" w:name="__RefHeading___Toc189198_237004111"/>
      <w:bookmarkStart w:id="420" w:name="_Toc159"/>
      <w:bookmarkEnd w:id="418"/>
      <w:bookmarkEnd w:id="419"/>
      <w:r>
        <w:rPr>
          <w:rtl w:val="true"/>
        </w:rPr>
        <w:t>دستۀ پنجم</w:t>
      </w:r>
      <w:bookmarkEnd w:id="420"/>
    </w:p>
    <w:p>
      <w:pPr>
        <w:pStyle w:val="BookText"/>
        <w:rPr/>
      </w:pPr>
      <w:r>
        <w:rPr>
          <w:rFonts w:ascii="IRNazanin" w:hAnsi="IRNazanin" w:eastAsia="IRNazanin"/>
          <w:color w:val="111111"/>
          <w:sz w:val="28"/>
          <w:sz w:val="28"/>
          <w:szCs w:val="28"/>
          <w:rtl w:val="true"/>
          <w:lang w:bidi="fa-IR"/>
        </w:rPr>
        <w:t xml:space="preserve">تنها یک روایت از روایاتی که مبدأ ثبوت تکلیف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داده شامل دختران نیز می‌شود و الا سایر روایاتی از این قبیل صریح یا ظاهر در اختصاص به پسران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استکمل المولود خمس عشرة سنة کتب ماله وما علیه واخذ منه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کامل کند خوبی‌ها و بدی‌های او نوشته می‌شود و حدود در مورد او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این روایت به عنوان نبویل مرسل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المرسل فی محکی الخلاف والتذکرة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علاوه بر اشکال سندی آن مستند هیچ فتوایی به تحقق بلوغ دختر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واقع نشده است</w:t>
      </w:r>
      <w:r>
        <w:rPr>
          <w:rFonts w:eastAsia="IRNazanin" w:cs="IRNazanin"/>
          <w:color w:val="111111"/>
          <w:sz w:val="28"/>
          <w:szCs w:val="28"/>
          <w:rtl w:val="true"/>
          <w:lang w:bidi="fa-IR"/>
        </w:rPr>
        <w:t>.</w:t>
      </w:r>
    </w:p>
    <w:p>
      <w:pPr>
        <w:pStyle w:val="Heading4"/>
        <w:numPr>
          <w:ilvl w:val="3"/>
          <w:numId w:val="1"/>
        </w:numPr>
        <w:rPr/>
      </w:pPr>
      <w:bookmarkStart w:id="421" w:name="__RefHeading___Toc189200_237004111"/>
      <w:bookmarkStart w:id="422" w:name="_Toc160"/>
      <w:bookmarkEnd w:id="421"/>
      <w:r>
        <w:rPr>
          <w:rtl w:val="true"/>
        </w:rPr>
        <w:t>دستۀ ششم</w:t>
      </w:r>
      <w:bookmarkEnd w:id="422"/>
    </w:p>
    <w:p>
      <w:pPr>
        <w:pStyle w:val="BookText"/>
        <w:rPr/>
      </w:pPr>
      <w:r>
        <w:rPr>
          <w:rFonts w:ascii="IRNazanin" w:hAnsi="IRNazanin" w:eastAsia="IRNazanin"/>
          <w:color w:val="111111"/>
          <w:sz w:val="28"/>
          <w:sz w:val="28"/>
          <w:szCs w:val="28"/>
          <w:rtl w:val="true"/>
          <w:lang w:bidi="fa-IR"/>
        </w:rPr>
        <w:t xml:space="preserve">بسیاری از روایات زمان بلوغ دختران و ثبوت تکالیف بر آنان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علمای امامیه قائل به بلوغ دختران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و جمعی از آنان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اجماع ممکن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گروه دیگری نیز تعبیر به شهرت نموده و چه بسا نظرشان به مخالفت بزرگانی مانند شیخ در کتاب الصوم</w:t>
      </w:r>
    </w:p>
    <w:p>
      <w:pPr>
        <w:pStyle w:val="BookText"/>
        <w:rPr/>
      </w:pPr>
      <w:r>
        <w:rPr>
          <w:rFonts w:ascii="IRNazanin" w:hAnsi="IRNazanin" w:eastAsia="IRNazanin"/>
          <w:color w:val="111111"/>
          <w:sz w:val="28"/>
          <w:sz w:val="28"/>
          <w:szCs w:val="28"/>
          <w:rtl w:val="true"/>
          <w:lang w:bidi="fa-IR"/>
        </w:rPr>
        <w:t>مبسوط، ابن حمزه در کتاب الخمس وسیله و فیض کاشانی باشد که تحصیل اجماع را برای آنان مشکل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عبارتی را از شیخ طوسی در نهایة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الظاهر من المذهب لانه لا خلاف بینهم ان حد بلوغ المرئة تسع سنین فاذا بلغتها وکانت رشیدة سلم الوصی الیها وهو بلوغها الوقت الذی یصح ان تعقد علی نفسها عقدة النکاح ویحل للبعل الدخول بها بغیر خلاف بین الشیعة الاثنی عشریه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صحیح و ظاهر مذهب 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چون بین اصحاب در این‌که حد بلوغ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اختلافی وجود ندارد و لذا اگر به این سن برسد و رشیده باشد وصیت به او صحیح است و این همان زمانی است که او می‌تواند ازدواج کند و برای شوهرش دخول به او حلال است بدون هیچ اختلافی بین شیعۀ اثنی عشریه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والمرئة مختلفان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فالانثی بمضی تسع سنین عند علمائنا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و دختر 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 با گذشت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علمای امامیه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ظهور در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در مختلف این‌گونه</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ببلوغ المرئة لتسع سنین وهو المشهور وقد روی عشر سنین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مختلف الشیعة،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بلوغ دختر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این مشهور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در مهذب نیز این قول را به مشهور نسبت داده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همان‌گونه که گفته شد جمعی آن را اجماعی دانسته و گروهی نیز تعبیر به شهرت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به نحو قطعی می‌توان ادعا کرد این است که شهرت قوی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روایات خود بر چند قسم‌اند که در هر قسمی احکام و آثار خاصی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مترتب شده و یا به طور کلی حد بلوغ دختران رسیدن به این سن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p>
    <w:p>
      <w:pPr>
        <w:pStyle w:val="BookText"/>
        <w:rPr/>
      </w:pPr>
      <w:r>
        <w:rPr>
          <w:rFonts w:ascii="IRNazanin" w:hAnsi="IRNazanin" w:eastAsia="IRNazanin"/>
          <w:color w:val="111111"/>
          <w:sz w:val="28"/>
          <w:sz w:val="28"/>
          <w:szCs w:val="28"/>
          <w:rtl w:val="true"/>
          <w:lang w:bidi="fa-IR"/>
        </w:rPr>
        <w:t xml:space="preserve">در برخی روایات ذهاب یتم، اقامه حدود و جواز دفع اموال منوط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احمد بن محمد، عن ابن محبوب، عن عبدالعزیز العبدی، عن حمزة بن حمران،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فالجاریة متی تجب علیها الحدود التامه وتؤخذ بها ویؤخذ لها؟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الجاریة لیست مثل الغلام، ان الجاریة اذا</w:t>
      </w:r>
    </w:p>
    <w:p>
      <w:pPr>
        <w:pStyle w:val="BookText"/>
        <w:rPr/>
      </w:pPr>
      <w:r>
        <w:rPr>
          <w:rFonts w:ascii="IRNazanin" w:hAnsi="IRNazanin" w:eastAsia="IRNazanin"/>
          <w:color w:val="111111"/>
          <w:sz w:val="28"/>
          <w:sz w:val="28"/>
          <w:szCs w:val="28"/>
          <w:rtl w:val="true"/>
          <w:lang w:bidi="fa-IR"/>
        </w:rPr>
        <w:t>تزوجت ودخل بها ولها تسع سنین ذهب عنها الیتم ودفع الیها مالها وجاز امرها فی الشراء والبیع واقیمت علیها الحدود التامه واخذ لها وبها الحدیث</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مقدمة العبادات،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چه زمانی حدود تامه بر او واجب می‌شود و او و دیگران به خاطر او مؤاخذه می‌شوند؟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همانند پسربچه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دختربچه وقتی ازدواج کند و دخول به او صورت بگیرد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 دورن کودکی او پایان یافته و اموالش به او داده می‌شود و خرید و فروش برای او جایز می‌گردد و حدود تامه در مورد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آثار و احکام پنج‌گانه‌ای برای دختری که ازدواج کند و با او آمیزش شود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پنج‌گانه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یتم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مال به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بیع و شراء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حدودی که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جهت تأدیب جاری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دیگران به خاطر او مورد مؤاخذه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قابل توجه این است که موضوع ترتب آثار و احکام مذکور طبق این روایت، مطلق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نبوده بلکه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ظرف تزویج و دخول ملاک قرار گرفته در حالی که مدعا مطلق تسع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در مورد ذکر تزویج و دخول دو احتمال داده‌اند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المقصود من فرض تزوجها والدخول بها، هو التأکد</w:t>
      </w:r>
    </w:p>
    <w:p>
      <w:pPr>
        <w:pStyle w:val="BookText"/>
        <w:rPr/>
      </w:pPr>
      <w:r>
        <w:rPr>
          <w:rFonts w:ascii="IRNazanin" w:hAnsi="IRNazanin" w:eastAsia="IRNazanin"/>
          <w:color w:val="111111"/>
          <w:sz w:val="28"/>
          <w:sz w:val="28"/>
          <w:szCs w:val="28"/>
          <w:rtl w:val="true"/>
          <w:lang w:bidi="fa-IR"/>
        </w:rPr>
        <w:t>من تحقق بلوغها التسع لا انهما شرط لبلوغها ویحتمل ان یکون ذکرهما لغایة حصول الرشد، فان الجاریة فی هذه الظروف لاتنفک عن الرشد ویؤیده ان الروایة ترکّز علی حالها، لیدُفع الیها اموالها ویجوز امرها فی الشراء والبیع</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البلوغ، آیت الله جعفر سبحانی،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ازدواج و دخول به او تأکید بر تحقق و حتمیت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نه این‌که این دو شرط بلوغ دختر باشند و نیز احتمال دارد ذکر این دو مورد به منظور حصول رشد باشد؛ زیرا دختربچه در این ظروف رشد پیدا کرده و مؤید آن هم این است که در روایت به این حال او تأکید کرده تا اموالش به او داده شده و خرید و فروش او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این دو احتمال این است که ذکر ازدواج و آمیزش در کنار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 به عنوان تأکید بر رسیدن به این سن است نه آن‌که شرط تحقق بلوغ باشد و یا مقصود بیان قید دیگر یعنی حصول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این سخن صحیح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احتمال اول سؤال این است که ازدواج و دخول چگونه می‌تواند تأکید بر تحقق بلوغ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 حسب برخی روایات دخول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جایز نیست ولی بحث در این است که چگونه این امر می‌تواند مؤکد تحقق بلوغ در این سن باشد؟ از این روایت چنین چیزی استفاده نمی‌شود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نیز باطل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رشد واضح و معلوم است و این معنا هیچ ملازمه‌ای با ازدواج و دخول ندارد تا ادعا شود در</w:t>
      </w:r>
    </w:p>
    <w:p>
      <w:pPr>
        <w:pStyle w:val="BookText"/>
        <w:rPr/>
      </w:pPr>
      <w:r>
        <w:rPr>
          <w:rFonts w:ascii="IRNazanin" w:hAnsi="IRNazanin" w:eastAsia="IRNazanin"/>
          <w:color w:val="111111"/>
          <w:sz w:val="28"/>
          <w:sz w:val="28"/>
          <w:szCs w:val="28"/>
          <w:rtl w:val="true"/>
          <w:lang w:bidi="fa-IR"/>
        </w:rPr>
        <w:t>این ظروف دختر منفک از رشد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احتمال آن است که اقامه حدود هم منوط به حصول رشد باشد، در حالی که نمی‌توان به آن ملتزم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گمان شود حکم به جواز دفع اموال و صحت بیع و شراء در روایت قرینه بر احتمال دوم است؛ زیرا این امور قطعاً متوقف بر تحقق رشد است ولی این نیز باطل است؛ زیرا سخن در دلالت خود این روایت است؛ به این معنا که اگر از خارج شرطیت رشد در امور مالی را نمی‌دانستیم این احتمال مطرح نمی‌شد و لذا این احتمال با ظاهر روایت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 بسا ادعا شود در خود روایت قراینی وجود دارد که بر اساس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شرط تزویج و دخول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الجاریة لیست مثل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فقط به خاطر اختلاف در سن بلوغ بین دختر و پسر نیست بلکه شاید به این جهت باشد که غیر از مسئلۀ سن امور دیگری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درصدر روایت، احتلام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انبات در مورد پسران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عطف شده و این به معنای آن است که تحقق هر یک از این امور به تنهایی برای اثبات بلوغ کافی است ولی در مورد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تزویج و دخول عطف شده و این حاکی از لزوم تحقق همۀ این امور برای تحقق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استدلال به این روایت با وجود این احتمال خالی از اشکال نیست و لذا کسی بر اساس آن به بلوغ دختر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شرط تزویج و</w:t>
      </w:r>
    </w:p>
    <w:p>
      <w:pPr>
        <w:pStyle w:val="BookText"/>
        <w:rPr/>
      </w:pPr>
      <w:r>
        <w:rPr>
          <w:rFonts w:ascii="IRNazanin" w:hAnsi="IRNazanin" w:eastAsia="IRNazanin"/>
          <w:color w:val="111111"/>
          <w:sz w:val="28"/>
          <w:sz w:val="28"/>
          <w:szCs w:val="28"/>
          <w:rtl w:val="true"/>
          <w:lang w:bidi="fa-IR"/>
        </w:rPr>
        <w:t>دخول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کلام ابن جنید استفاده می‌شود که حجر با تزویج از دختر مرتفع می‌شود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مختلف الشیعه،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احمد بن محمد بن عیسی، عن الحسن بن محبوب عن ابی ایوب الخزّاز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فتقام علیها الحدود وتؤخذ بها وهی فی تلک الحال وانما لها تسع سنین ولم تدرک مدرک النساء فی الحیض؟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دخلت علی زوجها ولها تسع سنین ذهب عنها الیتم ودفع الیها مالها واقیمت الحدود التامه علیها ولها،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کرد که آیا بر دختر حدود جاری می‌شود و به آن‌ها اخذ می‌گردد در حالی که او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ولی هنوز حیض ندیده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زمانی 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و با او آمیزش صورت گرفته باشد، دوران کودکی او پایان پذیرفته و اموالش به او داده می‌شود و حدود تامه به او اقامه می‌گردد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این روایت به عنوان دلیل دیگری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نیز سابقا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مانند روایت قبلی دلالت می‌کند بر این‌که دختری که ازدواج کرده و با او آمیزش صورت گرفته و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رسیده باشد، اموالش به او داده شده و حدود نیز بر او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روایت نیز رسیدن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احتمالی که در مورد روایت قبلی مطرح و اشکالاتی که بر آن دو احتمال وارد شد، در این روایت نیز جاری است به علاوه ظهور این روایت در آن‌چه که ما در اشکال به آن دو احتمال گفتیم قوی‌تر است؛ چون وقتی سؤال می‌شود که اگر دختری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شده ولی به حد زنانگی نرسیده و حیض ندیده باشد، آیا حدود بر او جاری می‌شود؟ امام علیه السلام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اذا دخلت علی زوجها ولها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امام علیه السلام بر آن‌چه سائل گفته چیزی را اضافه می‌کند و این با تأکید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هم چنان‌چه گفته شد، با اقامه حدود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وجود دارد این است که در این روایت تصریح شده به این‌که دختر وقتی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هرچند حیض نشده و به حد زنانگی نرسیده باشد حدود بر او جاری گشته و بالغ می‌شود و اموالش به او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تعارض آن با روایات حیض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در آینده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اصحابنا، عن سهل بن زیاد، عن علی بن أسباط، عن علی بن الفضل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الرضا علیه السلام رجل طلّق امرأته الطلاق الذی لاتحل له حتی تنکح زوجا غیره فتزوجها غلام لم یحتلم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یبلغ، فکتبت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البلوغ؟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اوجب الله علی المؤمنین الحدود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الطلاق،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فضل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نامه نوشتم که مردی همسرش را به نحوی طلاق داده که برای او دیگر جایز نیست با همسرش مجددا ازدواج کند، مگر آن‌که شخص دیگری با او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همسرش را سه طلاقه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پسربچه‌ای با او ازدواج کرده که محتلم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بالغ نشده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کدام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بر مؤمنین حدود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دلالت می‌کند بر این‌که حد بلوغ زمانی است که خداوند حدود را بر مؤمنین واجب کرده و از آن‌جا که در روایات متعدد زمان اقامه حدود بر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قرار داده شده، پس معلوم می‌شود حد بلوغ 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بعدی بر این مطلب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بلغت الجاریة تسع سنین، دفع الیها مالها وجاز امرها فی مالها واقیمت الحدود التامه لها وعلیها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دختربچه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مالش به او داده شده و کارهای او در مورد اموالش جایز و حدود تامه در مورد او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آن‌که مرسله است ولی از آن‌جا که مرسلات جزمی شیخ صدوق معتبر است، لذا اشکال سندی ندارد؛ زیرا شیخ صدوق آن را به خود امام علیه السلام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الوصایا،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نیز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احمد بن محمد، عن ابن محبوب، عن ابی ایوب الخزاز، عن یزید الکناسی،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اذا بلغت تسع سنین ذهب عنها الیتم وزوّجت واقیمت علیها الحدود التامه لها وعلیها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دختربچه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دوران کودکی او به پایان رسیده و می‌تواند ازدواج کند و حدود تامه بر او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ملاک اقامه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قرار داده شده، برخلاف روایتی که سابقا نقل شد؛ چون در آن روایت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آمیزش و دخول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سابقاً مورد بحث و بررسی گرفته و دلالتش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p>
    <w:p>
      <w:pPr>
        <w:pStyle w:val="BookText"/>
        <w:rPr/>
      </w:pP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زمان کتابت حسنات و سیئات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الحسن بن سماعة، عن آدم بیاع اللؤلؤ، عن عبدالله بن سنان،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الغلام ثلاث عشرة سنة کتبت له الحسنة وکتبت علیه السئیة وعوقب، واذا بلغت الجاریة تسع سنین فکذلک وذلک انها تحیض لتسع سنین ورواه الکلینی، عن حمید بن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الحدود،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عن الحسن بن محمد بن سماعة</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الوصایا،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پسربچه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برسد حسنه و سیئه او نوشته می‌شود و هنگامی که دختربچه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برسد نیز این‌چنین است و این به جهت آن است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حیض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کتابت حسنات و سیئات منوط به رسیدن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 لکن به دنبالش جمله‌ای آمده که به حسب ظاهر جنبۀ تعلیل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انها تحیض لتسع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حیض می‌بیند، تکلیف بر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بر استدلال به این روایت اشکال کرده که این روایت نمی‌تواند ثابت کند ملاک تحیض بالفعل است؛ چون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غالباً حیض محقق نمی‌شود و تجربه نشان داده که دختران معمولاً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حیض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چاره‌ای نیست جز آن‌که روایت حمل بر استعداد و اقتضا شود؛ یعنی چون آمادگی و استعداد حیض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پدیدار می‌گردد، لذا تکلیف نیز در این سن بر او ثابت می‌شود و چه بسا این آمادگی در نقاط گرمسیر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مبدل به فعلیت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اکرم صلی الله علیه و آله با عایشه در حالی که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بود، همبستر شدند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نظر می‌رسد این سخن از جهاتی مخدوش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تحیض لتسع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 بالفعل است و حمل بر</w:t>
      </w:r>
    </w:p>
    <w:p>
      <w:pPr>
        <w:pStyle w:val="BookText"/>
        <w:rPr/>
      </w:pPr>
      <w:r>
        <w:rPr>
          <w:rFonts w:ascii="IRNazanin" w:hAnsi="IRNazanin" w:eastAsia="IRNazanin"/>
          <w:color w:val="111111"/>
          <w:sz w:val="28"/>
          <w:sz w:val="28"/>
          <w:szCs w:val="28"/>
          <w:rtl w:val="true"/>
          <w:lang w:bidi="fa-IR"/>
        </w:rPr>
        <w:t>استعداد و اقتضا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بیانی کذب هم لازم نمی‌آید؛ چون ممکن است امام علیه السلام علاوه بر این‌که ملاک بودن حیض را ذکر کرده، آن را بر دختران آن زمان نیز تطبیق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و آمادگی برای حیض ملاک باشد آیا مراد استعداد قریب به فعل است یا مطلق استعداد؟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مطلقِ استعداد و آمادگی مقصود نیست؛ زیرا این استعداد در دختران حتی در سنین پایین و در ایام طفولیت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این‌که غالباً در زمان ما دختران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حیض می‌بینند، آن گاه حمل بر استعداد و اقتضا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چه مفهومی دارد؟ چرا که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فاصلۀ نسبتاً زیادی است و نمی‌توان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زمان استعداد قریب به فعل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علت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ذکر شده این است که بعضی از دختران، هرچند قلیل، در این سن حیض می‌بینند و امکان تحقق حیض از این زمان به بعد است و به همین جهت ابتدای زمانی که ممکن است بعضی حیض ببینند، به عنوان مبدأ قرار داده شده است،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برخی دختران حتی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خون واجد صفات حیض می‌بینند ولی فقها بر خونی که همۀ شرایط و صفات حیض را داشته باشد و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خارج شود، اطلاق حیض نمی‌کنند و آثار آن را مترتب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استعداد و اقتضا قبل از این سن، مخصوصاً در زمان نزدیک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وجود ندارد؟ اگر استعداد و امکان تحقق حیض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انکار شود این تحکّم است و اگر</w:t>
      </w:r>
    </w:p>
    <w:p>
      <w:pPr>
        <w:pStyle w:val="BookText"/>
        <w:rPr/>
      </w:pPr>
      <w:r>
        <w:rPr>
          <w:rFonts w:ascii="IRNazanin" w:hAnsi="IRNazanin" w:eastAsia="IRNazanin"/>
          <w:color w:val="111111"/>
          <w:sz w:val="28"/>
          <w:sz w:val="28"/>
          <w:szCs w:val="28"/>
          <w:rtl w:val="true"/>
          <w:lang w:bidi="fa-IR"/>
        </w:rPr>
        <w:t xml:space="preserve">گفته شود به حسب قاعده امکان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امکان حیض نیست این نیز نادرست است؛ چون این یک تعبد محض است و سخن مستشکل در امکان و استعداد به حسب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حیض باشد نه سن، بهتر آن بود به نحو دیگری بیان می‌شد؛ مثلاً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والجاریة اذا حاضت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سن مذکور در بلوغ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کاملاً عرفی است؛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زید را دعوت کن؛ چون او روز جمعه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ملاک فرصت داشتن زید است، لکن ذکر روز جمعه به این جهت است که او روز جمعه فرصت دارد و به همین جهت تطبیق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الجاریة تسع سنین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دختر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حسنات و سیئات او نوشته می‌شود؛ چون در این سن حیض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ملاک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مشتمل بر حکمی است که اکثریت قریب به اتفاق اصحاب آن را نپذیرفته‌اند و آن این‌که پسربچه با رسیدن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می‌شود و لذا نمی‌توان به آن عمل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هم روشن است؛ چون بر فرض که چنین باشد، صرف اشتمال روایت بر حکمی که اصحاب آن را نپذیرفته‌اند، باعث عدم حجیت روایت به نحو کلی نمی‌شود؛ زیرا این مشکل از راه تبعیض در حجیت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این روایت ملحق به روایات حیض بوده و نمی‌توان برای اثبات ادعای بلوغ دختر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بدان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p>
    <w:p>
      <w:pPr>
        <w:pStyle w:val="BookText"/>
        <w:rPr/>
      </w:pPr>
      <w:r>
        <w:rPr>
          <w:rFonts w:ascii="IRNazanin" w:hAnsi="IRNazanin" w:eastAsia="IRNazanin"/>
          <w:color w:val="111111"/>
          <w:sz w:val="28"/>
          <w:sz w:val="28"/>
          <w:szCs w:val="28"/>
          <w:rtl w:val="true"/>
          <w:lang w:bidi="fa-IR"/>
        </w:rPr>
        <w:t xml:space="preserve">در برخی روایات تصریح شده که دختر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الخصال عن ابیه، عن علی بن ابراهیم، عن ابیه، عن محمد بن ابی عمیر، عن غیر واحد،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المرئة تسع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بلوغ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معتبر و دلالت آن نیز واضح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 عن ابن ابی عمیر، عن رجل،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الجاریة ابنة کم لا تستصبا أبنت ستّ اوسبع؟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ابنة تسع لا تستصبا واجمعوا کلهم علی انّ ابنة تسع لا تستصبا الا ان یکون فی عقلها ضعف والا فاذا بلغت تسعا فقد بلغت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دختربچه در چه سنی دیگر کارهای کودکانه نمی‌کند؟ آیا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دیگر کارهای بچه‌گانه نمی‌کند و همه بر این مطلب اتفاق نظر دارند مگر آن‌که دختر در عقلش ضعف باشد و الا چنان‌چه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بالغ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النکاح،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المتعه،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آن‌که مرسله است ولی بنابر اعتبار مرسلات ابن ابی عمیر مشکل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نیز تصریح به تحقق بلوغ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p>
    <w:p>
      <w:p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حد ازدواج تعیین شده؛ یعنی اگر قبل از نه سالگی دختر را تزویج کنند حق خیار برای او ثابت است و اگر در چنین سنی ازدواج کند، مخدوعه نیست؛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باسناده عن الصفار عن موسی بن عمر، عن الحسن بن یوسف، عن نصر، عن محمد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 الحسن الاول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تزوجت البکر بنت تسع سنین فلیست بمخدوعة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دختر باکره 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ازدواج کند، مخدوعه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قطع نظر از ضعف سندی روایت، تقریب استدلال به آن این است که اگر دختر باکره ازدواج کند 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 از حد کودکی خارج شده و دیگر نمی‌توان او را فریب خورده دانست؛ یعنی عقد ازدواج او لازم بوده و حق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این است که اگر ازدواج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صورت بگیرد عقد ازدواج او لازم نیست؛ چون ممکن است مخدوعه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واقعاً می‌توان گفت اگر دختر به چنین سنی برسد و ازدواج کند او دیگر مخدوعه نیست؟ این مطلب به خصوص در این زمان قابل پذیرش نیست و لذا به نظر می‌رسد امام علیه السلام اساساً در مقام بیان این مطلب نبوده که در چنین سنی دختر مخدوعه واقع نمی‌شود بلکه در مقام بیان حد بلوغ دختر بوده و این‌که عقد ازدواج او در این سن لازم است و حق خیار ندارد؛ یعنی در حقیقت در مقام بیان یک حکم تعبدی بوده، نه آن‌که در مقام اخبار از یک واقعیت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دارد روایت در مقام بیان رشد باشد نه بلوغ؛ بدین معنا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شرط تزویج نشان دهنده رشد است، چنان‌چه قبلاً در مورد برخی روایات مطرح شد ولی این احتمال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روایت دیگری نیز به همین مضمون وارد شده، با این تفاوت که به جای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عنوان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محمد بن احمد بن یحیی، عن محمد بن عبدالجبار، عن صفوان بن یحیی، عن ابراهیم بن محمد الاشعری، عن ابراهیم بن محرز الخثعمی،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الجاریة یتمتع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ان تکون صبیة تخدع،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اصلحک الله وکم الحد الذی اذا بلغته لم تخدع؟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عشر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المتعة،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دختری پرسیدم که مردی از او کامجویی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دختری باشد که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اگر دختر به آن برسد دیگر مخدوعه محسوب نمی‌شود کدام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حمل بر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روایت یزید کناسی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احمد بن محمد بن عیسی، عن الحسن بن محبوب، عن ابی ایوب الخزاز، عن 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بی جعفر علیه السلام متی یجوز للاب ان یزّوج ابنته ولا یستأمرها؟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جازت تسع سنین، فان زوّجها قبل بلوغ التسع سنین کان الخیار لها اذا بلغت تسع سنین،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زوّجها ابوها قبل بلوغ التسع سنین فبلغها ذلک فسکتت ولم تأبّ ذلک ایجوز علیها؟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یجوز علیها رضاء فی نفسها ولا یجوز لها تأبّ ولا سخط فی نفسها حتی تستکمل تسع سنین واذا بلغت تسع سنین جازلها القول فی نفسها بالرضا والتأبّی وجاز علیها بعد ذلک وان لم تکن ادرکت مدرک النساء الحدیث</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عقد النکاح،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برای پدر جایز است که دخترش را تزویج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ساله شود، و اگر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تزویج کند خیار برای او ثابت است وقتی به این سن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پدرش او را قبل از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تزویج کند و او سکوت کند و امتناع نکند آیا بر او جایز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 رضایت و امتناع و نارضایتی در مورد خودش تا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جایز نیست و اگر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آن‌گاه می‌تواند رضایت یا امتناع خود را اعلام کند و این جواز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ثابت است، حتی اگر به حد زنان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این روایت قبلاً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حدّ برای این حکم باشد، بعید بوده و قائلی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p>
    <w:p>
      <w:pPr>
        <w:pStyle w:val="BookText"/>
        <w:rPr/>
      </w:pPr>
      <w:r>
        <w:rPr>
          <w:rFonts w:ascii="IRNazanin" w:hAnsi="IRNazanin" w:eastAsia="IRNazanin"/>
          <w:color w:val="111111"/>
          <w:sz w:val="28"/>
          <w:sz w:val="28"/>
          <w:szCs w:val="28"/>
          <w:rtl w:val="true"/>
          <w:lang w:bidi="fa-IR"/>
        </w:rPr>
        <w:t xml:space="preserve">در برخی روایات وجوب عده منوط به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اصحابنا، عن سهل بن زیاد، عن ابن ابی نجران، عن صفوان، عن عبدالرحمن بن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ثلاث تتزوجن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تحض ومثلها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وماحدها؟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 لها اقل من تسع سنین، والتی لم یدخل بها والتی قدیئست من المحیض ومثلها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وماحدها؟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لها خمسون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اززنان در هر حال می‌توانند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العدد،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بر آنان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حیض نشده‌اند و امثال آنان نیز حیض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افراد کدام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دخول به آن‌ها نشده و نیز آنان که یائسه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حد آن‌ها کدام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روایت سه گروه از زنان لازم نیست عده نگه دارند ولی غیر از آنان از جمله زنانی که به نه سالگی رسیده‌اند باید عده را حفظ کنند، لکن این محل اشکال است،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به جهت سهل بن زیاد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ابوسعید آدمی الرازی در نقل حدیث ضعیف بوده و به او اعتماد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در مورد او شهادت به غلّو و کذب داده و او را از قم اخراج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هم معتقد است سهل، ضعیف و فاسد الروایة و المذهب بود و احمد بن عیسی اشعری مردم را از روایت از او و شنیدن سخنان او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جداً ضعیف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انه لا یصح الظهار بیمین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علامه توثیق او را به گونه‌ای از کلمات شیخ استفاده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تضعیف سهل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برخی مشکلی در رابطه با او وجود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روایتی قریب به همین مضمون تنها با یک تفاوت از طریق شیخ نقل شده که در آن سهل بن زیاد نیست و آن روایت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علی بن الحسن، عن محمد بن الحسین بن ابی الخطاب، عن صفوان، عن عبدالرحمن بن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یئست من المحیض ومثلها لا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تکون کذلک؟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بلغت ستین سنة فقد یئست من المحیض والتی لم تحض ومثلها لا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تکون کذلک؟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تبلغ تسع سنین فانها لا تحیض ومثلها لا تحیض، والتی لم یدخل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این روایت با روایت قبلی در این است که سن یأس در روایت قبلی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این روایت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این روایت نیز به جهت علی بن محمد بن زبیر که در طریق شیخ طوسی به علی بن حسن بن فضال واقع شده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روایت استفاده می‌شود سه گروه از زنان نیاز به نگهداری عده ندارند و می‌توانند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از آنان دخترانی هستند که حیض نمی‌بینند و مثل آن‌ها هم حیض نمی‌بیند و حد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بر عدم لزوم عده در دختری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تحیض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لکن در این دو روایت تحدید سنّ نیز شده؛ یعنی سنّی هم که حیض در آن محقق می‌شود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اساس این دو روایت ملاک وجوب حفظ عده حیض است و سخنی از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ملاک لزوم عده است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ابواب الزیادات فی فقه النکاح، ح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راوی از زمان آن سؤال می‌کند، امام علیه السلام در پاسخ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 تبلغ تسع سنین فانها لا تحیض ومثلها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پاسخ استفاده می‌شود این است که امکان حیض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یکی از روایاتی است که به واسطه آن حکم به عدم امکان حیض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می‌شود، هرچند خون خارج شده واجد شرایط و صفات حیض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پاسخ امام علیه السلام وجوب حفظ عده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آن است که اگر این‌چنین بود باید امام علیه السلام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والتی لم تبلغ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 لم تحض ومثلها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معلوم می‌شود ملاک وجوب حفظ عده حیض است ولی حیض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واقع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عیون الاخبار، عن جعفر بن نعیم بن شاذان، عن محمد بن شاذان، عن الفضل بن شاذان، عن محمد بن اسماعیل بن بزیع، عن الرضا علیه السلام فی حد الجاریة الصغیرة السن الذی اذا لم تبلغه لم یکن علی الرجل استبراؤها؟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تبلغ استبرئت بشهر،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ابنة سبع سنین او نحوها ممّا لا تحمل؟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صغیرة، ولا یضرک ان لا تستبرئها،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بینها وبین تسع سنین؟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تسع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علیه السلام در مورد حد دختربچه کم‌سن و سال که بالغ نشده سؤال شد که آیا بر مرد استبراء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عدۀ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نکاح العبید و الاماء،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دختر بالغ نشده باشد یک ماه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مانند آن باشد که حامله نمی‌شود چطور؟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صغیره است و البته برای تو ضرری ندارد که او را استبراء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چطور؟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دختر با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بچگی خارج شده و کبیره می‌شود که استبراء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غیر بالغ و دخترِ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اندازه یک ماه نیز، 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p>
    <w:p>
      <w:pPr>
        <w:pStyle w:val="BookText"/>
        <w:rPr/>
      </w:pPr>
      <w:r>
        <w:rPr>
          <w:rFonts w:ascii="IRNazanin" w:hAnsi="IRNazanin" w:eastAsia="IRNazanin"/>
          <w:color w:val="111111"/>
          <w:sz w:val="28"/>
          <w:sz w:val="28"/>
          <w:szCs w:val="28"/>
          <w:rtl w:val="true"/>
          <w:lang w:bidi="fa-IR"/>
        </w:rPr>
        <w:t xml:space="preserve">مضمون برخی از روایات این است که دخول به دختر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ابراهیم، عن ابیه، عن محمد بن یحیی، عن احمد بن محمد، جمیعاً عن ابن ابی عمیر، عن حمّاد، عن الحلبی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الرجل الجاریة وهی صغیرة، فلا یدخل بها حتی یأتی لها تسع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با دختربچه در حالی که صغیره است ازدواج کند دخول به او جایز نیست تا آن‌که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جهت سند معتبر و دلالت آن نیز بر مدعا واضح</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النکاح،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چون به حسب ظاهر روایت، عدم جواز دخول به واسطه صغیره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دخول جایز می‌شود و این کشف می‌کند که از صغر خارج شده و به بلوغ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غایت عدم جواز دخول است نه غایت صغر، لذا روایت دلالت بر تحقق بلوغ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حکم به عدم جواز دخول صغیره بودن است و با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 حکم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ملاک حکم یعنی صغر از بین رفته و او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گفته شود با فرض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باز هم صغیره بوده و صرفاً عدم جواز دخول منتفی شده، این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باسناده عن حمید بن زیاد، عن زکریا المؤمن او بینه وبینه رجل ولا اعلمه الاحدثنی عن عمار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فقل للقاضی،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المرئة ان یدخل بها زوجها ابنة تسع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سجستانی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به یکی از موالیان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دختر برای آن‌که شوهرش بتواند به او دخول 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جهت ارسال در سند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دلالت هم بر مدعا که مطلق تسع است، دلالت ندارد؛ چون بر طبق این روایت حد زنانگی آمیزش با او است در حالی که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9</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باب الحد الذی یدخل المرئه فیه،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سالگی به تنهایی، حد زن شدن قرار داده نشده بلکه دخول به دختر در ظرف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حد زنانگی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گفته شود ملاک،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مسئلۀ دخول و آمیزش صرفاً به جهت تأکید یا به عنوان اشاره به رشد مطرح شده، پاسخ آن سابقاً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هفتم</w:t>
      </w:r>
    </w:p>
    <w:p>
      <w:pPr>
        <w:pStyle w:val="BookText"/>
        <w:rPr/>
      </w:pPr>
      <w:r>
        <w:rPr>
          <w:rFonts w:ascii="IRNazanin" w:hAnsi="IRNazanin" w:eastAsia="IRNazanin"/>
          <w:color w:val="111111"/>
          <w:sz w:val="28"/>
          <w:sz w:val="28"/>
          <w:szCs w:val="28"/>
          <w:rtl w:val="true"/>
          <w:lang w:bidi="fa-IR"/>
        </w:rPr>
        <w:t xml:space="preserve">طبق بعضی از روایات اگر با دختر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آمیزش شود و عیبی در او پدیدار گردد، ضمان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محمد بن ابی خالد، عن ابن ابی عمیر، عن حماد، عن الحلبی،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وطیء امرأته قبل تسع سنین فاصابها عیب فهو ضامن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همسرش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آمیزش کند و عیبی در او حادث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سنداً مشکلی ندارد و دلالت می‌کند بر این‌که اگر دخول و آمیزش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منجر به عیب شود،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محمد بن یحیی، عن طلحة بن زید، عن جعفر، عن ابیه،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بکرا فدخل بها فی اقل من تسع سنین فعیبت ضمن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دختر باکره‌ای ازدواج کند و در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او دخول کند و عیبی در او پدیدار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النکاح،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النکاح،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مانند روایت قبلی است و نیازی به توضیح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حمّاد، عن الحلبی،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دخل بامرئة قبل ان تبلغ تسع سنین، فاصابها عیبُ فهو ضامن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زنی قبل از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دخول کند و عیبی در او به وجود آید،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بوده و دلالتش هم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باسناده عن الحسن بن محبوب، عن ابی ایوب، عن حمران،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تزّوج جاریة بکراً لم تدرک، فلمّا دخل بها افتضها فافضاها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دخل بها حین دخل بها ولها تسع سنین فلاشیء علیه، وان کانت لم تبلغ تسع سنین، او کان لها اقلّ من ذلک بقلیل حین دخل بها فافتضها فانه قد افسدها وعطّلها علی الازواج، فعلی الامام ان یغرمه دیتها وان امسکها ولم یطلّقها حتی تموت فلا شیء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مردی سؤال شد که با دختر باکره‌ای که بالغ شده ازدواج کرده و پس از دخول منجر به افضاء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دخول کرده 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پس چیزی بر عهدۀ او نیست ولی اگر هنگام دخول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نرسیده یا به مقدار ناچیزی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کمتر باشد و این دخول</w:t>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منجر به افضاء شده، او را خراب کرده و در برابر کسانی که می‌خواهند با او ازدواج کنند مانع ایجاد کرده، لذا بر امام است که دیه او را طلب کند و اگر مرد امتناع کرد و او را طلاق نداد تا آن‌که آن دختر از دنیا رفت، پس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صحیح است و از جهت دلالت هم مضمون آن این است که اگر با دختر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آمیزش شود و منجر به افضا گردد ضمانی نیست ولی اگر به این سن نرسیده باشد و دخول موجب افضا شود باید دیه آن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محمد بن یحیی، عن احمد بن محمد، وعن علی بن ابراهیم، عن ابیه جمیعاً، عن ابن محبوب، عن الحارث بن محمد بن النعمان صاحب الطاق، عن برید بن معاویة، عن ابی جعفر علیه السلام فی رجل افتضّ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فافضاها؟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ان کان دخل بها قبل ان تبلغ تسع سنین،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امسکها ولم یطّلقها فلاشیء علیه ان شاء امسک وان شاء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محمد بن الحسن، باسناده عن الحسن بن محبوب،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مورد مردی که دختربچه‌ای را افضاء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سلگی به او دخول کرده بر او دیه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پرداخت آن خودداری کرد و او را طلاق نداد پس چیزی بر او واجب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یحرم بالمصاهره،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مانند روایت قبلی دال بر لزوم پرداخت دیه در صورت افضا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باسناده عن الصفّار، عن الحسین بن موسی، عن غیاث، عن اسحق بن عمار، عن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وطیء امرأة من قبل ان یتمّ لها تسع سنین فاعنف ضمن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زنی قبل از اتمام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وطی کند پس موجب عیب در او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دال بر ضمان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طبق قسم هفتم از روایات، اگر آمیزش و دخول در دختر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منجر به عیب و افضا شود ضمان و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فارق بین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مسئلۀ بلوغ است و الا وجه دیگری برای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هشتم</w:t>
      </w:r>
    </w:p>
    <w:p>
      <w:pPr>
        <w:pStyle w:val="BookText"/>
        <w:rPr/>
      </w:pPr>
      <w:r>
        <w:rPr>
          <w:rFonts w:ascii="IRNazanin" w:hAnsi="IRNazanin" w:eastAsia="IRNazanin"/>
          <w:color w:val="111111"/>
          <w:sz w:val="28"/>
          <w:sz w:val="28"/>
          <w:szCs w:val="28"/>
          <w:rtl w:val="true"/>
          <w:lang w:bidi="fa-IR"/>
        </w:rPr>
        <w:t xml:space="preserve">بر اساس بعضی روایات، دخول به دختر در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موجب حرمت ابدی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اصحابنا، عن سهل بن زیاد، عن یعقوب بن یزید، عن بعض اصحابنا،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خطب الرجل المرئة فدخل بها قبل ان تبلغ تسع سنین فرّق بینهما ولم تحل له ابداً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ضمان النفوس و غیرها، ح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یحرم بالمصاهرة، ح </w:t>
      </w:r>
      <w:r>
        <w:rPr>
          <w:rFonts w:eastAsia="IRNazanin" w:cs="IRNazanin"/>
          <w:color w:val="111111"/>
          <w:sz w:val="28"/>
          <w:szCs w:val="28"/>
          <w:lang w:bidi="fa-IR"/>
        </w:rPr>
        <w:t>2</w:t>
      </w:r>
      <w:r>
        <w:rPr>
          <w:rFonts w:eastAsia="IRNazanin" w:cs="IRNazanin"/>
          <w:color w:val="111111"/>
          <w:sz w:val="28"/>
          <w:szCs w:val="28"/>
          <w:rtl w:val="true"/>
          <w:lang w:bidi="fa-IR"/>
        </w:rPr>
        <w:t>.</w:t>
      </w:r>
      <w:bookmarkStart w:id="423" w:name="pg6142_67481"/>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 دختری را خواستگاری کند و به او قبل از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دخول کند، در این صورت آن‌ها از یکدیگر جدا شده و آن زن حرمت ابدی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جهت سند ضعیف است و بر اساس آن دخول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مستلزم حرمت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اساس برخی دیگر از روایات، صرف دخول و آمیزش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موجب حرمت ابدی نیست بلکه اگر دخول منجر به افضا شود سبب حرمت ابدی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وسائل بابی را به همین عنوان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 من دخل بامرأة قبل ان تبلغ تسعا فافضاها حرّمت علیه مؤبدا وحکم امساکها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روایات حمران و برید بن معاویه نیز بر همین معنا حمل شوند</w:t>
      </w:r>
      <w:r>
        <w:rPr>
          <w:rFonts w:eastAsia="IRNazanin" w:cs="IRNazanin"/>
          <w:color w:val="111111"/>
          <w:sz w:val="28"/>
          <w:szCs w:val="28"/>
          <w:rtl w:val="true"/>
          <w:lang w:bidi="fa-IR"/>
        </w:rPr>
        <w:t>.</w:t>
      </w:r>
    </w:p>
    <w:p>
      <w:pPr>
        <w:pStyle w:val="Heading4"/>
        <w:numPr>
          <w:ilvl w:val="3"/>
          <w:numId w:val="1"/>
        </w:numPr>
        <w:rPr/>
      </w:pPr>
      <w:bookmarkStart w:id="424" w:name="__RefHeading___Toc189202_237004111"/>
      <w:bookmarkStart w:id="425" w:name="_Toc161"/>
      <w:bookmarkEnd w:id="424"/>
      <w:r>
        <w:rPr>
          <w:rtl w:val="true"/>
        </w:rPr>
        <w:t>نتیجۀ کلی</w:t>
      </w:r>
      <w:bookmarkEnd w:id="425"/>
    </w:p>
    <w:p>
      <w:pPr>
        <w:pStyle w:val="BookText"/>
        <w:rPr/>
      </w:pPr>
      <w:r>
        <w:rPr>
          <w:rFonts w:ascii="IRNazanin" w:hAnsi="IRNazanin" w:eastAsia="IRNazanin"/>
          <w:color w:val="111111"/>
          <w:sz w:val="28"/>
          <w:sz w:val="28"/>
          <w:szCs w:val="28"/>
          <w:rtl w:val="true"/>
          <w:lang w:bidi="fa-IR"/>
        </w:rPr>
        <w:t>نتیجه آن‌که روایاتی که در آن نه سالگی به عنوان مبدأ بلوغ دختران و ثبوت تکالیف ذکر شده فی الجمله کثیر بوده، هرچند برخی از آن‌ها از حیث سند یا دلالت و یا هر دو دارای مشکل می‌باشند</w:t>
      </w:r>
      <w:r>
        <w:rPr>
          <w:rFonts w:eastAsia="IRNazanin" w:cs="IRNazanin"/>
          <w:color w:val="111111"/>
          <w:sz w:val="28"/>
          <w:szCs w:val="28"/>
          <w:rtl w:val="true"/>
          <w:lang w:bidi="fa-IR"/>
        </w:rPr>
        <w:t>.</w:t>
      </w:r>
    </w:p>
    <w:p>
      <w:pPr>
        <w:pStyle w:val="Heading4"/>
        <w:numPr>
          <w:ilvl w:val="3"/>
          <w:numId w:val="1"/>
        </w:numPr>
        <w:rPr/>
      </w:pPr>
      <w:bookmarkStart w:id="426" w:name="__RefHeading___Toc189204_237004111"/>
      <w:bookmarkStart w:id="427" w:name="_Toc162"/>
      <w:bookmarkEnd w:id="426"/>
      <w:r>
        <w:rPr>
          <w:rtl w:val="true"/>
        </w:rPr>
        <w:t>جمع بندی روایات سن</w:t>
      </w:r>
      <w:bookmarkEnd w:id="427"/>
    </w:p>
    <w:p>
      <w:pPr>
        <w:pStyle w:val="BookText"/>
        <w:rPr/>
      </w:pPr>
      <w:r>
        <w:rPr>
          <w:rFonts w:ascii="IRNazanin" w:hAnsi="IRNazanin" w:eastAsia="IRNazanin"/>
          <w:color w:val="111111"/>
          <w:sz w:val="28"/>
          <w:sz w:val="28"/>
          <w:szCs w:val="28"/>
          <w:rtl w:val="true"/>
          <w:lang w:bidi="fa-IR"/>
        </w:rPr>
        <w:t>مجموع روایاتی که در آن‌ها سن خاصی به عنوان مبدأ بلوغ دختران و تعلق تکالیف به آنان ذکر شده، چند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مردّد را به نحوی که سابقاً بیان شد توجیه نمائیم و آن‌ها را به نوعی به روایات غیرمردّد برگردانیم و یا حمل بر امور دیگر نمائیم، در مجموع چند دسته از روایات قابل بررسی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ابتدائاً بین این سه دسته روایات مقایسه‌ای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از سه جهت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جهت 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دلالت هم تارةً وضوح دلالت، صراحت روایت، یا اظهر بودن آن مراد است و اخری عمومیت احکام مترتّب بر سن خاصّ مقصود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حیث سند، بدون تردید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معتبرتر از روایات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هستند؛ زیرا روایات صحیحۀ متعددی بر اعتبار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دلالت می‌کنند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تعداد هم می‌توان ادعا کرد که این روایات بیشتر از روایات دال بر اعتبار سنین 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روایات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تنها یک روایت قابل اعتماد است که آن هم قابل حمل بر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نیز دو روایت بوده ولی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حدوداً سیزده روایت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اگر روایات ضعیف السند و الدلالة را نیز خارج کنیم باز هم این روایات از حیث عدد بیشتر از روایات دیگر است</w:t>
      </w:r>
      <w:r>
        <w:rPr>
          <w:rFonts w:eastAsia="IRNazanin" w:cs="IRNazanin"/>
          <w:color w:val="111111"/>
          <w:sz w:val="28"/>
          <w:szCs w:val="28"/>
          <w:rtl w:val="true"/>
          <w:lang w:bidi="fa-IR"/>
        </w:rPr>
        <w:t>.</w:t>
      </w:r>
      <w:bookmarkStart w:id="428" w:name="pg6142_67483"/>
    </w:p>
    <w:p>
      <w:pPr>
        <w:pStyle w:val="BookText"/>
        <w:rPr/>
      </w:pPr>
      <w:bookmarkEnd w:id="428"/>
      <w:r>
        <w:rPr>
          <w:rFonts w:ascii="IRNazanin" w:hAnsi="IRNazanin" w:eastAsia="IRNazanin"/>
          <w:color w:val="111111"/>
          <w:sz w:val="28"/>
          <w:sz w:val="28"/>
          <w:szCs w:val="28"/>
          <w:rtl w:val="true"/>
          <w:lang w:bidi="fa-IR"/>
        </w:rPr>
        <w:t xml:space="preserve">اما از جهت وضوح دلالت بعضی از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صریح بوده، در حالی که این صراحت در بقیه روایات مشاهده نمی‌شود؛ از جمله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بلوغ المرئة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عمومیت احکام مترتب بر سن خاص نیز روایات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فقط در مورد وصیت، دخول و ضمان عیب وارد شده ولی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نحو عام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برخی از آن‌ها احکام به نحو عام ثابت شده و در برخی دیگر احکام خاصی ثابت شده‌اند؛ مانند ثبوت خیار برای دختری که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تزویج شده، عدم وجوب حفظ عده برای مطلّقه‌ای که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ضمان عیب برای دخول به دختری 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نرسیده است، حرمت ابدی برای دختری که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توسط شوهرش به او دخول شده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دسته از روایات ضمن آن‌که در بعضی موارد احکام به نحو عام برای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ثابت شده، ثبوت احکام به نحو خاص نیز از تنوع بیشتری برخوردار است</w:t>
      </w:r>
      <w:r>
        <w:rPr>
          <w:rFonts w:eastAsia="IRNazanin" w:cs="IRNazanin"/>
          <w:color w:val="111111"/>
          <w:sz w:val="28"/>
          <w:szCs w:val="28"/>
          <w:rtl w:val="true"/>
          <w:lang w:bidi="fa-IR"/>
        </w:rPr>
        <w:t>.</w:t>
      </w:r>
    </w:p>
    <w:p>
      <w:pPr>
        <w:pStyle w:val="Heading4"/>
        <w:numPr>
          <w:ilvl w:val="3"/>
          <w:numId w:val="1"/>
        </w:numPr>
        <w:rPr/>
      </w:pPr>
      <w:bookmarkStart w:id="429" w:name="__RefHeading___Toc189206_237004111"/>
      <w:bookmarkStart w:id="430" w:name="_Toc163"/>
      <w:bookmarkEnd w:id="429"/>
      <w:r>
        <w:rPr>
          <w:rtl w:val="true"/>
        </w:rPr>
        <w:t xml:space="preserve">تقدم روایات </w:t>
      </w:r>
      <w:r>
        <w:rPr/>
        <w:t>9</w:t>
      </w:r>
      <w:r>
        <w:rPr>
          <w:rtl w:val="true"/>
        </w:rPr>
        <w:t xml:space="preserve"> </w:t>
      </w:r>
      <w:r>
        <w:rPr>
          <w:rtl w:val="true"/>
        </w:rPr>
        <w:t>سالگی بر سایر روایات سن</w:t>
      </w:r>
      <w:bookmarkEnd w:id="430"/>
    </w:p>
    <w:p>
      <w:pPr>
        <w:pStyle w:val="BookText"/>
        <w:rPr/>
      </w:pPr>
      <w:r>
        <w:rPr>
          <w:rFonts w:ascii="IRNazanin" w:hAnsi="IRNazanin" w:eastAsia="IRNazanin"/>
          <w:color w:val="111111"/>
          <w:sz w:val="28"/>
          <w:sz w:val="28"/>
          <w:szCs w:val="28"/>
          <w:rtl w:val="true"/>
          <w:lang w:bidi="fa-IR"/>
        </w:rPr>
        <w:t>پس از بررسی روایات مختلف که در آن فقط سن خاصی ملاک ثبوت تکلیف برای دختر قرار داده شده، باید دید آیا اساساً تعارضی بین این روایات هست یا خیر و اگر تعارضی وجود دارد کدام یک را باید ترجیح داد؟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مقدم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شیخ طوسی که اگر صحیحه‌ای در مقابل موثّقه قرار بگیرد صحیحه مقدم می‌شود، به طور کلی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صلاحیت تعارض با این روایات را ندارند؛ زیرا در بین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چندین صحیحه وجود دارد، در حالی که مهم‌ترین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روایت عمّار ساباطی است که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نیز از حیث سند صحیحه نبوده و از جهت دلالت هم حمل آن بر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بین روایاتی که منحصراً سن را ملاک ثبوت تکالیف قرار داده‌اند،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سایر روایات مقدم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مبنای شیخ طوسی پذیرفته نشود معذلک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رجحان دارد؛ چون هم دارای شهرت روایی است و هم شهرت عملی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دانستن این مطلب، مسئلۀ مهمی که باقی مانده و لازم است به آن رسیدگی شود، تعارض بین روایات تسع و بین روایات حیض و احتلام است که در بخش بعدی به آن خواهیم پرداخت</w:t>
      </w:r>
      <w:r>
        <w:rPr>
          <w:rFonts w:eastAsia="IRNazanin" w:cs="IRNazanin"/>
          <w:color w:val="111111"/>
          <w:sz w:val="28"/>
          <w:szCs w:val="28"/>
          <w:rtl w:val="true"/>
          <w:lang w:bidi="fa-IR"/>
        </w:rPr>
        <w:t>.</w:t>
      </w:r>
      <w:bookmarkStart w:id="431" w:name="pg6142_67486"/>
    </w:p>
    <w:p>
      <w:pPr>
        <w:pStyle w:val="Heading2"/>
        <w:numPr>
          <w:ilvl w:val="1"/>
          <w:numId w:val="1"/>
        </w:numPr>
        <w:rPr/>
      </w:pPr>
      <w:bookmarkStart w:id="432" w:name="__RefHeading___Toc189208_237004111"/>
      <w:bookmarkStart w:id="433" w:name="_Toc164"/>
      <w:bookmarkEnd w:id="431"/>
      <w:bookmarkEnd w:id="432"/>
      <w:r>
        <w:rPr>
          <w:rtl w:val="true"/>
        </w:rPr>
        <w:t>بخش چهارم</w:t>
      </w:r>
      <w:r>
        <w:rPr>
          <w:rtl w:val="true"/>
        </w:rPr>
        <w:t xml:space="preserve">: </w:t>
      </w:r>
      <w:r>
        <w:rPr>
          <w:rtl w:val="true"/>
        </w:rPr>
        <w:t>تعارض بین روایات و بررسی راه حل ها</w:t>
      </w:r>
      <w:bookmarkEnd w:id="43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189210_237004111"/>
      <w:bookmarkStart w:id="435" w:name="_Toc165"/>
      <w:bookmarkEnd w:id="434"/>
      <w:r>
        <w:rPr>
          <w:rtl w:val="true"/>
        </w:rPr>
        <w:t>اشاره</w:t>
      </w:r>
      <w:bookmarkStart w:id="436" w:name="pg6142_67488"/>
      <w:bookmarkEnd w:id="435"/>
    </w:p>
    <w:p>
      <w:pPr>
        <w:pStyle w:val="Heading3"/>
        <w:numPr>
          <w:ilvl w:val="2"/>
          <w:numId w:val="1"/>
        </w:numPr>
        <w:rPr/>
      </w:pPr>
      <w:bookmarkStart w:id="437" w:name="__RefHeading___Toc189212_237004111"/>
      <w:bookmarkStart w:id="438" w:name="_Toc166"/>
      <w:bookmarkEnd w:id="436"/>
      <w:bookmarkEnd w:id="437"/>
      <w:r>
        <w:rPr>
          <w:rtl w:val="true"/>
        </w:rPr>
        <w:t>مقدمه</w:t>
      </w:r>
      <w:bookmarkEnd w:id="4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مباحث دو بخش گذشته این شد که در برخی از روایات، دو نشانه از نشانه‌های طبیعی بلوغ جنسی دختران یعنی حیض و احتلام معیار تعلّق تکالیف دانسته شده و در برخی دیگر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زمان ثبوت تکالیف برای دختران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روایات احتلام و حیض، این دو امر را به عنوان نشانۀ بلوغ دختران و ملاک ثبوت تکلیف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پذیرش این روایات عدم مدخلیت سن در بلوغ و ثبوت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تسع، این سن را به عنوان حد بلوغ دختران و زمان تعلق تکلیف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قبول این روایات نیز، عدم مدخلیت احتلام و حیض 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روایات تصریح شده که چه احتلام و حیض محقق شوند و چه محقق نشوند، زمانی که دختر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برخی دیگر از روایات، ثبوت تکلیف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معلل به حیض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بر فرض پذیرش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عنوان حد بلوغ، ذکر علامات و نشانه‌های طبیعی مانند احتلام و حیض که در بسیاری از روایات بیان شده، لغو خواهد بود؛ چون این نشانه‌ها در یک فاصلۀ زمانی نسبتاً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گویا ملاک بلوغ و ثبوت تکلیف فقط رسیدن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نشانه‌های طبیعی مدخلیتی در این امر ندارند؛ زیرا قبل از ظهور آن نشانه‌ها غالباً دختر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می‌رسد و احتلام و حیض قبل از این سن را هم فقها به عنوان نشانۀ بلوغ نمی‌پذیرند؛ چون احتلام و حیض در وقت امکان علامت بلوغ است و وقت امکان در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آن‌چه گفته شد تنها بر اساس جمع‌بندی این دو دسته از روایات از زاویه‌ای است که در گذشته به آن اشاره گردید والا چه بسا مجموعه روایات مرتبط با مسئلۀ بلوغ دختران و ثبوت تکلیف بر آنان از زوایای دیگری قابل ملاحظه می‌باشد، چنان‌چه این مطلب از راه‌حل‌های ارائه شده توسط بزرگان در این باره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همۀ این راه‌حل‌ها آن است که ارائه‌دهندگان آن‌ها در صدد جمع بین روایات مرتبط با این مسئله می‌باشند ولی در عین حال تفاوت‌هایی نیز با یکدیگر دارند؛ مثلاً راه‌حل برگزیده معطوف به روایاتی است که مورد اشاره قرار گرفت ولی در برخی راه‌حل‌ها نظر به همۀ روایات این باب است نه خصوص روایات تسع و روایات حیض و احتلام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این بخش پی‌گیری می‌شود بررسی همۀ راه‌حل‌هایی است که توسط بزرگان ارائه شده است</w:t>
      </w:r>
      <w:r>
        <w:rPr>
          <w:rFonts w:eastAsia="IRNazanin" w:cs="IRNazanin"/>
          <w:color w:val="111111"/>
          <w:sz w:val="28"/>
          <w:szCs w:val="28"/>
          <w:rtl w:val="true"/>
          <w:lang w:bidi="fa-IR"/>
        </w:rPr>
        <w:t>.</w:t>
      </w:r>
      <w:bookmarkStart w:id="439" w:name="pg6142_67490"/>
    </w:p>
    <w:p>
      <w:pPr>
        <w:pStyle w:val="Heading3"/>
        <w:numPr>
          <w:ilvl w:val="2"/>
          <w:numId w:val="1"/>
        </w:numPr>
        <w:rPr/>
      </w:pPr>
      <w:bookmarkStart w:id="440" w:name="__RefHeading___Toc189214_237004111"/>
      <w:bookmarkStart w:id="441" w:name="_Toc167"/>
      <w:bookmarkEnd w:id="439"/>
      <w:bookmarkEnd w:id="440"/>
      <w:r>
        <w:rPr>
          <w:rtl w:val="true"/>
        </w:rPr>
        <w:t>گفتار اول</w:t>
      </w:r>
      <w:r>
        <w:rPr>
          <w:rtl w:val="true"/>
        </w:rPr>
        <w:t xml:space="preserve">: </w:t>
      </w:r>
      <w:r>
        <w:rPr>
          <w:rtl w:val="true"/>
        </w:rPr>
        <w:t>راه حل اول و بررسی آن</w:t>
      </w:r>
      <w:bookmarkEnd w:id="441"/>
    </w:p>
    <w:p>
      <w:pPr>
        <w:pStyle w:val="Heading4"/>
        <w:numPr>
          <w:ilvl w:val="3"/>
          <w:numId w:val="1"/>
        </w:numPr>
        <w:rPr/>
      </w:pPr>
      <w:bookmarkStart w:id="442" w:name="__RefHeading___Toc189216_237004111"/>
      <w:bookmarkStart w:id="443" w:name="_Toc168"/>
      <w:bookmarkEnd w:id="442"/>
      <w:r>
        <w:rPr>
          <w:rtl w:val="true"/>
        </w:rPr>
        <w:t>راه حل اول</w:t>
      </w:r>
      <w:bookmarkEnd w:id="443"/>
    </w:p>
    <w:p>
      <w:pPr>
        <w:pStyle w:val="Heading5"/>
        <w:numPr>
          <w:ilvl w:val="4"/>
          <w:numId w:val="1"/>
        </w:numPr>
        <w:rPr/>
      </w:pPr>
      <w:bookmarkStart w:id="444" w:name="__RefHeading___Toc189218_237004111"/>
      <w:bookmarkStart w:id="445" w:name="_Toc16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فیض کاشانی با توجه به روایات مختلفی که در باب بلوغ دختران وارد شده، برای بلوغ به حسب اختلاف احکام، مراتب مختلف قائل شده و در حقیقت بدین وسیله بین اخبار و روایات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والتوفیق بین الاخبار یقتضی اختلاف معنی البلوغ بحسب السنّ بالاضافة الی انواع التکالیف کما یظهر مما روی فی باب الصیام انه لا یجب علی الانثی قبل اکمالها الثلاث عشرة سنة الا اذا حاضت قبل ذلک وما روی فی باب الحدود ان الانثی تؤاخذ بها وهی تؤخذ لها تامة اذا اکملت تسع سنین الی غیر ذلک مما ورد فی الوصیة والعتق ونحوهما انها تصح من ذی العشر</w:t>
      </w:r>
      <w:r>
        <w:rPr>
          <w:rFonts w:eastAsia="IRNazanin" w:cs="IRNazanin"/>
          <w:color w:val="111111"/>
          <w:sz w:val="28"/>
          <w:szCs w:val="28"/>
          <w:rtl w:val="true"/>
          <w:lang w:bidi="fa-IR"/>
        </w:rPr>
        <w:t>».</w:t>
      </w:r>
      <w:r>
        <w:rPr>
          <w:rStyle w:val="FootnoteAnchor"/>
          <w:rtl w:val="true"/>
        </w:rPr>
        <w:footnoteReference w:id="23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الشرایع، مفتاح الثانی، ص </w:t>
      </w:r>
      <w:r>
        <w:rPr>
          <w:rFonts w:eastAsia="IRNazanin" w:cs="IRNazanin"/>
          <w:color w:val="111111"/>
          <w:sz w:val="28"/>
          <w:szCs w:val="28"/>
          <w:lang w:bidi="fa-IR"/>
        </w:rPr>
        <w:t>14</w:t>
      </w:r>
      <w:r>
        <w:rPr>
          <w:rFonts w:eastAsia="IRNazanin" w:cs="IRNazanin"/>
          <w:color w:val="111111"/>
          <w:sz w:val="28"/>
          <w:szCs w:val="28"/>
          <w:rtl w:val="true"/>
          <w:lang w:bidi="fa-IR"/>
        </w:rPr>
        <w:t>.</w:t>
      </w:r>
      <w:bookmarkStart w:id="446" w:name="pg6142_67491"/>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اخبار اقتضا می‌کند معنای بلوغ به حسب سن نسبت به انواع تکالیف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روایتی که در باب روزه وارد شده استفاده می‌شود که روزه قبل از پایان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دختر واجب نیست، مگر آن‌که قبل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حیض شود و ظاهر روایتی که در باب حدود وارد شده این است که زمانی حدود تامه بر دختر جاری می‌شود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تمام کرده باشد و از آن‌چه در باب وصیت و عتق و امثال آن وارد شده به دست می‌آید که این امور از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بلوغ دختر دارای سه مرتبه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تکالیف فردی مثل نماز، روزه، حج و امثال آن، زمان بلوغ پایان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مگر آن‌که قبل از آن حیض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در پایان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او و برای او اقامه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همچون وصیت و عتق و امثال آن نیز، در صورتی از او نافذ است که به پایان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باشد</w:t>
      </w:r>
      <w:r>
        <w:rPr>
          <w:rFonts w:eastAsia="IRNazanin" w:cs="IRNazanin"/>
          <w:color w:val="111111"/>
          <w:sz w:val="28"/>
          <w:szCs w:val="28"/>
          <w:rtl w:val="true"/>
          <w:lang w:bidi="fa-IR"/>
        </w:rPr>
        <w:t>.</w:t>
      </w:r>
    </w:p>
    <w:p>
      <w:pPr>
        <w:pStyle w:val="Heading5"/>
        <w:numPr>
          <w:ilvl w:val="4"/>
          <w:numId w:val="1"/>
        </w:numPr>
        <w:rPr/>
      </w:pPr>
      <w:bookmarkStart w:id="447" w:name="__RefHeading___Toc189220_237004111"/>
      <w:bookmarkStart w:id="448" w:name="_Toc170"/>
      <w:bookmarkEnd w:id="447"/>
      <w:r>
        <w:rPr>
          <w:rtl w:val="true"/>
        </w:rPr>
        <w:t>بررسی راه حل اول</w:t>
      </w:r>
      <w:bookmarkEnd w:id="448"/>
    </w:p>
    <w:p>
      <w:pPr>
        <w:pStyle w:val="BookText"/>
        <w:rPr/>
      </w:pPr>
      <w:r>
        <w:rPr>
          <w:rFonts w:ascii="IRNazanin" w:hAnsi="IRNazanin" w:eastAsia="IRNazanin"/>
          <w:color w:val="111111"/>
          <w:sz w:val="28"/>
          <w:sz w:val="28"/>
          <w:szCs w:val="28"/>
          <w:rtl w:val="true"/>
          <w:lang w:bidi="fa-IR"/>
        </w:rPr>
        <w:t>این راه حل مبتلا به دو اشکال است</w:t>
      </w:r>
      <w:r>
        <w:rPr>
          <w:rFonts w:eastAsia="IRNazanin" w:cs="IRNazanin"/>
          <w:color w:val="111111"/>
          <w:sz w:val="28"/>
          <w:szCs w:val="28"/>
          <w:rtl w:val="true"/>
          <w:lang w:bidi="fa-IR"/>
        </w:rPr>
        <w:t>:</w:t>
      </w:r>
    </w:p>
    <w:p>
      <w:pPr>
        <w:pStyle w:val="Heading4"/>
        <w:numPr>
          <w:ilvl w:val="3"/>
          <w:numId w:val="1"/>
        </w:numPr>
        <w:rPr/>
      </w:pPr>
      <w:bookmarkStart w:id="449" w:name="__RefHeading___Toc189222_237004111"/>
      <w:bookmarkStart w:id="450" w:name="_Toc171"/>
      <w:bookmarkEnd w:id="449"/>
      <w:r>
        <w:rPr>
          <w:rtl w:val="true"/>
        </w:rPr>
        <w:t>اشکال اول</w:t>
      </w:r>
      <w:bookmarkEnd w:id="4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آن‌چه سابقاً بدان اشاره شد که روایات تسع بر سایر روایاتی که در آن‌ها سن خاصی به عنوان مبدأ ثبوت تکلیف بر دختران ذکر شده، مقدم می‌شوند، این راه حل فاقد پشتوانه و دلیل می‌باشد، هرچند ثبوتاً محتمل است بلکه حتی دلیل بر خلاف آن است؛ چون</w:t>
      </w:r>
    </w:p>
    <w:p>
      <w:pPr>
        <w:pStyle w:val="BookText"/>
        <w:rPr/>
      </w:pPr>
      <w:r>
        <w:rPr>
          <w:rFonts w:ascii="IRNazanin" w:hAnsi="IRNazanin" w:eastAsia="IRNazanin"/>
          <w:color w:val="111111"/>
          <w:sz w:val="28"/>
          <w:sz w:val="28"/>
          <w:szCs w:val="28"/>
          <w:rtl w:val="true"/>
          <w:lang w:bidi="fa-IR"/>
        </w:rPr>
        <w:t>ظاهر نصوص وفتاوا این است که بلوغ در احکام مختلف به یک معنا وارد شده و دارای یک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دربارۀ وجه بطلان نظر فیض کاشانی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لمخالفته اجماع الامامیة بل المسلمین کافة، فان العلماء مع اختلافهم فی حدّ البلوغ بالسّن، مجمعون علی انّ البلوغ الرافع للحجر هو الذی یثبت به التکلیف وان الذی یثبت به التکلیف فی العبادات هو الذی یثبت به التکلیف فی غیرها، وانه لا فرق بین الصلوة وغیرها من العبادات،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امر ظاهر فی الشریعة، معلوم من طریقة فقهاء الفریقین، وعمل المسلمین فی الاعصار والامصار من غیر نکیر، ولم یسمع احد منهم تقسیم الصبیان بحسب اختلاف مراتب السنّ، بان یکون بعضهم بالغا فی الصلوة مثلا غیر بالغ فی الزکوة او بالغا فی العبادات دون المعاملات، او بالغا فیها غیر بالغ فی الحدود، وما ذاک الالکون البلوغ بالسن امرا متحداً غیر قابل للتجزیة والتنویع</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جواهرالکلام،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اجماع شیعه بلکه با اجماع مسلمین مخالف است؛ زیرا علما با همۀ اختلافی که در سن بلوغ دارند ولی بر این مسئله اجماع دارند که بلوغی که به سبب آن ممنوعیت تصرفات مالی برطرف می‌شود همان است که به سبب آن تکلیف ثابت می‌شود و آن حدی که به سبب آن تکلیف در باب عبادات ثابت می‌شود همان حدی است که به سبب آن تکلیف در غیر عبادات ثابت می‌شود و فرقی بین نماز و غیر آن از</w:t>
      </w:r>
    </w:p>
    <w:p>
      <w:pPr>
        <w:pStyle w:val="BookText"/>
        <w:rPr/>
      </w:pPr>
      <w:r>
        <w:rPr>
          <w:rFonts w:ascii="IRNazanin" w:hAnsi="IRNazanin" w:eastAsia="IRNazanin"/>
          <w:color w:val="111111"/>
          <w:sz w:val="28"/>
          <w:sz w:val="28"/>
          <w:szCs w:val="28"/>
          <w:rtl w:val="true"/>
          <w:lang w:bidi="fa-IR"/>
        </w:rPr>
        <w:t>عبادات در مسئلۀ بلوغ نیست، بلکه این مطلبی است که در شریعت کاملاً واضح و آشکار است و از روش فقهای فریقین کاملاً معلوم است و عمل همۀ مسلمین در همۀ زمان‌ها و مکان‌ها بر آن استوار بوده بدون آن‌که کسی آن را انکار کرده باشد و کسی از آنان نشنیده که کودکان به حسب اختلاف سن تقسیم شوند به نحوی که مثلاً بعضی از آنان در نماز بالغ شده باشند ولی در زکات بالغ نشده باشند یا آن‌که در عبادات بالغ شده باشند ولی در معاملات بالغ نشده باشند یا مثلاً در عبادات و معاملات بالغ شده باشند ولی در مسئلۀ حدود بالغ نشده باشند و این همه به جهت آن است که مسلۀ سن بلوغ امری است که قابل تجزیه و تنویع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اصل ادعای صاحب جواهر که کودکان به حسب اختلاف مراتب سن تقسیم نشده‌اند، صحیح است ولی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مجمعون علی ان البلوغ الرافع للحجر هو الذی یثبت به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اجماع دارند بر این‌که بلوغ رافع حجر همان است که به سبب آن تکلیف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چون این مطلب اجماعی نیست و از بعضی عبارات به وضوح تفکیک بلوغِ رافع حجر و بلوغِ مثبت تکلیف استفاده می‌شود؛ مثلاً ابن جنید قائل شده که حجر فقط با تزویج از دختر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از قول اسکافی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ارتفاع الحجر عنها بالتسع الا بالتزویج والحمل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اسکافی معتقد است که حجر با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مرتفع نمی‌شود بلکه با تزویج و حمل رفع می‌گردد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w:t>
      </w:r>
      <w:bookmarkStart w:id="451" w:name="pg6142_67494"/>
    </w:p>
    <w:p>
      <w:pPr>
        <w:pStyle w:val="BookText"/>
        <w:rPr/>
      </w:pPr>
      <w:bookmarkEnd w:id="451"/>
      <w:r>
        <w:rPr>
          <w:rFonts w:ascii="IRNazanin" w:hAnsi="IRNazanin" w:eastAsia="IRNazanin"/>
          <w:color w:val="111111"/>
          <w:sz w:val="28"/>
          <w:sz w:val="28"/>
          <w:szCs w:val="28"/>
          <w:rtl w:val="true"/>
          <w:lang w:bidi="fa-IR"/>
        </w:rPr>
        <w:t>برخی احتمال داده‌اند که قید تزویج و حمل شاید صرفاً برای رفع حجر باشد، نه تحقق بلوغ و این به معنای تفکیک این دو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صاحب ریاض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اخری بلوغ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کثیرة واردة فی الطلاق والوصیة لکنها غیر صریحة فی تحقق البلوغ به بل ولا ظاهرة، لاحتمال ارادة رفع الحجر عنه فی الامور المذکورة</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روایات در باب طلاق و وصیت زیاد است ولی صریح در این نیست که بلوغ به سبب آن محقق می‌شود بلکه ظاهر در آن هم نیست چون ممکن است از آن اراده رفع حجر در این امور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مسئلۀ رفع حجر غیر از مسئلۀ بلوغ است و واضح است که در این‌جا غیر از بلوغ، رافع دیگری برای حجر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به نظر ایشان بلوغ رافع حجر با بلوغ مثبت تکلیف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هرچند این مسئله اجماعی نیست ولی اصل اشکال صاحب جواهر بر فیض کاشانی وارد است</w:t>
      </w:r>
      <w:r>
        <w:rPr>
          <w:rFonts w:eastAsia="IRNazanin" w:cs="IRNazanin"/>
          <w:color w:val="111111"/>
          <w:sz w:val="28"/>
          <w:szCs w:val="28"/>
          <w:rtl w:val="true"/>
          <w:lang w:bidi="fa-IR"/>
        </w:rPr>
        <w:t>.</w:t>
      </w:r>
    </w:p>
    <w:p>
      <w:pPr>
        <w:pStyle w:val="Heading4"/>
        <w:numPr>
          <w:ilvl w:val="3"/>
          <w:numId w:val="1"/>
        </w:numPr>
        <w:rPr/>
      </w:pPr>
      <w:bookmarkStart w:id="452" w:name="__RefHeading___Toc189224_237004111"/>
      <w:bookmarkStart w:id="453" w:name="_Toc172"/>
      <w:bookmarkEnd w:id="452"/>
      <w:r>
        <w:rPr>
          <w:rtl w:val="true"/>
        </w:rPr>
        <w:t>اشکال دوم</w:t>
      </w:r>
      <w:bookmarkEnd w:id="45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برخی روایات، تکالیف بر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واجب و وقت کتابت حسنات و سیئات این زمان دانسته شده و برخی نیز حد بلوغ دختر را </w:t>
      </w:r>
      <w:r>
        <w:rPr>
          <w:rFonts w:eastAsia="IRNazanin" w:cs="IRNazanin"/>
          <w:color w:val="111111"/>
          <w:sz w:val="28"/>
          <w:szCs w:val="28"/>
          <w:lang w:bidi="fa-IR"/>
        </w:rPr>
        <w:t>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سالگی قرار داده، در حالی که بر اساس برخی دیگر بر 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مشخص نیست چگونه ایشان روایاتی که دال بر بلوغ و ثبوت تکالیف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را نادیده گرفته و آن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ثابت می‌داند و فقط اقامۀ حدود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پذیرفته است</w:t>
      </w:r>
      <w:r>
        <w:rPr>
          <w:rFonts w:eastAsia="IRNazanin" w:cs="IRNazanin"/>
          <w:color w:val="111111"/>
          <w:sz w:val="28"/>
          <w:szCs w:val="28"/>
          <w:rtl w:val="true"/>
          <w:lang w:bidi="fa-IR"/>
        </w:rPr>
        <w:t>.</w:t>
      </w:r>
      <w:bookmarkStart w:id="454" w:name="pg6142_67496"/>
    </w:p>
    <w:p>
      <w:pPr>
        <w:pStyle w:val="Heading3"/>
        <w:numPr>
          <w:ilvl w:val="2"/>
          <w:numId w:val="1"/>
        </w:numPr>
        <w:rPr/>
      </w:pPr>
      <w:bookmarkStart w:id="455" w:name="__RefHeading___Toc189226_237004111"/>
      <w:bookmarkStart w:id="456" w:name="_Toc173"/>
      <w:bookmarkEnd w:id="454"/>
      <w:bookmarkEnd w:id="455"/>
      <w:r>
        <w:rPr>
          <w:rtl w:val="true"/>
        </w:rPr>
        <w:t>گفتار دوم</w:t>
      </w:r>
      <w:r>
        <w:rPr>
          <w:rtl w:val="true"/>
        </w:rPr>
        <w:t xml:space="preserve">: </w:t>
      </w:r>
      <w:r>
        <w:rPr>
          <w:rtl w:val="true"/>
        </w:rPr>
        <w:t>راه حل دوم و بررسی آن</w:t>
      </w:r>
      <w:bookmarkEnd w:id="456"/>
    </w:p>
    <w:p>
      <w:pPr>
        <w:pStyle w:val="Heading4"/>
        <w:numPr>
          <w:ilvl w:val="3"/>
          <w:numId w:val="1"/>
        </w:numPr>
        <w:rPr/>
      </w:pPr>
      <w:bookmarkStart w:id="457" w:name="__RefHeading___Toc189228_237004111"/>
      <w:bookmarkStart w:id="458" w:name="_Toc174"/>
      <w:bookmarkEnd w:id="457"/>
      <w:r>
        <w:rPr>
          <w:rtl w:val="true"/>
        </w:rPr>
        <w:t>راه حل دوم</w:t>
      </w:r>
      <w:bookmarkEnd w:id="458"/>
    </w:p>
    <w:p>
      <w:pPr>
        <w:pStyle w:val="Heading5"/>
        <w:numPr>
          <w:ilvl w:val="4"/>
          <w:numId w:val="1"/>
        </w:numPr>
        <w:rPr/>
      </w:pPr>
      <w:bookmarkStart w:id="459" w:name="__RefHeading___Toc189230_237004111"/>
      <w:bookmarkStart w:id="460" w:name="_Toc17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این راه‌حل برگرفته از راه حل فیض کاشانی همراه با تغییراتی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طریق که توسط بعضی از صاحب نظران اختیار شده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عقاید، جاری شدن شهادتین بر زبان از روی آگاهی و شعور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پسر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دختر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هرگاه فرزند کافری اسلام آورد و شهادتین را جاری کند، همانند سایر افرادی که اقرار به شهادتین می‌کنند، محکوم به اسلام بوده و از تابعیت والدینش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عقود مثل بیع، اجاره، رهن، ایصاء، عتق و طلاق رسیدن به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کفایت می‌کند، لکن به شرط آن‌که رشد فکری و عقلانی نیز حاصل شده باشد</w:t>
      </w:r>
      <w:r>
        <w:rPr>
          <w:rFonts w:eastAsia="IRNazanin" w:cs="IRNazanin"/>
          <w:color w:val="111111"/>
          <w:sz w:val="28"/>
          <w:szCs w:val="28"/>
          <w:rtl w:val="true"/>
          <w:lang w:bidi="fa-IR"/>
        </w:rPr>
        <w:t>.</w:t>
      </w:r>
      <w:bookmarkStart w:id="461" w:name="pg6142_67497"/>
    </w:p>
    <w:p>
      <w:pPr>
        <w:pStyle w:val="BookText"/>
        <w:rPr/>
      </w:pPr>
      <w:bookmarkEnd w:id="4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حدود و تعزیرات، صرفاً رسیدن به حد زنان کافی است، اگرچه به ده سالگی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رسیدن به این حد، ازدواج و قوت و قدرت بدنی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عبادات، یکی از دو امر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یا رسیدن به سیزده سالگی، مخصوصاً در روزه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کاوشی در فقه، آیت الله معرفت،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5"/>
        <w:numPr>
          <w:ilvl w:val="4"/>
          <w:numId w:val="1"/>
        </w:numPr>
        <w:rPr/>
      </w:pPr>
      <w:bookmarkStart w:id="462" w:name="__RefHeading___Toc189232_237004111"/>
      <w:bookmarkStart w:id="463" w:name="_Toc176"/>
      <w:bookmarkEnd w:id="462"/>
      <w:r>
        <w:rPr>
          <w:rtl w:val="true"/>
        </w:rPr>
        <w:t>بررسی راه‌حل دوم</w:t>
      </w:r>
      <w:bookmarkEnd w:id="463"/>
    </w:p>
    <w:p>
      <w:pPr>
        <w:pStyle w:val="BookText"/>
        <w:rPr/>
      </w:pPr>
      <w:r>
        <w:rPr>
          <w:rFonts w:ascii="IRNazanin" w:hAnsi="IRNazanin" w:eastAsia="IRNazanin"/>
          <w:color w:val="111111"/>
          <w:sz w:val="28"/>
          <w:sz w:val="28"/>
          <w:szCs w:val="28"/>
          <w:rtl w:val="true"/>
          <w:lang w:bidi="fa-IR"/>
        </w:rPr>
        <w:t>بر این راه حل نیز اشکالاتی وارد است</w:t>
      </w:r>
      <w:r>
        <w:rPr>
          <w:rFonts w:eastAsia="IRNazanin" w:cs="IRNazanin"/>
          <w:color w:val="111111"/>
          <w:sz w:val="28"/>
          <w:szCs w:val="28"/>
          <w:rtl w:val="true"/>
          <w:lang w:bidi="fa-IR"/>
        </w:rPr>
        <w:t>:</w:t>
      </w:r>
    </w:p>
    <w:p>
      <w:pPr>
        <w:pStyle w:val="Heading4"/>
        <w:numPr>
          <w:ilvl w:val="3"/>
          <w:numId w:val="1"/>
        </w:numPr>
        <w:rPr/>
      </w:pPr>
      <w:bookmarkStart w:id="464" w:name="__RefHeading___Toc189234_237004111"/>
      <w:bookmarkStart w:id="465" w:name="_Toc177"/>
      <w:bookmarkEnd w:id="464"/>
      <w:r>
        <w:rPr>
          <w:rtl w:val="true"/>
        </w:rPr>
        <w:t>اشکال اول</w:t>
      </w:r>
      <w:bookmarkEnd w:id="465"/>
    </w:p>
    <w:p>
      <w:pPr>
        <w:pStyle w:val="BookText"/>
        <w:rPr/>
      </w:pPr>
      <w:r>
        <w:rPr>
          <w:rFonts w:ascii="IRNazanin" w:hAnsi="IRNazanin" w:eastAsia="IRNazanin"/>
          <w:color w:val="111111"/>
          <w:sz w:val="28"/>
          <w:sz w:val="28"/>
          <w:szCs w:val="28"/>
          <w:rtl w:val="true"/>
          <w:lang w:bidi="fa-IR"/>
        </w:rPr>
        <w:t xml:space="preserve">در این راه‌حل گویا روایات تسع به طور کلی نادیده گرفته شده، در حالی که قطعاً طبق برخی روایات، بخشی از احکام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ثابت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روایات تسع از حیث سند و تعداد و دلالت به گونه‌ای هستند که نمی‌توان آن‌ها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حل اول فیض حداقل بخشی از احکام بر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ثابت شده ولی در این راه‌حل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رسیدن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مورد عقود، همان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روایات تسع هم توجه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تقدم روایات تسع بر سایر روایات سن، به نظر می‌رسد وجهی برای فرق گذاشتن بین تصرفات مالی و عقود و بین</w:t>
      </w:r>
      <w:bookmarkStart w:id="466" w:name="pg6142_67498"/>
    </w:p>
    <w:p>
      <w:pPr>
        <w:pStyle w:val="BookText"/>
        <w:rPr/>
      </w:pPr>
      <w:bookmarkEnd w:id="466"/>
      <w:r>
        <w:rPr>
          <w:rFonts w:ascii="IRNazanin" w:hAnsi="IRNazanin" w:eastAsia="IRNazanin"/>
          <w:color w:val="111111"/>
          <w:sz w:val="28"/>
          <w:sz w:val="28"/>
          <w:szCs w:val="28"/>
          <w:rtl w:val="true"/>
          <w:lang w:bidi="fa-IR"/>
        </w:rPr>
        <w:t>حدود و تعزیرات نیست؛ چون نوع روایاتی که متعرض عقود و تصرفات مالی شده‌اند، متضمن حکم اقامه حدود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نیست به چه دلیل ایشان بین این امور فرق گذاشته است</w:t>
      </w:r>
      <w:r>
        <w:rPr>
          <w:rFonts w:eastAsia="IRNazanin" w:cs="IRNazanin"/>
          <w:color w:val="111111"/>
          <w:sz w:val="28"/>
          <w:szCs w:val="28"/>
          <w:rtl w:val="true"/>
          <w:lang w:bidi="fa-IR"/>
        </w:rPr>
        <w:t>.</w:t>
      </w:r>
    </w:p>
    <w:p>
      <w:pPr>
        <w:pStyle w:val="Heading4"/>
        <w:numPr>
          <w:ilvl w:val="3"/>
          <w:numId w:val="1"/>
        </w:numPr>
        <w:rPr/>
      </w:pPr>
      <w:bookmarkStart w:id="467" w:name="__RefHeading___Toc189236_237004111"/>
      <w:bookmarkStart w:id="468" w:name="_Toc178"/>
      <w:bookmarkEnd w:id="467"/>
      <w:r>
        <w:rPr>
          <w:rtl w:val="true"/>
        </w:rPr>
        <w:t>اشکال دوم</w:t>
      </w:r>
      <w:bookmarkEnd w:id="468"/>
    </w:p>
    <w:p>
      <w:pPr>
        <w:pStyle w:val="BookText"/>
        <w:rPr/>
      </w:pPr>
      <w:r>
        <w:rPr>
          <w:rFonts w:ascii="IRNazanin" w:hAnsi="IRNazanin" w:eastAsia="IRNazanin"/>
          <w:color w:val="111111"/>
          <w:sz w:val="28"/>
          <w:sz w:val="28"/>
          <w:szCs w:val="28"/>
          <w:rtl w:val="true"/>
          <w:lang w:bidi="fa-IR"/>
        </w:rPr>
        <w:t xml:space="preserve">بعضی از احکام حتی به اذعان صاحب این نظر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در هنگام رسیدن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ثابت می‌شوند ولی معلوم نیست اشتراط این احکام به حصول رشد فکری و عقلانی از کدام یک از روایات استفاده شده است</w:t>
      </w:r>
      <w:r>
        <w:rPr>
          <w:rFonts w:eastAsia="IRNazanin" w:cs="IRNazanin"/>
          <w:color w:val="111111"/>
          <w:sz w:val="28"/>
          <w:szCs w:val="28"/>
          <w:rtl w:val="true"/>
          <w:lang w:bidi="fa-IR"/>
        </w:rPr>
        <w:t>.</w:t>
      </w:r>
    </w:p>
    <w:p>
      <w:pPr>
        <w:pStyle w:val="Heading4"/>
        <w:numPr>
          <w:ilvl w:val="3"/>
          <w:numId w:val="1"/>
        </w:numPr>
        <w:rPr/>
      </w:pPr>
      <w:bookmarkStart w:id="469" w:name="__RefHeading___Toc189238_237004111"/>
      <w:bookmarkStart w:id="470" w:name="_Toc179"/>
      <w:bookmarkEnd w:id="469"/>
      <w:r>
        <w:rPr>
          <w:rtl w:val="true"/>
        </w:rPr>
        <w:t>اشکال سوم</w:t>
      </w:r>
      <w:bookmarkEnd w:id="470"/>
    </w:p>
    <w:p>
      <w:pPr>
        <w:pStyle w:val="BookText"/>
        <w:rPr/>
      </w:pPr>
      <w:r>
        <w:rPr>
          <w:rFonts w:ascii="IRNazanin" w:hAnsi="IRNazanin" w:eastAsia="IRNazanin"/>
          <w:color w:val="111111"/>
          <w:sz w:val="28"/>
          <w:sz w:val="28"/>
          <w:szCs w:val="28"/>
          <w:rtl w:val="true"/>
          <w:lang w:bidi="fa-IR"/>
        </w:rPr>
        <w:t xml:space="preserve">ایشان در مورد حدود و تعزیرات، رسیدن به حد زنان را کافی دانسته و علامت آن را تزویج و رشد و بنیه بدنی و جسمی ذکر کرده، هرچند به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مستند ایشان در این مورد چیست؛ چون در هیچ یک از روایات بنیۀ بدنی و جسمی ذکر نشده، به علاوه در این بخش از راه‌حل ایشان، به طور کلی همۀ روایات به نوعی کنار گذاشته شده و نشانه‌های طبیعی و سنّ با هم نادیده گرفته شده‌اند؛ در حالی که در اکثر روایات حداقل یکی از این دو لحاظ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آن‌که در روایاتی که متعرض اقامه حدود شده‌اند یا مسئلۀ تزویج و دخول و یا به تنهائی مسئلۀ دخول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است امر دیگری معتبر باشد، دخول است نه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آن‌که چگونه تزویج می‌تواند علامت رسیدن به</w:t>
      </w:r>
    </w:p>
    <w:p>
      <w:pPr>
        <w:pStyle w:val="BookText"/>
        <w:rPr/>
      </w:pPr>
      <w:r>
        <w:rPr>
          <w:rFonts w:ascii="IRNazanin" w:hAnsi="IRNazanin" w:eastAsia="IRNazanin"/>
          <w:color w:val="111111"/>
          <w:sz w:val="28"/>
          <w:sz w:val="28"/>
          <w:szCs w:val="28"/>
          <w:rtl w:val="true"/>
          <w:lang w:bidi="fa-IR"/>
        </w:rPr>
        <w:t xml:space="preserve">حدّ زنان باشد؟ چه بسا تزویج در سنین پائین مثلاً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دیگر آن‌که رسیدن به حد زنان یا به واسطه بلوغ جنسی است که نشانه‌های آن حیض و احتلام است یا به واسطه رسیدن به سن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تزویج مدخلیتی در رسیدن به حدّ زنان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دیگر آن‌که اگر دختری به حد زنان نرسیده، هرچند سن او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گذشته باشد و 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شده، لکن هنوز ازدواج نکرده و رشد جسمی و بدنی لازم را پیدا نکرده باشد، آیا می‌توان گفت حدود در مورد او اجرا نمی‌شود؟ این مطلبی است که ایشان نمی‌تواند به آن ملتزم شود</w:t>
      </w:r>
      <w:r>
        <w:rPr>
          <w:rFonts w:eastAsia="IRNazanin" w:cs="IRNazanin"/>
          <w:color w:val="111111"/>
          <w:sz w:val="28"/>
          <w:szCs w:val="28"/>
          <w:rtl w:val="true"/>
          <w:lang w:bidi="fa-IR"/>
        </w:rPr>
        <w:t>.</w:t>
      </w:r>
      <w:bookmarkStart w:id="471" w:name="pg6142_67500"/>
    </w:p>
    <w:p>
      <w:pPr>
        <w:pStyle w:val="Heading3"/>
        <w:numPr>
          <w:ilvl w:val="2"/>
          <w:numId w:val="1"/>
        </w:numPr>
        <w:rPr/>
      </w:pPr>
      <w:bookmarkStart w:id="472" w:name="__RefHeading___Toc189240_237004111"/>
      <w:bookmarkStart w:id="473" w:name="_Toc180"/>
      <w:bookmarkEnd w:id="471"/>
      <w:bookmarkEnd w:id="472"/>
      <w:r>
        <w:rPr>
          <w:rtl w:val="true"/>
        </w:rPr>
        <w:t>گفتار سوم</w:t>
      </w:r>
      <w:r>
        <w:rPr>
          <w:rtl w:val="true"/>
        </w:rPr>
        <w:t xml:space="preserve">: </w:t>
      </w:r>
      <w:r>
        <w:rPr>
          <w:rtl w:val="true"/>
        </w:rPr>
        <w:t>راه حل سوم و بررسی آن</w:t>
      </w:r>
      <w:bookmarkEnd w:id="473"/>
    </w:p>
    <w:p>
      <w:pPr>
        <w:pStyle w:val="Heading4"/>
        <w:numPr>
          <w:ilvl w:val="3"/>
          <w:numId w:val="1"/>
        </w:numPr>
        <w:rPr/>
      </w:pPr>
      <w:bookmarkStart w:id="474" w:name="__RefHeading___Toc189242_237004111"/>
      <w:bookmarkStart w:id="475" w:name="_Toc181"/>
      <w:bookmarkEnd w:id="474"/>
      <w:r>
        <w:rPr>
          <w:rtl w:val="true"/>
        </w:rPr>
        <w:t>راه حل سوم</w:t>
      </w:r>
      <w:bookmarkEnd w:id="475"/>
    </w:p>
    <w:p>
      <w:pPr>
        <w:pStyle w:val="Heading5"/>
        <w:numPr>
          <w:ilvl w:val="4"/>
          <w:numId w:val="1"/>
        </w:numPr>
        <w:rPr/>
      </w:pPr>
      <w:bookmarkStart w:id="476" w:name="__RefHeading___Toc189244_237004111"/>
      <w:bookmarkStart w:id="477" w:name="_Toc182"/>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طبق این راه حل</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راه حل توسط حضرت آی‌الله شیخ یوسف صانعی ارائه شده و آن‌چه به عنوان نظر ایشان در این نوشتار آمده، مطالبی است که در درس ارائه شده و یکی از شاگردان معظم له آن را در اختیار اینجانب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بلوغ دختران و زمان ثبوت تکلیف بر آنان اکمال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ولی چنان‌چه نشانه‌های دیگر بلوغ مانند حیض قبل از آن یافت شوند، دختر مکلف شده و همانند بقیه زنان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نخست به بررسی ادلۀ مشهور مبنی بلوغ دختران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پرداخته و همگی را مورد اشکال قرار می‌دهد و سپس دلیل خود مبنی بر بلوغ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بیان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روایات تسع، به نظر وی خبر حمزة بن حمران</w:t>
      </w:r>
      <w:r>
        <w:rPr>
          <w:rStyle w:val="FootnoteAnchor"/>
          <w:rtl w:val="true"/>
        </w:rPr>
        <w:footnoteReference w:id="239"/>
      </w:r>
      <w:r>
        <w:rPr>
          <w:rFonts w:ascii="IRNazanin" w:hAnsi="IRNazanin" w:eastAsia="IRNazanin"/>
          <w:color w:val="111111"/>
          <w:sz w:val="28"/>
          <w:sz w:val="28"/>
          <w:szCs w:val="28"/>
          <w:rtl w:val="true"/>
          <w:lang w:bidi="fa-IR"/>
        </w:rPr>
        <w:t>و روایت یزید کناسی</w:t>
      </w:r>
      <w:r>
        <w:rPr>
          <w:rStyle w:val="FootnoteAnchor"/>
          <w:rtl w:val="true"/>
        </w:rPr>
        <w:footnoteReference w:id="240"/>
      </w:r>
      <w:r>
        <w:rPr>
          <w:rFonts w:ascii="IRNazanin" w:hAnsi="IRNazanin" w:eastAsia="IRNazanin"/>
          <w:color w:val="111111"/>
          <w:sz w:val="28"/>
          <w:sz w:val="28"/>
          <w:szCs w:val="28"/>
          <w:rtl w:val="true"/>
          <w:lang w:bidi="fa-IR"/>
        </w:rPr>
        <w:t xml:space="preserve">دلالت بر اعتبار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بلوغ دختران ندارد بلکه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سالگی باقید ازدواج و دخول ملاک قرار گرفته؛ یعنی دختری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شده و قابلیت شوهر کردن داشته باشد و به عبارت دیگر به حدی از رشد بدنی رسیده باشد که بتواند شوهرداری کند، بالغ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آن است که در این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تزوجت ودخل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احتراز است چون اصل در قیود احتراز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است که دارای رشد بدنی و عقلی بوده، هرچند ازدواج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دختری که به این حد رسیده قهرا سایر علایم مانند روییدن موی زهاری یا حیض هم در او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موثقۀ عبدالله بن سنان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الوصایا،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در مورد دختر اشاره دارد به آن‌چه در صدر روایت در مورد پسر بچه گفته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حسنات و سیئات پسر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می‌شوند، در مورد دختر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پسران مردود است و لذا در مورد دختر نیز حجت نیست؛ چون مشار الیه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ذیل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انها تحیض لتسع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ظهور در 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معنای روایت این است که دختر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بالغ می‌شود؛ زیرا در این سن حیض می‌بیند و هنگامی که حائض شد، در واقع به رشد لازم رسیده ولی اگر حیض نشود به این معنا است که او هنوز ضعیف بوده و رشد لازم را پیدا نکرده است، هرچند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موثقۀ حسن بن راشد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الوقوف و الصدقات،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به نظر ایشان قابل استدلال نیست؛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 للجاریة تسع،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مانند آن‌چه در موثقۀ عبدالله بن سنان ذکر شده، محل اشکال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فقیه</w:t>
      </w:r>
      <w:r>
        <w:rPr>
          <w:rStyle w:val="FootnoteAnchor"/>
          <w:rtl w:val="true"/>
        </w:rPr>
        <w:footnoteReference w:id="243"/>
      </w:r>
      <w:r>
        <w:rPr>
          <w:rFonts w:ascii="IRNazanin" w:hAnsi="IRNazanin" w:eastAsia="IRNazanin"/>
          <w:color w:val="111111"/>
          <w:sz w:val="28"/>
          <w:sz w:val="28"/>
          <w:szCs w:val="28"/>
          <w:rtl w:val="true"/>
          <w:lang w:bidi="fa-IR"/>
        </w:rPr>
        <w:t>نیز احتمال دارد روایت مستقلی نباشد و چنان‌چه مستقل هم باشد، به خبر حمزة بن حمران و روایت یزید کناسی و نیز موثقۀ عبدالله بن سنان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معنای مرسله هم این است که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اگر قابلیت ازدواج و شوهرداری پیدا کند یا حیض شود، بالغ شده و تکالیف بر او ثابت می‌شوند؛ به عبارت دیگر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خصوصیت نداشته و ذکر آن در واقع به اعتبار حیض یا استطاعت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ابن ابی عمیر</w:t>
      </w:r>
      <w:r>
        <w:rPr>
          <w:rStyle w:val="FootnoteAnchor"/>
          <w:rtl w:val="true"/>
        </w:rPr>
        <w:footnoteReference w:id="244"/>
      </w:r>
      <w:r>
        <w:rPr>
          <w:rFonts w:ascii="IRNazanin" w:hAnsi="IRNazanin" w:eastAsia="IRNazanin"/>
          <w:color w:val="111111"/>
          <w:sz w:val="28"/>
          <w:sz w:val="28"/>
          <w:szCs w:val="28"/>
          <w:rtl w:val="true"/>
          <w:lang w:bidi="fa-IR"/>
        </w:rPr>
        <w:t>هم به قید حیض یا قدرت و قابلیت شوهرداری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صحیحۀ اول حلبی دلالت بر عدم جواز دخول قبل از نه سالگی می‌کند، ولی چون مفهوم است نسبت به پس از آن اطلاق ندارد؛ و چنان بپذیریم اطلاق دارد همانند روایات دیگر مقید به قید حیض یا قابلیت ازدواج و شوهرداری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موثقۀ زرارة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عمار سجستانی</w:t>
      </w:r>
      <w:r>
        <w:rPr>
          <w:rStyle w:val="FootnoteAnchor"/>
          <w:rtl w:val="true"/>
        </w:rPr>
        <w:footnoteReference w:id="245"/>
      </w:r>
      <w:r>
        <w:rPr>
          <w:rFonts w:ascii="IRNazanin" w:hAnsi="IRNazanin" w:eastAsia="IRNazanin"/>
          <w:color w:val="111111"/>
          <w:sz w:val="28"/>
          <w:sz w:val="28"/>
          <w:szCs w:val="28"/>
          <w:rtl w:val="true"/>
          <w:lang w:bidi="fa-IR"/>
        </w:rPr>
        <w:t>نیز دلالت بر لزوم رشد در مورد دختر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صحیحۀ دوم حلبی</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نکاح،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دلالت بر مدعای مشهور نمی‌کند بلکه منظور در آن دختری است که قابلیت ازدواج و شوهرداری پیدا کرده است، نه هر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هرچند قادر بر ازدواج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صحیحۀ دیگر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صحیحۀ حمران</w:t>
      </w:r>
      <w:r>
        <w:rPr>
          <w:rStyle w:val="FootnoteAnchor"/>
          <w:rtl w:val="true"/>
        </w:rPr>
        <w:footnoteReference w:id="247"/>
      </w:r>
      <w:r>
        <w:rPr>
          <w:rFonts w:ascii="IRNazanin" w:hAnsi="IRNazanin" w:eastAsia="IRNazanin"/>
          <w:color w:val="111111"/>
          <w:sz w:val="28"/>
          <w:sz w:val="28"/>
          <w:szCs w:val="28"/>
          <w:rtl w:val="true"/>
          <w:lang w:bidi="fa-IR"/>
        </w:rPr>
        <w:t xml:space="preserve">هم دلالت بر جواز جماع با دختری که قدرت بدنی ندارد، نمی‌کند، هرچند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شده باشد بلکه مقصود زنی است که قدرت بر ازدواج داشته و قابلیت شوهرداری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هیچ یک از روایات تسع به نظر ایشان دلالت بر مدعای مشهور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از این روایات هم دارای اشکال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اجماع مورد ادعای بعضی از اصحاب هم معتقد است این اجماع محتمل المدرکیة بوده و چه بسا به واسطه اعتماد بر آن، موثقۀ عمار را کنار گذاشته‌اند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ادامه وی با استناد به موثقۀ عمار ساباطی که هم دلالت آن را پذیرفته و هم سند آن را معتبر می‌داند، فتوا به بلوغ دختر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آن حیض محقق شود، می‌توان گفت دختر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به استناد استصحاب عدم بلوغ مدعی است بلوغ دختر قبل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یا حیض ثابت نمی‌شود و لذا قبل از آن تکالیف به دختران متعلق نخواهد گردید</w:t>
      </w:r>
      <w:r>
        <w:rPr>
          <w:rFonts w:eastAsia="IRNazanin" w:cs="IRNazanin"/>
          <w:color w:val="111111"/>
          <w:sz w:val="28"/>
          <w:szCs w:val="28"/>
          <w:rtl w:val="true"/>
          <w:lang w:bidi="fa-IR"/>
        </w:rPr>
        <w:t>.</w:t>
      </w:r>
      <w:bookmarkStart w:id="478" w:name="pg6142_67504"/>
    </w:p>
    <w:p>
      <w:pPr>
        <w:pStyle w:val="Heading5"/>
        <w:numPr>
          <w:ilvl w:val="4"/>
          <w:numId w:val="1"/>
        </w:numPr>
        <w:rPr/>
      </w:pPr>
      <w:bookmarkStart w:id="479" w:name="__RefHeading___Toc189246_237004111"/>
      <w:bookmarkStart w:id="480" w:name="_Toc183"/>
      <w:bookmarkEnd w:id="478"/>
      <w:bookmarkEnd w:id="479"/>
      <w:r>
        <w:rPr>
          <w:rtl w:val="true"/>
        </w:rPr>
        <w:t>بررسی راه‌حل سوم</w:t>
      </w:r>
      <w:bookmarkEnd w:id="480"/>
    </w:p>
    <w:p>
      <w:pPr>
        <w:pStyle w:val="BookText"/>
        <w:rPr/>
      </w:pPr>
      <w:r>
        <w:rPr>
          <w:rFonts w:ascii="IRNazanin" w:hAnsi="IRNazanin" w:eastAsia="IRNazanin"/>
          <w:color w:val="111111"/>
          <w:sz w:val="28"/>
          <w:sz w:val="28"/>
          <w:szCs w:val="28"/>
          <w:rtl w:val="true"/>
          <w:lang w:bidi="fa-IR"/>
        </w:rPr>
        <w:t>صرف نظر از اضطرابی که در برخی از مطالب ایشان وجود دارد، به نظر می‌رسد این راه‌حل نیز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آن‌چه سابقا در بررسی روایات تسع گفته شد،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هرچند به نظر ما سنداً و دلالتاً مخدوش است ولی در مجموع قابل استدلال می‌باشند؛ زیرا مقایسه این روایات با سایر روایات متعلق به سن از جهات سه گانه مقتضی تقدم روایات تسع بر سایر روایات بوده و لذا نمی‌توان در آن‌ها فی الجمله اشکال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آن‌چه که ایشان نسبت به موثقۀ عبدالله بن سنان ذکر کرده، به نظر می‌رسد اشکال ایشان وارد نیست؛ زیرا درست است که اصحاب به مضمون صدر روایت عمل نکرده و فتوا به کتابت حسنات و سیئات پسر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نداده‌اند، ولی این باعث نمی‌شود که ما به کتابت اعمال نیک و بد دختر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 عمل نکنیم؛ چون آن‌چه غیر معمول به است زمانی است که کتابت حسنات و سیئات پسر بچه به آن مقیده شده، لکن این موجب نمی‌شود ما مشارالیه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را کالعدم فرض کنیم و در نتیجه ذیل روایت که دال بر کتابت حسنات وسیئات دختر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را حجت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تبعیض در حجیت ممکن بوده و می‌توان ضمن عدم حجیت بخشی از روایت، به بخش دیگر آن عمل کرد و آن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گذشت ما این روایت را ملحق به روایات حیض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اشکال در مورد آن‌چه ایشان نسبت به موثقۀ حسن بن راشد فرموده،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ایشان دربارۀ تقیید روایات مطلقه گفته، با آن‌که اقرار به وضوح دلالت آن‌ها کرده نیز مخدوش است؛ چون نسبت بین مرسله فقیه و مرسله ابن ابی عمیر و بین خبر حمزة بن حمران و موثقۀ عبدالله بن سنان نسبت مطلق و مقید نیست؛ زیرا خبر حمزه معرض عنها است و کسی به بلوغ دختران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شرط قابلیت ازدواج فتوا نداده و موثقۀ عبدالله بن سنان نیز معارض با دو مرسله است؛ زیرا موثقه دلالت بر عدم مدخلیت سن در بلوغ داشته و دو مرسله نیز دلالت بر عدم مدخلیت حیض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چگونه ممکن است موثقه را مقید آن دو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استفاده قید قدرت بدنی و رشد عقلی نیز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روایات دال بر عدم جواز دخول به دختر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که به نظر ایشان به ضمیمه اجماع می‌تواند دلالت بر رأی مشهور کند، اشکال ایشان وارد نیست؛ زیرا در برخی از این روایات دلالت بر عدم جواز به اعتبار مفهوم نیست و چنان‌چه به این اعتبار هم باشد، نمی‌توان اطلاق آن را به بیانی که گفته شد، مقید نمود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آن‌که ایشان از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سجستانی و صحیحۀ اول و دوم حلبی، درصدد است خصوصیت رسیدن به حد زنان و قابلیت شوهرداری و رشد عقلی و قدرت بدنی را استفاده کرده، در حالی که واضح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جنس مؤنث است</w:t>
      </w:r>
    </w:p>
    <w:p>
      <w:pPr>
        <w:pStyle w:val="BookText"/>
        <w:rPr/>
      </w:pPr>
      <w:r>
        <w:rPr>
          <w:rFonts w:ascii="IRNazanin" w:hAnsi="IRNazanin" w:eastAsia="IRNazanin"/>
          <w:color w:val="111111"/>
          <w:sz w:val="28"/>
          <w:sz w:val="28"/>
          <w:szCs w:val="28"/>
          <w:rtl w:val="true"/>
          <w:lang w:bidi="fa-IR"/>
        </w:rPr>
        <w:t xml:space="preserve">در مقابل جنس مذکر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موثقۀ عمار ساباطی هم که عمده‌ترین مستند فتوای ایشان می‌باشد، به دلایلی که گفته شد، مغلوب روایات تسع بوده و این روایات بر موثقۀ عمار مقدم می‌شوند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عدم بلوغ هم که ایشان به آن استناد کرده، در آینده مورد بررسی قرار گرفته و اشکال آن بیان خواهد شد</w:t>
      </w:r>
      <w:r>
        <w:rPr>
          <w:rFonts w:eastAsia="IRNazanin" w:cs="IRNazanin"/>
          <w:color w:val="111111"/>
          <w:sz w:val="28"/>
          <w:szCs w:val="28"/>
          <w:rtl w:val="true"/>
          <w:lang w:bidi="fa-IR"/>
        </w:rPr>
        <w:t>.</w:t>
      </w:r>
      <w:bookmarkStart w:id="481" w:name="pg6142_67507"/>
    </w:p>
    <w:p>
      <w:pPr>
        <w:pStyle w:val="Heading3"/>
        <w:numPr>
          <w:ilvl w:val="2"/>
          <w:numId w:val="1"/>
        </w:numPr>
        <w:rPr/>
      </w:pPr>
      <w:bookmarkStart w:id="482" w:name="__RefHeading___Toc189248_237004111"/>
      <w:bookmarkStart w:id="483" w:name="_Toc184"/>
      <w:bookmarkEnd w:id="481"/>
      <w:bookmarkEnd w:id="482"/>
      <w:r>
        <w:rPr>
          <w:rtl w:val="true"/>
        </w:rPr>
        <w:t>گفتار چهارم</w:t>
      </w:r>
      <w:r>
        <w:rPr>
          <w:rtl w:val="true"/>
        </w:rPr>
        <w:t xml:space="preserve">: </w:t>
      </w:r>
      <w:r>
        <w:rPr>
          <w:rtl w:val="true"/>
        </w:rPr>
        <w:t>راه حل چهارم و بررسی آن</w:t>
      </w:r>
      <w:bookmarkEnd w:id="483"/>
    </w:p>
    <w:p>
      <w:pPr>
        <w:pStyle w:val="Heading4"/>
        <w:numPr>
          <w:ilvl w:val="3"/>
          <w:numId w:val="1"/>
        </w:numPr>
        <w:rPr/>
      </w:pPr>
      <w:bookmarkStart w:id="484" w:name="__RefHeading___Toc189250_237004111"/>
      <w:bookmarkStart w:id="485" w:name="_Toc185"/>
      <w:bookmarkEnd w:id="484"/>
      <w:r>
        <w:rPr>
          <w:rtl w:val="true"/>
        </w:rPr>
        <w:t>راه حل چهارم</w:t>
      </w:r>
      <w:bookmarkEnd w:id="485"/>
    </w:p>
    <w:p>
      <w:pPr>
        <w:pStyle w:val="Heading5"/>
        <w:numPr>
          <w:ilvl w:val="4"/>
          <w:numId w:val="1"/>
        </w:numPr>
        <w:rPr/>
      </w:pPr>
      <w:bookmarkStart w:id="486" w:name="__RefHeading___Toc189252_237004111"/>
      <w:bookmarkStart w:id="487" w:name="_Toc186"/>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راه‌حل دیگری که برای جمع بین روایات ارائه شده، این است که ملاک و معیار بلوغ در دختران حیض است و اگر در روایات سنین مختلفی برای بلوغ ذکر شده، بدین جهت است که دختر در این سنین امکان دیدن عادت ماهانه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راه‌حل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یک امر تکوینی است و عبارت از رسیدن به حدی از رشد جسمی و جنسی است که در آن حدِّ رشد، آمادگی و استعداد تولید مثل در دختر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بلوغ یک امر تکوینی باشد نه تعبّدی، دیگر نمی‌تواند سن خاصی ضابطه بلوغ باشد؛ چون عوامل بسیاری در این امر تکوینی یعنی رشد جسمی و جنسی مؤثرند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چنین حدّی هم یک اماره قطعی داریم که عبارت از عادت ماهانه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بگوئیم عادت ماهانه اماره بلوغ دختران</w:t>
      </w:r>
    </w:p>
    <w:p>
      <w:pPr>
        <w:pStyle w:val="BookText"/>
        <w:rPr/>
      </w:pPr>
      <w:r>
        <w:rPr>
          <w:rFonts w:ascii="IRNazanin" w:hAnsi="IRNazanin" w:eastAsia="IRNazanin"/>
          <w:color w:val="111111"/>
          <w:sz w:val="28"/>
          <w:sz w:val="28"/>
          <w:szCs w:val="28"/>
          <w:rtl w:val="true"/>
          <w:lang w:bidi="fa-IR"/>
        </w:rPr>
        <w:t>است چیزی بر خلاف تکوین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روایات بسیاری موضوع بلوغ و تکلیف را عادت ماهانه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نشانۀ بلوغ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این روایات بدین صورت است که امکان دارد دختری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عادت ماهانه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همین‌طور سال‌های بعد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گفتیم ملاک در بلوغ دختر عبارت از عادت ماهانه و دیدن خون است با این روایاتی که می‌گوید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مبین این معنا است که دختر امکان دارد در این سنین عادت ماهانه ببیند و امکان دارد به آن حدی از رشد جسمی و جنسی برسد که بلوغ است و امری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بگوئیم بلوغ همیشه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اشتباه کرده ایم؛ چون در بعضی از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رشد جسمی و جنسی هست و در بعضی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مورد بقیه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هیچ‌وقت نمی‌توان با تعیین عمر، امری تکوینی را بیان کرد بلکه چیزی که هویتش تکوینی است باید اماره تکوینی مبین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امری تکوینی است، پس اماره‌اش هم باید تکوینی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عظامی که بلوغ را روی سن می‌برند، چه بهتر آن‌که آن را روی یک اماره قطعی تکوینی بیاورند که آن اماره تکوینی هم جمع می‌شود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هم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هم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4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دختران، آیت الله سید محمد بجنوردی، ص </w:t>
      </w:r>
      <w:r>
        <w:rPr>
          <w:rFonts w:eastAsia="IRNazanin" w:cs="IRNazanin"/>
          <w:color w:val="111111"/>
          <w:sz w:val="28"/>
          <w:szCs w:val="28"/>
          <w:lang w:bidi="fa-IR"/>
        </w:rPr>
        <w:t>257</w:t>
      </w:r>
      <w:r>
        <w:rPr>
          <w:rFonts w:eastAsia="IRNazanin" w:cs="IRNazanin"/>
          <w:color w:val="111111"/>
          <w:sz w:val="28"/>
          <w:szCs w:val="28"/>
          <w:rtl w:val="true"/>
          <w:lang w:bidi="fa-IR"/>
        </w:rPr>
        <w:t>.</w:t>
      </w:r>
      <w:bookmarkStart w:id="488" w:name="pg6142_67509"/>
    </w:p>
    <w:p>
      <w:pPr>
        <w:pStyle w:val="Heading5"/>
        <w:numPr>
          <w:ilvl w:val="4"/>
          <w:numId w:val="1"/>
        </w:numPr>
        <w:rPr/>
      </w:pPr>
      <w:bookmarkStart w:id="489" w:name="__RefHeading___Toc189254_237004111"/>
      <w:bookmarkStart w:id="490" w:name="_Toc187"/>
      <w:bookmarkEnd w:id="488"/>
      <w:bookmarkEnd w:id="489"/>
      <w:r>
        <w:rPr>
          <w:rtl w:val="true"/>
        </w:rPr>
        <w:t>بررسی راه‌حل چهارم</w:t>
      </w:r>
      <w:bookmarkEnd w:id="490"/>
    </w:p>
    <w:p>
      <w:pPr>
        <w:pStyle w:val="BookText"/>
        <w:rPr/>
      </w:pPr>
      <w:r>
        <w:rPr>
          <w:rFonts w:ascii="IRNazanin" w:hAnsi="IRNazanin" w:eastAsia="IRNazanin"/>
          <w:color w:val="111111"/>
          <w:sz w:val="28"/>
          <w:sz w:val="28"/>
          <w:szCs w:val="28"/>
          <w:rtl w:val="true"/>
          <w:lang w:bidi="fa-IR"/>
        </w:rPr>
        <w:t>به نظر می‌رسد کلام ایشان از جهاتی محل تأمل است</w:t>
      </w:r>
      <w:r>
        <w:rPr>
          <w:rFonts w:eastAsia="IRNazanin" w:cs="IRNazanin"/>
          <w:color w:val="111111"/>
          <w:sz w:val="28"/>
          <w:szCs w:val="28"/>
          <w:rtl w:val="true"/>
          <w:lang w:bidi="fa-IR"/>
        </w:rPr>
        <w:t>:</w:t>
      </w:r>
    </w:p>
    <w:p>
      <w:pPr>
        <w:pStyle w:val="Heading4"/>
        <w:numPr>
          <w:ilvl w:val="3"/>
          <w:numId w:val="1"/>
        </w:numPr>
        <w:rPr/>
      </w:pPr>
      <w:bookmarkStart w:id="491" w:name="__RefHeading___Toc189256_237004111"/>
      <w:bookmarkStart w:id="492" w:name="_Toc188"/>
      <w:bookmarkEnd w:id="491"/>
      <w:r>
        <w:rPr>
          <w:rtl w:val="true"/>
        </w:rPr>
        <w:t>اشکال اول</w:t>
      </w:r>
      <w:bookmarkEnd w:id="492"/>
    </w:p>
    <w:p>
      <w:pPr>
        <w:pStyle w:val="BookText"/>
        <w:rPr/>
      </w:pPr>
      <w:r>
        <w:rPr>
          <w:rFonts w:ascii="IRNazanin" w:hAnsi="IRNazanin" w:eastAsia="IRNazanin"/>
          <w:color w:val="111111"/>
          <w:sz w:val="28"/>
          <w:sz w:val="28"/>
          <w:szCs w:val="28"/>
          <w:rtl w:val="true"/>
          <w:lang w:bidi="fa-IR"/>
        </w:rPr>
        <w:t>این‌که ایشان گفته یک امر تکوینی اماره‌اش هم باید تکوینی باشد، در صورتی صحیح است که بخواهیم آن امر تکوینی را فی نفسه و با قطع نظر از این‌که بخواهد اثری بر آن مترتب شود، در نظر بگیریم و اصل تحقق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اماره‌اش هم باید تکوینی باشد ولی چنان‌چه بنا بر ترتب اثر بر آن امر تکوینی باشد عقلا و شارع می‌توانند امری غیرتکوینی را به عنوان اماره برای ترتب آثار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بینه در موضوعات خارجی به عنوان یک اماره غیرتکوینی بر یک امر تکوینی جعل شده است</w:t>
      </w:r>
      <w:r>
        <w:rPr>
          <w:rFonts w:eastAsia="IRNazanin" w:cs="IRNazanin"/>
          <w:color w:val="111111"/>
          <w:sz w:val="28"/>
          <w:szCs w:val="28"/>
          <w:rtl w:val="true"/>
          <w:lang w:bidi="fa-IR"/>
        </w:rPr>
        <w:t>.</w:t>
      </w:r>
    </w:p>
    <w:p>
      <w:pPr>
        <w:pStyle w:val="Heading4"/>
        <w:numPr>
          <w:ilvl w:val="3"/>
          <w:numId w:val="1"/>
        </w:numPr>
        <w:rPr/>
      </w:pPr>
      <w:bookmarkStart w:id="493" w:name="__RefHeading___Toc189258_237004111"/>
      <w:bookmarkStart w:id="494" w:name="_Toc189"/>
      <w:bookmarkEnd w:id="493"/>
      <w:r>
        <w:rPr>
          <w:rtl w:val="true"/>
        </w:rPr>
        <w:t>اشکال دوم</w:t>
      </w:r>
      <w:bookmarkEnd w:id="49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بپذیریم که امر تکوینی باید اماره تکوینی داشته باشد، معذلک اشکال برطرف نمی‌شود؛ زیرا این مطلب در صورتی صحیح است که فقط بلوغ جنسی را معیار ثبوت تکالیف بدانیم در حالی که این خود اول کلام است و گویا به نظر ایشان راه ثبوت تکلیف منحصر در تحقق بلوغ جنسی است و از ادله غیر از این استفاده نمی‌شود و از روایات نمی‌توان یک سن خاص را به عنوان مبدأ ثبوت تکلیف استفاده نمود، لکن این گمان صحیح نیست؛ یعنی می‌توان فرض کرد بلوغ به عنوان امری تکوینی مبدأ ثبوت تکلیف باشد، ولی در عین حال شارع نیز سن خاصی را به عنوان مبدأ تعلق تکالیف جعل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w:t>
      </w:r>
      <w:bookmarkStart w:id="495" w:name="pg6142_67510"/>
    </w:p>
    <w:p>
      <w:pPr>
        <w:pStyle w:val="BookText"/>
        <w:rPr/>
      </w:pPr>
      <w:bookmarkEnd w:id="495"/>
      <w:r>
        <w:rPr>
          <w:rFonts w:ascii="IRNazanin" w:hAnsi="IRNazanin" w:eastAsia="IRNazanin"/>
          <w:color w:val="111111"/>
          <w:sz w:val="28"/>
          <w:sz w:val="28"/>
          <w:szCs w:val="28"/>
          <w:rtl w:val="true"/>
          <w:lang w:bidi="fa-IR"/>
        </w:rPr>
        <w:t>طبیعی و سن خاص به نحو مانعة الخلوّ ملاک ثبوت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سؤال این است که چه اشکالی دارد به امارات طبیعی این امر تکوینی امر دیگری ضمیمه شود که به نحوی هر یک موضوع ثبوت تکلیف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 به عنوان یک اماره تعبدی بر بلوغ جنسی قرار داده نشده تا گفته شود امر تکوینی باید اماره‌اش نیز تکوینی باشد بلکه طبق این بیان سنّ خودش بلوغ است و در بعضی روایات هم این تعبیر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بلغت تسعاً فقد بلغت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المتعه،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سخن در دلالت ادله و روایات است و ما در پی آن هستیم که مفاد ادله مشخص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متکفل بیان نشانه‌های طبیعی به عنوان مبدأ ثبوت تکلیف و برخی دیگر سن را به عنوان مبدأ ثبوت تکلیف مطرح کرده‌اند و حتی در برخی روایات تصریح شده که بعضی احکام برای دختر در فلان سن ثابت است، چه حیض شده باشد 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چگونه باید تعارض بین آن‌ها را برطرف نمود و به چه کیفیتی می‌توان بین آن‌ها جمع کرد، مطلبی است که تأثیری در این اشکال ندارد و ما در مباحث آینده به آن خواهیم پرداخت</w:t>
      </w:r>
      <w:r>
        <w:rPr>
          <w:rFonts w:eastAsia="IRNazanin" w:cs="IRNazanin"/>
          <w:color w:val="111111"/>
          <w:sz w:val="28"/>
          <w:szCs w:val="28"/>
          <w:rtl w:val="true"/>
          <w:lang w:bidi="fa-IR"/>
        </w:rPr>
        <w:t>.</w:t>
      </w:r>
    </w:p>
    <w:p>
      <w:pPr>
        <w:pStyle w:val="Heading4"/>
        <w:numPr>
          <w:ilvl w:val="3"/>
          <w:numId w:val="1"/>
        </w:numPr>
        <w:rPr/>
      </w:pPr>
      <w:bookmarkStart w:id="496" w:name="__RefHeading___Toc189260_237004111"/>
      <w:bookmarkStart w:id="497" w:name="_Toc190"/>
      <w:bookmarkEnd w:id="496"/>
      <w:r>
        <w:rPr>
          <w:rtl w:val="true"/>
        </w:rPr>
        <w:t>اشکال سوم</w:t>
      </w:r>
      <w:bookmarkEnd w:id="49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راه‌حل تالی فاسدی دارد که نمی‌توان به آن ملتزم شد و آن این‌که فرضاً اگر دختری حیض نشد بگوئیم بالغ نشده، حتی اگر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برسد؛ به عبارت دیگر اگر ملاک صرفاً حیض و عادت ماهانه باشد لازمه‌اش آن است که دختری که حیض نمی‌بیند تکلیف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اتفاق نادر است ولی به هر حال باید برای آن چاره‌ای اندیشید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در این‌گونه موارد باید به نوع دختران نگاه کرد که در چه سنی حیض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همان زمان را مبدأ ثبوت تکلیف برای چنین افرادی قرار می‌دهیم ولی مشکل این است که نوع دختران در مکان‌های مختلف و زمان‌های گوناگون، میانگین سنی متفاوتی در حیض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میزان در تعیین زمان ثبوت تکلیف برای دختری که در مکانی متولد شده و چند سال در آن‌جا زندگی کرده و سپس به مکان دیگری منتقل شده چیست؟ آیا میانگین سنی محل تولد ملاک است یا محل اقامت؟ لذا تعیین ضابطه امر مشکلی خواهد بود</w:t>
      </w:r>
      <w:r>
        <w:rPr>
          <w:rFonts w:eastAsia="IRNazanin" w:cs="IRNazanin"/>
          <w:color w:val="111111"/>
          <w:sz w:val="28"/>
          <w:szCs w:val="28"/>
          <w:rtl w:val="true"/>
          <w:lang w:bidi="fa-IR"/>
        </w:rPr>
        <w:t>.</w:t>
      </w:r>
      <w:bookmarkStart w:id="498" w:name="pg6142_67512"/>
    </w:p>
    <w:p>
      <w:pPr>
        <w:pStyle w:val="Heading3"/>
        <w:numPr>
          <w:ilvl w:val="2"/>
          <w:numId w:val="1"/>
        </w:numPr>
        <w:rPr/>
      </w:pPr>
      <w:bookmarkStart w:id="499" w:name="__RefHeading___Toc189262_237004111"/>
      <w:bookmarkStart w:id="500" w:name="_Toc191"/>
      <w:bookmarkEnd w:id="498"/>
      <w:bookmarkEnd w:id="499"/>
      <w:r>
        <w:rPr>
          <w:rtl w:val="true"/>
        </w:rPr>
        <w:t>گفتار پنجم</w:t>
      </w:r>
      <w:r>
        <w:rPr>
          <w:rtl w:val="true"/>
        </w:rPr>
        <w:t xml:space="preserve">: </w:t>
      </w:r>
      <w:r>
        <w:rPr>
          <w:rtl w:val="true"/>
        </w:rPr>
        <w:t>راه حل پنجم و بررسی آن</w:t>
      </w:r>
      <w:bookmarkEnd w:id="500"/>
    </w:p>
    <w:p>
      <w:pPr>
        <w:pStyle w:val="Heading4"/>
        <w:numPr>
          <w:ilvl w:val="3"/>
          <w:numId w:val="1"/>
        </w:numPr>
        <w:rPr/>
      </w:pPr>
      <w:bookmarkStart w:id="501" w:name="__RefHeading___Toc189264_237004111"/>
      <w:bookmarkStart w:id="502" w:name="_Toc192"/>
      <w:bookmarkEnd w:id="501"/>
      <w:r>
        <w:rPr>
          <w:rtl w:val="true"/>
        </w:rPr>
        <w:t>راه حل پنجم</w:t>
      </w:r>
      <w:bookmarkEnd w:id="502"/>
    </w:p>
    <w:p>
      <w:pPr>
        <w:pStyle w:val="Heading5"/>
        <w:numPr>
          <w:ilvl w:val="4"/>
          <w:numId w:val="1"/>
        </w:numPr>
        <w:rPr/>
      </w:pPr>
      <w:bookmarkStart w:id="503" w:name="__RefHeading___Toc189266_237004111"/>
      <w:bookmarkStart w:id="504" w:name="_Toc193"/>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خلاصۀ راه‌حل پنجم برای جمع بین روایات که نظیر راه‌حل چهارم است این است که ملاک بلوغ دختران حیض است، یا رسیدن به سنی که صلاحیت حیض شدن را دارا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همان راه حل قبلی لکن به بیان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سنی که صلاحیت حیض در آن حاصل می‌شود برای دخترانی که حیض نمی‌شوند یا حیض در آن‌ها با تأخیر طولانی ظاهر می‌شود، هرچند در این طریق به آن تصریح شده ولی در راه حل قبلی نیز قاعدتاً مورد نظر بوده، اگرچه به آن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ضمن بیان مقدمه‌ای در ارتباط با تحول اجتهاد همراه با تحول زمان و ذکر نمونه‌ای از آن، در دو مرحله درصدد حل مشکل برمی آید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اول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بلوغ دختر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دانسته‌اند ولی ما با بررسی زمان صدور روایات و ویژگی‌هایی که دختران آن زمان دارا بودند، می‌توانیم از راه تحول اجتهاد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نظر به دختران آن زمان دارد، نه به آن‌هایی که در زمان‌های بعدی متولد می‌شوند؛ یعنی حاصل شدن بلوغ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دختران آن زمان بوده؛ زیرا دختران در روزگار معصومین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نشانه‌های بلوغ که حیض و حمل باشد دست می‌یافتند و اغلب آن‌ها در سن یاد شده عادت ماهانه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حاصل شدن بلوغ آن‌ها موضوعیت ندارد بلکه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شد، از باب تعیین مصداق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و میزان برای پیدایش بلوغ، عادت ماهانه است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مثلاً خرید و فروش خون زمانی جایز نبود؛ چون از مصادیق اشیایی بوده که منفعت محلّله و ارزش عقلایی نداشتند ولی امروز خرید و فروش آن جایز است؛ چون ویژگیهای موضوع و نوع استفاده از آن تغییر کرده و از مصادیق چیزهایی شده که منفعت محلّله و ارزش عقلایی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ایشان مانحن فیه نیز از این قبیل است؛ یعنی موضوع عبارتست از رسیدن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حکم هم عبارتست از ثبوت تکالیف و از آن‌جا که ملاک تعلق تکلیف به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حیض است و در زمان‌های گذشته دختران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حیض می‌شدند، لذا تکالیف بر آن‌ها ثابت بود ولی امروزه که دختران در این سن حیض نمی‌شوند، پس تکالیف بر آن‌ها ثابت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دوم ایشان می‌گوید</w:t>
      </w:r>
      <w:r>
        <w:rPr>
          <w:rFonts w:eastAsia="IRNazanin" w:cs="IRNazanin"/>
          <w:color w:val="111111"/>
          <w:sz w:val="28"/>
          <w:szCs w:val="28"/>
          <w:rtl w:val="true"/>
          <w:lang w:bidi="fa-IR"/>
        </w:rPr>
        <w:t>:</w:t>
      </w:r>
      <w:bookmarkStart w:id="505" w:name="pg6142_67514"/>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قانون تحول اجتهاد با تحول زمان مورد پذیرش قرار نگیرد، استدلال به بعضی روایات بر مدعا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بعضی روایات اگرچه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میزان برای وجوب نماز برای آن‌ها قرار داده‌اند، ولی مقید شده‌اند به صورتی که پیش از آن حیض نبینند و اگر بینند نماز در آن وقت بر آن‌ها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میزان و معیار ثواب و عقاب برای دختران مقرر کرده است، در آن‌ها تعلیل شده که آنان در این سن حیض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روایات روا نبودن نگاه به زن را زمانی قرار داده‌اند که او عادت ماهانه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ایشان از روایت اول، موثقۀ عمار ساباطی و از روایت دوم، روایت عبدالله بن سنان است که قبلاً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 گاه ضمن تأکید بر این‌که حیض در دختران به منزله منی در پسران است، از قول کارشناسان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قاعدگی در دختران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قاعدگی پیش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بسیار نادر است و هم‌چنین در برخی دختران، قاعدگی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سرانجام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دختر به حائض شدن اوست و یا رسیدن به وی به سنی که معمولاً صلاحیت برای پدیدار شدن آن را دارد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بلوغ دختران، آیت الله محمد ابراهیم جناتی،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5"/>
        <w:numPr>
          <w:ilvl w:val="4"/>
          <w:numId w:val="1"/>
        </w:numPr>
        <w:rPr/>
      </w:pPr>
      <w:bookmarkStart w:id="506" w:name="__RefHeading___Toc189268_237004111"/>
      <w:bookmarkStart w:id="507" w:name="_Toc194"/>
      <w:bookmarkEnd w:id="506"/>
      <w:r>
        <w:rPr>
          <w:rtl w:val="true"/>
        </w:rPr>
        <w:t>بررسی راه‌حل پنجم</w:t>
      </w:r>
      <w:bookmarkEnd w:id="5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حل نیز مبتلا به اشکالاتی است</w:t>
      </w:r>
      <w:r>
        <w:rPr>
          <w:rFonts w:eastAsia="IRNazanin" w:cs="IRNazanin"/>
          <w:color w:val="111111"/>
          <w:sz w:val="28"/>
          <w:szCs w:val="28"/>
          <w:rtl w:val="true"/>
          <w:lang w:bidi="fa-IR"/>
        </w:rPr>
        <w:t>:</w:t>
      </w:r>
      <w:bookmarkStart w:id="508" w:name="pg6142_67515"/>
    </w:p>
    <w:p>
      <w:pPr>
        <w:pStyle w:val="Heading4"/>
        <w:numPr>
          <w:ilvl w:val="3"/>
          <w:numId w:val="1"/>
        </w:numPr>
        <w:rPr/>
      </w:pPr>
      <w:bookmarkStart w:id="509" w:name="__RefHeading___Toc189270_237004111"/>
      <w:bookmarkStart w:id="510" w:name="_Toc195"/>
      <w:bookmarkEnd w:id="508"/>
      <w:bookmarkEnd w:id="509"/>
      <w:r>
        <w:rPr>
          <w:rtl w:val="true"/>
        </w:rPr>
        <w:t>اشکال اول</w:t>
      </w:r>
      <w:bookmarkEnd w:id="510"/>
    </w:p>
    <w:p>
      <w:pPr>
        <w:pStyle w:val="BookText"/>
        <w:rPr/>
      </w:pPr>
      <w:r>
        <w:rPr>
          <w:rFonts w:ascii="IRNazanin" w:hAnsi="IRNazanin" w:eastAsia="IRNazanin"/>
          <w:color w:val="111111"/>
          <w:sz w:val="28"/>
          <w:sz w:val="28"/>
          <w:szCs w:val="28"/>
          <w:rtl w:val="true"/>
          <w:lang w:bidi="fa-IR"/>
        </w:rPr>
        <w:t>معنای سخن ایشان در مرحلۀ اول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می‌توانیم از راه تحول اجتهاد با تحول زمان، بگوییم روایات به دختران آن روزگار که معمولاً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عادت ماهانه می‌شدند،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مقدمه‌ای که بیان کرده و موردی که اشاره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خرید و فروش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ما نحن فیه چون موضوع عوض شده پس حکم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می‌رسد چنین تنظیری صحیح نباشد؛ چون در مورد خون، ملاک و مناط حکم کشف شده؛ یعنی ملاک صحت و بطلان خرید و فروش خون، وجود و عدم منفعت محللّه عقلایی می‌باشد که از ادله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تغییر نوع استفاده از خون، حکم نیز تغییر پیدا می‌کند ولی در این مسئله این‌چنین نیست؛ به عبارت دیگر اگر از ادله استفاده شود ملاک ثبوت تکالیف بر دختر فقط حیض است و نه هیچ امر دیگری، این سخن صحیح است ولی این اول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مؤثقه عمار ساباطی و روایت عبدالله بن سنان، برای اثبات انحصار ملاک در حیض کافی است و از این دو روایت و برخی روایات دیگر استفاده می‌شود مناط حیض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روایاتی داریم که دلالت می‌کند بر اینکه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ملاک است و حتی در برخی از آن‌ها تصریح به ثبوت تکلیف شده، هرچند حیض یا احتلام محقق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وجود این روایات چگونه می‌توان احراز کرد ملاک ثبوتِ تکلیف فقط حیض است؟</w:t>
      </w:r>
      <w:bookmarkStart w:id="511" w:name="pg6142_67516"/>
    </w:p>
    <w:p>
      <w:pPr>
        <w:pStyle w:val="Heading4"/>
        <w:numPr>
          <w:ilvl w:val="3"/>
          <w:numId w:val="1"/>
        </w:numPr>
        <w:rPr/>
      </w:pPr>
      <w:bookmarkStart w:id="512" w:name="__RefHeading___Toc189272_237004111"/>
      <w:bookmarkStart w:id="513" w:name="_Toc196"/>
      <w:bookmarkEnd w:id="511"/>
      <w:bookmarkEnd w:id="512"/>
      <w:r>
        <w:rPr>
          <w:rtl w:val="true"/>
        </w:rPr>
        <w:t>اشکال دوم</w:t>
      </w:r>
      <w:bookmarkEnd w:id="513"/>
    </w:p>
    <w:p>
      <w:pPr>
        <w:pStyle w:val="BookText"/>
        <w:rPr/>
      </w:pPr>
      <w:r>
        <w:rPr>
          <w:rFonts w:ascii="IRNazanin" w:hAnsi="IRNazanin" w:eastAsia="IRNazanin"/>
          <w:color w:val="111111"/>
          <w:sz w:val="28"/>
          <w:sz w:val="28"/>
          <w:szCs w:val="28"/>
          <w:rtl w:val="true"/>
          <w:lang w:bidi="fa-IR"/>
        </w:rPr>
        <w:t>ایشان در دو مرحله استدلال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از راه قانون تحول اجتهاد با تحول زمان مسئله را حل می‌کنیم و اگر این قانون مورد پذیرش قرار نگیرد، استدلال به روایات یاد شده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تفکیک به نظر ما ناتمام است؛ چون همان‌گونه که در اشکال اول بیان گردید، مرحلۀ اول بدون استدلال به روایات مذکور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مرحله‌ای کردن استدلال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استدلال به موثقۀ عمار چنان‌چه قبلاً اشاره گردید نیز مبتلا به اشکال است</w:t>
      </w:r>
      <w:r>
        <w:rPr>
          <w:rFonts w:eastAsia="IRNazanin" w:cs="IRNazanin"/>
          <w:color w:val="111111"/>
          <w:sz w:val="28"/>
          <w:szCs w:val="28"/>
          <w:rtl w:val="true"/>
          <w:lang w:bidi="fa-IR"/>
        </w:rPr>
        <w:t>.</w:t>
      </w:r>
    </w:p>
    <w:p>
      <w:pPr>
        <w:pStyle w:val="Heading4"/>
        <w:numPr>
          <w:ilvl w:val="3"/>
          <w:numId w:val="1"/>
        </w:numPr>
        <w:rPr/>
      </w:pPr>
      <w:bookmarkStart w:id="514" w:name="__RefHeading___Toc189274_237004111"/>
      <w:bookmarkStart w:id="515" w:name="_Toc197"/>
      <w:bookmarkEnd w:id="514"/>
      <w:r>
        <w:rPr>
          <w:rtl w:val="true"/>
        </w:rPr>
        <w:t>اشکال سوم</w:t>
      </w:r>
      <w:bookmarkEnd w:id="51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دختر یا به حائض شدن اوست و یا رسیدن به سنی که معمولاً صلاحیت برای پدیدار شدن حیض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سن کدام است؟ خود ایشان از قول کارشناسان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بروز قاعدگی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برخی دختران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حیض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بیان کدام یک از سنین فوق الذکر مقصود است و براستی در کدام یک از سنین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چنین صلاحیتی پیدا می‌شود؟ این نوع بیان سبب عدم انضباط امر بلوغ خواهد شد</w:t>
      </w:r>
      <w:r>
        <w:rPr>
          <w:rFonts w:eastAsia="IRNazanin" w:cs="IRNazanin"/>
          <w:color w:val="111111"/>
          <w:sz w:val="28"/>
          <w:szCs w:val="28"/>
          <w:rtl w:val="true"/>
          <w:lang w:bidi="fa-IR"/>
        </w:rPr>
        <w:t>.</w:t>
      </w:r>
      <w:bookmarkStart w:id="516" w:name="pg6142_67517"/>
    </w:p>
    <w:p>
      <w:pPr>
        <w:pStyle w:val="Heading3"/>
        <w:numPr>
          <w:ilvl w:val="2"/>
          <w:numId w:val="1"/>
        </w:numPr>
        <w:rPr/>
      </w:pPr>
      <w:bookmarkStart w:id="517" w:name="__RefHeading___Toc189276_237004111"/>
      <w:bookmarkStart w:id="518" w:name="_Toc198"/>
      <w:bookmarkEnd w:id="516"/>
      <w:bookmarkEnd w:id="517"/>
      <w:r>
        <w:rPr>
          <w:rtl w:val="true"/>
        </w:rPr>
        <w:t>گفتار ششم</w:t>
      </w:r>
      <w:r>
        <w:rPr>
          <w:rtl w:val="true"/>
        </w:rPr>
        <w:t xml:space="preserve">: </w:t>
      </w:r>
      <w:r>
        <w:rPr>
          <w:rtl w:val="true"/>
        </w:rPr>
        <w:t>راه حل ششم و بررسی آن</w:t>
      </w:r>
      <w:bookmarkEnd w:id="518"/>
    </w:p>
    <w:p>
      <w:pPr>
        <w:pStyle w:val="Heading4"/>
        <w:numPr>
          <w:ilvl w:val="3"/>
          <w:numId w:val="1"/>
        </w:numPr>
        <w:rPr/>
      </w:pPr>
      <w:bookmarkStart w:id="519" w:name="__RefHeading___Toc189278_237004111"/>
      <w:bookmarkStart w:id="520" w:name="_Toc199"/>
      <w:bookmarkEnd w:id="519"/>
      <w:r>
        <w:rPr>
          <w:rtl w:val="true"/>
        </w:rPr>
        <w:t>راه حل ششم</w:t>
      </w:r>
      <w:bookmarkEnd w:id="520"/>
    </w:p>
    <w:p>
      <w:pPr>
        <w:pStyle w:val="Heading5"/>
        <w:numPr>
          <w:ilvl w:val="4"/>
          <w:numId w:val="1"/>
        </w:numPr>
        <w:rPr/>
      </w:pPr>
      <w:bookmarkStart w:id="521" w:name="__RefHeading___Toc189280_237004111"/>
      <w:bookmarkStart w:id="522" w:name="_Toc200"/>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به نظر مشهور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زمان ثبوت تکلیف بر دختران است در صورتی که سن آن‌ها معلوم باشد ولی برای آنان که سنشان معلوم نیست، حیض کاشف از سبق بلوغ و ثبوت تکلیف در گذشته است بدین معنا که با تحقق حیض یقین به وصول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زمان سابق حاصل می‌شود و بدین ترتیب بین روایات جمع می‌گردد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نظر مشهور توسط بعضی از بزرگان با بیانی خاص تقریر شده، ما این بیان را نقل و مورد بررسی قرار می‌دهیم، هرچند این بیان به نظر مشهور کاملاً منطبق نیست و تفاوت‌هایی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اشکالی را مطرح کرده به این بیان که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 نشانۀ طبیعی برای بلوغ است یا اماره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نشانۀ طبیعی بلوغ</w:t>
      </w:r>
    </w:p>
    <w:p>
      <w:pPr>
        <w:pStyle w:val="BookText"/>
        <w:rPr/>
      </w:pPr>
      <w:r>
        <w:rPr>
          <w:rFonts w:ascii="IRNazanin" w:hAnsi="IRNazanin" w:eastAsia="IRNazanin"/>
          <w:color w:val="111111"/>
          <w:sz w:val="28"/>
          <w:sz w:val="28"/>
          <w:szCs w:val="28"/>
          <w:rtl w:val="true"/>
          <w:lang w:bidi="fa-IR"/>
        </w:rPr>
        <w:t xml:space="preserve">باشد، با توجه به اینکه دو نشانۀ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طبیعی هستند و قطعاً مؤخر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تحقّق پیدا می‌کنند، لازمه‌اش آن است که یکی از نشانه‌های طبیعی یعنی سن دائماً مقدم بر نشانه‌های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نشانۀ تعبدی باشد، با توجه به این‌که در برخی روایات، علّتِ قرار دادن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بلوغ، تحیض دختر در این سن ذکر شده، آن‌گاه چگونه با این تعلیل، معلّل می‌تواند یک امر تعبدی باشد؟</w:t>
      </w:r>
    </w:p>
    <w:p>
      <w:pPr>
        <w:pStyle w:val="BookText"/>
        <w:rPr/>
      </w:pPr>
      <w:r>
        <w:rPr>
          <w:rFonts w:ascii="IRNazanin" w:hAnsi="IRNazanin" w:eastAsia="IRNazanin"/>
          <w:color w:val="111111"/>
          <w:sz w:val="28"/>
          <w:sz w:val="28"/>
          <w:szCs w:val="28"/>
          <w:rtl w:val="true"/>
          <w:lang w:bidi="fa-IR"/>
        </w:rPr>
        <w:t xml:space="preserve">ایشان در پاسخ به این اشکال، ضمن تأکید بر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یک نشانۀ طبیعی بر بلوغ است که شارع از آن کشف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این‌که جمیع آثار بلوغ یکباره ظاهر شوند، نداریم بلکه بلوغ دارای درجات و مراتبی است که از حیث شدت و ضعف مختلف است و آثار بلوغ هم تدریجا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علامت برای اولین مرحله از مراحل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انبات و حیض که علامت برای مراحل متأخّر بلوغ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موردی سن دختر مجهول باشد و این دو علامت آشکار شوند حکم به تحقق بلوغ در زمان سابق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در فرض جهل به سن علامت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ایشان منشأ اشکال این است که گمان شده بلوغ به معنای بلوغ جنسی بوده و فقط دارای یک مرتبه است و آثار آن هم با تحقق حیض و انبات ظاهر می‌شوند، در حالی که مراد از بلوغ، بلوغ جنسی نیست بلکه مراد این است که دختر به حدی برسد که ملازم با یک جهش نوعی در مزاج و بنیه‌اش باشد و شارع از مبدأ آن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آن‌که احتمال سبق بلوغ بر این حد وجود دارد ولی شارع آن را به عنوان موضوع تکلیف اختیار کرده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البلوغ، آیت الله جعفر سبحانی، ص </w:t>
      </w:r>
      <w:r>
        <w:rPr>
          <w:rFonts w:eastAsia="IRNazanin" w:cs="IRNazanin"/>
          <w:color w:val="111111"/>
          <w:sz w:val="28"/>
          <w:szCs w:val="28"/>
          <w:lang w:bidi="fa-IR"/>
        </w:rPr>
        <w:t>57</w:t>
      </w:r>
      <w:r>
        <w:rPr>
          <w:rFonts w:eastAsia="IRNazanin" w:cs="IRNazanin"/>
          <w:color w:val="111111"/>
          <w:sz w:val="28"/>
          <w:szCs w:val="28"/>
          <w:rtl w:val="true"/>
          <w:lang w:bidi="fa-IR"/>
        </w:rPr>
        <w:t>.</w:t>
      </w:r>
      <w:bookmarkStart w:id="523" w:name="pg6142_67519"/>
    </w:p>
    <w:p>
      <w:pPr>
        <w:pStyle w:val="BookText"/>
        <w:rPr/>
      </w:pPr>
      <w:bookmarkEnd w:id="523"/>
      <w:r>
        <w:rPr>
          <w:rFonts w:ascii="IRNazanin" w:hAnsi="IRNazanin" w:eastAsia="IRNazanin"/>
          <w:color w:val="111111"/>
          <w:sz w:val="28"/>
          <w:sz w:val="28"/>
          <w:szCs w:val="28"/>
          <w:rtl w:val="true"/>
          <w:lang w:bidi="fa-IR"/>
        </w:rPr>
        <w:t>اساس این سخن و ریشه آن‌که می‌تواند به عنوان جمع بین روایات تلقی شود، از صاحب جواهر است؛ زیرا مسئلۀ علامیت حیض برای بلوغ و کشف آن از سبق بلوغ در مورد مجهول السن توسط صاحب جواهر مطرح 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جواهرالکلام،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524" w:name="__RefHeading___Toc189282_237004111"/>
      <w:bookmarkStart w:id="525" w:name="_Toc201"/>
      <w:bookmarkEnd w:id="524"/>
      <w:r>
        <w:rPr>
          <w:rtl w:val="true"/>
        </w:rPr>
        <w:t>بررسی راه‌حل ششم</w:t>
      </w:r>
      <w:bookmarkEnd w:id="525"/>
    </w:p>
    <w:p>
      <w:pPr>
        <w:pStyle w:val="BookText"/>
        <w:rPr/>
      </w:pPr>
      <w:r>
        <w:rPr>
          <w:rFonts w:ascii="IRNazanin" w:hAnsi="IRNazanin" w:eastAsia="IRNazanin"/>
          <w:color w:val="111111"/>
          <w:sz w:val="28"/>
          <w:sz w:val="28"/>
          <w:szCs w:val="28"/>
          <w:rtl w:val="true"/>
          <w:lang w:bidi="fa-IR"/>
        </w:rPr>
        <w:t>به نظر می‌رسد این بیان از جهاتی مخدوش است</w:t>
      </w:r>
      <w:r>
        <w:rPr>
          <w:rFonts w:eastAsia="IRNazanin" w:cs="IRNazanin"/>
          <w:color w:val="111111"/>
          <w:sz w:val="28"/>
          <w:szCs w:val="28"/>
          <w:rtl w:val="true"/>
          <w:lang w:bidi="fa-IR"/>
        </w:rPr>
        <w:t>.</w:t>
      </w:r>
    </w:p>
    <w:p>
      <w:pPr>
        <w:pStyle w:val="Heading4"/>
        <w:numPr>
          <w:ilvl w:val="3"/>
          <w:numId w:val="1"/>
        </w:numPr>
        <w:rPr/>
      </w:pPr>
      <w:bookmarkStart w:id="526" w:name="__RefHeading___Toc189284_237004111"/>
      <w:bookmarkStart w:id="527" w:name="_Toc202"/>
      <w:bookmarkEnd w:id="526"/>
      <w:r>
        <w:rPr>
          <w:rtl w:val="true"/>
        </w:rPr>
        <w:t>اشکال اول</w:t>
      </w:r>
      <w:bookmarkEnd w:id="52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واقع اصطلاح جدیدی برای بلوغ جعل کرده؛ زیرا طبق این بیان بلوغ عبارت است از آغاز رشد جسمی و فکری که به صورت جهشی در انسان پدید می‌آید و هرچه سن انسان بالاتر می‌رود این تغییرات نیز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شارع از مبدأ و مرحلۀ اول آن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نه عرف و نه لغت مساعد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چنان‌چه سابقا نیز اشاره شد، دارای چند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بلوغ جنسی عبارت است از کمال طبیعی انسان و آمادگی او برای آمیزش و تولید مثل و بلوغ به این معنا یک امر دفعی است نه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این کمال تغییراتی در بدن و روان انسان به وجود می‌آید و پس از حصول آن تغییرات، انسان به این مرحله می‌رسد؛ به عبارت دیگر باید بین مقدمات بلوغ و خود بلوغ تفکیک کرد</w:t>
      </w:r>
      <w:r>
        <w:rPr>
          <w:rFonts w:eastAsia="IRNazanin" w:cs="IRNazanin"/>
          <w:color w:val="111111"/>
          <w:sz w:val="28"/>
          <w:szCs w:val="28"/>
          <w:rtl w:val="true"/>
          <w:lang w:bidi="fa-IR"/>
        </w:rPr>
        <w:t>.</w:t>
      </w:r>
      <w:bookmarkStart w:id="528" w:name="pg6142_67520"/>
    </w:p>
    <w:p>
      <w:pPr>
        <w:pStyle w:val="BookText"/>
        <w:rPr/>
      </w:pPr>
      <w:bookmarkEnd w:id="528"/>
      <w:r>
        <w:rPr>
          <w:rFonts w:ascii="IRNazanin" w:hAnsi="IRNazanin" w:eastAsia="IRNazanin"/>
          <w:color w:val="111111"/>
          <w:sz w:val="28"/>
          <w:sz w:val="28"/>
          <w:szCs w:val="28"/>
          <w:rtl w:val="true"/>
          <w:lang w:bidi="fa-IR"/>
        </w:rPr>
        <w:t>صاحب جواهر در مقام رد کسانی که برای عدم علامیت انبات استدلال می‌کنند که بلوغ غیر مکتسب است ولی انبات گاهی به معالجه قابل اکتساب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نیست و بهتر است این‌گونه استدلال شود که انبات تدریجی الحصول ولی بلوغ دفعی الحصول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بیان را فخر المحققین در ایضاح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والبلوغ آنی وما هو علی التدریج لایکون علة للانی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حقیقی دفعی است و چیزی که تدریجی باشد نمی‌تواند علت یک امر دفعی و آنی قرار گیرد</w:t>
      </w:r>
      <w:r>
        <w:rPr>
          <w:rFonts w:eastAsia="IRNazanin" w:cs="IRNazanin"/>
          <w:color w:val="111111"/>
          <w:sz w:val="28"/>
          <w:szCs w:val="28"/>
          <w:rtl w:val="true"/>
          <w:lang w:bidi="fa-IR"/>
        </w:rPr>
        <w:t>».</w:t>
      </w:r>
    </w:p>
    <w:p>
      <w:pPr>
        <w:pStyle w:val="Heading4"/>
        <w:numPr>
          <w:ilvl w:val="3"/>
          <w:numId w:val="1"/>
        </w:numPr>
        <w:rPr/>
      </w:pPr>
      <w:bookmarkStart w:id="529" w:name="__RefHeading___Toc189286_237004111"/>
      <w:bookmarkStart w:id="530" w:name="_Toc203"/>
      <w:bookmarkEnd w:id="529"/>
      <w:r>
        <w:rPr>
          <w:rtl w:val="true"/>
        </w:rPr>
        <w:t>اشکال دوم</w:t>
      </w:r>
      <w:bookmarkEnd w:id="53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بلوغ به این معنا باشد،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امارۀ مراحل اولیه آن بوده جز با بیان شارع به دست نیامده و این در واقع به معنای تعبدی بودن این اماره است؛ زیرا به طور قطع رشد جسمی و فکری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بوده و اساساً از ابتدای تولد این رشد شروع و ادامه پیدا می‌کند و هیچ دلیلی وجود ندارد مبنی بر این‌که این زمان دوره آغاز تغییرات گسترده در ساختمان بدن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چه دلیل ادعا می‌شود که حیض و انبات اماره مراحل متأخر بلوغ می‌باشند؟ البته در این‌که با تحقق حیض تقریباً رشد بدنی دختر کُند می‌شود، بحثی نیست ولی قرار دادن آن به عنوان مرحلۀ متأخر رشد صحیح نیست</w:t>
      </w:r>
      <w:r>
        <w:rPr>
          <w:rFonts w:eastAsia="IRNazanin" w:cs="IRNazanin"/>
          <w:color w:val="111111"/>
          <w:sz w:val="28"/>
          <w:szCs w:val="28"/>
          <w:rtl w:val="true"/>
          <w:lang w:bidi="fa-IR"/>
        </w:rPr>
        <w:t>.</w:t>
      </w:r>
      <w:bookmarkStart w:id="531" w:name="pg6142_67521"/>
    </w:p>
    <w:p>
      <w:pPr>
        <w:pStyle w:val="Heading4"/>
        <w:numPr>
          <w:ilvl w:val="3"/>
          <w:numId w:val="1"/>
        </w:numPr>
        <w:rPr/>
      </w:pPr>
      <w:bookmarkStart w:id="532" w:name="__RefHeading___Toc189288_237004111"/>
      <w:bookmarkStart w:id="533" w:name="_Toc204"/>
      <w:bookmarkEnd w:id="531"/>
      <w:bookmarkEnd w:id="532"/>
      <w:r>
        <w:rPr>
          <w:rtl w:val="true"/>
        </w:rPr>
        <w:t>اشکال سوم</w:t>
      </w:r>
      <w:bookmarkEnd w:id="533"/>
    </w:p>
    <w:p>
      <w:pPr>
        <w:pStyle w:val="BookText"/>
        <w:rPr/>
      </w:pPr>
      <w:r>
        <w:rPr>
          <w:rFonts w:ascii="IRNazanin" w:hAnsi="IRNazanin" w:eastAsia="IRNazanin"/>
          <w:color w:val="111111"/>
          <w:sz w:val="28"/>
          <w:sz w:val="28"/>
          <w:szCs w:val="28"/>
          <w:rtl w:val="true"/>
          <w:lang w:bidi="fa-IR"/>
        </w:rPr>
        <w:t xml:space="preserve">تدریجی دانستن بلوغ به این معنا با حکم به سبق بلوغ با ظهور حیض و انبات منافات دارد و یک تهافت آشکار است؛ زیرا اگر حیض و انبات اماره مراحل متأخر بلوغ باشند و معذلک با ظهور آن‌ها حکم به سبق بلوغ شود، لازمه‌اش انکار تدریجی بودن بلوغ است؛ به عبارت دیگر طبق بیان ایشان صرفاً باید مرحلۀ اول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بلوغ باشد تا با ظهور علامات متأخر حکم به سبق بلوغ شود و الا اگر همۀ مراحل را بلوغ دانستیم، چنان‌چه مفروض کلام ایشان است، دیگر حکم به سبق بلوغ با ظهور حیض و انبات معنا ندارد</w:t>
      </w:r>
      <w:r>
        <w:rPr>
          <w:rFonts w:eastAsia="IRNazanin" w:cs="IRNazanin"/>
          <w:color w:val="111111"/>
          <w:sz w:val="28"/>
          <w:szCs w:val="28"/>
          <w:rtl w:val="true"/>
          <w:lang w:bidi="fa-IR"/>
        </w:rPr>
        <w:t>.</w:t>
      </w:r>
    </w:p>
    <w:p>
      <w:pPr>
        <w:pStyle w:val="Heading4"/>
        <w:numPr>
          <w:ilvl w:val="3"/>
          <w:numId w:val="1"/>
        </w:numPr>
        <w:rPr/>
      </w:pPr>
      <w:bookmarkStart w:id="534" w:name="__RefHeading___Toc189290_237004111"/>
      <w:bookmarkStart w:id="535" w:name="_Toc205"/>
      <w:bookmarkEnd w:id="534"/>
      <w:r>
        <w:rPr>
          <w:rtl w:val="true"/>
        </w:rPr>
        <w:t>اشکال چهارم</w:t>
      </w:r>
      <w:bookmarkEnd w:id="53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ظهور این علامات حکم به سبق بلوغ شود سؤال این است که چگونه زمان بلوغ قابل تشخیص است؟ مثلاً گفته شده حمل مطلقا دلیل بر سبق بلوغ است؛ یعنی چه علامیت حمل را منوط به وضع بدانیم و چه ندانیم، کاشف از تحقق بلوغ در زمان سابق است و یک زمان تقریبی برای آن معین شده ولی در مورد حیض و انبات چگونه می‌توان زمان بلوغ را بدست آورد؛ زیرا فاصلۀ زمانی بین حیض و انبات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نسبتاً زیاد بوده و این دو علامت برای مجهول السن کاشف از سبق بلوغ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مطلب آن است که اولین مرتبه از مراتب بلوغ قابل تشخیص نباشد؛ زیرا طبق فرض، سن مجهول است و اکنون با ظهور این دو علامت پی برده‌ایم او قبلاً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تکالیف فوت شده از او چه می‌شود؟ از</w:t>
      </w:r>
      <w:bookmarkStart w:id="536" w:name="pg6142_67522"/>
    </w:p>
    <w:p>
      <w:pPr>
        <w:pStyle w:val="BookText"/>
        <w:rPr/>
      </w:pPr>
      <w:bookmarkEnd w:id="536"/>
      <w:r>
        <w:rPr>
          <w:rFonts w:ascii="IRNazanin" w:hAnsi="IRNazanin" w:eastAsia="IRNazanin"/>
          <w:color w:val="111111"/>
          <w:sz w:val="28"/>
          <w:sz w:val="28"/>
          <w:szCs w:val="28"/>
          <w:rtl w:val="true"/>
          <w:lang w:bidi="fa-IR"/>
        </w:rPr>
        <w:t>چه زمانی باید فوت فرایض را ملاک قرار داده و قضای آن را بجا آورد؟ این‌ها ابهاماتی است که در این راه حل وجود دارد</w:t>
      </w:r>
      <w:r>
        <w:rPr>
          <w:rFonts w:eastAsia="IRNazanin" w:cs="IRNazanin"/>
          <w:color w:val="111111"/>
          <w:sz w:val="28"/>
          <w:szCs w:val="28"/>
          <w:rtl w:val="true"/>
          <w:lang w:bidi="fa-IR"/>
        </w:rPr>
        <w:t>.</w:t>
      </w:r>
    </w:p>
    <w:p>
      <w:pPr>
        <w:pStyle w:val="Heading4"/>
        <w:numPr>
          <w:ilvl w:val="3"/>
          <w:numId w:val="1"/>
        </w:numPr>
        <w:rPr/>
      </w:pPr>
      <w:bookmarkStart w:id="537" w:name="__RefHeading___Toc189292_237004111"/>
      <w:bookmarkStart w:id="538" w:name="_Toc206"/>
      <w:bookmarkEnd w:id="537"/>
      <w:r>
        <w:rPr>
          <w:rtl w:val="true"/>
        </w:rPr>
        <w:t>اشکال پنجم</w:t>
      </w:r>
      <w:bookmarkEnd w:id="53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احتمال سبق بلوغ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وجود دارد، ولی شارع آن را به عنوان موضوع تکلیف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این مطلب با طبیعی بودن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اماره بلوغ سازگاری ندارد؛ زیرا همین که احتمال سبق بلوغ باشد و معذلک این زمان به عنوان مبدأ تکلیف اختیار شود، به معنای تعبدی بودن این نشانه است</w:t>
      </w:r>
      <w:r>
        <w:rPr>
          <w:rFonts w:eastAsia="IRNazanin" w:cs="IRNazanin"/>
          <w:color w:val="111111"/>
          <w:sz w:val="28"/>
          <w:szCs w:val="28"/>
          <w:rtl w:val="true"/>
          <w:lang w:bidi="fa-IR"/>
        </w:rPr>
        <w:t>.</w:t>
      </w:r>
      <w:bookmarkStart w:id="539" w:name="pg6142_67523"/>
    </w:p>
    <w:p>
      <w:pPr>
        <w:pStyle w:val="Heading3"/>
        <w:numPr>
          <w:ilvl w:val="2"/>
          <w:numId w:val="1"/>
        </w:numPr>
        <w:rPr/>
      </w:pPr>
      <w:bookmarkStart w:id="540" w:name="__RefHeading___Toc189294_237004111"/>
      <w:bookmarkStart w:id="541" w:name="_Toc207"/>
      <w:bookmarkEnd w:id="539"/>
      <w:bookmarkEnd w:id="540"/>
      <w:r>
        <w:rPr>
          <w:rtl w:val="true"/>
        </w:rPr>
        <w:t>گفتار هفتم</w:t>
      </w:r>
      <w:r>
        <w:rPr>
          <w:rtl w:val="true"/>
        </w:rPr>
        <w:t xml:space="preserve">: </w:t>
      </w:r>
      <w:r>
        <w:rPr>
          <w:rtl w:val="true"/>
        </w:rPr>
        <w:t>راه حل هفتم و بررسی آن</w:t>
      </w:r>
      <w:bookmarkEnd w:id="541"/>
    </w:p>
    <w:p>
      <w:pPr>
        <w:pStyle w:val="Heading4"/>
        <w:numPr>
          <w:ilvl w:val="3"/>
          <w:numId w:val="1"/>
        </w:numPr>
        <w:rPr/>
      </w:pPr>
      <w:bookmarkStart w:id="542" w:name="__RefHeading___Toc189296_237004111"/>
      <w:bookmarkStart w:id="543" w:name="_Toc208"/>
      <w:bookmarkEnd w:id="542"/>
      <w:r>
        <w:rPr>
          <w:rtl w:val="true"/>
        </w:rPr>
        <w:t>راه حل هفتم</w:t>
      </w:r>
      <w:bookmarkEnd w:id="543"/>
    </w:p>
    <w:p>
      <w:pPr>
        <w:pStyle w:val="Heading5"/>
        <w:numPr>
          <w:ilvl w:val="4"/>
          <w:numId w:val="1"/>
        </w:numPr>
        <w:rPr/>
      </w:pPr>
      <w:bookmarkStart w:id="544" w:name="__RefHeading___Toc189298_237004111"/>
      <w:bookmarkStart w:id="545" w:name="_Toc209"/>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یکی از فضلا در مقام نقد نظریه مشهور، مسئله را به نحو دیگری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خود را در سه مرحله دنبال کرده، لکن در دو مرحلۀ اول تلاش او معطوف به این است که کار به تعارض نکشد و در مرحلۀ سوم با فرض تعارض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مرحلۀ اول می‌گوید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نمی‌تواند اماره طبیعی باشد؛ چون در اماره طبیعی، دائمی یا غالبی بودن لازم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اماره تعبدی شرعی نیز نیست؛ چون دلیلی بر آن نداریم و به علاوه قراینی بر خلاف آن نیز وجود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قرائن به نظر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سن در برخی روایات به حیض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تحدید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قراین خاص از جمله</w:t>
      </w:r>
    </w:p>
    <w:p>
      <w:pPr>
        <w:pStyle w:val="BookText"/>
        <w:rPr/>
      </w:pPr>
      <w:r>
        <w:rPr>
          <w:rFonts w:ascii="IRNazanin" w:hAnsi="IRNazanin" w:eastAsia="IRNazanin"/>
          <w:color w:val="111111"/>
          <w:sz w:val="28"/>
          <w:sz w:val="28"/>
          <w:szCs w:val="28"/>
          <w:rtl w:val="true"/>
          <w:lang w:bidi="fa-IR"/>
        </w:rPr>
        <w:t xml:space="preserve">آن‌که در بعضی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حکم ازدواج مترتب بر این سن شده و از آن‌جا که ازدواج یک امر تعبدی نیست و قبل از آن هم تزویج برای ولی مشروع است، پس سن هم یک امر تعبدی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رشدِ قد در برخی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برخی تحقیقات روانشناسی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تشریع در قرآن که هیچ سنّی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در مرحلۀ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پذیرش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عنوان اماره تعبدی، هیچ دلیلی نداریم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مرحلۀ بلوغ باشد؛ چون در اکثر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حکم خاصی ذکر شده؛ مانند اقامه حدود، تصرف در اموال، جواز همبستر شدن، خروج از یتم و کودکی، نظر دادن در امر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تعمیم آن به مسائل دیگر مثل وجوب روزه، حج، زکات، پوشش،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اگر بپذیریم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اماره تعبدی است این نشان‌دهندۀ ثبوت برخی احکام است، نه همۀ احکام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مرحلۀ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صرف نظر از دو مرحله گذشته و پذیرش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اماره تعبدی برای ثبوت همۀ تکالیف است، این ادله معارض دارد و لذا تعارض بین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چون به نظر ایشان روایات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اشکالات متعدد سندی و دلالی داشته و به آن عمل نشده و روایات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اختصاص به همبستری با دختران دارد و قابل تعمیم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این دو دسته از احادیث تعارض واقع می‌شود ولی احادیث دال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مقدم می‌شوند؛ زیرا در سند و دلالت آن‌ها هیچ ایرادی نیست ولی</w:t>
      </w:r>
      <w:bookmarkStart w:id="546" w:name="pg6142_67525"/>
    </w:p>
    <w:p>
      <w:pPr>
        <w:pStyle w:val="BookText"/>
        <w:rPr/>
      </w:pPr>
      <w:bookmarkEnd w:id="546"/>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ایراد سندی وجود دارد و هم ایراد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سرانجام در مرحلۀ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مقدم نشوند و هم‌چنان بگوییم متعارض هستند، از آن‌جا که در هیچ یک از آن‌ها، مرجحاتی مثل موافقت با قرآن، مخالفت با عامه و مانند آن وجود ندارد، لذا پس از تعارض و تساقط، مرجع کتاب و سنت است که قاعدگی و بلوغ نکاح را میزان بلوغ معرفی کرده‌اند و چنان‌چه متعادل باشند تخییر بین اخبار اقتضای عدم تعین فتوا به بلوغ دختر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دارد و لذا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قابل عمل خواهد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بلوغ دختران، مهدی مهریزی،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5"/>
        <w:numPr>
          <w:ilvl w:val="4"/>
          <w:numId w:val="1"/>
        </w:numPr>
        <w:rPr/>
      </w:pPr>
      <w:bookmarkStart w:id="547" w:name="__RefHeading___Toc189300_237004111"/>
      <w:bookmarkStart w:id="548" w:name="_Toc210"/>
      <w:bookmarkEnd w:id="547"/>
      <w:r>
        <w:rPr>
          <w:rtl w:val="true"/>
        </w:rPr>
        <w:t>بررسی راه‌حل هفتم</w:t>
      </w:r>
      <w:bookmarkEnd w:id="548"/>
    </w:p>
    <w:p>
      <w:pPr>
        <w:pStyle w:val="BookText"/>
        <w:rPr/>
      </w:pPr>
      <w:r>
        <w:rPr>
          <w:rFonts w:ascii="IRNazanin" w:hAnsi="IRNazanin" w:eastAsia="IRNazanin"/>
          <w:color w:val="111111"/>
          <w:sz w:val="28"/>
          <w:sz w:val="28"/>
          <w:szCs w:val="28"/>
          <w:rtl w:val="true"/>
          <w:lang w:bidi="fa-IR"/>
        </w:rPr>
        <w:t>صرف نظر از اشکالاتی که در بعضی از جزئیات کلام ایشان وجود دارد، این راه حل از جهاتی دارای اشکالات اساسی است</w:t>
      </w:r>
      <w:r>
        <w:rPr>
          <w:rFonts w:eastAsia="IRNazanin" w:cs="IRNazanin"/>
          <w:color w:val="111111"/>
          <w:sz w:val="28"/>
          <w:szCs w:val="28"/>
          <w:rtl w:val="true"/>
          <w:lang w:bidi="fa-IR"/>
        </w:rPr>
        <w:t>:</w:t>
      </w:r>
    </w:p>
    <w:p>
      <w:pPr>
        <w:pStyle w:val="Heading4"/>
        <w:numPr>
          <w:ilvl w:val="3"/>
          <w:numId w:val="1"/>
        </w:numPr>
        <w:rPr/>
      </w:pPr>
      <w:bookmarkStart w:id="549" w:name="__RefHeading___Toc189302_237004111"/>
      <w:bookmarkStart w:id="550" w:name="_Toc211"/>
      <w:bookmarkEnd w:id="549"/>
      <w:r>
        <w:rPr>
          <w:rtl w:val="true"/>
        </w:rPr>
        <w:t>اشکال اول</w:t>
      </w:r>
      <w:bookmarkEnd w:id="550"/>
    </w:p>
    <w:p>
      <w:pPr>
        <w:pStyle w:val="BookText"/>
        <w:rPr/>
      </w:pPr>
      <w:r>
        <w:rPr>
          <w:rFonts w:ascii="IRNazanin" w:hAnsi="IRNazanin" w:eastAsia="IRNazanin"/>
          <w:color w:val="111111"/>
          <w:sz w:val="28"/>
          <w:sz w:val="28"/>
          <w:szCs w:val="28"/>
          <w:rtl w:val="true"/>
          <w:lang w:bidi="fa-IR"/>
        </w:rPr>
        <w:t>در مرحلۀ اول ایشان گفته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نه اماره طبیعی است نه اماره تعبدی بر بلوغ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هم این‌چنین است ولی از برخی روایات استفاده می‌شود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دیدگاه شرع، بلوغ و زمان ثبوت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نیز اشاره گردید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قراینی هم که ایشان برخلاف تعبدی بودن اماریت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ذکر کرده، عموماً مبتلا به اشکال است؛ چون قرینیت اکثر این امور مبتنی بر این است که هیچ توجیهی برای آن روایات یافت نشود، در حالی که</w:t>
      </w:r>
      <w:bookmarkStart w:id="551" w:name="pg6142_67526"/>
    </w:p>
    <w:p>
      <w:pPr>
        <w:pStyle w:val="BookText"/>
        <w:rPr/>
      </w:pPr>
      <w:bookmarkEnd w:id="551"/>
      <w:r>
        <w:rPr>
          <w:rFonts w:ascii="IRNazanin" w:hAnsi="IRNazanin" w:eastAsia="IRNazanin"/>
          <w:color w:val="111111"/>
          <w:sz w:val="28"/>
          <w:sz w:val="28"/>
          <w:szCs w:val="28"/>
          <w:rtl w:val="true"/>
          <w:lang w:bidi="fa-IR"/>
        </w:rPr>
        <w:t>برای بسیاری از آن‌ها توجیهاتی ذکر شده و ما سابقاً به آن‌ها اشاره کردیم؛ مثل تردید در تحدید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نیز به جهت اشکالات اساسی که در متن و سند آن‌ها وجود دارد، کنار گذاشته شدند و لذا قرینیت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روانشناسان نیز که وی بدان اشاره کرده معارَض به تحقیقات برخی دیگر از این 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مسئلۀ عدم ذکر سن خاص در قرآن نیز دلیل بر عدم اعتبار آن نمی‌باشد؛ زیرا در موارد بسیاری اعتبار بعضی امور و شرایط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از این قبیل است</w:t>
      </w:r>
      <w:r>
        <w:rPr>
          <w:rFonts w:eastAsia="IRNazanin" w:cs="IRNazanin"/>
          <w:color w:val="111111"/>
          <w:sz w:val="28"/>
          <w:szCs w:val="28"/>
          <w:rtl w:val="true"/>
          <w:lang w:bidi="fa-IR"/>
        </w:rPr>
        <w:t>.</w:t>
      </w:r>
    </w:p>
    <w:p>
      <w:pPr>
        <w:pStyle w:val="Heading4"/>
        <w:numPr>
          <w:ilvl w:val="3"/>
          <w:numId w:val="1"/>
        </w:numPr>
        <w:rPr/>
      </w:pPr>
      <w:bookmarkStart w:id="552" w:name="__RefHeading___Toc189304_237004111"/>
      <w:bookmarkStart w:id="553" w:name="_Toc212"/>
      <w:bookmarkEnd w:id="552"/>
      <w:r>
        <w:rPr>
          <w:rtl w:val="true"/>
        </w:rPr>
        <w:t>اشکال دوم</w:t>
      </w:r>
      <w:bookmarkEnd w:id="553"/>
    </w:p>
    <w:p>
      <w:pPr>
        <w:pStyle w:val="BookText"/>
        <w:rPr/>
      </w:pPr>
      <w:r>
        <w:rPr>
          <w:rFonts w:ascii="IRNazanin" w:hAnsi="IRNazanin" w:eastAsia="IRNazanin"/>
          <w:color w:val="111111"/>
          <w:sz w:val="28"/>
          <w:sz w:val="28"/>
          <w:szCs w:val="28"/>
          <w:rtl w:val="true"/>
          <w:lang w:bidi="fa-IR"/>
        </w:rPr>
        <w:t>در مرحلۀ دوم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پذیرش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اماره تعبدی، برخی احکام برای دختر ثابت می‌شود، نه همۀ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در برخی از روایاتِ تسع تعبیر بالغ شدن برای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بکار رفته که این نشان دهنده ثبوت همۀ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ابن ابی عمیر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بلغت تسعا فقد بلغت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المتعه،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ابی عمیر هم این‌گونه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بلوغ المرئة تسع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اشکال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روایات معمولاً همراه با مضاف الیه می‌آید و بدون آن معمولاً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معنای این روایات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صرفاً یک ادعای بدون دلیل است؛ چون این روایت معتبر</w:t>
      </w:r>
    </w:p>
    <w:p>
      <w:pPr>
        <w:pStyle w:val="BookText"/>
        <w:rPr/>
      </w:pPr>
      <w:r>
        <w:rPr>
          <w:rFonts w:ascii="IRNazanin" w:hAnsi="IRNazanin" w:eastAsia="IRNazanin"/>
          <w:color w:val="111111"/>
          <w:sz w:val="28"/>
          <w:sz w:val="28"/>
          <w:szCs w:val="28"/>
          <w:rtl w:val="true"/>
          <w:lang w:bidi="fa-IR"/>
        </w:rPr>
        <w:t xml:space="preserve">بوده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مضاف‌الیه ظهور در ثبوت همه تکالیف دارد، نه برخی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دیگری که وی به عنوان ضعف این روایت بیان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چون بلوغ زن کامل معنا ندارد، لذا استدلال به روایت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نیز روشن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استعمالِ مرئة در مقابل رجل صرفاً برای تمییز این دو جنس از یکدیگر است، نه آن‌که زن کامل در مقابل دختر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ابن ابی عمیر نه تنها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نرفته بلکه در صدر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ابنة کم لاتستصبا أبنت ست او سبع؟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تسع لاتستصبا الحدیث</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المتعه،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ایشان به روایت دوم ابن ابی عمیر این است که در این روایت بیان نشده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معیار بلوغ در کدام تکلیف از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نیز وارد نیست؛ چون این تعبیر ظهور در عمومیت نسبت به همۀ تکالیف دارد و نیازی نیست به آن تصریح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همان‌طور که گفته شد برخی روایات نیز بر ثبوت همۀ تکالیف بر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دلالت می‌کنند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ایشان این است که در این روایت قرینه‌ای وجود دارد که نشان می‌دهد مسئلۀ سنّ مطرح نیست بلکه واقعاً از یتم و کودکی خارج شده و آن هم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حاکی از رسیدن به این</w:t>
      </w:r>
      <w:bookmarkStart w:id="554" w:name="pg6142_67528"/>
    </w:p>
    <w:p>
      <w:pPr>
        <w:pStyle w:val="BookText"/>
        <w:rPr/>
      </w:pPr>
      <w:bookmarkEnd w:id="554"/>
      <w:r>
        <w:rPr>
          <w:rFonts w:ascii="IRNazanin" w:hAnsi="IRNazanin" w:eastAsia="IRNazanin"/>
          <w:color w:val="111111"/>
          <w:sz w:val="28"/>
          <w:sz w:val="28"/>
          <w:szCs w:val="28"/>
          <w:rtl w:val="true"/>
          <w:lang w:bidi="fa-IR"/>
        </w:rPr>
        <w:t xml:space="preserve">مرحله به طور طبیعی و خارجی است؛ چون تزویج یک امر تعبدی نیست تا بخواهد در کنار یک امر تعبدی یعنی قرار دادن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عنوان بلوغ و خروج از کودکی قرار گیرد بلکه تزویج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نمی‌تواند تعمیم را در این سن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به قرینه برخی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ازدواج نیست بلکه مراد جواز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معنای روایت این است که دختر هنگامی 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از کودکی خارج شده و دخول به او جائز و حدود تامه له و علیه او اقامه می‌گردد</w:t>
      </w:r>
      <w:r>
        <w:rPr>
          <w:rFonts w:eastAsia="IRNazanin" w:cs="IRNazanin"/>
          <w:color w:val="111111"/>
          <w:sz w:val="28"/>
          <w:szCs w:val="28"/>
          <w:rtl w:val="true"/>
          <w:lang w:bidi="fa-IR"/>
        </w:rPr>
        <w:t>.</w:t>
      </w:r>
    </w:p>
    <w:p>
      <w:pPr>
        <w:pStyle w:val="Heading4"/>
        <w:numPr>
          <w:ilvl w:val="3"/>
          <w:numId w:val="1"/>
        </w:numPr>
        <w:rPr/>
      </w:pPr>
      <w:bookmarkStart w:id="555" w:name="__RefHeading___Toc189306_237004111"/>
      <w:bookmarkStart w:id="556" w:name="_Toc213"/>
      <w:bookmarkEnd w:id="555"/>
      <w:r>
        <w:rPr>
          <w:rtl w:val="true"/>
        </w:rPr>
        <w:t>اشکال سوم</w:t>
      </w:r>
      <w:bookmarkEnd w:id="556"/>
    </w:p>
    <w:p>
      <w:pPr>
        <w:pStyle w:val="BookText"/>
        <w:rPr/>
      </w:pPr>
      <w:r>
        <w:rPr>
          <w:rFonts w:ascii="IRNazanin" w:hAnsi="IRNazanin" w:eastAsia="IRNazanin"/>
          <w:color w:val="111111"/>
          <w:sz w:val="28"/>
          <w:sz w:val="28"/>
          <w:szCs w:val="28"/>
          <w:rtl w:val="true"/>
          <w:lang w:bidi="fa-IR"/>
        </w:rPr>
        <w:t xml:space="preserve">در مرحلۀ سوم، نویسنده مقاله ابتدا با خارج کردن روایات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دایرۀ تعارض، احتمال تقدم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مطرح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و دلالت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ایرادی نیست، ولی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سنداً و دلالتاً دارای ایراد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سابقاً اشاره کردیم، فساد این سخن واضح است؛ چون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 از حیث سند و هم از حیث دلالت و هم از جهت عمومیت بر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رجحان دارند</w:t>
      </w:r>
      <w:r>
        <w:rPr>
          <w:rFonts w:eastAsia="IRNazanin" w:cs="IRNazanin"/>
          <w:color w:val="111111"/>
          <w:sz w:val="28"/>
          <w:szCs w:val="28"/>
          <w:rtl w:val="true"/>
          <w:lang w:bidi="fa-IR"/>
        </w:rPr>
        <w:t>.</w:t>
      </w:r>
    </w:p>
    <w:p>
      <w:pPr>
        <w:pStyle w:val="Heading4"/>
        <w:numPr>
          <w:ilvl w:val="3"/>
          <w:numId w:val="1"/>
        </w:numPr>
        <w:rPr/>
      </w:pPr>
      <w:bookmarkStart w:id="557" w:name="__RefHeading___Toc189308_237004111"/>
      <w:bookmarkStart w:id="558" w:name="_Toc214"/>
      <w:bookmarkEnd w:id="557"/>
      <w:r>
        <w:rPr>
          <w:rtl w:val="true"/>
        </w:rPr>
        <w:t>اشکال چهارم</w:t>
      </w:r>
      <w:bookmarkEnd w:id="5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در مرحلۀ آخر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بگوئیم این دو دسته متعارضند؛ چون هیچ مرحجی وجود ندارد، کار به تساقط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w:t>
      </w:r>
    </w:p>
    <w:p>
      <w:pPr>
        <w:pStyle w:val="BookText"/>
        <w:rPr/>
      </w:pPr>
      <w:r>
        <w:rPr>
          <w:rFonts w:ascii="IRNazanin" w:hAnsi="IRNazanin" w:eastAsia="IRNazanin"/>
          <w:color w:val="111111"/>
          <w:sz w:val="28"/>
          <w:sz w:val="28"/>
          <w:szCs w:val="28"/>
          <w:rtl w:val="true"/>
          <w:lang w:bidi="fa-IR"/>
        </w:rPr>
        <w:t>عجیب است؛ زیرا در صدر مرحجات و اهم آن‌ها مسئلۀ شهرت است و به طور قطع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مشهورند و همین برای ترجیح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به ایشان این است که معلوم نیست چرا روایات حیض از دایرۀ تعارض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ایشان بتواند تعارض بین روایات سن را حل کند، اما مشخص نیست به چه دلیل روایات حیض را به عنوان مرجع پس از تساقط قرار داده است؟ قاعده این است که پس از تساقط رجوع به عام فوق بشود ولی بر چه اساسی ایشان روایات حیض را به عنوان عام فوق قرار داده است؟ با توضیحاتی که قبلاً داده شد، بدون تردید بین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روایات حیض تعارض وجود دارد و اکثر راه حل‌ها معطوف به جمع بین روایات حیض و روایات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عجیب است که ایشان روایات حیض را از این جایگاه خارج کرده و بر مسند عام فوق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از عام فوق در واقع همان بلوغ نکاح است که در قرآن ذکر شده و اگر هم قاعدگی را در کنار بلوغ نکاح ذکر کرده، به این جهت است که بلوغ نکاح که همان بلوغ طبیعی و جنسی است، در دختران با قاعدگی ظاهر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کلام ایشان قرینه‌ای وجود دارد که خلاف این را ثابت می‌کند؛ چون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تساقط، مرجع، عمومات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سنت قرینه‌ای بر خلاف احتمال فوق الذکر است؛ چون در سنت دلیلی که به نحو عام بلوغ نکاح را ملاک قرار داده باشد،</w:t>
      </w:r>
    </w:p>
    <w:p>
      <w:pPr>
        <w:pStyle w:val="BookText"/>
        <w:rPr/>
      </w:pPr>
      <w:r>
        <w:rPr>
          <w:rFonts w:ascii="IRNazanin" w:hAnsi="IRNazanin" w:eastAsia="IRNazanin"/>
          <w:color w:val="111111"/>
          <w:sz w:val="28"/>
          <w:sz w:val="28"/>
          <w:szCs w:val="28"/>
          <w:rtl w:val="true"/>
          <w:lang w:bidi="fa-IR"/>
        </w:rPr>
        <w:t>وجود ندارد بلکه یا سخن از نشانه‌های طبیعی است یا سن و لذا دیگر نمی‌توان این روایات را به عنوان عام فوق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مراد ایشان همین باشد، باز هم وافی به مقصود نیست؛ چون سؤال این است که چرا در میان علایم و نشانه‌های بلوغ جنسی، فقط حیض را ذکر کرده، در حالی که وجهی برای انحصار این نشانه‌ها در حیض وجود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نتیجه‌گیری ایشان در این مرحله که یا قاعدگی و بلوغ نکاح را باید ملاک بدانیم و یا مخیر بین اخبار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شویم، مخدوش خواهد شد</w:t>
      </w:r>
      <w:r>
        <w:rPr>
          <w:rFonts w:eastAsia="IRNazanin" w:cs="IRNazanin"/>
          <w:color w:val="111111"/>
          <w:sz w:val="28"/>
          <w:szCs w:val="28"/>
          <w:rtl w:val="true"/>
          <w:lang w:bidi="fa-IR"/>
        </w:rPr>
        <w:t>.</w:t>
      </w:r>
      <w:bookmarkStart w:id="559" w:name="pg6142_67531"/>
    </w:p>
    <w:p>
      <w:pPr>
        <w:pStyle w:val="Heading3"/>
        <w:numPr>
          <w:ilvl w:val="2"/>
          <w:numId w:val="1"/>
        </w:numPr>
        <w:rPr/>
      </w:pPr>
      <w:bookmarkStart w:id="560" w:name="__RefHeading___Toc189310_237004111"/>
      <w:bookmarkStart w:id="561" w:name="_Toc215"/>
      <w:bookmarkEnd w:id="559"/>
      <w:bookmarkEnd w:id="560"/>
      <w:r>
        <w:rPr>
          <w:rtl w:val="true"/>
        </w:rPr>
        <w:t>گفتار هشتم</w:t>
      </w:r>
      <w:r>
        <w:rPr>
          <w:rtl w:val="true"/>
        </w:rPr>
        <w:t xml:space="preserve">: </w:t>
      </w:r>
      <w:r>
        <w:rPr>
          <w:rtl w:val="true"/>
        </w:rPr>
        <w:t>راه حل برگزیده و پاسخ به اشکالات آن</w:t>
      </w:r>
      <w:bookmarkEnd w:id="561"/>
    </w:p>
    <w:p>
      <w:pPr>
        <w:pStyle w:val="Heading4"/>
        <w:numPr>
          <w:ilvl w:val="3"/>
          <w:numId w:val="1"/>
        </w:numPr>
        <w:rPr/>
      </w:pPr>
      <w:bookmarkStart w:id="562" w:name="__RefHeading___Toc189312_237004111"/>
      <w:bookmarkStart w:id="563" w:name="_Toc216"/>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 xml:space="preserve">برای حل مشکل تعارض و رفع محذور لغویت ذکر نشانه‌های طبیعی به عنوان مبدأ ثبوت تکلیف بر دختران در فرض پذیرش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مبدأ بلوغ و ثبوت تکالیف، راه دیگری به نظر می‌رسد که تا حدودی مبرّا از اشکالات راه حل‌های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بدین شرح می‌باشد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مبدأ بلوغ و زمان ثبوت تکلیف توسط شارع قرار داده شده و به نظر ما نه اماره طبیعی بر بلوغ جنسی است و نه اماره تعبدی بلکه خودش مستقلا به عنوان ضابطه و معیار ثبوت تکلیف در محیط شرع معرفی شده، چنان‌چه در برخی روایات عباراتی به این مضمون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تسعا فقد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بلوغ المرئة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دختر به این سن برسد بالغ شده و تکالیف بر او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طبق برخی دیگر از روایات، اگر دختری مجهول السن</w:t>
      </w:r>
      <w:bookmarkStart w:id="564" w:name="pg6142_67532"/>
    </w:p>
    <w:p>
      <w:pPr>
        <w:pStyle w:val="BookText"/>
        <w:rPr/>
      </w:pPr>
      <w:bookmarkEnd w:id="564"/>
      <w:r>
        <w:rPr>
          <w:rFonts w:ascii="IRNazanin" w:hAnsi="IRNazanin" w:eastAsia="IRNazanin"/>
          <w:color w:val="111111"/>
          <w:sz w:val="28"/>
          <w:sz w:val="28"/>
          <w:szCs w:val="28"/>
          <w:rtl w:val="true"/>
          <w:lang w:bidi="fa-IR"/>
        </w:rPr>
        <w:t xml:space="preserve">باشد، چنان‌چه معمولاً در گذشته سن افراد مجمهول بود، با ظهور نشانه‌های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بلوغ او از همین زمان می‌شود نه آن‌که این نشانه‌ها کاشف از بلوغ او در گذشته باشد، به این جهت که یقین به تحقق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پیدا می‌کند؛ زیرا این امور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محقق می‌شوند؛ به عبارت دیگر گویا شارع دو ضابطه ارائه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آن‌ها که از سن خویش آگاهی دارند که برای این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برای آن‌ها که از سن خویش اطلاع دقیقی ندارند که برای این گروه بلوغ جنسی ملاک است و با تحقق نشانه‌های طبیعی آن تکالیف ثابت می‌شوند</w:t>
      </w:r>
      <w:r>
        <w:rPr>
          <w:rFonts w:eastAsia="IRNazanin" w:cs="IRNazanin"/>
          <w:color w:val="111111"/>
          <w:sz w:val="28"/>
          <w:szCs w:val="28"/>
          <w:rtl w:val="true"/>
          <w:lang w:bidi="fa-IR"/>
        </w:rPr>
        <w:t>.</w:t>
      </w:r>
    </w:p>
    <w:p>
      <w:pPr>
        <w:pStyle w:val="Heading4"/>
        <w:numPr>
          <w:ilvl w:val="3"/>
          <w:numId w:val="1"/>
        </w:numPr>
        <w:rPr/>
      </w:pPr>
      <w:bookmarkStart w:id="565" w:name="__RefHeading___Toc189314_237004111"/>
      <w:bookmarkStart w:id="566" w:name="_Toc217"/>
      <w:bookmarkEnd w:id="565"/>
      <w:r>
        <w:rPr>
          <w:rtl w:val="true"/>
        </w:rPr>
        <w:t>بررسی اشکالات راه حل برگزیده</w:t>
      </w:r>
      <w:bookmarkEnd w:id="566"/>
    </w:p>
    <w:p>
      <w:pPr>
        <w:pStyle w:val="Heading5"/>
        <w:numPr>
          <w:ilvl w:val="4"/>
          <w:numId w:val="1"/>
        </w:numPr>
        <w:rPr/>
      </w:pPr>
      <w:bookmarkStart w:id="567" w:name="__RefHeading___Toc189316_237004111"/>
      <w:bookmarkStart w:id="568" w:name="_Toc218"/>
      <w:bookmarkEnd w:id="567"/>
      <w:r>
        <w:rPr>
          <w:rtl w:val="true"/>
        </w:rPr>
        <w:t>اشکال اول</w:t>
      </w:r>
      <w:bookmarkEnd w:id="568"/>
    </w:p>
    <w:p>
      <w:pPr>
        <w:pStyle w:val="Heading6"/>
        <w:numPr>
          <w:ilvl w:val="5"/>
          <w:numId w:val="1"/>
        </w:numPr>
        <w:rPr/>
      </w:pPr>
      <w:bookmarkStart w:id="569" w:name="__RefHeading___Toc189318_237004111"/>
      <w:bookmarkStart w:id="570" w:name="_Toc219"/>
      <w:bookmarkEnd w:id="569"/>
      <w:r>
        <w:rPr>
          <w:rtl w:val="true"/>
        </w:rPr>
        <w:t>اشاره</w:t>
      </w:r>
      <w:bookmarkEnd w:id="5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جمع تبرعی است و شاهدی از روایات بر این جمع وجود ندارد؛ زیرا در هیچ یک از روایاتی که مسئلۀ سن را مطرح کرده، قید علم و آگاهی به سن وارد نشده تا گفته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کسانی جعل شده که از سن خویش آگاهی دارند و حیض و احتلام برای کسانی که مجهول السن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بگوئیم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ملاک بلوغ است و حیض و احتلام برای مجهول السن کاشف از سبق بلوغ می‌باشد، دیگر این اشکال وارد نیست؛ چون طبق این 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مطلقاً ملاک بلوغ بوده و دیگر مقید به صورت آگاهی از سن نیست، لکن چون حیض و احتلام متأخر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محقق می‌شوند، با تحقق آن‌ها در مورد کسانی که از سن خویش آگاهی ندارند، حکم به سبق بلوغ می‌شود</w:t>
      </w:r>
      <w:r>
        <w:rPr>
          <w:rFonts w:eastAsia="IRNazanin" w:cs="IRNazanin"/>
          <w:color w:val="111111"/>
          <w:sz w:val="28"/>
          <w:szCs w:val="28"/>
          <w:rtl w:val="true"/>
          <w:lang w:bidi="fa-IR"/>
        </w:rPr>
        <w:t>.</w:t>
      </w:r>
      <w:bookmarkStart w:id="571" w:name="pg6142_67533"/>
    </w:p>
    <w:p>
      <w:pPr>
        <w:pStyle w:val="Heading6"/>
        <w:numPr>
          <w:ilvl w:val="5"/>
          <w:numId w:val="1"/>
        </w:numPr>
        <w:rPr/>
      </w:pPr>
      <w:bookmarkStart w:id="572" w:name="__RefHeading___Toc189320_237004111"/>
      <w:bookmarkStart w:id="573" w:name="_Toc220"/>
      <w:bookmarkEnd w:id="571"/>
      <w:bookmarkEnd w:id="572"/>
      <w:r>
        <w:rPr>
          <w:rtl w:val="true"/>
        </w:rPr>
        <w:t>پاسخ</w:t>
      </w:r>
      <w:bookmarkEnd w:id="57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قید علم و آگاهی به سن اخذ نشده، لکن از آن‌جا که این سن به عنوان زمان تعلق تکالیف قرار داده شده، دختر باید احراز کند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رسیده و چنان‌چه نتواند آن را احراز کند، به سراغ نشانه‌های طبیعی یعنی حیض و احتلام رفته و با تحقق آن‌ها معلوم می‌شود او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و این مسئله برای او احراز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معلوم نیست چه زمانی به این سن رسیده، لذا از زمان تحقق نشانه‌های طبیعی حکم به بلوغ او شده و تکالیف بر او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صورت احراز سن و روایات حیض و احتلام بر صورت عدم احراز سن 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راه‌حل ششم نیز وارد است؛ چون در هیچ یک از روایات حیض و احتلام قید جهل به سن اخذ نشده بلکه به نحو مطلق، حیض و احتلام به عنوان ملاک بلوغ قرار داده شده، آن گاه به چه دلیل روایات حیض و احتلام حمل بر چنین موردی شده و گفته می‌شود با ظهور نشانه‌های طبیعی حکم به سبق بلوغ می‌شود؟ ظاهر ادله این است که این نشانه‌ها اماره بر خود بلوغ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این اشکال مشترک الورود است</w:t>
      </w:r>
      <w:r>
        <w:rPr>
          <w:rFonts w:eastAsia="IRNazanin" w:cs="IRNazanin"/>
          <w:color w:val="111111"/>
          <w:sz w:val="28"/>
          <w:szCs w:val="28"/>
          <w:rtl w:val="true"/>
          <w:lang w:bidi="fa-IR"/>
        </w:rPr>
        <w:t>.</w:t>
      </w:r>
    </w:p>
    <w:p>
      <w:pPr>
        <w:pStyle w:val="Heading5"/>
        <w:numPr>
          <w:ilvl w:val="4"/>
          <w:numId w:val="1"/>
        </w:numPr>
        <w:rPr/>
      </w:pPr>
      <w:bookmarkStart w:id="574" w:name="__RefHeading___Toc189322_237004111"/>
      <w:bookmarkStart w:id="575" w:name="_Toc221"/>
      <w:bookmarkEnd w:id="574"/>
      <w:r>
        <w:rPr>
          <w:rtl w:val="true"/>
        </w:rPr>
        <w:t>اشکال دوم</w:t>
      </w:r>
      <w:bookmarkEnd w:id="575"/>
    </w:p>
    <w:p>
      <w:pPr>
        <w:pStyle w:val="Heading6"/>
        <w:numPr>
          <w:ilvl w:val="5"/>
          <w:numId w:val="1"/>
        </w:numPr>
        <w:rPr/>
      </w:pPr>
      <w:bookmarkStart w:id="576" w:name="__RefHeading___Toc189324_237004111"/>
      <w:bookmarkStart w:id="577" w:name="_Toc222"/>
      <w:bookmarkEnd w:id="576"/>
      <w:r>
        <w:rPr>
          <w:rtl w:val="true"/>
        </w:rPr>
        <w:t>اشاره</w:t>
      </w:r>
      <w:bookmarkEnd w:id="5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اشکال بر کسانی که حیض را ملاک بلوغ قرار داده و روایات سنّ را حمل بر تحقق حیض در سنین مختلف</w:t>
      </w:r>
      <w:bookmarkStart w:id="578" w:name="pg6142_67534"/>
    </w:p>
    <w:p>
      <w:pPr>
        <w:pStyle w:val="BookText"/>
        <w:rPr/>
      </w:pPr>
      <w:bookmarkEnd w:id="578"/>
      <w:r>
        <w:rPr>
          <w:rFonts w:ascii="IRNazanin" w:hAnsi="IRNazanin" w:eastAsia="IRNazanin"/>
          <w:color w:val="111111"/>
          <w:sz w:val="28"/>
          <w:sz w:val="28"/>
          <w:szCs w:val="28"/>
          <w:rtl w:val="true"/>
          <w:lang w:bidi="fa-IR"/>
        </w:rPr>
        <w:t>به حسب اشخاص مختلف کردند،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آن است که کسی که حیض ندیده، حتی اگر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بالغ نشده باشد و این مطلبی است که نمی‌توان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همین اشکال بر این راه حل وارد می‌شود؛ یعنی اگر کسی مجهول السن بود و حیض ندید، پس باید بگوییم بالغ نشده، در حالی که این قابل قبول نیست</w:t>
      </w:r>
      <w:r>
        <w:rPr>
          <w:rFonts w:eastAsia="IRNazanin" w:cs="IRNazanin"/>
          <w:color w:val="111111"/>
          <w:sz w:val="28"/>
          <w:szCs w:val="28"/>
          <w:rtl w:val="true"/>
          <w:lang w:bidi="fa-IR"/>
        </w:rPr>
        <w:t>.</w:t>
      </w:r>
    </w:p>
    <w:p>
      <w:pPr>
        <w:pStyle w:val="Heading6"/>
        <w:numPr>
          <w:ilvl w:val="5"/>
          <w:numId w:val="1"/>
        </w:numPr>
        <w:rPr/>
      </w:pPr>
      <w:bookmarkStart w:id="579" w:name="__RefHeading___Toc189326_237004111"/>
      <w:bookmarkStart w:id="580" w:name="_Toc223"/>
      <w:bookmarkEnd w:id="579"/>
      <w:r>
        <w:rPr>
          <w:rtl w:val="true"/>
        </w:rPr>
        <w:t>پاسخ</w:t>
      </w:r>
      <w:bookmarkEnd w:id="580"/>
    </w:p>
    <w:p>
      <w:pPr>
        <w:pStyle w:val="BookText"/>
        <w:rPr/>
      </w:pPr>
      <w:r>
        <w:rPr>
          <w:rFonts w:ascii="IRNazanin" w:hAnsi="IRNazanin" w:eastAsia="IRNazanin"/>
          <w:color w:val="111111"/>
          <w:sz w:val="28"/>
          <w:sz w:val="28"/>
          <w:szCs w:val="28"/>
          <w:rtl w:val="true"/>
          <w:lang w:bidi="fa-IR"/>
        </w:rPr>
        <w:t xml:space="preserve">اگر کسی مجهول السن بود و حیض ندید زمان تعلق تکالیف برای او وقتی است که اطمینان پیدا 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شده؛ زیرا به هر حال زمانی خواهد رسید که او یقین پیدا می‌کند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و این امری است که احراز آن چندان مشکل نیست، برخلاف آن‌ها که فقط حیض را ملاک می‌دانند</w:t>
      </w:r>
      <w:r>
        <w:rPr>
          <w:rFonts w:eastAsia="IRNazanin" w:cs="IRNazanin"/>
          <w:color w:val="111111"/>
          <w:sz w:val="28"/>
          <w:szCs w:val="28"/>
          <w:rtl w:val="true"/>
          <w:lang w:bidi="fa-IR"/>
        </w:rPr>
        <w:t>.</w:t>
      </w:r>
    </w:p>
    <w:p>
      <w:pPr>
        <w:pStyle w:val="Heading5"/>
        <w:numPr>
          <w:ilvl w:val="4"/>
          <w:numId w:val="1"/>
        </w:numPr>
        <w:rPr/>
      </w:pPr>
      <w:bookmarkStart w:id="581" w:name="__RefHeading___Toc189328_237004111"/>
      <w:bookmarkStart w:id="582" w:name="_Toc224"/>
      <w:bookmarkEnd w:id="581"/>
      <w:r>
        <w:rPr>
          <w:rtl w:val="true"/>
        </w:rPr>
        <w:t>اشکال سوم</w:t>
      </w:r>
      <w:bookmarkEnd w:id="582"/>
    </w:p>
    <w:p>
      <w:pPr>
        <w:pStyle w:val="Heading6"/>
        <w:numPr>
          <w:ilvl w:val="5"/>
          <w:numId w:val="1"/>
        </w:numPr>
        <w:rPr/>
      </w:pPr>
      <w:bookmarkStart w:id="583" w:name="__RefHeading___Toc189330_237004111"/>
      <w:bookmarkStart w:id="584" w:name="_Toc225"/>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التزام به این راه حل به معنای پذیرش دو ضابطه برای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رسیدن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دیگری بلوغ جنسی که نشانۀ آن حیض یا احتلام است و بین این دو فاصلۀ طولانی وجود دارد و نتیجه‌اش آن است که گروهی از دختران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گروه دیگری از آنان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شوند، در حالی که این قابل قبول نیست</w:t>
      </w:r>
      <w:r>
        <w:rPr>
          <w:rFonts w:eastAsia="IRNazanin" w:cs="IRNazanin"/>
          <w:color w:val="111111"/>
          <w:sz w:val="28"/>
          <w:szCs w:val="28"/>
          <w:rtl w:val="true"/>
          <w:lang w:bidi="fa-IR"/>
        </w:rPr>
        <w:t>.</w:t>
      </w:r>
    </w:p>
    <w:p>
      <w:pPr>
        <w:pStyle w:val="Heading6"/>
        <w:numPr>
          <w:ilvl w:val="5"/>
          <w:numId w:val="1"/>
        </w:numPr>
        <w:rPr/>
      </w:pPr>
      <w:bookmarkStart w:id="585" w:name="__RefHeading___Toc189332_237004111"/>
      <w:bookmarkStart w:id="586" w:name="_Toc226"/>
      <w:bookmarkEnd w:id="585"/>
      <w:r>
        <w:rPr>
          <w:rtl w:val="true"/>
        </w:rPr>
        <w:t>پاسخ</w:t>
      </w:r>
      <w:bookmarkEnd w:id="5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دو ضابطه برای همۀ دختران و بدون هیچ تفاوتی قرار داده</w:t>
      </w:r>
      <w:bookmarkStart w:id="587" w:name="pg6142_67535"/>
    </w:p>
    <w:p>
      <w:pPr>
        <w:pStyle w:val="BookText"/>
        <w:rPr/>
      </w:pPr>
      <w:bookmarkEnd w:id="587"/>
      <w:r>
        <w:rPr>
          <w:rFonts w:ascii="IRNazanin" w:hAnsi="IRNazanin" w:eastAsia="IRNazanin"/>
          <w:color w:val="111111"/>
          <w:sz w:val="28"/>
          <w:sz w:val="28"/>
          <w:szCs w:val="28"/>
          <w:rtl w:val="true"/>
          <w:lang w:bidi="fa-IR"/>
        </w:rPr>
        <w:t xml:space="preserve">می‌شد شاید اشکال وارد بود، در حالی که دو ضابطه برای دو گروه در نظر گرفته شده است؛ برای آن‌ها که سنشان معلوم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آنان احراز شده رسیدن به این سن ملاک بلوغ و زمان تعلق تکالیف قرار داده شده و برای آن‌ها که سنشان معلوم نیست، حیض به عنوان نشانۀ بلوغ و زمان انجام تکالیف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شرع و عرف نیز نظیر دارد؛ از جمله در مورد پسران که احتلام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عنوان مبدأ بلوغ و ثبوت تکلیف ذکر شده، در حالی که چه بسا احتلام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این مورد فاصلۀ زمانی چند ساله هیچ مشکلی ندارد، در ما نحن فیه نیز این‌چنین است</w:t>
      </w:r>
      <w:r>
        <w:rPr>
          <w:rFonts w:eastAsia="IRNazanin" w:cs="IRNazanin"/>
          <w:color w:val="111111"/>
          <w:sz w:val="28"/>
          <w:szCs w:val="28"/>
          <w:rtl w:val="true"/>
          <w:lang w:bidi="fa-IR"/>
        </w:rPr>
        <w:t>.</w:t>
      </w:r>
    </w:p>
    <w:p>
      <w:pPr>
        <w:pStyle w:val="Heading5"/>
        <w:numPr>
          <w:ilvl w:val="4"/>
          <w:numId w:val="1"/>
        </w:numPr>
        <w:rPr/>
      </w:pPr>
      <w:bookmarkStart w:id="588" w:name="__RefHeading___Toc189334_237004111"/>
      <w:bookmarkStart w:id="589" w:name="_Toc227"/>
      <w:bookmarkEnd w:id="588"/>
      <w:r>
        <w:rPr>
          <w:rtl w:val="true"/>
        </w:rPr>
        <w:t>اشکال چهارم</w:t>
      </w:r>
      <w:bookmarkEnd w:id="589"/>
    </w:p>
    <w:p>
      <w:pPr>
        <w:pStyle w:val="Heading6"/>
        <w:numPr>
          <w:ilvl w:val="5"/>
          <w:numId w:val="1"/>
        </w:numPr>
        <w:rPr/>
      </w:pPr>
      <w:bookmarkStart w:id="590" w:name="__RefHeading___Toc189336_237004111"/>
      <w:bookmarkStart w:id="591" w:name="_Toc228"/>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التزام به این راه‌حل با این ادعا که بلوغ امری عرفی است و مرجع تشخیص آن عرف می‌باشد، سازگاری ندارد</w:t>
      </w:r>
      <w:r>
        <w:rPr>
          <w:rFonts w:eastAsia="IRNazanin" w:cs="IRNazanin"/>
          <w:color w:val="111111"/>
          <w:sz w:val="28"/>
          <w:szCs w:val="28"/>
          <w:rtl w:val="true"/>
          <w:lang w:bidi="fa-IR"/>
        </w:rPr>
        <w:t>.</w:t>
      </w:r>
    </w:p>
    <w:p>
      <w:pPr>
        <w:pStyle w:val="Heading6"/>
        <w:numPr>
          <w:ilvl w:val="5"/>
          <w:numId w:val="1"/>
        </w:numPr>
        <w:rPr/>
      </w:pPr>
      <w:bookmarkStart w:id="592" w:name="__RefHeading___Toc189338_237004111"/>
      <w:bookmarkStart w:id="593" w:name="_Toc229"/>
      <w:bookmarkEnd w:id="592"/>
      <w:r>
        <w:rPr>
          <w:rtl w:val="true"/>
        </w:rPr>
        <w:t>پاسخ</w:t>
      </w:r>
      <w:bookmarkEnd w:id="593"/>
    </w:p>
    <w:p>
      <w:pPr>
        <w:pStyle w:val="BookText"/>
        <w:rPr/>
      </w:pPr>
      <w:r>
        <w:rPr>
          <w:rFonts w:ascii="IRNazanin" w:hAnsi="IRNazanin" w:eastAsia="IRNazanin"/>
          <w:color w:val="111111"/>
          <w:sz w:val="28"/>
          <w:sz w:val="28"/>
          <w:szCs w:val="28"/>
          <w:rtl w:val="true"/>
          <w:lang w:bidi="fa-IR"/>
        </w:rPr>
        <w:t>درست است که بلوغ امری عرفی بوده و تحدید و تبیین ماهیات عرفی به دست عرف است ولی دخالت شارع در بعضی موارد و اقدام او به تحدید و تبیین ماهیات عرفی نیز قابل توجیه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نکته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به عنوان زمان اتیان تکالیف الزامی برای دختران قرار داده ولی در عین حال برای آن‌ها که سنشان معلوم نیست بلوغ را که موضوعی عرفی بوده و عبارت از بلوغ جنسی است و نشانه‌های مخصوصی نیز دارد، به عنوان زمان تعلق تکالیف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بلوغ یک ماهیت عرفی</w:t>
      </w:r>
      <w:bookmarkStart w:id="594" w:name="pg6142_67536"/>
    </w:p>
    <w:p>
      <w:pPr>
        <w:pStyle w:val="BookText"/>
        <w:rPr/>
      </w:pPr>
      <w:bookmarkEnd w:id="594"/>
      <w:r>
        <w:rPr>
          <w:rFonts w:ascii="IRNazanin" w:hAnsi="IRNazanin" w:eastAsia="IRNazanin"/>
          <w:color w:val="111111"/>
          <w:sz w:val="28"/>
          <w:sz w:val="28"/>
          <w:szCs w:val="28"/>
          <w:rtl w:val="true"/>
          <w:lang w:bidi="fa-IR"/>
        </w:rPr>
        <w:t xml:space="preserve">است ولی چه منعی دارد که شارع نیز مستقلا معیاری برای ثبوت تکالیف ارائه دهد؟ اگر در ادله صرفاً احکام متوقف بر عنوان بلوغ شده بود، بدیهی است که می‌بایست بلوغ به معنای عرفی آن در نظر گرفته شود، در حالی که در اکثریت قریب به اتفاق ادله از عنوان بلوغ استفاده نشده بلکه در اکثر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ذکر شده و در برخی نیز نشانه‌های طبیعی یعنی حیض و احتلام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باید برای این امر یعنی اقدام به ذکر نشانه‌های طبیعی و حدود و ثغور آن توسط شارع چاره 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راه حل ادعای ما این است که شارع این نشانه‌ها را برای کسانی معیار قرار داده که سنشان معلوم نیست و برای آن‌که ضابطه روشنی برای این امر ارائه دهد، مبادرت به بیان این نشانه‌ها و بعضی از ویژگی‌ها و قیود آن نموده است</w:t>
      </w:r>
      <w:r>
        <w:rPr>
          <w:rFonts w:eastAsia="IRNazanin" w:cs="IRNazanin"/>
          <w:color w:val="111111"/>
          <w:sz w:val="28"/>
          <w:szCs w:val="28"/>
          <w:rtl w:val="true"/>
          <w:lang w:bidi="fa-IR"/>
        </w:rPr>
        <w:t>.</w:t>
      </w:r>
    </w:p>
    <w:p>
      <w:pPr>
        <w:pStyle w:val="Heading5"/>
        <w:numPr>
          <w:ilvl w:val="4"/>
          <w:numId w:val="1"/>
        </w:numPr>
        <w:rPr/>
      </w:pPr>
      <w:bookmarkStart w:id="595" w:name="__RefHeading___Toc189340_237004111"/>
      <w:bookmarkStart w:id="596" w:name="_Toc230"/>
      <w:bookmarkEnd w:id="595"/>
      <w:r>
        <w:rPr>
          <w:rtl w:val="true"/>
        </w:rPr>
        <w:t>اشکال پنجم</w:t>
      </w:r>
      <w:bookmarkEnd w:id="596"/>
    </w:p>
    <w:p>
      <w:pPr>
        <w:pStyle w:val="Heading6"/>
        <w:numPr>
          <w:ilvl w:val="5"/>
          <w:numId w:val="1"/>
        </w:numPr>
        <w:rPr/>
      </w:pPr>
      <w:bookmarkStart w:id="597" w:name="__RefHeading___Toc189342_237004111"/>
      <w:bookmarkStart w:id="598" w:name="_Toc231"/>
      <w:bookmarkEnd w:id="597"/>
      <w:r>
        <w:rPr>
          <w:rtl w:val="true"/>
        </w:rPr>
        <w:t>اشاره</w:t>
      </w:r>
      <w:bookmarkEnd w:id="59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راه‌حل و طریق جمع بین روایات، راه گریز از انجام تکالیف و بهانه برای تأخیر در اتیان به آن‌ها باز می‌شود؛ بدین معنا که ممکن است دختران یا والدین آن‌ها به گونه‌ای رفتار کنند تا سن مجهول مانده و در نتیجه به ضابطه دوم روی بیاورند</w:t>
      </w:r>
      <w:r>
        <w:rPr>
          <w:rFonts w:eastAsia="IRNazanin" w:cs="IRNazanin"/>
          <w:color w:val="111111"/>
          <w:sz w:val="28"/>
          <w:szCs w:val="28"/>
          <w:rtl w:val="true"/>
          <w:lang w:bidi="fa-IR"/>
        </w:rPr>
        <w:t>.</w:t>
      </w:r>
      <w:bookmarkStart w:id="599" w:name="pg6142_67537"/>
    </w:p>
    <w:p>
      <w:pPr>
        <w:pStyle w:val="Heading6"/>
        <w:numPr>
          <w:ilvl w:val="5"/>
          <w:numId w:val="1"/>
        </w:numPr>
        <w:rPr/>
      </w:pPr>
      <w:bookmarkStart w:id="600" w:name="__RefHeading___Toc189344_237004111"/>
      <w:bookmarkStart w:id="601" w:name="_Toc232"/>
      <w:bookmarkEnd w:id="599"/>
      <w:bookmarkEnd w:id="600"/>
      <w:r>
        <w:rPr>
          <w:rtl w:val="true"/>
        </w:rPr>
        <w:t>پاسخ</w:t>
      </w:r>
      <w:bookmarkEnd w:id="601"/>
    </w:p>
    <w:p>
      <w:pPr>
        <w:pStyle w:val="BookText"/>
        <w:rPr/>
      </w:pPr>
      <w:r>
        <w:rPr>
          <w:rFonts w:ascii="IRNazanin" w:hAnsi="IRNazanin" w:eastAsia="IRNazanin"/>
          <w:color w:val="111111"/>
          <w:sz w:val="28"/>
          <w:sz w:val="28"/>
          <w:szCs w:val="28"/>
          <w:rtl w:val="true"/>
          <w:lang w:bidi="fa-IR"/>
        </w:rPr>
        <w:t>این امر به عنوان یک تالی فاسد برای راه‌حل مذکور نمی‌باشد؛ زیرا موضوع ضابطه دوم جهل به سن است و آنچه مطرح شد در حقیقت تجاهل است نه جهل</w:t>
      </w:r>
      <w:r>
        <w:rPr>
          <w:rFonts w:eastAsia="IRNazanin" w:cs="IRNazanin"/>
          <w:color w:val="111111"/>
          <w:sz w:val="28"/>
          <w:szCs w:val="28"/>
          <w:rtl w:val="true"/>
          <w:lang w:bidi="fa-IR"/>
        </w:rPr>
        <w:t>.</w:t>
      </w:r>
    </w:p>
    <w:p>
      <w:pPr>
        <w:pStyle w:val="Heading5"/>
        <w:numPr>
          <w:ilvl w:val="4"/>
          <w:numId w:val="1"/>
        </w:numPr>
        <w:rPr/>
      </w:pPr>
      <w:bookmarkStart w:id="602" w:name="__RefHeading___Toc189346_237004111"/>
      <w:bookmarkStart w:id="603" w:name="_Toc233"/>
      <w:bookmarkEnd w:id="602"/>
      <w:r>
        <w:rPr>
          <w:rtl w:val="true"/>
        </w:rPr>
        <w:t>اشکال ششم</w:t>
      </w:r>
      <w:bookmarkEnd w:id="603"/>
    </w:p>
    <w:p>
      <w:pPr>
        <w:pStyle w:val="BookText"/>
        <w:rPr/>
      </w:pPr>
      <w:r>
        <w:rPr>
          <w:rFonts w:ascii="IRNazanin" w:hAnsi="IRNazanin" w:eastAsia="IRNazanin"/>
          <w:color w:val="111111"/>
          <w:sz w:val="28"/>
          <w:sz w:val="28"/>
          <w:szCs w:val="28"/>
          <w:rtl w:val="true"/>
          <w:lang w:bidi="fa-IR"/>
        </w:rPr>
        <w:t xml:space="preserve">اعتبار وقت امکان در حیض به این معنا است که تا دختر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نرسیده، اگر خون ببیند حکم به حیضیت آن نمی‌شود، هرچند واجد شرایط و صفات حیض باشد؛ زیرا وقت امکان به حسب روایات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که با ظهور حیض حکم به بلوغ می‌شود و به عنوان نشانۀ بلوغ در فرض جهل به سن پذیرفته می‌شود؟ این دو مطلب با هم سازگاری ندارد؛ چون معنای جهل به سن این است که مشخص نیست دختر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یا خیر و این بدین معنا است که وقت امکان برای ما معلوم نشده و تا وقت امکان محرز نشود، حکم به حیضیت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چگونه حیض می‌تواند نشانۀ بلوغ باشد؟ پس اساساً اعتبار وقت امکان در حیض با جهل به سن منافات دارد و لذا حیض نمی‌تواند به عنوان نشانۀ بلوغ در فرض جهل به سن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 حل مبتلا به اشکال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مهم ترین اشکالی است که می‌تواند بر این راه حل وارد شود و به نظر می‌رسد نمی‌توان پاسخ قانع کننده‌ای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اشکال بر راه حل ششم نیز وارد است ولی نکتۀ قابل توجه آن است که این ایراد خللی در ملاک و معیار ثبوت تکالیف در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سالگی ایجاد نمی‌کند، بلکه فقط در مورد دختران مجهول السن و اناطه ثبوت تکالیف به حیض ایجاد مشکل خواهد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اشکال اخیر بی پاسخ بماند یا پاسخ‌های ذکر شده به سایر اشکالات ناتمام باشد بدیهی است در این صورت ادله متعارض خواهند بود و کار به تساقط می‌کشد</w:t>
      </w:r>
      <w:r>
        <w:rPr>
          <w:rFonts w:eastAsia="IRNazanin" w:cs="IRNazanin"/>
          <w:color w:val="111111"/>
          <w:sz w:val="28"/>
          <w:szCs w:val="28"/>
          <w:rtl w:val="true"/>
          <w:lang w:bidi="fa-IR"/>
        </w:rPr>
        <w:t>.</w:t>
      </w:r>
      <w:bookmarkStart w:id="604" w:name="pg6142_67539"/>
    </w:p>
    <w:p>
      <w:pPr>
        <w:pStyle w:val="Heading5"/>
        <w:numPr>
          <w:ilvl w:val="4"/>
          <w:numId w:val="1"/>
        </w:numPr>
        <w:rPr/>
      </w:pPr>
      <w:bookmarkStart w:id="605" w:name="__RefHeading___Toc189348_237004111"/>
      <w:bookmarkStart w:id="606" w:name="_Toc234"/>
      <w:bookmarkEnd w:id="604"/>
      <w:bookmarkEnd w:id="605"/>
      <w:r>
        <w:rPr>
          <w:rtl w:val="true"/>
        </w:rPr>
        <w:t>اشکال هفتم</w:t>
      </w:r>
      <w:bookmarkEnd w:id="606"/>
    </w:p>
    <w:p>
      <w:pPr>
        <w:pStyle w:val="Heading6"/>
        <w:numPr>
          <w:ilvl w:val="5"/>
          <w:numId w:val="1"/>
        </w:numPr>
        <w:rPr/>
      </w:pPr>
      <w:bookmarkStart w:id="607" w:name="__RefHeading___Toc189350_237004111"/>
      <w:bookmarkStart w:id="608" w:name="_Toc235"/>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در برخی از نوشته‌ها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بلوغ دختران، رساله بلوغ،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نفی تکلیف به اصولی از قبیل اصل عدم ازلی، اصل تأخر حادث، استصحاب و اصل برائت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مطلب از آن جهت صورت می‌گیرد که مقصود نویسنده آن است که سن را به عنوان ملاک ثبوت تکلیف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اشکال تنها متوجه راه‌حل مختار نبوده بلکه شامل راه‌حل ششم و نظر مشهور نیز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اصل عدم ازلی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بدو ولادت مکلف نیست و این حکم تا هنگامی که بلوغ به صورت یقینی و قطعی ثابت نشود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برائت هم این است که تا یقین به تکلیف حاصل نشود، انسان مکلف نیست و زمانی که بالغ شد مکلف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استصحاب عدم بلوغ نیز مقتضی عدم بلوغ و عدم تکلیف تا حصول یقین به بلوغ می‌باشد و سرانجام به نظر او اصل تأخر حادث اقتضا می‌کند در هنگام شک در بلوغ بگوییم بلوغ هنوز حادث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در این نوشته دنبال شده، اثبات این مطلب است که مقتضای اصول مذکوره عدم بلوغ است تا زمانی که یقین به حدوث بلوغ حاصل شود و دلیلی هم وجود ندارد که بلوغ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این اصول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نویسنده مقتضای کتاب و سنت قطعی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وی سن نمی‌تواند ملاک بلوغ و ثبوت تکلیف قرار گیرد</w:t>
      </w:r>
      <w:r>
        <w:rPr>
          <w:rFonts w:eastAsia="IRNazanin" w:cs="IRNazanin"/>
          <w:color w:val="111111"/>
          <w:sz w:val="28"/>
          <w:szCs w:val="28"/>
          <w:rtl w:val="true"/>
          <w:lang w:bidi="fa-IR"/>
        </w:rPr>
        <w:t>.</w:t>
      </w:r>
      <w:bookmarkStart w:id="609" w:name="pg6142_67540"/>
    </w:p>
    <w:p>
      <w:pPr>
        <w:pStyle w:val="Heading6"/>
        <w:numPr>
          <w:ilvl w:val="5"/>
          <w:numId w:val="1"/>
        </w:numPr>
        <w:rPr/>
      </w:pPr>
      <w:bookmarkStart w:id="610" w:name="__RefHeading___Toc189352_237004111"/>
      <w:bookmarkStart w:id="611" w:name="_Toc236"/>
      <w:bookmarkEnd w:id="609"/>
      <w:bookmarkEnd w:id="610"/>
      <w:r>
        <w:rPr>
          <w:rtl w:val="true"/>
        </w:rPr>
        <w:t>پاسخ</w:t>
      </w:r>
      <w:bookmarkEnd w:id="611"/>
    </w:p>
    <w:p>
      <w:pPr>
        <w:pStyle w:val="BookText"/>
        <w:rPr/>
      </w:pPr>
      <w:r>
        <w:rPr>
          <w:rFonts w:ascii="IRNazanin" w:hAnsi="IRNazanin" w:eastAsia="IRNazanin"/>
          <w:color w:val="111111"/>
          <w:sz w:val="28"/>
          <w:sz w:val="28"/>
          <w:szCs w:val="28"/>
          <w:rtl w:val="true"/>
          <w:lang w:bidi="fa-IR"/>
        </w:rPr>
        <w:t>این بیان از جهاتی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اطلاقات و عمومات ادلۀ تکالیف نوبت به اجرای این اصول نمی‌رسد؛ زیرا تمسک به اصل در صورتی مجاز است که دلیلی در کار نباشد، در حالی که مقتضای اطلاقات و عمومات ادلۀ تکالیف، ثبوت تکلیف بر همۀ افراد، اعم از صبی ممیز و بالغ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جریان این اصول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اشکال فوق، تمسک به استصحاب عدم ازلی صحیح نیست؛ زیرا این اصل مفید اتصاف موضوع به عدم نمی‌باشد بلکه آن‌چه در این مقام ممکن است استصحاب عدم 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تأخر حادث نیز ناتمام است؛ چون مورد این اصل جایی است که یقین به وجود حادث در زمانی حاصل است و شک در وجود آن قبل از این زمان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حکم به استصحاب عدم حادث قبل از این زمان می‌شود و لازمه عقلی این استصحاب، تأخر حدوث این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اصل بازگشت به استصحاب می‌کند و اصل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مشخص نیست که مراد از استصحاب در کلام ایشان چیست؟ اگر مراد استصحاب عدم ازلی باشد که اشکالش بیان شد، لکن اگر منظور استصحاب عدم نعتی باشد اجرای آن ممکن است</w:t>
      </w:r>
      <w:r>
        <w:rPr>
          <w:rFonts w:eastAsia="IRNazanin" w:cs="IRNazanin"/>
          <w:color w:val="111111"/>
          <w:sz w:val="28"/>
          <w:szCs w:val="28"/>
          <w:rtl w:val="true"/>
          <w:lang w:bidi="fa-IR"/>
        </w:rPr>
        <w:t>.</w:t>
      </w:r>
    </w:p>
    <w:p>
      <w:pPr>
        <w:pStyle w:val="Heading5"/>
        <w:numPr>
          <w:ilvl w:val="4"/>
          <w:numId w:val="1"/>
        </w:numPr>
        <w:rPr/>
      </w:pPr>
      <w:bookmarkStart w:id="612" w:name="__RefHeading___Toc189354_237004111"/>
      <w:bookmarkStart w:id="613" w:name="_Toc237"/>
      <w:bookmarkEnd w:id="612"/>
      <w:r>
        <w:rPr>
          <w:rtl w:val="true"/>
        </w:rPr>
        <w:t>اشکال هشتم</w:t>
      </w:r>
      <w:bookmarkEnd w:id="613"/>
    </w:p>
    <w:p>
      <w:pPr>
        <w:pStyle w:val="Heading6"/>
        <w:numPr>
          <w:ilvl w:val="5"/>
          <w:numId w:val="1"/>
        </w:numPr>
        <w:rPr/>
      </w:pPr>
      <w:bookmarkStart w:id="614" w:name="__RefHeading___Toc189356_237004111"/>
      <w:bookmarkStart w:id="615" w:name="_Toc238"/>
      <w:bookmarkEnd w:id="614"/>
      <w:r>
        <w:rPr>
          <w:rtl w:val="true"/>
        </w:rPr>
        <w:t>اشاره</w:t>
      </w:r>
      <w:bookmarkEnd w:id="6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مبدأ ثبوت تکلیف برای دختران باشد، مشکل</w:t>
      </w:r>
      <w:bookmarkStart w:id="616" w:name="pg6142_67541"/>
    </w:p>
    <w:p>
      <w:pPr>
        <w:pStyle w:val="BookText"/>
        <w:rPr/>
      </w:pPr>
      <w:bookmarkEnd w:id="616"/>
      <w:r>
        <w:rPr>
          <w:rFonts w:ascii="IRNazanin" w:hAnsi="IRNazanin" w:eastAsia="IRNazanin"/>
          <w:color w:val="111111"/>
          <w:sz w:val="28"/>
          <w:sz w:val="28"/>
          <w:szCs w:val="28"/>
          <w:rtl w:val="true"/>
          <w:lang w:bidi="fa-IR"/>
        </w:rPr>
        <w:t>این است که دختران در این سن توانایی انجام تکالیف شرعی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خصوص در مورد حدود و قصاص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اشکال تنها متوجه راه‌حل مختار نبوده بلکه به طور کلی متوجه همۀ کسانی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مبدأ ثبوت تکلیف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این ملاک قابل پذیرش نیست</w:t>
      </w:r>
      <w:r>
        <w:rPr>
          <w:rFonts w:eastAsia="IRNazanin" w:cs="IRNazanin"/>
          <w:color w:val="111111"/>
          <w:sz w:val="28"/>
          <w:szCs w:val="28"/>
          <w:rtl w:val="true"/>
          <w:lang w:bidi="fa-IR"/>
        </w:rPr>
        <w:t>.</w:t>
      </w:r>
    </w:p>
    <w:p>
      <w:pPr>
        <w:pStyle w:val="Heading6"/>
        <w:numPr>
          <w:ilvl w:val="5"/>
          <w:numId w:val="1"/>
        </w:numPr>
        <w:rPr/>
      </w:pPr>
      <w:bookmarkStart w:id="617" w:name="__RefHeading___Toc189358_237004111"/>
      <w:bookmarkStart w:id="618" w:name="_Toc239"/>
      <w:bookmarkEnd w:id="617"/>
      <w:r>
        <w:rPr>
          <w:rtl w:val="true"/>
        </w:rPr>
        <w:t>پاسخ</w:t>
      </w:r>
      <w:bookmarkEnd w:id="618"/>
    </w:p>
    <w:p>
      <w:pPr>
        <w:pStyle w:val="BookText"/>
        <w:rPr/>
      </w:pPr>
      <w:r>
        <w:rPr>
          <w:rFonts w:ascii="IRNazanin" w:hAnsi="IRNazanin" w:eastAsia="IRNazanin"/>
          <w:color w:val="111111"/>
          <w:sz w:val="28"/>
          <w:sz w:val="28"/>
          <w:szCs w:val="28"/>
          <w:rtl w:val="true"/>
          <w:lang w:bidi="fa-IR"/>
        </w:rPr>
        <w:t>با ملاحظۀ چند نکته می‌توان به این اشکال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تکالیف الزامی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تکالیف صرفاً در حوزه اعمال خصوصی بوده و هیچ بازتاب اجتماعی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تکالیف نیز هرچند در حوزه اعمال خصوصی قرار می‌گیرند ولی دارای بازتاب‌های اجتماعی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تکالیف به طور کلی در حوزه اعمال عمومی می‌گنجند و در حقیقت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تکالیف فردی آن‌چه ممکن است برای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مشکل آفرین باشد، مسئلۀ روزه است و الا بقیه تکالیف فردی به گونه‌ای نیستند که خارج از طاقت و توان دختران در چنین سنی باشند؛ زیرا چه بسا زحمت برخی از کارهایی که کودکان معمولاً در این سنین انجام می‌دهند، از بسیاری از تکالیف شرعی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 و رفتار کودکان در مدرسه و خارج از آن حتی جنبه الزام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نمی‌توان گفت نفس الزام برای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روزه نیز، چنان‌چه کسی برای انجام این عمل ناتوان باشد،</w:t>
      </w:r>
    </w:p>
    <w:p>
      <w:pPr>
        <w:pStyle w:val="BookText"/>
        <w:rPr/>
      </w:pPr>
      <w:r>
        <w:rPr>
          <w:rFonts w:ascii="IRNazanin" w:hAnsi="IRNazanin" w:eastAsia="IRNazanin"/>
          <w:color w:val="111111"/>
          <w:sz w:val="28"/>
          <w:sz w:val="28"/>
          <w:szCs w:val="28"/>
          <w:rtl w:val="true"/>
          <w:lang w:bidi="fa-IR"/>
        </w:rPr>
        <w:t>می‌توان با تمسک به قواعدی مانند عسر و حرج و امثال آن، آن را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هم که عسر و حرج به حسب نوع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جعل حکمی که نسبت به اکثر افراد حرجی است، خلاف حکمت جعل می‌باشد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برخلاف نظر برخی، روزه برای دختران در چنین سنی مانع رشد نیست؛ زیرا کمبودهای احتمالی بدن که در اثر امساک از خوردن و آشامیدن در روز حاصل می‌شود، در ساعات شب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دسته دوم و سوم از تکالیف نیز، آن‌چه بیش از همۀ نسبت به آن استبعاد می‌شود و اجرایش سخت به نظر می‌رسد و از دید جهانیان غیر قابل قبول است، اجرای حدود و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قضاوت دیگران نسبت به این مسئله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کسانی که نسبت به این امر ایراد دارند و آن را غیر عادلانه می‌دانند، صرفاً به همین موضوع خلاصه نمی‌شود بلکه آنان حتی در مورد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اجرای قصاص و حدود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اشکال در مورد اصل اجرای آن حتی در مورد بزرگسالان است، نه در مورد زمان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سبب این امر حکم شرعی را تغییر داد ولی چنان‌چه ضرورت اقتضا کند، می‌توان آن را موقتا تعطیل یا اجرای آن را به تأخیر انداخت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توانایی دختران و طاقت آنان در تحمل مشکلات بیش از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علمی و کارشناسی نیز این موضوع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نه تنها از لحاظ بلوغ جنسی نسبت به پسران پیشرفته‌تر هستند بلکه از جهات دیگر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جلوترند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هم‌چنان که به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نزدیک می‌شوند، از لحاظ بلوغ استخوانی که به وسیله عکس‌های مخصوص از دست و مچ اندازه‌گیری می‌شوند، حدود دو سال جلوتر از پسران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لحاظ خصوصیات ثانوی جنسی هم جلوتر از پسرانند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معمولاً تنومندتر از پسران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پسرانی که متولد می‌شوند به نسبت بیش از دخترانند ولی تعداد پسرانی که هنگام تولد یا طفولیت می‌میرند بیش از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مقابل مشکلات جسمی مانند سوء تغذیه، مقاومت بیشتری از خود نشان می‌دهند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روانشناسی رشد،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بررسی‌های به عمل آمده، سن قاعدگی در حال پائین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به وضوح نشان دهنده این امر بوده و این مسئله حتی در ایران نیز تأیید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یک قرن پیش تدریجاً شروع بلوغ در نقاطی که آمار مربوطه تهیه شده جلوتر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قاعدگی از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اولیه دربارۀ پسران به اندازه این اطلاعات در مورد دختران کامل نیست، اما همین اطلاعات نشان می‌دهد که گرایشی به سوی بلوغ زودرس در گروه پسران هم پدید آمده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حال سؤال این است که اگر سن حیض پائین آید و به حدی برسد که نوعاً دختران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bookmarkStart w:id="619" w:name="pg6142_67544"/>
    </w:p>
    <w:p>
      <w:pPr>
        <w:pStyle w:val="BookText"/>
        <w:rPr/>
      </w:pPr>
      <w:bookmarkEnd w:id="619"/>
      <w:r>
        <w:rPr>
          <w:rFonts w:ascii="IRNazanin" w:hAnsi="IRNazanin" w:eastAsia="IRNazanin"/>
          <w:color w:val="111111"/>
          <w:sz w:val="28"/>
          <w:sz w:val="28"/>
          <w:szCs w:val="28"/>
          <w:rtl w:val="true"/>
          <w:lang w:bidi="fa-IR"/>
        </w:rPr>
        <w:t>حیض ببینند آیا تغییری در توانایی و طاقت آنان نسبت به انجام تکالیف شرعی پدید می‌آید؟ قطعاً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صرفاً بر راه حل مختار وارد نیست و چه بسا بر راه حل کسانی هم که معیار بلوغ را حیض می‌دانند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سن خاص به عنوان مبدأ اهلیت یک طریقه عقلایی در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قانون‌گذاران از قدیم الایام تا به امروز، سنین مختلف را برای موضوعات گوناگون به عنوان مبدأ اهلیت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چه سنی به عنوان مبدأ و زمان انجام تکالیف قرار داده شود، اصل این مطلب یعنی تعیین سن خاص یک روش عقلایی و مقبول است و شارع نیز معمولاً در جعل قوانین و بیان آن‌ها به سیره و روش عقلا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دادن یک سن خاص برای تکالیف الزامی یک روش کاملاً عقلایی بوده و شارع نیز همین‌گونه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آن‌جا که یکی از اغراض تقنین ضابطه مند نمودن امور است، به نظر می‌رسد این روش نسبت به سایر روش‌ها رجحان دارد؛ زیرا احاله تکلیف به اموری که تحت تأثیر عوامل مختلف تغییر می‌کنند، موجب تشتت و تفرق شده و خلاف حکمت قانون‌گذاری است</w:t>
      </w:r>
      <w:r>
        <w:rPr>
          <w:rFonts w:eastAsia="IRNazanin" w:cs="IRNazanin"/>
          <w:color w:val="111111"/>
          <w:sz w:val="28"/>
          <w:szCs w:val="28"/>
          <w:rtl w:val="true"/>
          <w:lang w:bidi="fa-IR"/>
        </w:rPr>
        <w:t>.</w:t>
      </w:r>
    </w:p>
    <w:p>
      <w:pPr>
        <w:pStyle w:val="Heading5"/>
        <w:numPr>
          <w:ilvl w:val="4"/>
          <w:numId w:val="1"/>
        </w:numPr>
        <w:rPr/>
      </w:pPr>
      <w:bookmarkStart w:id="620" w:name="__RefHeading___Toc189360_237004111"/>
      <w:bookmarkStart w:id="621" w:name="_Toc240"/>
      <w:bookmarkEnd w:id="620"/>
      <w:r>
        <w:rPr>
          <w:rtl w:val="true"/>
        </w:rPr>
        <w:t>حکم در فرض تساقط</w:t>
      </w:r>
      <w:bookmarkEnd w:id="62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ادله پس از تعارض، تساقط کنند، معذلک نتیجه تغییر نمی‌کند و هم‌چنان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زمان تعلق تکالیف برای دختر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تساقط به عمومات و اطلاعات ادلۀ تکالیف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ادلۀ تکالیف را برای همۀ افراد ممیز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عمومات بالاجماع دختری که هنوز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نرسیده خارج شده، پس ادلۀ تکالیف تخصیص به دختر زیر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 دختری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شده، شک می‌کنیم آیا این ادله تخصیص پیدا کرده یا خیر؛ یعنی آیا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این عمومات خارج شده یا خیر؟ این‌جا بر طبق اصالة العموم حکم بر بقای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تحت عموم ادلۀ تکالیف می‌شود و در نتیجه تکالیف برای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ثابت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آن‌چه با این بیان ثابت می‌شود، ثبوت تکالیف برای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ولی دیگر نمی‌توان به استناد اصالة العموم عنوان بالغ را نیز بر او منطبق کرد</w:t>
      </w:r>
      <w:r>
        <w:rPr>
          <w:rFonts w:eastAsia="IRNazanin" w:cs="IRNazanin"/>
          <w:color w:val="111111"/>
          <w:sz w:val="28"/>
          <w:szCs w:val="28"/>
          <w:rtl w:val="true"/>
          <w:lang w:bidi="fa-IR"/>
        </w:rPr>
        <w:t>.</w:t>
      </w:r>
      <w:bookmarkStart w:id="622" w:name="pg6142_67546"/>
    </w:p>
    <w:p>
      <w:pPr>
        <w:pStyle w:val="Heading2"/>
        <w:numPr>
          <w:ilvl w:val="1"/>
          <w:numId w:val="1"/>
        </w:numPr>
        <w:rPr/>
      </w:pPr>
      <w:bookmarkStart w:id="623" w:name="__RefHeading___Toc189362_237004111"/>
      <w:bookmarkStart w:id="624" w:name="_Toc241"/>
      <w:bookmarkEnd w:id="622"/>
      <w:bookmarkEnd w:id="623"/>
      <w:r>
        <w:rPr>
          <w:rtl w:val="true"/>
        </w:rPr>
        <w:t>خاتمه</w:t>
      </w:r>
      <w:bookmarkEnd w:id="62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189364_237004111"/>
      <w:bookmarkStart w:id="626" w:name="_Toc242"/>
      <w:bookmarkEnd w:id="625"/>
      <w:r>
        <w:rPr>
          <w:rtl w:val="true"/>
        </w:rPr>
        <w:t>اشاره</w:t>
      </w:r>
      <w:bookmarkStart w:id="627" w:name="pg6142_67548"/>
      <w:bookmarkEnd w:id="626"/>
    </w:p>
    <w:p>
      <w:pPr>
        <w:pStyle w:val="Heading3"/>
        <w:numPr>
          <w:ilvl w:val="2"/>
          <w:numId w:val="1"/>
        </w:numPr>
        <w:rPr/>
      </w:pPr>
      <w:bookmarkStart w:id="628" w:name="__RefHeading___Toc189366_237004111"/>
      <w:bookmarkStart w:id="629" w:name="_Toc243"/>
      <w:bookmarkEnd w:id="627"/>
      <w:bookmarkEnd w:id="628"/>
      <w:r>
        <w:rPr>
          <w:rtl w:val="true"/>
        </w:rPr>
        <w:t>گفتار اول</w:t>
      </w:r>
      <w:r>
        <w:rPr>
          <w:rtl w:val="true"/>
        </w:rPr>
        <w:t xml:space="preserve">: </w:t>
      </w:r>
      <w:r>
        <w:rPr>
          <w:rtl w:val="true"/>
        </w:rPr>
        <w:t>اعتبار اکمال در سن</w:t>
      </w:r>
      <w:bookmarkEnd w:id="629"/>
    </w:p>
    <w:p>
      <w:pPr>
        <w:pStyle w:val="Heading4"/>
        <w:numPr>
          <w:ilvl w:val="3"/>
          <w:numId w:val="1"/>
        </w:numPr>
        <w:rPr/>
      </w:pPr>
      <w:bookmarkStart w:id="630" w:name="__RefHeading___Toc189368_237004111"/>
      <w:bookmarkStart w:id="631" w:name="_Toc244"/>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به عنوان ملاک بلوغ و زمان تعلق تکلیف به دختران پذیرفتیم سؤال این است که آیا به محض ورود در این سن، دختر بالغ شده و تکالیف ثابت می‌شود یا آن‌که لازم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شده و او وارد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گردد؟</w:t>
      </w:r>
    </w:p>
    <w:p>
      <w:pPr>
        <w:pStyle w:val="BookText"/>
        <w:rPr/>
      </w:pPr>
      <w:r>
        <w:rPr>
          <w:rFonts w:ascii="IRNazanin" w:hAnsi="IRNazanin" w:eastAsia="IRNazanin"/>
          <w:color w:val="111111"/>
          <w:sz w:val="28"/>
          <w:sz w:val="28"/>
          <w:szCs w:val="28"/>
          <w:rtl w:val="true"/>
          <w:lang w:bidi="fa-IR"/>
        </w:rPr>
        <w:t xml:space="preserve">با آن‌که هر دو نظریه در بین فقها طرفدارانی دارد ولی اکثر آنان قائل به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قول اقامه شده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المناهل،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632" w:name="__RefHeading___Toc189370_237004111"/>
      <w:bookmarkStart w:id="633" w:name="_Toc245"/>
      <w:bookmarkEnd w:id="632"/>
      <w:r>
        <w:rPr>
          <w:rtl w:val="true"/>
        </w:rPr>
        <w:t>دلیل اول</w:t>
      </w:r>
      <w:bookmarkEnd w:id="63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عامه دلالت می‌کنند بر این‌که بلوغ حاصل نمی‌شود مگر با احتلام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این عمومات بالاجماع صورت کمال سن خارج شده و دلیلی بر خروج غیر آن نداریم؛ به عبارت دیگر خروج دختری</w:t>
      </w:r>
      <w:bookmarkStart w:id="634" w:name="pg6142_67549"/>
    </w:p>
    <w:p>
      <w:pPr>
        <w:pStyle w:val="BookText"/>
        <w:rPr/>
      </w:pPr>
      <w:bookmarkEnd w:id="634"/>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نشده مشکوک است و لذا تحت عموم ادله باقی می‌ماند و حکم به عدم بلوغ او می‌شود</w:t>
      </w:r>
      <w:r>
        <w:rPr>
          <w:rFonts w:eastAsia="IRNazanin" w:cs="IRNazanin"/>
          <w:color w:val="111111"/>
          <w:sz w:val="28"/>
          <w:szCs w:val="28"/>
          <w:rtl w:val="true"/>
          <w:lang w:bidi="fa-IR"/>
        </w:rPr>
        <w:t>.</w:t>
      </w:r>
    </w:p>
    <w:p>
      <w:pPr>
        <w:pStyle w:val="Heading4"/>
        <w:numPr>
          <w:ilvl w:val="3"/>
          <w:numId w:val="1"/>
        </w:numPr>
        <w:rPr/>
      </w:pPr>
      <w:bookmarkStart w:id="635" w:name="__RefHeading___Toc189372_237004111"/>
      <w:bookmarkStart w:id="636" w:name="_Toc246"/>
      <w:bookmarkEnd w:id="635"/>
      <w:r>
        <w:rPr>
          <w:rtl w:val="true"/>
        </w:rPr>
        <w:t>دلیل دوم</w:t>
      </w:r>
      <w:bookmarkEnd w:id="636"/>
    </w:p>
    <w:p>
      <w:pPr>
        <w:pStyle w:val="BookText"/>
        <w:rPr/>
      </w:pPr>
      <w:r>
        <w:rPr>
          <w:rFonts w:ascii="IRNazanin" w:hAnsi="IRNazanin" w:eastAsia="IRNazanin"/>
          <w:color w:val="111111"/>
          <w:sz w:val="28"/>
          <w:sz w:val="28"/>
          <w:szCs w:val="28"/>
          <w:rtl w:val="true"/>
          <w:lang w:bidi="fa-IR"/>
        </w:rPr>
        <w:t xml:space="preserve">استصحاب عدم تحقق بلوغ قبل از اکمال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اقتضا می‌کند ملاک بلوغ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و ورود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Heading4"/>
        <w:numPr>
          <w:ilvl w:val="3"/>
          <w:numId w:val="1"/>
        </w:numPr>
        <w:rPr/>
      </w:pPr>
      <w:bookmarkStart w:id="637" w:name="__RefHeading___Toc189374_237004111"/>
      <w:bookmarkStart w:id="638" w:name="_Toc247"/>
      <w:bookmarkEnd w:id="637"/>
      <w:r>
        <w:rPr>
          <w:rtl w:val="true"/>
        </w:rPr>
        <w:t>دلیل سوم</w:t>
      </w:r>
      <w:bookmarkEnd w:id="638"/>
    </w:p>
    <w:p>
      <w:pPr>
        <w:pStyle w:val="BookText"/>
        <w:rPr/>
      </w:pPr>
      <w:r>
        <w:rPr>
          <w:rFonts w:ascii="IRNazanin" w:hAnsi="IRNazanin" w:eastAsia="IRNazanin"/>
          <w:color w:val="111111"/>
          <w:sz w:val="28"/>
          <w:sz w:val="28"/>
          <w:szCs w:val="28"/>
          <w:rtl w:val="true"/>
          <w:lang w:bidi="fa-IR"/>
        </w:rPr>
        <w:t xml:space="preserve">متبادر از بلوغ اکمال است نه صرف ورود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شاهد آن نیز این است که بین بلوغ چیزی و بلوغ به چیزی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تعبیر اول این است که به منتهای آن رسیده و مراد از تعبیر دوم این است که به آن رسیده است</w:t>
      </w:r>
      <w:r>
        <w:rPr>
          <w:rFonts w:eastAsia="IRNazanin" w:cs="IRNazanin"/>
          <w:color w:val="111111"/>
          <w:sz w:val="28"/>
          <w:szCs w:val="28"/>
          <w:rtl w:val="true"/>
          <w:lang w:bidi="fa-IR"/>
        </w:rPr>
        <w:t>.</w:t>
      </w:r>
    </w:p>
    <w:p>
      <w:pPr>
        <w:pStyle w:val="Heading4"/>
        <w:numPr>
          <w:ilvl w:val="3"/>
          <w:numId w:val="1"/>
        </w:numPr>
        <w:rPr/>
      </w:pPr>
      <w:bookmarkStart w:id="639" w:name="__RefHeading___Toc189376_237004111"/>
      <w:bookmarkStart w:id="640" w:name="_Toc248"/>
      <w:bookmarkEnd w:id="639"/>
      <w:r>
        <w:rPr>
          <w:rtl w:val="true"/>
        </w:rPr>
        <w:t>دلیل چهارم</w:t>
      </w:r>
      <w:bookmarkEnd w:id="640"/>
    </w:p>
    <w:p>
      <w:pPr>
        <w:pStyle w:val="BookText"/>
        <w:rPr/>
      </w:pPr>
      <w:r>
        <w:rPr>
          <w:rFonts w:ascii="IRNazanin" w:hAnsi="IRNazanin" w:eastAsia="IRNazanin"/>
          <w:color w:val="111111"/>
          <w:sz w:val="28"/>
          <w:sz w:val="28"/>
          <w:szCs w:val="28"/>
          <w:rtl w:val="true"/>
          <w:lang w:bidi="fa-IR"/>
        </w:rPr>
        <w:t xml:space="preserve">از دید لغت و عرف به دختری که هنوز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را تمام نکرده،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لغوی و عرفی هم دلیل بر اعتبار اکمال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می‌رسد این مطلب تمام نیست؛ زیرا عرف بر دختری که وارد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شده نیز اطلاق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می‌کنند؛ چون بنای آنان بر مسامحه است ولی اگر بخواهند به صورت دقیق بیان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وارد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شده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شده است</w:t>
      </w:r>
      <w:r>
        <w:rPr>
          <w:rFonts w:eastAsia="IRNazanin" w:cs="IRNazanin"/>
          <w:color w:val="111111"/>
          <w:sz w:val="28"/>
          <w:szCs w:val="28"/>
          <w:rtl w:val="true"/>
          <w:lang w:bidi="fa-IR"/>
        </w:rPr>
        <w:t>.</w:t>
      </w:r>
    </w:p>
    <w:p>
      <w:pPr>
        <w:pStyle w:val="Heading4"/>
        <w:numPr>
          <w:ilvl w:val="3"/>
          <w:numId w:val="1"/>
        </w:numPr>
        <w:rPr/>
      </w:pPr>
      <w:bookmarkStart w:id="641" w:name="__RefHeading___Toc189378_237004111"/>
      <w:bookmarkStart w:id="642" w:name="_Toc249"/>
      <w:bookmarkEnd w:id="641"/>
      <w:r>
        <w:rPr>
          <w:rtl w:val="true"/>
        </w:rPr>
        <w:t>دلیل پنجم</w:t>
      </w:r>
      <w:bookmarkEnd w:id="6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به استکمال سن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نیز ناتمام است؛ چون در روایات تسع چنین تصریحی وجود ندارد، هرچند در برخی روایات مانند روایات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این مسئله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نظر می‌رسد با توجه به ادلۀ فوق الذکر ملاک بلوغ دختر اکمال سن است نه ورود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جمعی احتمال اکتفا به ورود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داده‌اند؛ مانند مقدس اردبیلی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مجمع الفائدة و البرهان،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صاحب ریاض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برخی ادلۀ اعتبار اکمال نیز اشاره کرده‌اند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ذکر این است که معیار در اکمال نیز اکمال عرفی است نه اکمال حقیقی؛ چون ملاک در این امور عرف است و بنای عرف بر مسامحه است</w:t>
      </w:r>
      <w:r>
        <w:rPr>
          <w:rFonts w:eastAsia="IRNazanin" w:cs="IRNazanin"/>
          <w:color w:val="111111"/>
          <w:sz w:val="28"/>
          <w:szCs w:val="28"/>
          <w:rtl w:val="true"/>
          <w:lang w:bidi="fa-IR"/>
        </w:rPr>
        <w:t>.</w:t>
      </w:r>
      <w:bookmarkStart w:id="643" w:name="pg6142_67551"/>
    </w:p>
    <w:p>
      <w:pPr>
        <w:pStyle w:val="Heading3"/>
        <w:numPr>
          <w:ilvl w:val="2"/>
          <w:numId w:val="1"/>
        </w:numPr>
        <w:rPr/>
      </w:pPr>
      <w:bookmarkStart w:id="644" w:name="__RefHeading___Toc189380_237004111"/>
      <w:bookmarkStart w:id="645" w:name="_Toc250"/>
      <w:bookmarkEnd w:id="643"/>
      <w:bookmarkEnd w:id="644"/>
      <w:r>
        <w:rPr>
          <w:rtl w:val="true"/>
        </w:rPr>
        <w:t>گفتار دوم</w:t>
      </w:r>
      <w:r>
        <w:rPr>
          <w:rtl w:val="true"/>
        </w:rPr>
        <w:t xml:space="preserve">: </w:t>
      </w:r>
      <w:r>
        <w:rPr>
          <w:rtl w:val="true"/>
        </w:rPr>
        <w:t>اعتبار تاریخ قمری در سن</w:t>
      </w:r>
      <w:bookmarkEnd w:id="645"/>
    </w:p>
    <w:p>
      <w:pPr>
        <w:pStyle w:val="BookText"/>
        <w:rPr/>
      </w:pPr>
      <w:r>
        <w:rPr>
          <w:rFonts w:ascii="IRNazanin" w:hAnsi="IRNazanin" w:eastAsia="IRNazanin"/>
          <w:color w:val="111111"/>
          <w:sz w:val="28"/>
          <w:sz w:val="28"/>
          <w:szCs w:val="28"/>
          <w:rtl w:val="true"/>
          <w:lang w:bidi="fa-IR"/>
        </w:rPr>
        <w:t xml:space="preserve">اگر ملاک بلوغ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دانستیم باید مشخص شود آیا مقصود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است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البته این بحث اختصاص به مسئلۀ بلوغ ندارد بلکه در هر موردی که از ناحیه شرع سن خاصی مطرح شده،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بر این عقیده‌اند که تاریخ قمری ملاک است و ادله‌ای بر آن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به دو دلیل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 السّنة هی القمریة لانها المتعارف فی هذا الزمان وهی المتبادرة</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مجمع الفائدة و البرهان،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کلمۀ سنه، سال قمری است چون متعارف در این زمان و متبادر از سنه، سال قمری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هم سه دلیل اقامه کرده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معهود از شرع سال 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در نزد عرب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آیات قرآنی بر این مطلب دلالت دارند؛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إِنَّ عِدَّةَ الشُّهُورِ عِنْدَ اللّهِ اثْنا عَشَرَ شَهْراً فِی کِتابِ اللّهِ یَوْمَ خَلَقَ السَّماواتِ</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آیۀ هُوَ الَّذِی جَعَلَ الشَّمْسَ ضِیاءً وَ الْقَمَرَ نُوراً وَ قَدَّرَهُ مَنازِلَ لِتَعْلَمُوا عَدَدَ السِّنِینَ وَ الْحِسابَ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آیۀ یَسْئَلُونَکَ عَنِ الْأَهِلَّةِ قُلْ هِیَ مَواقِیتُ لِلنّاسِ وَ الْحَجِّ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لکن به نظر می‌رسد این آیات نمی‌توانند اعتبار سال قمری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دلیل مقدس اردبیلی که در کلام صاحب جواهر نیز منعکس شده، کفایت می‌کند؛ چنان‌چه شهید ثانی نیز به آن اکتفا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والمعتبر من السّنین، القمریة دون الشمسیه لان ذلک هو المعهود فی شرعنا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سال‌ها معتبر است سال قمری است نه شمسی، چون متعارف و معهود در شریعت ما همین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هم آن است که در عبارات بسیاری از فقها وقتی سخن از سن خاصی به میان آمده، قید هلالی بودن نیز اضافه شده است</w:t>
      </w:r>
      <w:r>
        <w:rPr>
          <w:rFonts w:eastAsia="IRNazanin" w:cs="IRNazanin"/>
          <w:color w:val="111111"/>
          <w:sz w:val="28"/>
          <w:szCs w:val="28"/>
          <w:rtl w:val="true"/>
          <w:lang w:bidi="fa-IR"/>
        </w:rPr>
        <w:t>.</w:t>
      </w:r>
      <w:bookmarkStart w:id="646" w:name="pg6142_67553"/>
    </w:p>
    <w:p>
      <w:pPr>
        <w:pStyle w:val="Heading3"/>
        <w:numPr>
          <w:ilvl w:val="2"/>
          <w:numId w:val="1"/>
        </w:numPr>
        <w:rPr/>
      </w:pPr>
      <w:bookmarkStart w:id="647" w:name="__RefHeading___Toc189382_237004111"/>
      <w:bookmarkStart w:id="648" w:name="_Toc251"/>
      <w:bookmarkEnd w:id="646"/>
      <w:bookmarkEnd w:id="647"/>
      <w:r>
        <w:rPr>
          <w:rtl w:val="true"/>
        </w:rPr>
        <w:t>گفتار سوم</w:t>
      </w:r>
      <w:r>
        <w:rPr>
          <w:rtl w:val="true"/>
        </w:rPr>
        <w:t xml:space="preserve">: </w:t>
      </w:r>
      <w:r>
        <w:rPr>
          <w:rtl w:val="true"/>
        </w:rPr>
        <w:t>طرق اثبات بلوغ دختران</w:t>
      </w:r>
      <w:bookmarkEnd w:id="648"/>
    </w:p>
    <w:p>
      <w:pPr>
        <w:pStyle w:val="Heading4"/>
        <w:numPr>
          <w:ilvl w:val="3"/>
          <w:numId w:val="1"/>
        </w:numPr>
        <w:rPr/>
      </w:pPr>
      <w:bookmarkStart w:id="649" w:name="__RefHeading___Toc189384_237004111"/>
      <w:bookmarkStart w:id="650" w:name="_Toc252"/>
      <w:bookmarkEnd w:id="649"/>
      <w:r>
        <w:rPr>
          <w:rtl w:val="true"/>
        </w:rPr>
        <w:t>اشاره</w:t>
      </w:r>
      <w:bookmarkEnd w:id="6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مشخص شد حیض و احتلام و هم‌چنین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ترتیبی که گفته شد، مبدأ ثبوت تکالیف بر دختران می‌باشند، حال سخن در این است که چگونه این امور ثابت می‌شوند؟ این بحث از آن‌جا اهمیت بیشتری پیدا می‌کند که گاهی آثار و تکالیفی بر وصول به این حد مترتب است که محتاج اثبات آن نزد دیگران است؛ مانند آن‌چه که به مسئولیت‌های مدنی و کیفری مربوط می‌شود، وگرنه تکالیفی که صرفاً جنبه فردی داشته و نیازی به اثبات آن نزد دیگران نیست؛ مانند نماز و روزه، با علم شخص و اطلاع او به احوال خود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سن نیز مسئله تا حدودی متفاوت است؛ چون سن برخلاف حیض و احتلام از اموری نیست که شخص بتواند با علم به احوال خویش به آن پی ببرد بلکه محتاج به بیان توسط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ادله این است که در این مسئله فی الجمله راه و طریق</w:t>
      </w:r>
      <w:bookmarkStart w:id="651" w:name="pg6142_67554"/>
    </w:p>
    <w:p>
      <w:pPr>
        <w:pStyle w:val="BookText"/>
        <w:rPr/>
      </w:pPr>
      <w:bookmarkEnd w:id="651"/>
      <w:r>
        <w:rPr>
          <w:rFonts w:ascii="IRNazanin" w:hAnsi="IRNazanin" w:eastAsia="IRNazanin"/>
          <w:color w:val="111111"/>
          <w:sz w:val="28"/>
          <w:sz w:val="28"/>
          <w:szCs w:val="28"/>
          <w:rtl w:val="true"/>
          <w:lang w:bidi="fa-IR"/>
        </w:rPr>
        <w:t>خاصی غیر از آن‌چه که از عمومات و اطلاقات ادلۀ شهادت استفاده می‌شود، طریق دیگری وجود ندارد</w:t>
      </w:r>
      <w:r>
        <w:rPr>
          <w:rFonts w:eastAsia="IRNazanin" w:cs="IRNazanin"/>
          <w:color w:val="111111"/>
          <w:sz w:val="28"/>
          <w:szCs w:val="28"/>
          <w:rtl w:val="true"/>
          <w:lang w:bidi="fa-IR"/>
        </w:rPr>
        <w:t>.</w:t>
      </w:r>
    </w:p>
    <w:p>
      <w:pPr>
        <w:pStyle w:val="Heading4"/>
        <w:numPr>
          <w:ilvl w:val="3"/>
          <w:numId w:val="1"/>
        </w:numPr>
        <w:rPr/>
      </w:pPr>
      <w:bookmarkStart w:id="652" w:name="__RefHeading___Toc189386_237004111"/>
      <w:bookmarkStart w:id="653" w:name="_Toc253"/>
      <w:bookmarkEnd w:id="652"/>
      <w:r>
        <w:rPr>
          <w:rtl w:val="true"/>
        </w:rPr>
        <w:t>الف</w:t>
      </w:r>
      <w:r>
        <w:rPr>
          <w:rtl w:val="true"/>
        </w:rPr>
        <w:t xml:space="preserve">) </w:t>
      </w:r>
      <w:r>
        <w:rPr>
          <w:rtl w:val="true"/>
        </w:rPr>
        <w:t>نشانه های طبیعی</w:t>
      </w:r>
      <w:bookmarkEnd w:id="653"/>
    </w:p>
    <w:p>
      <w:pPr>
        <w:pStyle w:val="BookText"/>
        <w:rPr/>
      </w:pPr>
      <w:r>
        <w:rPr>
          <w:rFonts w:ascii="IRNazanin" w:hAnsi="IRNazanin" w:eastAsia="IRNazanin"/>
          <w:color w:val="111111"/>
          <w:sz w:val="28"/>
          <w:sz w:val="28"/>
          <w:szCs w:val="28"/>
          <w:rtl w:val="true"/>
          <w:lang w:bidi="fa-IR"/>
        </w:rPr>
        <w:t>طرق اثبات نشانه‌های طبیعی اعم از حیض و احتلام و انبات که متفق علیه می‌باشند، عبارتند از بینه و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انبات علاوه بر این دو طریق، اختبار نیز به عنوان یکی از طرق ذکر شده، و در آن دو مورد اقرار و قول خود شخص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بدان جهت باشد که ثبوت حیض و احتلام با اختبار عادتاً ممکن نیست و یا حداقل مترتب بر اموری است که سر از معصیت درمی آورد ولی ثبوت انبات با اختبار ممکن بوده و مستلزم معصیت نیست، به شرط آن‌که محل انبات را جزء عورت ندانیم و الا در این صورت فرقی بین انبات و بین حیض و احتلام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اقرار هم برخی از فقها تفصیل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در زمانی باشد که امکان بلوغ هست پذیرفته می‌شود والا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مبسوط می‌فرماید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اقر الصبی علی نفسه بالبلوغ نظر، فان لم یبلغ بحد القدر الذی یجوز ان یبلغ فیه لم یقبل اقراره، وان کان بلغ القدر الذی یبلغ فیه صح اقراره، وحکم ببلوغه، لانه اقرّ بما یمکن صدقه فیه، وکذلک الصبیة اذا اقرت بانها حاضت فان کان ذلک فی وقت الامکان حکم ببلوغها وان لم یکن فی</w:t>
      </w:r>
    </w:p>
    <w:p>
      <w:pPr>
        <w:pStyle w:val="BookText"/>
        <w:rPr/>
      </w:pPr>
      <w:r>
        <w:rPr>
          <w:rFonts w:ascii="IRNazanin" w:hAnsi="IRNazanin" w:eastAsia="IRNazanin"/>
          <w:color w:val="111111"/>
          <w:sz w:val="28"/>
          <w:sz w:val="28"/>
          <w:szCs w:val="28"/>
          <w:rtl w:val="true"/>
          <w:lang w:bidi="fa-IR"/>
        </w:rPr>
        <w:t>وقت الامکان لم یقبل منها ذلک، واذا قبلنا قوله لا یحلف لانه لا یتعلق به حق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یتعلق به حق نفسه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پسربچه بر ضرر خودش اقرار به بلوغ کند محل تأمل است، پس اگر به حدی نرسیده که امکان بلوغ در آن حد وجود دارد اقرارش پذیرفته نمی‌شود و اگر به این حد رسیده باشد اقرارش صحیح است و حکم به بلوغ او می‌شود؛ چون اقرار به چیزی کرده که امکان صدق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دختربچه هم همین‌طور است یعنی اگر اقرار کند به این‌که حیض شده پس اگر این اقرار در وقت امکان باشد حکم به بلوغ او می‌شود و اگر در وقت امکان نباشد این اقرار از او پذیرفته نمی‌شود، و چنان‌چه قول او را بپذیریم دیگر لازم نیست قسم بخورد چون حق غیر به آن متعلق نمی‌شود، بلکه متعلق به حق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همین مضمون را قاضی ابن براج در مهذب</w:t>
      </w:r>
      <w:r>
        <w:rPr>
          <w:rStyle w:val="FootnoteAnchor"/>
          <w:rtl w:val="true"/>
        </w:rPr>
        <w:footnoteReference w:id="271"/>
      </w:r>
      <w:r>
        <w:rPr>
          <w:rFonts w:ascii="IRNazanin" w:hAnsi="IRNazanin" w:eastAsia="IRNazanin"/>
          <w:color w:val="111111"/>
          <w:sz w:val="28"/>
          <w:sz w:val="28"/>
          <w:szCs w:val="28"/>
          <w:rtl w:val="true"/>
          <w:lang w:bidi="fa-IR"/>
        </w:rPr>
        <w:t>و ابن ادریس در سرائر</w:t>
      </w:r>
      <w:r>
        <w:rPr>
          <w:rStyle w:val="FootnoteAnchor"/>
          <w:rtl w:val="true"/>
        </w:rPr>
        <w:footnoteReference w:id="272"/>
      </w:r>
      <w:r>
        <w:rPr>
          <w:rFonts w:ascii="IRNazanin" w:hAnsi="IRNazanin" w:eastAsia="IRNazanin"/>
          <w:color w:val="111111"/>
          <w:sz w:val="28"/>
          <w:sz w:val="28"/>
          <w:szCs w:val="28"/>
          <w:rtl w:val="true"/>
          <w:lang w:bidi="fa-IR"/>
        </w:rPr>
        <w:t>نیز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شیخ طوسی برای این تفصیل ذکر کرده این است که در این زمان اقرار به چیزی کرده که امکان صدق او وجود دارد ولی اگر در غیر این زمان باشد اساساً امکان صدق او نیست و لذا اقرارش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این‌جا قابل تأمل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مراد از وقت امکان در مورد دختر زمانی است که او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باشد، آن گاه با اقرار به حیض</w:t>
      </w:r>
      <w:bookmarkStart w:id="654" w:name="pg6142_67556"/>
    </w:p>
    <w:p>
      <w:pPr>
        <w:pStyle w:val="BookText"/>
        <w:rPr/>
      </w:pPr>
      <w:bookmarkEnd w:id="654"/>
      <w:r>
        <w:rPr>
          <w:rFonts w:ascii="IRNazanin" w:hAnsi="IRNazanin" w:eastAsia="IRNazanin"/>
          <w:color w:val="111111"/>
          <w:sz w:val="28"/>
          <w:sz w:val="28"/>
          <w:szCs w:val="28"/>
          <w:rtl w:val="true"/>
          <w:lang w:bidi="fa-IR"/>
        </w:rPr>
        <w:t xml:space="preserve">چگونه حکم به بلوغ او می‌شود، حال آن‌که طبق فرض او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رسیده است؛ به عبارت دیگر با علم به این‌که دختر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رسیده بلوغ او برای ما مکشوف شده، پس دیگر چه معنا دارد گفته شود در وقت امکان و به واسطه این اقرار، حکم به بلوغ او می‌گردد؟ لذا به نظر می‌رسد یا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ببلوغها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تعبیر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بسبق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دوم با آن‌چه ما اختیار کردیم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به سبب این اقرار چیزی را بر علیه خودش ثابت کند؛ یعنی با این اقرار، حق الناس مثل دین یا حق الله مثل اقرار به چیزی که موجب حدّ است را بر گردن خود اثبات نماید؛ لذا در این فرض اقرار او پذیرفته می‌شود ولی اگر اقرار به بلوغ مستتبع امری بر علیه خودش نباشد بلکه لازمه آن اثبات حقی یا مالی به نفع خودش باشد، به نظر می‌رسد دیگر نمی‌توان این اقرار را پذیرفت</w:t>
      </w:r>
      <w:r>
        <w:rPr>
          <w:rFonts w:eastAsia="IRNazanin" w:cs="IRNazanin"/>
          <w:color w:val="111111"/>
          <w:sz w:val="28"/>
          <w:szCs w:val="28"/>
          <w:rtl w:val="true"/>
          <w:lang w:bidi="fa-IR"/>
        </w:rPr>
        <w:t>.</w:t>
      </w:r>
    </w:p>
    <w:p>
      <w:pPr>
        <w:pStyle w:val="Heading4"/>
        <w:numPr>
          <w:ilvl w:val="3"/>
          <w:numId w:val="1"/>
        </w:numPr>
        <w:rPr/>
      </w:pPr>
      <w:bookmarkStart w:id="655" w:name="__RefHeading___Toc189388_237004111"/>
      <w:bookmarkStart w:id="656" w:name="_Toc254"/>
      <w:bookmarkEnd w:id="655"/>
      <w:r>
        <w:rPr>
          <w:rtl w:val="true"/>
        </w:rPr>
        <w:t>ب</w:t>
      </w:r>
      <w:r>
        <w:rPr>
          <w:rtl w:val="true"/>
        </w:rPr>
        <w:t xml:space="preserve">) </w:t>
      </w:r>
      <w:r>
        <w:rPr>
          <w:rtl w:val="true"/>
        </w:rPr>
        <w:t>سن</w:t>
      </w:r>
      <w:bookmarkEnd w:id="65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سن نیز بینه ظاهراً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این‌که آیا به شیاع و قول ابوین یا پدر می‌توان اکتفا کرد یا خیر،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اقرار در مورد سن معنا ندارد؛ چون عادتاً امکان وقوف اشخاص به سن خویش وجود ندارد، مگر آن‌که ابوین یا پدر او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مستند به اطلاع به خود او نیست بلکه حکایت و نقل سخن دیگران بوده و این دیگر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مورد قول</w:t>
      </w:r>
    </w:p>
    <w:p>
      <w:pPr>
        <w:pStyle w:val="BookText"/>
        <w:rPr/>
      </w:pPr>
      <w:r>
        <w:rPr>
          <w:rFonts w:ascii="IRNazanin" w:hAnsi="IRNazanin" w:eastAsia="IRNazanin"/>
          <w:color w:val="111111"/>
          <w:sz w:val="28"/>
          <w:sz w:val="28"/>
          <w:szCs w:val="28"/>
          <w:rtl w:val="true"/>
          <w:lang w:bidi="fa-IR"/>
        </w:rPr>
        <w:t>ابوین یا پدر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راه اثبات سن را فقط علم و شهادت عدلین می‌داند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شیاع برای اثبات سن کافی نیست، لکن برخی از فقها حتی شیاع را در مورد سن نیز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 السن بالبینه والشیاع لابدعواه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با بینه و شیاع دانسته می‌شود نه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قبول قول الأبوین أو الأب فی السن وجه</w:t>
      </w:r>
      <w:r>
        <w:rPr>
          <w:rFonts w:eastAsia="IRNazanin" w:cs="IRNazanin"/>
          <w:color w:val="111111"/>
          <w:sz w:val="28"/>
          <w:szCs w:val="28"/>
          <w:rtl w:val="true"/>
          <w:lang w:bidi="fa-IR"/>
        </w:rPr>
        <w:t>».</w:t>
      </w:r>
      <w:r>
        <w:rPr>
          <w:rStyle w:val="FootnoteAnchor"/>
          <w:rtl w:val="true"/>
        </w:rPr>
        <w:footnoteReference w:id="27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قبول قول پدر و مادر یا پدر در مورد سن وجهی وجود دارد</w:t>
      </w:r>
      <w:r>
        <w:rPr>
          <w:rFonts w:eastAsia="IRNazanin" w:cs="IRNazanin"/>
          <w:color w:val="111111"/>
          <w:sz w:val="28"/>
          <w:szCs w:val="28"/>
          <w:rtl w:val="true"/>
          <w:lang w:bidi="fa-IR"/>
        </w:rPr>
        <w:t>».</w:t>
      </w:r>
      <w:bookmarkStart w:id="657" w:name="pg6142_67558"/>
    </w:p>
    <w:p>
      <w:pPr>
        <w:pStyle w:val="Heading3"/>
        <w:numPr>
          <w:ilvl w:val="2"/>
          <w:numId w:val="1"/>
        </w:numPr>
        <w:rPr/>
      </w:pPr>
      <w:bookmarkStart w:id="658" w:name="__RefHeading___Toc189390_237004111"/>
      <w:bookmarkStart w:id="659" w:name="_Toc255"/>
      <w:bookmarkEnd w:id="657"/>
      <w:bookmarkEnd w:id="658"/>
      <w:r>
        <w:rPr>
          <w:rtl w:val="true"/>
        </w:rPr>
        <w:t>گفتار چهارم</w:t>
      </w:r>
      <w:r>
        <w:rPr>
          <w:rtl w:val="true"/>
        </w:rPr>
        <w:t xml:space="preserve">: </w:t>
      </w:r>
      <w:r>
        <w:rPr>
          <w:rtl w:val="true"/>
        </w:rPr>
        <w:t>دعاوی مربوط به بلوغ دختران</w:t>
      </w:r>
      <w:bookmarkEnd w:id="659"/>
    </w:p>
    <w:p>
      <w:pPr>
        <w:pStyle w:val="BookText"/>
        <w:rPr/>
      </w:pPr>
      <w:r>
        <w:rPr>
          <w:rFonts w:ascii="IRNazanin" w:hAnsi="IRNazanin" w:eastAsia="IRNazanin"/>
          <w:color w:val="111111"/>
          <w:sz w:val="28"/>
          <w:sz w:val="28"/>
          <w:szCs w:val="28"/>
          <w:rtl w:val="true"/>
          <w:lang w:bidi="fa-IR"/>
        </w:rPr>
        <w:t xml:space="preserve">اگر کسی بر علیه دختری ادعای بلوغ کند و او انکار نماید و بگوید من بالغ نشده‌ام،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للمدعی والیمین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مدعی بینه اقامه کند؛ مثلاً دو شاهد عادل بر بلوغ او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توانست بینه اقامه کند قول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منکر، بینه معارض اقامه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قول دختر که منکر است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این است که آیا دختر باید قسم بخورد یا خیر؟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مانند شیخ طوسی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نیاز به قسم نیست؛ زیرا اثبات یمین برای او منجر به نفی آن می‌شود؛ چون اگر قسم بخورد که بالغ نشده و ما به سبب آن حکم کنیم که او غیر بالغ است، معنایش این است که ما قسم او را ابطال کرده‌ایم؛ زیرا سوگند غیر بالغ صحیح نیست و هر چیزی که اثباتش منجر به نفی خود او</w:t>
      </w:r>
    </w:p>
    <w:p>
      <w:pPr>
        <w:pStyle w:val="BookText"/>
        <w:rPr/>
      </w:pPr>
      <w:r>
        <w:rPr>
          <w:rFonts w:ascii="IRNazanin" w:hAnsi="IRNazanin" w:eastAsia="IRNazanin"/>
          <w:color w:val="111111"/>
          <w:sz w:val="28"/>
          <w:sz w:val="28"/>
          <w:szCs w:val="28"/>
          <w:rtl w:val="true"/>
          <w:lang w:bidi="fa-IR"/>
        </w:rPr>
        <w:t>بشود، دیگر اثبات او معنا ندارد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براج هم در مهذب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القول قول الصبی بغیر یمین لان اثبات یمینه یقتضی ابطالها ونفیها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قول بچه بدون قسم است چون اثبات قسم او مقتضی ابطال و نفی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ان الحمد لله ربّ العالمین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1380</w:t>
      </w:r>
      <w:bookmarkStart w:id="660" w:name="pg6142_67560"/>
    </w:p>
    <w:p>
      <w:pPr>
        <w:pStyle w:val="Heading2"/>
        <w:numPr>
          <w:ilvl w:val="1"/>
          <w:numId w:val="1"/>
        </w:numPr>
        <w:rPr/>
      </w:pPr>
      <w:bookmarkStart w:id="661" w:name="__RefHeading___Toc189392_237004111"/>
      <w:bookmarkStart w:id="662" w:name="_Toc256"/>
      <w:bookmarkEnd w:id="660"/>
      <w:bookmarkEnd w:id="661"/>
      <w:r>
        <w:rPr>
          <w:rtl w:val="true"/>
        </w:rPr>
        <w:t>فهرست منابع و مآخذ</w:t>
      </w:r>
      <w:bookmarkEnd w:id="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النساء، الشیخ المفید، المؤتمر العالمی لالفیة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الشیخ الطوسی، مؤسسة آل 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الاذهان الی احکام الایمان، العلامه الحلی، دفتر انتشارات جامعه مدرسین حوزه علمیه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فی فصح العربیة و الشوارد، سید الحوزی الشرتونی اللبانی، مکتبة آیت الله العظمی 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الشیخ الطوسی، دارالکتب الاسلامیة، چاپ چهارم،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العامه للفقه المقارن، السید محمد تقی الحکیم، المجمع الجهانی اهلبیت قم،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البلوغ، جعفر السبحانی، مؤسسة الامام الصادق علیه السلام،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الشیخ الطوسی،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الفخر الرازی،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للشرایع، یحیی بن سعید الحلی، مؤسسة سید الشهدا،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احکام العترة الطاهرة، الشیخ یوسف البحرانی، انتشارات دارالاضواء، بیروت،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الشیخ الطوسی، دفتر انتشارات اسلامی جامعه مدرسین حوزه عملیه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العددیة، الشیخ المفید، المؤتمر العالمی لالفیة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ادریس الحلی، دفتر انتشارات اسلامی جامعه مدرسین حوزه علمیه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حماد الجوهری، دارالعلم للملایین بیروت،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سید محمد کاظم طباطبائی یزدی، دفتر انتشارات اسلامی جامعه مدرسین حوزه علمیه قم،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والبلوغ عند الامامیة، حسین کریمی، انتشارات دانشگاه قم،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الشیخ الطوسی، مؤسسة المعارف الاسلامیة،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الشیخ الطوسی، موسسة نشر الفقاهة،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الفقهیه، محمد فاضل لنکرانی، مهر،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محمد حسن بجنوردی، الهادی،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الفوائد، الشهید الاول،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شیخ کلینی، دارالکتاب الاسلامیة،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فی فقه الامامیة، الشیخ الطوسی، المکتبة المرتضویه لاحیاء الآثار الجعفریة،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 المهذب، محی الدین بن النووی،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فی فقه الامامیة، المحقق الحلی، مؤسسه البعثة،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فی شرح العروة الوثقی، السید ابوالقاسم الخوئی، مؤسسة احیاء آثار الامام الخوئی،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الشیخ مرتضی الانصاری، مجمع الفکر الاسلامی، چاپ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المناهل، السید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القاضی ابن براج، دفتر انتشارات اسلامی جامعه مدرسین حوزه عملیه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 سید محمد حسین الطباطبائی،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مجرد الفقه والفتاوی، الشیخ الطوسی، دارالاندلس، بیروت، افست منشورات قدس،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الوسیله الی نیل الفضیله، ابن حمزه الطوسی، مکتبة السید المرعشی،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الهدایة، روح الله الموسوی الخمینی، مؤسسه تنظیم و نشر آثار امام خمینی، قم،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دختران، مهدی مهریزی، انتشارات دفتر تبلیغات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محمد تقی زبیدی، دارمکتبة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الاحکام، العلامه الحلی، مؤسسه آل البیت لاحیاء التراث، چاپ سنگی،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 روح الله موسوی الخمینی، دارالکتب العلمیة،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العلامه الحلی، المکتبة الموضویة لاحیاء الاثار الجعفریه،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ملا محسن الفیض الکاشانی، 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الشیخ الطوسی، مکتبة الصدوق،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محمد بن علی الاردبیلی الغروی الحائری، مکتبة المحمدی،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سید احمد خوانساری، مکتبة الصدوق،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المحقق الکرکی، مؤسسه آل البیت لاحیاء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شرایع الاسلام، شیخ محمد حسن النجفی، دارالکتب الاسلامیة، چاپ ششم،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مکاسب، شیخ محمد حسین الغروی الاصفهانی، مجمع الذخائر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المکاسب، سید محمد کاظم الطباطبائی یزدی، مؤسسه اسماعیلیان،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مجمع الفائدة و البرهان، محمد باقر وحید البهبهانی، مؤسسة العلامة المجدد الوحید البهبهانی،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قمری، مسئولیت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کاتوزیان، مؤسسه انتشارات و چاپ دانشگاه تهران،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الاصول، السید محمد باقر الصدر، مؤسسه چاپ و انتشارات بین المللی هدی،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نجاشی، دفتر انتشارات اسلامی جامعه مدرسین حوزه علمیه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رشد، نوشته گروه نویسندگان، ترجمه نورالدین رحمانیان، انتشارات آگاه،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زیگموندفروید، ترجمه مهدی افشار، انتشارات کاویان،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سید علی الطباطبائی، مؤسسة آل البیت،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 فی احکام القرآن، المحقق الاردبیلی، مکتبة المرتضویة لاحیاء الآثار الجعفریه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سید محسن الحکیم، مکتبة السید المرعشی،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شرایع الاسلام فی مسائل الحلال و الحرام، المحقق الحلی، انتشارات استقلال،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اللمعة الدمشقیة، الشهید الثانی، مکتبة الداوری،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مجموع آثار امام خمینی رحمه الله، مؤسسه تنظیم و نشر آثار امام خمینی،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الایام، احمد بن محمد مهدی النراقی، دفتر تبلیغات اسلامی حوزه علمیه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العزیزیه، ابن ابی جمهور الاحسایی، مطبعة سید الشهداء،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الشیخ الصدوق، مؤسسة الاعلمی للمطبوعات،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غنیة النزوع الی علمی الاصول و الفروع، ابن زهره الحلبی، مؤسسه الامام الصادق علیه السلام،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فلسفة الحقوق، مؤسسه آموزشی و پژوهشی امام خمینی رحمه الله، انتشارات مؤسسه،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الاحکام، العلامه الحلی،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الاحکام، العلامه الحلی، دفتر انتشارات اسلامی جامعه مدرسین حوزه علمیه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القمی، مؤسسة نشر الفقاهة،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کاوشی در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الام، الشافعی، دارالفکر،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البیع، روح الله الموسوی الخمینی، مؤسسه تنظیم و نشر آثار الامام الخمینی رحمه الله،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الشیخ الانصاری،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الموطأ، مالک بن انس، داراحیاء التراث العربی، بیروت،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الرموز فی شرح المختصر النافع، فاضل آبی، دفتر انتشارات اسلامی جامعه مدرسین حوزه علمیه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 عن مبهمات شریعة الغرّاء، شیخ جعفر کاشف الغطاء، انتشارات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فاضل الهندی، مکتبة آیة الله العظمی المرعشی النجفی، چاپ سنگی،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الاحکام، المحقق السبزواری، مدرسه صدر مهدوی،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الاصول، آخوند خراسانی،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داراحیاء التراث العربی، بیروت،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تکملة المنهاج، السید ابوالقاسم الخوئی، دارالهادی،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شیخ فخر الدین الطریحی، المکتبة المرتضویه لاحیاء الآثار الجعفریة،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الشیخ الطبرسی، شرکة المعارف الاسلامیة،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 البرهان، المحقق الاردبیلی، دفتر انتشارات اسلامی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الشیعه، العلامه الحلی،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الاحکام، السید محمد العاملی، مؤسسة آل البیت،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الافهام الی تنقیح شرایع الاسلام، شهید ثانی، مؤسسة المعارف الاسلامیة، قم، چاپ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حاج میرزا حسین النوری الطبرسی، مؤسسه آل البیت لاحیاء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الشیعه فی احکام الشریعة، مولی احمد بن محمد مهدی نراقی، مؤسسه آل البیت لاحیاء التراث،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الامام احمد بن حنبل،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الاصول، تقریرات ابوالقاسم الخوئی، مؤسسة احیاء آثار الامام الخویی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السید ابوالقاسم الخوئی، مکتبة الداوری،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الاصول، محمد فاضل لنکرانی، مؤسسه تنظیم و نشر آثار الامام الخمینی،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ابوالقاسم الخوئی، مرکز النشر الثقافة الاسلامیة،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سید محمد جواد الحسینی العاملی، دفتر انتشارات اسلامی جامعه مدرسین حوزه علمیه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الاصول، سید محمد الروحانی، انتشارات الهادی،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العلامه الحلی، مؤسسه چاپ و انتشارات آستان قدس رضوی،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الشیخ الصدوق، دفتر انتشارات اسلامی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الاحکام فی بیان الحلال و الحرام، السید عبدالعلی الموسوی السبزواری، مؤسسه المنار، چاپ چهارم،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الشیخ الحر العاملی، داراحیاء التراث العربی، بیروت، چاپ 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فروید،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المراغی،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المراغی،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العاقله،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السرقه،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و وجوب طلبه،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رقم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عقد النکاح و اولیاء العقد،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من یصح منه الصوم،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البلوغ، آیت الله جعفر سبحانی،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عقد النکاح،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الحد الذی یدخل المرئة فیه،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57806</Words>
  <Characters>221068</Characters>
  <CharactersWithSpaces>276144</CharactersWithSpaces>
  <Paragraphs>2755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2026-08-19T17:16:42Z</dcterms:created>
  <dc:creator>ghaemiyeh.com</dc:creator>
  <dc:description/>
  <dc:language>en-US</dc:language>
  <cp:lastModifiedBy/>
  <dcterms:modified xsi:type="dcterms:W3CDTF">2026-08-19T20:46:49Z</dcterms:modified>
  <cp:revision>1</cp:revision>
  <dc:subject/>
  <dc:title>بررسی فقهی بلوغ دختران</dc:title>
</cp:coreProperties>
</file>

<file path=docProps/custom.xml><?xml version="1.0" encoding="utf-8"?>
<Properties xmlns="http://schemas.openxmlformats.org/officeDocument/2006/custom-properties" xmlns:vt="http://schemas.openxmlformats.org/officeDocument/2006/docPropsVTypes"/>
</file>