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حکم آمین گفتن در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6531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86533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86535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586537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586539_581953129">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586541_581953129">
            <w:r>
              <w:rPr>
                <w:webHidden/>
                <w:rStyle w:val="IndexLink"/>
                <w:rtl w:val="true"/>
              </w:rPr>
              <w:t xml:space="preserve">بررسی حکم </w:t>
            </w:r>
            <w:r>
              <w:rPr>
                <w:rStyle w:val="IndexLink"/>
                <w:rtl w:val="true"/>
              </w:rPr>
              <w:t>«</w:t>
            </w:r>
            <w:r>
              <w:rPr>
                <w:rStyle w:val="IndexLink"/>
                <w:rtl w:val="true"/>
              </w:rPr>
              <w:t>آمین</w:t>
            </w:r>
            <w:r>
              <w:rPr>
                <w:rStyle w:val="IndexLink"/>
                <w:rtl w:val="true"/>
              </w:rPr>
              <w:t xml:space="preserve">» </w:t>
            </w:r>
            <w:r>
              <w:rPr>
                <w:rStyle w:val="IndexLink"/>
                <w:rtl w:val="true"/>
              </w:rPr>
              <w:t>گفتن در نماز از دیدگاه شیعه و سنّی</w:t>
            </w:r>
            <w:r>
              <w:rPr>
                <w:rStyle w:val="IndexLink"/>
                <w:rtl w:val="true"/>
              </w:rPr>
              <w:tab/>
            </w:r>
            <w:r>
              <w:rPr>
                <w:rStyle w:val="IndexLink"/>
              </w:rPr>
              <w:t>20</w:t>
            </w:r>
          </w:hyperlink>
        </w:p>
        <w:p>
          <w:pPr>
            <w:pStyle w:val="Contents3"/>
            <w:tabs>
              <w:tab w:val="clear" w:pos="8459"/>
              <w:tab w:val="right" w:pos="9026" w:leader="dot"/>
            </w:tabs>
            <w:rPr/>
          </w:pPr>
          <w:hyperlink w:anchor="__RefHeading___Toc586543_581953129">
            <w:r>
              <w:rPr>
                <w:webHidden/>
                <w:rStyle w:val="IndexLink"/>
                <w:rtl w:val="true"/>
              </w:rPr>
              <w:t>امر اوّل</w:t>
            </w:r>
            <w:r>
              <w:rPr>
                <w:rStyle w:val="IndexLink"/>
                <w:rtl w:val="true"/>
              </w:rPr>
              <w:t xml:space="preserve">: </w:t>
            </w:r>
            <w:r>
              <w:rPr>
                <w:rStyle w:val="IndexLink"/>
                <w:rtl w:val="true"/>
              </w:rPr>
              <w:t>توقیفی بودن عبادات</w:t>
            </w:r>
            <w:r>
              <w:rPr>
                <w:rStyle w:val="IndexLink"/>
                <w:rtl w:val="true"/>
              </w:rPr>
              <w:tab/>
            </w:r>
            <w:r>
              <w:rPr>
                <w:rStyle w:val="IndexLink"/>
              </w:rPr>
              <w:t>20</w:t>
            </w:r>
          </w:hyperlink>
        </w:p>
        <w:p>
          <w:pPr>
            <w:pStyle w:val="Contents3"/>
            <w:tabs>
              <w:tab w:val="clear" w:pos="8459"/>
              <w:tab w:val="right" w:pos="9026" w:leader="dot"/>
            </w:tabs>
            <w:rPr/>
          </w:pPr>
          <w:hyperlink w:anchor="__RefHeading___Toc586545_581953129">
            <w:r>
              <w:rPr>
                <w:webHidden/>
                <w:rStyle w:val="IndexLink"/>
                <w:rtl w:val="true"/>
              </w:rPr>
              <w:t>امر دوّم</w:t>
            </w:r>
            <w:r>
              <w:rPr>
                <w:rStyle w:val="IndexLink"/>
                <w:rtl w:val="true"/>
              </w:rPr>
              <w:t xml:space="preserve">: </w:t>
            </w:r>
            <w:r>
              <w:rPr>
                <w:rStyle w:val="IndexLink"/>
                <w:rtl w:val="true"/>
              </w:rPr>
              <w:t>کیفیّت نماز در کتب صحاح</w:t>
            </w:r>
            <w:r>
              <w:rPr>
                <w:rStyle w:val="IndexLink"/>
                <w:rtl w:val="true"/>
              </w:rPr>
              <w:tab/>
            </w:r>
            <w:r>
              <w:rPr>
                <w:rStyle w:val="IndexLink"/>
              </w:rPr>
              <w:t>22</w:t>
            </w:r>
          </w:hyperlink>
        </w:p>
        <w:p>
          <w:pPr>
            <w:pStyle w:val="Contents3"/>
            <w:tabs>
              <w:tab w:val="clear" w:pos="8459"/>
              <w:tab w:val="right" w:pos="9026" w:leader="dot"/>
            </w:tabs>
            <w:rPr/>
          </w:pPr>
          <w:hyperlink w:anchor="__RefHeading___Toc586547_581953129">
            <w:r>
              <w:rPr>
                <w:webHidden/>
                <w:rStyle w:val="IndexLink"/>
                <w:rtl w:val="true"/>
              </w:rPr>
              <w:t>امر سوّم</w:t>
            </w:r>
            <w:r>
              <w:rPr>
                <w:rStyle w:val="IndexLink"/>
                <w:rtl w:val="true"/>
              </w:rPr>
              <w:t xml:space="preserve">: </w:t>
            </w:r>
            <w:r>
              <w:rPr>
                <w:rStyle w:val="IndexLink"/>
                <w:rtl w:val="true"/>
              </w:rPr>
              <w:t>حکم تأمین در نظر اهل بیت علیهم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586549_581953129">
            <w:r>
              <w:rPr>
                <w:webHidden/>
                <w:rStyle w:val="IndexLink"/>
                <w:rtl w:val="true"/>
              </w:rPr>
              <w:t>امر چهارم</w:t>
            </w:r>
            <w:r>
              <w:rPr>
                <w:rStyle w:val="IndexLink"/>
                <w:rtl w:val="true"/>
              </w:rPr>
              <w:t xml:space="preserve">: </w:t>
            </w:r>
            <w:r>
              <w:rPr>
                <w:rStyle w:val="IndexLink"/>
                <w:rtl w:val="true"/>
              </w:rPr>
              <w:t>کیفیّت نماز در نظر اهل بیت علیهم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586551_58195312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586553_581953129">
            <w:r>
              <w:rPr>
                <w:webHidden/>
                <w:rStyle w:val="IndexLink"/>
                <w:rtl w:val="true"/>
              </w:rPr>
              <w:t>حدیث اوّل</w:t>
            </w:r>
            <w:r>
              <w:rPr>
                <w:rStyle w:val="IndexLink"/>
                <w:rtl w:val="true"/>
              </w:rPr>
              <w:tab/>
            </w:r>
            <w:r>
              <w:rPr>
                <w:rStyle w:val="IndexLink"/>
              </w:rPr>
              <w:t>27</w:t>
            </w:r>
          </w:hyperlink>
        </w:p>
        <w:p>
          <w:pPr>
            <w:pStyle w:val="Contents4"/>
            <w:tabs>
              <w:tab w:val="clear" w:pos="8176"/>
              <w:tab w:val="right" w:pos="9026" w:leader="dot"/>
            </w:tabs>
            <w:rPr/>
          </w:pPr>
          <w:hyperlink w:anchor="__RefHeading___Toc586555_581953129">
            <w:r>
              <w:rPr>
                <w:webHidden/>
                <w:rStyle w:val="IndexLink"/>
                <w:rtl w:val="true"/>
              </w:rPr>
              <w:t>حدیث دوّم</w:t>
            </w:r>
            <w:r>
              <w:rPr>
                <w:rStyle w:val="IndexLink"/>
                <w:rtl w:val="true"/>
              </w:rPr>
              <w:tab/>
            </w:r>
            <w:r>
              <w:rPr>
                <w:rStyle w:val="IndexLink"/>
              </w:rPr>
              <w:t>30</w:t>
            </w:r>
          </w:hyperlink>
        </w:p>
        <w:p>
          <w:pPr>
            <w:pStyle w:val="Contents4"/>
            <w:tabs>
              <w:tab w:val="clear" w:pos="8176"/>
              <w:tab w:val="right" w:pos="9026" w:leader="dot"/>
            </w:tabs>
            <w:rPr/>
          </w:pPr>
          <w:hyperlink w:anchor="__RefHeading___Toc586557_581953129">
            <w:r>
              <w:rPr>
                <w:webHidden/>
                <w:rStyle w:val="IndexLink"/>
                <w:rtl w:val="true"/>
              </w:rPr>
              <w:t>حدیث سوّم</w:t>
            </w:r>
            <w:r>
              <w:rPr>
                <w:rStyle w:val="IndexLink"/>
                <w:rtl w:val="true"/>
              </w:rPr>
              <w:tab/>
            </w:r>
            <w:r>
              <w:rPr>
                <w:rStyle w:val="IndexLink"/>
              </w:rPr>
              <w:t>31</w:t>
            </w:r>
          </w:hyperlink>
        </w:p>
        <w:p>
          <w:pPr>
            <w:pStyle w:val="Contents4"/>
            <w:tabs>
              <w:tab w:val="clear" w:pos="8176"/>
              <w:tab w:val="right" w:pos="9026" w:leader="dot"/>
            </w:tabs>
            <w:rPr/>
          </w:pPr>
          <w:hyperlink w:anchor="__RefHeading___Toc586559_581953129">
            <w:r>
              <w:rPr>
                <w:webHidden/>
                <w:rStyle w:val="IndexLink"/>
                <w:rtl w:val="true"/>
              </w:rPr>
              <w:t>حدیث چهارم</w:t>
            </w:r>
            <w:r>
              <w:rPr>
                <w:rStyle w:val="IndexLink"/>
                <w:rtl w:val="true"/>
              </w:rPr>
              <w:tab/>
            </w:r>
            <w:r>
              <w:rPr>
                <w:rStyle w:val="IndexLink"/>
              </w:rPr>
              <w:t>31</w:t>
            </w:r>
          </w:hyperlink>
        </w:p>
        <w:p>
          <w:pPr>
            <w:pStyle w:val="Contents4"/>
            <w:tabs>
              <w:tab w:val="clear" w:pos="8176"/>
              <w:tab w:val="right" w:pos="9026" w:leader="dot"/>
            </w:tabs>
            <w:rPr/>
          </w:pPr>
          <w:hyperlink w:anchor="__RefHeading___Toc586561_581953129">
            <w:r>
              <w:rPr>
                <w:webHidden/>
                <w:rStyle w:val="IndexLink"/>
                <w:rtl w:val="true"/>
              </w:rPr>
              <w:t>حدیث پنجم</w:t>
            </w:r>
            <w:r>
              <w:rPr>
                <w:rStyle w:val="IndexLink"/>
                <w:rtl w:val="true"/>
              </w:rPr>
              <w:tab/>
            </w:r>
            <w:r>
              <w:rPr>
                <w:rStyle w:val="IndexLink"/>
              </w:rPr>
              <w:t>31</w:t>
            </w:r>
          </w:hyperlink>
        </w:p>
        <w:p>
          <w:pPr>
            <w:pStyle w:val="Contents4"/>
            <w:tabs>
              <w:tab w:val="clear" w:pos="8176"/>
              <w:tab w:val="right" w:pos="9026" w:leader="dot"/>
            </w:tabs>
            <w:rPr/>
          </w:pPr>
          <w:hyperlink w:anchor="__RefHeading___Toc586563_581953129">
            <w:r>
              <w:rPr>
                <w:webHidden/>
                <w:rStyle w:val="IndexLink"/>
                <w:rtl w:val="true"/>
              </w:rPr>
              <w:t>حدیث ششم</w:t>
            </w:r>
            <w:r>
              <w:rPr>
                <w:rStyle w:val="IndexLink"/>
                <w:rtl w:val="true"/>
              </w:rPr>
              <w:tab/>
            </w:r>
            <w:r>
              <w:rPr>
                <w:rStyle w:val="IndexLink"/>
              </w:rPr>
              <w:t>32</w:t>
            </w:r>
          </w:hyperlink>
        </w:p>
        <w:p>
          <w:pPr>
            <w:pStyle w:val="Contents4"/>
            <w:tabs>
              <w:tab w:val="clear" w:pos="8176"/>
              <w:tab w:val="right" w:pos="9026" w:leader="dot"/>
            </w:tabs>
            <w:rPr/>
          </w:pPr>
          <w:hyperlink w:anchor="__RefHeading___Toc586565_581953129">
            <w:r>
              <w:rPr>
                <w:webHidden/>
                <w:rStyle w:val="IndexLink"/>
                <w:rtl w:val="true"/>
              </w:rPr>
              <w:t>حدیث هفتم</w:t>
            </w:r>
            <w:r>
              <w:rPr>
                <w:rStyle w:val="IndexLink"/>
                <w:rtl w:val="true"/>
              </w:rPr>
              <w:tab/>
            </w:r>
            <w:r>
              <w:rPr>
                <w:rStyle w:val="IndexLink"/>
              </w:rPr>
              <w:t>32</w:t>
            </w:r>
          </w:hyperlink>
        </w:p>
        <w:p>
          <w:pPr>
            <w:pStyle w:val="Contents3"/>
            <w:tabs>
              <w:tab w:val="clear" w:pos="8459"/>
              <w:tab w:val="right" w:pos="9026" w:leader="dot"/>
            </w:tabs>
            <w:rPr/>
          </w:pPr>
          <w:hyperlink w:anchor="__RefHeading___Toc586567_581953129">
            <w:r>
              <w:rPr>
                <w:webHidden/>
                <w:rStyle w:val="IndexLink"/>
                <w:rtl w:val="true"/>
              </w:rPr>
              <w:t>امر پنجم</w:t>
            </w:r>
            <w:r>
              <w:rPr>
                <w:rStyle w:val="IndexLink"/>
                <w:rtl w:val="true"/>
              </w:rPr>
              <w:t xml:space="preserve">: </w:t>
            </w:r>
            <w:r>
              <w:rPr>
                <w:rStyle w:val="IndexLink"/>
                <w:rtl w:val="true"/>
              </w:rPr>
              <w:t>نظر علمای مکتب اهل بیت علیهم السلام در مورد حکم تأمین</w:t>
            </w:r>
            <w:r>
              <w:rPr>
                <w:rStyle w:val="IndexLink"/>
                <w:rtl w:val="true"/>
              </w:rPr>
              <w:tab/>
            </w:r>
            <w:r>
              <w:rPr>
                <w:rStyle w:val="IndexLink"/>
              </w:rPr>
              <w:t>32</w:t>
            </w:r>
          </w:hyperlink>
        </w:p>
        <w:p>
          <w:pPr>
            <w:pStyle w:val="Contents4"/>
            <w:tabs>
              <w:tab w:val="clear" w:pos="8176"/>
              <w:tab w:val="right" w:pos="9026" w:leader="dot"/>
            </w:tabs>
            <w:rPr/>
          </w:pPr>
          <w:hyperlink w:anchor="__RefHeading___Toc586569_58195312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586571_581953129">
            <w:r>
              <w:rPr>
                <w:webHidden/>
                <w:rStyle w:val="IndexLink"/>
              </w:rPr>
              <w:t>1</w:t>
            </w:r>
            <w:r>
              <w:rPr>
                <w:rStyle w:val="IndexLink"/>
                <w:rtl w:val="true"/>
              </w:rPr>
              <w:t xml:space="preserve">- </w:t>
            </w:r>
            <w:r>
              <w:rPr>
                <w:rStyle w:val="IndexLink"/>
                <w:rtl w:val="true"/>
              </w:rPr>
              <w:t>شیخ مفید</w:t>
            </w:r>
            <w:r>
              <w:rPr>
                <w:rStyle w:val="IndexLink"/>
                <w:rtl w:val="true"/>
              </w:rPr>
              <w:tab/>
            </w:r>
            <w:r>
              <w:rPr>
                <w:rStyle w:val="IndexLink"/>
              </w:rPr>
              <w:t>33</w:t>
            </w:r>
          </w:hyperlink>
        </w:p>
        <w:p>
          <w:pPr>
            <w:pStyle w:val="Contents4"/>
            <w:tabs>
              <w:tab w:val="clear" w:pos="8176"/>
              <w:tab w:val="right" w:pos="9026" w:leader="dot"/>
            </w:tabs>
            <w:rPr/>
          </w:pPr>
          <w:hyperlink w:anchor="__RefHeading___Toc586573_581953129">
            <w:r>
              <w:rPr>
                <w:webHidden/>
                <w:rStyle w:val="IndexLink"/>
              </w:rPr>
              <w:t>2</w:t>
            </w:r>
            <w:r>
              <w:rPr>
                <w:rStyle w:val="IndexLink"/>
                <w:rtl w:val="true"/>
              </w:rPr>
              <w:t xml:space="preserve">- </w:t>
            </w:r>
            <w:r>
              <w:rPr>
                <w:rStyle w:val="IndexLink"/>
                <w:rtl w:val="true"/>
              </w:rPr>
              <w:t>سیّد مرتضی علم الهدی</w:t>
            </w:r>
            <w:r>
              <w:rPr>
                <w:rStyle w:val="IndexLink"/>
                <w:rtl w:val="true"/>
              </w:rPr>
              <w:tab/>
            </w:r>
            <w:r>
              <w:rPr>
                <w:rStyle w:val="IndexLink"/>
              </w:rPr>
              <w:t>33</w:t>
            </w:r>
          </w:hyperlink>
        </w:p>
        <w:p>
          <w:pPr>
            <w:pStyle w:val="Contents4"/>
            <w:tabs>
              <w:tab w:val="clear" w:pos="8176"/>
              <w:tab w:val="right" w:pos="9026" w:leader="dot"/>
            </w:tabs>
            <w:rPr/>
          </w:pPr>
          <w:hyperlink w:anchor="__RefHeading___Toc586575_581953129">
            <w:r>
              <w:rPr>
                <w:webHidden/>
                <w:rStyle w:val="IndexLink"/>
              </w:rPr>
              <w:t>3</w:t>
            </w:r>
            <w:r>
              <w:rPr>
                <w:rStyle w:val="IndexLink"/>
                <w:rtl w:val="true"/>
              </w:rPr>
              <w:t xml:space="preserve">- </w:t>
            </w:r>
            <w:r>
              <w:rPr>
                <w:rStyle w:val="IndexLink"/>
                <w:rtl w:val="true"/>
              </w:rPr>
              <w:t>شیخ طوسی</w:t>
            </w:r>
            <w:r>
              <w:rPr>
                <w:rStyle w:val="IndexLink"/>
                <w:rtl w:val="true"/>
              </w:rPr>
              <w:tab/>
            </w:r>
            <w:r>
              <w:rPr>
                <w:rStyle w:val="IndexLink"/>
              </w:rPr>
              <w:t>34</w:t>
            </w:r>
          </w:hyperlink>
        </w:p>
        <w:p>
          <w:pPr>
            <w:pStyle w:val="Contents3"/>
            <w:tabs>
              <w:tab w:val="clear" w:pos="8459"/>
              <w:tab w:val="right" w:pos="9026" w:leader="dot"/>
            </w:tabs>
            <w:rPr/>
          </w:pPr>
          <w:hyperlink w:anchor="__RefHeading___Toc586577_581953129">
            <w:r>
              <w:rPr>
                <w:webHidden/>
                <w:rStyle w:val="IndexLink"/>
                <w:rtl w:val="true"/>
              </w:rPr>
              <w:t>امر ششم</w:t>
            </w:r>
            <w:r>
              <w:rPr>
                <w:rStyle w:val="IndexLink"/>
                <w:rtl w:val="true"/>
              </w:rPr>
              <w:t xml:space="preserve">: </w:t>
            </w:r>
            <w:r>
              <w:rPr>
                <w:rStyle w:val="IndexLink"/>
                <w:rtl w:val="true"/>
              </w:rPr>
              <w:t>نظر علمای اهل سنّت در مورد کلمۀ آمین</w:t>
            </w:r>
            <w:r>
              <w:rPr>
                <w:rStyle w:val="IndexLink"/>
                <w:rtl w:val="true"/>
              </w:rPr>
              <w:tab/>
            </w:r>
            <w:r>
              <w:rPr>
                <w:rStyle w:val="IndexLink"/>
              </w:rPr>
              <w:t>35</w:t>
            </w:r>
          </w:hyperlink>
        </w:p>
        <w:p>
          <w:pPr>
            <w:pStyle w:val="Contents3"/>
            <w:tabs>
              <w:tab w:val="clear" w:pos="8459"/>
              <w:tab w:val="right" w:pos="9026" w:leader="dot"/>
            </w:tabs>
            <w:rPr/>
          </w:pPr>
          <w:hyperlink w:anchor="__RefHeading___Toc586579_581953129">
            <w:r>
              <w:rPr>
                <w:webHidden/>
                <w:rStyle w:val="IndexLink"/>
                <w:rtl w:val="true"/>
              </w:rPr>
              <w:t>امر هفتم</w:t>
            </w:r>
            <w:r>
              <w:rPr>
                <w:rStyle w:val="IndexLink"/>
                <w:rtl w:val="true"/>
              </w:rPr>
              <w:t xml:space="preserve">: </w:t>
            </w:r>
            <w:r>
              <w:rPr>
                <w:rStyle w:val="IndexLink"/>
                <w:rtl w:val="true"/>
              </w:rPr>
              <w:t>روایات کتب صحاح در بارۀ تأمین</w:t>
            </w:r>
            <w:r>
              <w:rPr>
                <w:rStyle w:val="IndexLink"/>
                <w:rtl w:val="true"/>
              </w:rPr>
              <w:tab/>
            </w:r>
            <w:r>
              <w:rPr>
                <w:rStyle w:val="IndexLink"/>
              </w:rPr>
              <w:t>37</w:t>
            </w:r>
          </w:hyperlink>
        </w:p>
        <w:p>
          <w:pPr>
            <w:pStyle w:val="Contents4"/>
            <w:tabs>
              <w:tab w:val="clear" w:pos="8176"/>
              <w:tab w:val="right" w:pos="9026" w:leader="dot"/>
            </w:tabs>
            <w:rPr/>
          </w:pPr>
          <w:hyperlink w:anchor="__RefHeading___Toc586581_58195312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586583_581953129">
            <w:r>
              <w:rPr>
                <w:webHidden/>
                <w:rStyle w:val="IndexLink"/>
                <w:rtl w:val="true"/>
              </w:rPr>
              <w:t>الف</w:t>
            </w:r>
            <w:r>
              <w:rPr>
                <w:rStyle w:val="IndexLink"/>
                <w:rtl w:val="true"/>
              </w:rPr>
              <w:t xml:space="preserve">: </w:t>
            </w:r>
            <w:r>
              <w:rPr>
                <w:rStyle w:val="IndexLink"/>
                <w:rtl w:val="true"/>
              </w:rPr>
              <w:t>روایاتی که در سنن ابن ماجه آمده است</w:t>
            </w:r>
            <w:r>
              <w:rPr>
                <w:rStyle w:val="IndexLink"/>
                <w:rtl w:val="true"/>
              </w:rPr>
              <w:tab/>
            </w:r>
            <w:r>
              <w:rPr>
                <w:rStyle w:val="IndexLink"/>
              </w:rPr>
              <w:t>42</w:t>
            </w:r>
          </w:hyperlink>
        </w:p>
        <w:p>
          <w:pPr>
            <w:pStyle w:val="Contents4"/>
            <w:tabs>
              <w:tab w:val="clear" w:pos="8176"/>
              <w:tab w:val="right" w:pos="9026" w:leader="dot"/>
            </w:tabs>
            <w:rPr/>
          </w:pPr>
          <w:hyperlink w:anchor="__RefHeading___Toc586585_581953129">
            <w:r>
              <w:rPr>
                <w:webHidden/>
                <w:rStyle w:val="IndexLink"/>
                <w:rtl w:val="true"/>
              </w:rPr>
              <w:t>ب</w:t>
            </w:r>
            <w:r>
              <w:rPr>
                <w:rStyle w:val="IndexLink"/>
                <w:rtl w:val="true"/>
              </w:rPr>
              <w:t xml:space="preserve">: </w:t>
            </w:r>
            <w:r>
              <w:rPr>
                <w:rStyle w:val="IndexLink"/>
                <w:rtl w:val="true"/>
              </w:rPr>
              <w:t>روایاتی که در سنن ابی داوود آمده است</w:t>
            </w:r>
            <w:r>
              <w:rPr>
                <w:rStyle w:val="IndexLink"/>
                <w:rtl w:val="true"/>
              </w:rPr>
              <w:tab/>
            </w:r>
            <w:r>
              <w:rPr>
                <w:rStyle w:val="IndexLink"/>
              </w:rPr>
              <w:t>46</w:t>
            </w:r>
          </w:hyperlink>
        </w:p>
        <w:p>
          <w:pPr>
            <w:pStyle w:val="Contents4"/>
            <w:tabs>
              <w:tab w:val="clear" w:pos="8176"/>
              <w:tab w:val="right" w:pos="9026" w:leader="dot"/>
            </w:tabs>
            <w:rPr/>
          </w:pPr>
          <w:hyperlink w:anchor="__RefHeading___Toc586587_581953129">
            <w:r>
              <w:rPr>
                <w:webHidden/>
                <w:rStyle w:val="IndexLink"/>
                <w:rtl w:val="true"/>
              </w:rPr>
              <w:t>ج</w:t>
            </w:r>
            <w:r>
              <w:rPr>
                <w:rStyle w:val="IndexLink"/>
                <w:rtl w:val="true"/>
              </w:rPr>
              <w:t xml:space="preserve">: </w:t>
            </w:r>
            <w:r>
              <w:rPr>
                <w:rStyle w:val="IndexLink"/>
                <w:rtl w:val="true"/>
              </w:rPr>
              <w:t>روایاتی که در سنن ترمذی آمده است</w:t>
            </w:r>
            <w:r>
              <w:rPr>
                <w:rStyle w:val="IndexLink"/>
                <w:rtl w:val="true"/>
              </w:rPr>
              <w:tab/>
            </w:r>
            <w:r>
              <w:rPr>
                <w:rStyle w:val="IndexLink"/>
              </w:rPr>
              <w:t>49</w:t>
            </w:r>
          </w:hyperlink>
        </w:p>
        <w:p>
          <w:pPr>
            <w:pStyle w:val="Contents2"/>
            <w:tabs>
              <w:tab w:val="clear" w:pos="8743"/>
              <w:tab w:val="right" w:pos="9026" w:leader="dot"/>
            </w:tabs>
            <w:rPr/>
          </w:pPr>
          <w:hyperlink w:anchor="__RefHeading___Toc586589_581953129">
            <w:r>
              <w:rPr>
                <w:webHidden/>
                <w:rStyle w:val="IndexLink"/>
                <w:rtl w:val="true"/>
              </w:rPr>
              <w:t>نتیجۀ بحث</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80_34404"/>
      <w:bookmarkStart w:id="1" w:name="pg5280_34404"/>
      <w:bookmarkEnd w:id="1"/>
    </w:p>
    <w:p>
      <w:pPr>
        <w:pStyle w:val="Heading2"/>
        <w:numPr>
          <w:ilvl w:val="1"/>
          <w:numId w:val="1"/>
        </w:numPr>
        <w:rPr/>
      </w:pPr>
      <w:bookmarkStart w:id="2" w:name="pg5280_34404"/>
      <w:bookmarkStart w:id="3" w:name="__RefHeading___Toc58653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 عبدالامیر سلطانی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عربی ؛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معاونت فرهنگی؛ ویراستاری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علیه السلام،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 السلام؛ </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۳۸۲۷۹۴۸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653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 نماز</w:t>
      </w:r>
    </w:p>
    <w:p>
      <w:pPr>
        <w:pStyle w:val="BookText"/>
        <w:rPr/>
      </w:pPr>
      <w:r>
        <w:rPr>
          <w:rFonts w:ascii="IRNazanin" w:hAnsi="IRNazanin" w:eastAsia="IRNazanin"/>
          <w:color w:val="111111"/>
          <w:sz w:val="28"/>
          <w:sz w:val="28"/>
          <w:szCs w:val="28"/>
          <w:rtl w:val="true"/>
          <w:lang w:bidi="fa-IR"/>
        </w:rPr>
        <w:t>گروه پژوهش و پاسخ به شبهات ، عبدالامیر سلطانی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عربی</w:t>
      </w:r>
      <w:bookmarkStart w:id="7" w:name="pg5280_34412"/>
    </w:p>
    <w:p>
      <w:pPr>
        <w:pStyle w:val="Heading2"/>
        <w:numPr>
          <w:ilvl w:val="1"/>
          <w:numId w:val="1"/>
        </w:numPr>
        <w:rPr/>
      </w:pPr>
      <w:bookmarkStart w:id="8" w:name="__RefHeading___Toc586535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280_34416"/>
    </w:p>
    <w:p>
      <w:pPr>
        <w:pStyle w:val="Heading2"/>
        <w:numPr>
          <w:ilvl w:val="1"/>
          <w:numId w:val="1"/>
        </w:numPr>
        <w:rPr/>
      </w:pPr>
      <w:bookmarkStart w:id="11" w:name="__RefHeading___Toc586537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280_34424"/>
    </w:p>
    <w:p>
      <w:pPr>
        <w:pStyle w:val="Heading2"/>
        <w:numPr>
          <w:ilvl w:val="1"/>
          <w:numId w:val="1"/>
        </w:numPr>
        <w:rPr/>
      </w:pPr>
      <w:bookmarkStart w:id="14" w:name="__RefHeading___Toc586539_581953129"/>
      <w:bookmarkStart w:id="15" w:name="_Toc5"/>
      <w:bookmarkEnd w:id="13"/>
      <w:bookmarkEnd w:id="14"/>
      <w:r>
        <w:rPr>
          <w:rtl w:val="true"/>
        </w:rPr>
        <w:t>مقدّمه</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بعد از سورۀ حمد، یکی از مسائل مورد اختلاف مذاهب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معتقد است این عمل در سنّت وارد نشده و ذکر آن بعد از سورۀ حمد، باعث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اضافه کردن چیزی است که حتّی استحباب آن روایت نشده است؛ امّا مذاهب چهارگانۀ دیگر، نظر متفاوتی دارند؛ به این صورت که سه مذهب مشهور، آن را از سنّت‌های نماز و واجب می‌دانند، در حالی که مذهب چهارم، آن را از مستحبّات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سنّتهای نماز این است که نمازگزار بعد از فراغت از قرائت سورۀ حمد، آمین بگوید </w:t>
      </w:r>
      <w:r>
        <w:rPr>
          <w:rStyle w:val="FootnoteAnchor"/>
          <w:rtl w:val="true"/>
        </w:rPr>
        <w:footnoteReference w:id="11"/>
      </w:r>
      <w:r>
        <w:rPr>
          <w:rFonts w:ascii="IRNazanin" w:hAnsi="IRNazanin" w:eastAsia="IRNazanin"/>
          <w:color w:val="111111"/>
          <w:sz w:val="28"/>
          <w:sz w:val="28"/>
          <w:szCs w:val="28"/>
          <w:rtl w:val="true"/>
          <w:lang w:bidi="fa-IR"/>
        </w:rPr>
        <w:t>و این بر امام و مأموم در نماز جماعت و بر کسی که نمازش را فرادا می‌خواند،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مورد اتّفاق نظر ائمّۀ سه مذهب است، ولی مذهب مالکیّه قایل است که آمین مستحب است نه واجب</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اختلاف نظر در حکم آمین به ادلّۀ شرعیّه‌ای باز می‌گردد که ائمّۀ مذاهب، در صدور فتوا بدان اعتماد کرده‌اند و</w:t>
      </w:r>
    </w:p>
    <w:p>
      <w:pPr>
        <w:pStyle w:val="BookText"/>
        <w:rPr/>
      </w:pPr>
      <w:r>
        <w:rPr>
          <w:rFonts w:ascii="IRNazanin" w:hAnsi="IRNazanin" w:eastAsia="IRNazanin"/>
          <w:color w:val="111111"/>
          <w:sz w:val="28"/>
          <w:sz w:val="28"/>
          <w:szCs w:val="28"/>
          <w:rtl w:val="true"/>
          <w:lang w:bidi="fa-IR"/>
        </w:rPr>
        <w:t>به عبارت دیگر، هر یک از دو مذهب شیعه و سنّی به ادلّۀ خاصّی برای فهم و استنباط حکم شرعی، ملتزم شده‌اند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سعی می‌کنیم در ضمن اموری، مسأله را بر طبق نظر هر یک از دو مذهب، مورد بررسی قرار دهیم تا بفهمیم که کدام یک به سنّت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w:t>
      </w:r>
      <w:bookmarkStart w:id="16" w:name="pg5280_34426"/>
    </w:p>
    <w:p>
      <w:pPr>
        <w:pStyle w:val="Heading2"/>
        <w:numPr>
          <w:ilvl w:val="1"/>
          <w:numId w:val="1"/>
        </w:numPr>
        <w:rPr/>
      </w:pPr>
      <w:bookmarkStart w:id="17" w:name="__RefHeading___Toc586541_581953129"/>
      <w:bookmarkStart w:id="18" w:name="_Toc6"/>
      <w:bookmarkEnd w:id="16"/>
      <w:bookmarkEnd w:id="17"/>
      <w:r>
        <w:rPr>
          <w:rtl w:val="true"/>
        </w:rPr>
        <w:t xml:space="preserve">بررسی حکم </w:t>
      </w:r>
      <w:r>
        <w:rPr>
          <w:rtl w:val="true"/>
        </w:rPr>
        <w:t>«</w:t>
      </w:r>
      <w:r>
        <w:rPr>
          <w:rtl w:val="true"/>
        </w:rPr>
        <w:t>آمین</w:t>
      </w:r>
      <w:r>
        <w:rPr>
          <w:rtl w:val="true"/>
        </w:rPr>
        <w:t xml:space="preserve">» </w:t>
      </w:r>
      <w:r>
        <w:rPr>
          <w:rtl w:val="true"/>
        </w:rPr>
        <w:t>گفتن در نماز از دیدگاه شیعه و سنّی</w:t>
      </w:r>
      <w:bookmarkEnd w:id="18"/>
    </w:p>
    <w:p>
      <w:pPr>
        <w:pStyle w:val="Heading3"/>
        <w:numPr>
          <w:ilvl w:val="2"/>
          <w:numId w:val="1"/>
        </w:numPr>
        <w:rPr/>
      </w:pPr>
      <w:bookmarkStart w:id="19" w:name="__RefHeading___Toc586543_581953129"/>
      <w:bookmarkStart w:id="20" w:name="_Toc7"/>
      <w:bookmarkEnd w:id="19"/>
      <w:r>
        <w:rPr>
          <w:rtl w:val="true"/>
        </w:rPr>
        <w:t>امر اوّل</w:t>
      </w:r>
      <w:r>
        <w:rPr>
          <w:rtl w:val="true"/>
        </w:rPr>
        <w:t xml:space="preserve">: </w:t>
      </w:r>
      <w:r>
        <w:rPr>
          <w:rtl w:val="true"/>
        </w:rPr>
        <w:t>توقیفی بودن عبادات</w:t>
      </w:r>
      <w:bookmarkEnd w:id="20"/>
    </w:p>
    <w:p>
      <w:pPr>
        <w:pStyle w:val="BookText"/>
        <w:rPr/>
      </w:pPr>
      <w:r>
        <w:rPr>
          <w:rFonts w:ascii="IRNazanin" w:hAnsi="IRNazanin" w:eastAsia="IRNazanin"/>
          <w:color w:val="111111"/>
          <w:sz w:val="28"/>
          <w:sz w:val="28"/>
          <w:szCs w:val="28"/>
          <w:rtl w:val="true"/>
          <w:lang w:bidi="fa-IR"/>
        </w:rPr>
        <w:t>نماز از عبادات است و در جای خود ثابت شده است که عبادات از جهت کم و کیف، ادا و قضا، وجوب و استحباب و اجزا و شرایط مربوطه، توقیفی هستند و باید بر طبق آنچه شریعت مقرّر فرموده است، به جای آورده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خروج بدون دلیل از آنچه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نماز، ترسیم نموده است، تشریع محض و بدعت شمرده می‌شود که باعث بطلان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مورد اتّفاق نظر تمام مذاهب اسلامی است و هیچ اختلافی در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کاشف الغطاء می‌نویسد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عبادت، یا معامله‌ای که تکلیف آن به شرع باز می‌گردد، جایز نیست که با استناد به مأخذ غیر شرعی انجام گیرد، پس اگر کسی تکلیفی را در اصول یا فروع، در عبادات، یا معاملات، بدون استناد به مأخذ شرعی انجام دهد و قصد او این باشد که افرادی از او پیروی کنند، یا این حکم او باقی بماند، اگر بدون استناد به شرع، حکم کند، مخترع در دین شمرده می‌شود و اگر با استناد به شرع،</w:t>
      </w:r>
    </w:p>
    <w:p>
      <w:pPr>
        <w:pStyle w:val="BookText"/>
        <w:rPr/>
      </w:pPr>
      <w:r>
        <w:rPr>
          <w:rFonts w:ascii="IRNazanin" w:hAnsi="IRNazanin" w:eastAsia="IRNazanin"/>
          <w:color w:val="111111"/>
          <w:sz w:val="28"/>
          <w:sz w:val="28"/>
          <w:szCs w:val="28"/>
          <w:rtl w:val="true"/>
          <w:lang w:bidi="fa-IR"/>
        </w:rPr>
        <w:t>حکم کند، بدعتگذار شمرده می‌شود و بدعت در عبادات در مقابل سنّت قرار دارد و اگر کسی عملی را بدون استناد به منابع شرع، در تکالیف شرعی داخل کند، بدون آن که قصد سرایت آن را به دین داشته باشد، شریعت‌گذار در دین شمرده می‌شود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تبیین ماهیّت عبادات و احکام آن بر عهدۀ شارع مقدّس می‌باشد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در کتاب المغنی، تألیف ابن قدامه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عبادات، صددرصد توقیفی هستند و چیزی از آنها و به خصوص نماز، با قیاس و تعلیل ثابت نمی‌شود، البتّه شارع مقدّس ما را به ایراد الفاظ خاصّی در خطبه‌های نماز، ملتزم نکرده است؛ زیرا خطبه‌ها برای موعظه است و بر حسب شرایط و اوضاع، فرق می‌کند، امّا در مورد نماز،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کما رأیتمونی اصَلِّی</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همان گونه که دیدید نماز می‌خوانم، نماز بخوانید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داده شده است که فرق معاملات و عبادات در این است که معاملات، متوقّف بر الفاظی هستند که مقصود از آنها اراده شود،</w:t>
      </w:r>
      <w:bookmarkStart w:id="21" w:name="pg5280_34428"/>
    </w:p>
    <w:p>
      <w:pPr>
        <w:pStyle w:val="BookText"/>
        <w:rPr/>
      </w:pPr>
      <w:bookmarkEnd w:id="21"/>
      <w:r>
        <w:rPr>
          <w:rFonts w:ascii="IRNazanin" w:hAnsi="IRNazanin" w:eastAsia="IRNazanin"/>
          <w:color w:val="111111"/>
          <w:sz w:val="28"/>
          <w:sz w:val="28"/>
          <w:szCs w:val="28"/>
          <w:rtl w:val="true"/>
          <w:lang w:bidi="fa-IR"/>
        </w:rPr>
        <w:t>یا چیزی که جانشین این الفاظ شود و یا به عبارتی، ثبوت معاملات برخلاف احکام، جعلی و قراردادی است، نه توقیفی که به وسیلۀ شرع بدانها ملزم شده باشیم؛ بنابراین، اگر عبادات توقیفی باشند، اختراع در آنها جایز نیست و از آن جا که نماز از عبادات است، اضافه کردن چیزی که از طرف شارع وارد نشده است، باعث بطلان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مقدّمه به بررسی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که مورد اختلاف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کلمه از الفاظی است که ذکر آن بعد از قرائت سوره حمد شرعاً وارد شده؟ و اگر وارد شده آیا به صورت مستحب یا واجب؟ که در صورت دوّم، ترک آن موجب بطلان نماز باشد</w:t>
      </w:r>
      <w:r>
        <w:rPr>
          <w:rFonts w:eastAsia="IRNazanin" w:cs="IRNazanin"/>
          <w:color w:val="111111"/>
          <w:sz w:val="28"/>
          <w:szCs w:val="28"/>
          <w:rtl w:val="true"/>
          <w:lang w:bidi="fa-IR"/>
        </w:rPr>
        <w:t>.</w:t>
      </w:r>
    </w:p>
    <w:p>
      <w:pPr>
        <w:pStyle w:val="Heading3"/>
        <w:numPr>
          <w:ilvl w:val="2"/>
          <w:numId w:val="1"/>
        </w:numPr>
        <w:rPr/>
      </w:pPr>
      <w:bookmarkStart w:id="22" w:name="__RefHeading___Toc586545_581953129"/>
      <w:bookmarkStart w:id="23" w:name="_Toc8"/>
      <w:bookmarkEnd w:id="22"/>
      <w:r>
        <w:rPr>
          <w:rtl w:val="true"/>
        </w:rPr>
        <w:t>امر دوّم</w:t>
      </w:r>
      <w:r>
        <w:rPr>
          <w:rtl w:val="true"/>
        </w:rPr>
        <w:t xml:space="preserve">: </w:t>
      </w:r>
      <w:r>
        <w:rPr>
          <w:rtl w:val="true"/>
        </w:rPr>
        <w:t>کیفیّت نماز در کتب صحاح</w:t>
      </w:r>
      <w:bookmarkEnd w:id="23"/>
    </w:p>
    <w:p>
      <w:pPr>
        <w:pStyle w:val="BookText"/>
        <w:rPr/>
      </w:pPr>
      <w:r>
        <w:rPr>
          <w:rFonts w:ascii="IRNazanin" w:hAnsi="IRNazanin" w:eastAsia="IRNazanin"/>
          <w:color w:val="111111"/>
          <w:sz w:val="28"/>
          <w:sz w:val="28"/>
          <w:szCs w:val="28"/>
          <w:rtl w:val="true"/>
          <w:lang w:bidi="fa-IR"/>
        </w:rPr>
        <w:t xml:space="preserve">نظر شرع مقدّس در این مسأله با مراجعه به روایاتی که به بیان کیفیّت نماز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روایاتی که در کتب صحاح نقل گردیده و چگونگی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تفصیل بیان کرده ملاحظه می‌شود که آن حضرت،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حمد، تلفّظ نمی‌کرده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آنها حدیث ابوحُمید ساعدی است که تعدادی از محدّثین آن را روایت کرده‌اند و ما در این جا آن را از سنن بیهقی نقل می‌کنیم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عبدالحافظ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ابوحُمید 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عدّه‌ای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چگونگی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که بیشتر از ما با او نبوده و قبل از ما همراهش نبوده‌ای؟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آنچه را می‌دانی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وارد نماز شود، دستهایش را تا شانه‌هایش بالا می‌آورد، سپس تکبیر می‌گفت و پس از آن که تمام اعضای بدنش ساکت و آرام می‌شد، قرائت را شروع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قرائت در حالی که دستهایش را تا شانه‌هایش بالا می‌آورد، تکیبر می‌گفت، سپس به رکوع می‌رفت و کف دستهایش را بر زانوهایش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آن که سرش را تکان دهد، بر می‌خاست و سرش را بالا می‌آورد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سپس دستهایش را تا شانه‌هایش بالا می‌آورد و پس از آن که تمام اعضای بدنش معتدل و آرام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سپس به سجده می‌رفت در حالی که دستهایش را از پهلوهایش دور می‌کرد، سپس از سجده برمی‌خاست و پای چپ را تا می‌کرد و بر آن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سجده، انگشتان پاهایش را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سجدۀ دوّم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سجده برمی‌خاست و بعد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سپس پایش را تا می‌کرد و بر آن می‌نشست تا تمام اعضای بدنش در حالت تعادل و آرامش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رکعت دیگری را به همان صورت به جای می‌آورد، سپس هنگامی که از رکعت دوّم برمی‌خاست، تکبیر می‌گفت و دستهایش را تا محاذی شانه‌هایش بالا می‌آورد، همان طور که در ابتدای نماز انجام داده بود، سپس این کارها را در بقیّۀ نمازش انجام می‌داد تا به آخرین سجده نماز می‌رسید که می‌بایست بعد از آن، نماز را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برخاستن از این سجده، پای چپ را کمی به عقب می‌کشید و بر ران چپ خود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نماز می‌خواند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امور زیر، صحّت احتجاج به این حدیث را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ابوحُمَید به وسیلۀ تعدادی از بزرگان صحابه </w:t>
      </w:r>
      <w:r>
        <w:rPr>
          <w:rStyle w:val="FootnoteAnchor"/>
          <w:rtl w:val="true"/>
        </w:rPr>
        <w:footnoteReference w:id="18"/>
      </w:r>
      <w:r>
        <w:rPr>
          <w:rFonts w:ascii="IRNazanin" w:hAnsi="IRNazanin" w:eastAsia="IRNazanin"/>
          <w:color w:val="111111"/>
          <w:sz w:val="28"/>
          <w:sz w:val="28"/>
          <w:szCs w:val="28"/>
          <w:rtl w:val="true"/>
          <w:lang w:bidi="fa-IR"/>
        </w:rPr>
        <w:t>بر قوّت حدیث و ترجیح آن بر ادلّۀ دیگر، دلالت می‌کند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فرایض و سنّتها و مستحبّات نماز را بیان کرده، ولی آمین گفتن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صحابه از او انتقاد و چیزی بر خلاف او ذکر نکرده‌اند، در حالی که در صدد عیبجویی از او بوده‌اند؛ زیرا در ابتدا قبول نکردند که او آگاه‌ترین آنان نسبت به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حال همگی در آخر گفتند</w:t>
      </w:r>
      <w:r>
        <w:rPr>
          <w:rFonts w:eastAsia="IRNazanin" w:cs="IRNazanin"/>
          <w:color w:val="111111"/>
          <w:sz w:val="28"/>
          <w:szCs w:val="28"/>
          <w:rtl w:val="true"/>
          <w:lang w:bidi="fa-IR"/>
        </w:rPr>
        <w:t>:</w:t>
      </w:r>
      <w:bookmarkStart w:id="24" w:name="pg5280_34431"/>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گفتی،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بعید است آنان که ده نفر و در مقام بیان و مذاکره بودند، تذکّر این نکته را فراموش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این حدیث، عام است و به وسیلۀ احادیث تأمین، تخصیص خورده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ابوحُمید تمام فرایض، سنّتها، مستحبّاب و هیئت کامل نماز را بیان کرده و بر شمرده و در مقام تعلیم و بیان مسأله بوده حذف چیزی در این حال، خیانت است و این کار از او و تمام آن صحابه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بعضی از صحابۀ حاضر، مثل ابوهریره، احادیث تأمین را روایت کرده‌اند، در عین حال بر ابوحمید اعتراض نکردند</w:t>
      </w:r>
      <w:r>
        <w:rPr>
          <w:rFonts w:eastAsia="IRNazanin" w:cs="IRNazanin"/>
          <w:color w:val="111111"/>
          <w:sz w:val="28"/>
          <w:szCs w:val="28"/>
          <w:rtl w:val="true"/>
          <w:lang w:bidi="fa-IR"/>
        </w:rPr>
        <w:t>.</w:t>
      </w:r>
    </w:p>
    <w:p>
      <w:pPr>
        <w:pStyle w:val="Heading3"/>
        <w:numPr>
          <w:ilvl w:val="2"/>
          <w:numId w:val="1"/>
        </w:numPr>
        <w:rPr/>
      </w:pPr>
      <w:bookmarkStart w:id="25" w:name="__RefHeading___Toc586547_581953129"/>
      <w:bookmarkStart w:id="26" w:name="_Toc9"/>
      <w:bookmarkEnd w:id="25"/>
      <w:r>
        <w:rPr>
          <w:rtl w:val="true"/>
        </w:rPr>
        <w:t>امر سوّم</w:t>
      </w:r>
      <w:r>
        <w:rPr>
          <w:rtl w:val="true"/>
        </w:rPr>
        <w:t xml:space="preserve">: </w:t>
      </w:r>
      <w:r>
        <w:rPr>
          <w:rtl w:val="true"/>
        </w:rPr>
        <w:t>حکم تأمین در نظر اهل بیت علیهم السلام</w:t>
      </w:r>
      <w:bookmarkEnd w:id="2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احادیث مربوط به چگونگی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کتب صحاح مورد بررسی قرار دادیم و ملاحظه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سنّتی از سنّتهای آن حضرت در نماز ذکر نشده است، حال باید به بررسی روایاتی بپردازیم که در کتب احادیث شیعه نقل گردیده و اهل بیت علیهم السلام </w:t>
      </w:r>
      <w:r>
        <w:rPr>
          <w:rStyle w:val="FootnoteAnchor"/>
          <w:rtl w:val="true"/>
        </w:rPr>
        <w:footnoteReference w:id="19"/>
      </w:r>
      <w:r>
        <w:rPr>
          <w:rFonts w:ascii="IRNazanin" w:hAnsi="IRNazanin" w:eastAsia="IRNazanin"/>
          <w:color w:val="111111"/>
          <w:sz w:val="28"/>
          <w:sz w:val="28"/>
          <w:szCs w:val="28"/>
          <w:rtl w:val="true"/>
          <w:lang w:bidi="fa-IR"/>
        </w:rPr>
        <w:t>در خلال آنها به</w:t>
      </w:r>
    </w:p>
    <w:p>
      <w:pPr>
        <w:pStyle w:val="BookText"/>
        <w:rPr/>
      </w:pPr>
      <w:r>
        <w:rPr>
          <w:rFonts w:ascii="IRNazanin" w:hAnsi="IRNazanin" w:eastAsia="IRNazanin"/>
          <w:color w:val="111111"/>
          <w:sz w:val="28"/>
          <w:sz w:val="28"/>
          <w:szCs w:val="28"/>
          <w:rtl w:val="true"/>
          <w:lang w:bidi="fa-IR"/>
        </w:rPr>
        <w:t xml:space="preserve">پیروانشان دستور داده‌اند که برای حفظ سنّت جدّشان،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تعدادی از نصوصی که از آنان روایت شده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علیّ بن ابراهیم، از پدرش، از عبدالله بن مغیره، از جمیل، از امام صادق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 خلفَ امام فقرأ الحمد و فَرَغَ من قراءتها، فقل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 لاتقل آمین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نماز جماعت بودی و امام از قرائت حمد، فارغ شد، تو الحمدلله ربّ العالمین بگو و آمین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محمّد بن حسن با اسناد خود از محمّد بن یعقوب مثل همین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یعقوب، از محمّد بن سنان، از ابن مسکان، از محمد حلبی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قرائت فاتحة الکتاب، آمین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زراره از امام باقر علیه السلام روایت شده است</w:t>
      </w:r>
      <w:r>
        <w:rPr>
          <w:rFonts w:eastAsia="IRNazanin" w:cs="IRNazanin"/>
          <w:color w:val="111111"/>
          <w:sz w:val="28"/>
          <w:szCs w:val="28"/>
          <w:rtl w:val="true"/>
          <w:lang w:bidi="fa-IR"/>
        </w:rPr>
        <w:t>:</w:t>
      </w:r>
      <w:bookmarkStart w:id="27" w:name="pg5280_34433"/>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تَقولَنَّ إذَا فرغتَ مِنْ قِراءتِکَ، آمین، 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العَالمین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پس از قرائت حمد، آمین نگو بلکه اگر خواستی،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pStyle w:val="Heading3"/>
        <w:numPr>
          <w:ilvl w:val="2"/>
          <w:numId w:val="1"/>
        </w:numPr>
        <w:rPr/>
      </w:pPr>
      <w:bookmarkStart w:id="28" w:name="__RefHeading___Toc586549_581953129"/>
      <w:bookmarkStart w:id="29" w:name="_Toc10"/>
      <w:bookmarkEnd w:id="28"/>
      <w:r>
        <w:rPr>
          <w:rtl w:val="true"/>
        </w:rPr>
        <w:t>امر چهارم</w:t>
      </w:r>
      <w:r>
        <w:rPr>
          <w:rtl w:val="true"/>
        </w:rPr>
        <w:t xml:space="preserve">: </w:t>
      </w:r>
      <w:r>
        <w:rPr>
          <w:rtl w:val="true"/>
        </w:rPr>
        <w:t>کیفیّت نماز در نظر اهل بیت علیهم السلام</w:t>
      </w:r>
      <w:bookmarkEnd w:id="29"/>
    </w:p>
    <w:p>
      <w:pPr>
        <w:pStyle w:val="Heading4"/>
        <w:numPr>
          <w:ilvl w:val="3"/>
          <w:numId w:val="1"/>
        </w:numPr>
        <w:rPr/>
      </w:pPr>
      <w:bookmarkStart w:id="30" w:name="__RefHeading___Toc586551_581953129"/>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امر سوّم در صدد بیان نظر اهل‌بیت علیهم السلام در مورد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به بررسی روایاتی بپردازیم که در صدد تبیین کیفیّت نماز در مکتب اهل بیت علیهم السلام هستند، می‌بینیم که ذکری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قرائت فاتحه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برخی از روایاتی که در این خصوص وارد شده و از جهت سند و دلالت مورد اعتماد است، اشاره می‌کنیم</w:t>
      </w:r>
      <w:r>
        <w:rPr>
          <w:rFonts w:eastAsia="IRNazanin" w:cs="IRNazanin"/>
          <w:color w:val="111111"/>
          <w:sz w:val="28"/>
          <w:szCs w:val="28"/>
          <w:rtl w:val="true"/>
          <w:lang w:bidi="fa-IR"/>
        </w:rPr>
        <w:t>:</w:t>
      </w:r>
    </w:p>
    <w:p>
      <w:pPr>
        <w:pStyle w:val="Heading4"/>
        <w:numPr>
          <w:ilvl w:val="3"/>
          <w:numId w:val="1"/>
        </w:numPr>
        <w:rPr/>
      </w:pPr>
      <w:bookmarkStart w:id="32" w:name="__RefHeading___Toc586553_581953129"/>
      <w:bookmarkStart w:id="33" w:name="_Toc12"/>
      <w:bookmarkEnd w:id="32"/>
      <w:r>
        <w:rPr>
          <w:rtl w:val="true"/>
        </w:rPr>
        <w:t>حدیث اوّل</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 با اسناد خود از حمّاد بن عیسی روایت می‌کند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صادق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را به خوبی به جای می‌آوری ای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حریز در نماز را از حفظ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طبق آن نماز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برخیز و نمازی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برخاستم و نمازی خواندم، پس از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لاتحسن أنْ تُصَلِّی، ما أَقْبَحَ بِالرَّجُلِ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عَلَیه سِتّون سنةً او سبعُونَ سَنَة فَما یقیم صلاة واحدةً بِحدُودِها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خوبی به جای نمی‌آوری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یکی از شما زشت است که شصت، یا هفتاد سال از عمرش گذشته باشد، امّا حتّی یک نماز را با تمام حدودش به جای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خجالت کشیدم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به من یاد بدهید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برخاست و رو به قبله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در حالی که انگشتانش بهم بسته بود، بر رانهایش گذاشت، در این حال پاهایش را به هم نزدیک کرده تا جایی که بین آنها به اندازۀ سه انگشت از هم باز شده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خشوع و فروتنی تمام انگشتان پاهایش را رو به قبله کرد و مواظب بود که از قبله منحرف نباشند،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سورۀ حمد و سپس سورۀ توحید را با ترتیل قرائت کرد، سپس صبر کرد و نفسی کشید سپس در حالی که هنوز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رکوع رفت و کف دستهایش را بر زانوهایش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زانوهایش را تا آخر صاف کرد به طوری که پشتش کاملاً مسطّح شد، به گونه‌ای که اگر قطرۀ آبی بر پشتش ریخته می‌شد، پایین نمی‌ریخت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گردنش را صاف نگه داشته و چشمهایش</w:t>
      </w:r>
    </w:p>
    <w:p>
      <w:pPr>
        <w:pStyle w:val="BookText"/>
        <w:rPr/>
      </w:pPr>
      <w:r>
        <w:rPr>
          <w:rFonts w:ascii="IRNazanin" w:hAnsi="IRNazanin" w:eastAsia="IRNazanin"/>
          <w:color w:val="111111"/>
          <w:sz w:val="28"/>
          <w:sz w:val="28"/>
          <w:szCs w:val="28"/>
          <w:rtl w:val="true"/>
          <w:lang w:bidi="fa-IR"/>
        </w:rPr>
        <w:t>را بسته بود، سه بار با ترتیل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 سپس از رکوع برخاست و در حالی که صاف و آرام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 سپس در حالی که ایستاده بود، تکبیر گفت و دستهایش را تا محاذی صورتش بالا آورد و پس از آن،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دستهایش را قبل از زانوهایش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 بِحمدِهِ و در این حال، جایی از بدنش را بر جای دیگر نگذاشته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روی هشت موضع به سجده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دو کف دست، دو زانو، دو انگشت بزرگ پاها و همچنین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مواضع هفتگانه از واجبات سجده است و گذاشتن بینی بر زمین از سنّت است، سپس سرش را از سجده برداشت و پس از آن که کاملاً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نشستن، روی پای راست را بر کف پای چپ گذاشت و بر ران چپ خود نشست و پس از اللّه 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رَبّی و اتوب الیه، سپس در همان حال نشسته، تکبیر گفت و به سجده دوّم رفت و آن را همانند سجدۀ اوّل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رکوع و سجده هیچ یک از اعضای بدن را بر عضو دیگر تکیه نداد و در سجده آرنجهایش را از بدن دور کرده و آنها را بر زمین نگذاشته بود، پس از آن که دو رکعت نماز را با این اوصاف به جای آورد، فرمود</w:t>
      </w:r>
      <w:r>
        <w:rPr>
          <w:rFonts w:eastAsia="IRNazanin" w:cs="IRNazanin"/>
          <w:color w:val="111111"/>
          <w:sz w:val="28"/>
          <w:szCs w:val="28"/>
          <w:rtl w:val="true"/>
          <w:lang w:bidi="fa-IR"/>
        </w:rPr>
        <w:t>:</w:t>
      </w:r>
      <w:bookmarkStart w:id="34" w:name="pg5280_34436"/>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صَلّ، ولا تَلتَفتْ وَ لا تَعْبَث بیدیک و أَصابِعَک، و لاتبزِّق عَنْ یَمینک و لا عَنْ یسارِک و لا بین یَدَیْک</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نماز به جای آور و متوجّه اطرافت نباش و با دستها و انگشتانت بازی نکن و به راست و چپ، یا جلوت آب دهان نینداز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بعدی با اختلاف کمی، کیفیّت نماز را بیان می‌کنند و این اختلاف اندک، ناشی از تعدّد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ذکر رجال و تبیین وثاقت آنان بسنده می کنیم تا ثابت کنیم که تمام راویان این احادیث، ثقه و مورد اعتماد هستند، در صورتی که این وثاقت و اطمینان را در روایات کسانی که قایل به وجوب تأمین هستند، نمی‌یابیم</w:t>
      </w:r>
      <w:r>
        <w:rPr>
          <w:rFonts w:eastAsia="IRNazanin" w:cs="IRNazanin"/>
          <w:color w:val="111111"/>
          <w:sz w:val="28"/>
          <w:szCs w:val="28"/>
          <w:rtl w:val="true"/>
          <w:lang w:bidi="fa-IR"/>
        </w:rPr>
        <w:t>.</w:t>
      </w:r>
    </w:p>
    <w:p>
      <w:pPr>
        <w:pStyle w:val="Heading4"/>
        <w:numPr>
          <w:ilvl w:val="3"/>
          <w:numId w:val="1"/>
        </w:numPr>
        <w:rPr/>
      </w:pPr>
      <w:bookmarkStart w:id="35" w:name="__RefHeading___Toc586555_581953129"/>
      <w:bookmarkStart w:id="36" w:name="_Toc13"/>
      <w:bookmarkEnd w:id="35"/>
      <w:r>
        <w:rPr>
          <w:rtl w:val="true"/>
        </w:rPr>
        <w:t>حدیث دوّم</w:t>
      </w:r>
      <w:bookmarkEnd w:id="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یعقوب، از علیّ بن ابراهیم، از پدرش، از جدّش، از حمّاد بن عیسی</w:t>
      </w:r>
      <w:r>
        <w:rPr>
          <w:rFonts w:eastAsia="IRNazanin" w:cs="IRNazanin"/>
          <w:color w:val="111111"/>
          <w:sz w:val="28"/>
          <w:szCs w:val="28"/>
          <w:rtl w:val="true"/>
          <w:lang w:bidi="fa-IR"/>
        </w:rPr>
        <w:t xml:space="preserve">. </w:t>
      </w:r>
      <w:r>
        <w:rPr>
          <w:rStyle w:val="FootnoteAnchor"/>
          <w:rtl w:val="true"/>
        </w:rPr>
        <w:footnoteReference w:id="22"/>
      </w:r>
      <w:bookmarkStart w:id="37" w:name="pg5280_34437"/>
    </w:p>
    <w:p>
      <w:pPr>
        <w:pStyle w:val="Heading4"/>
        <w:numPr>
          <w:ilvl w:val="3"/>
          <w:numId w:val="1"/>
        </w:numPr>
        <w:rPr/>
      </w:pPr>
      <w:bookmarkStart w:id="38" w:name="__RefHeading___Toc586557_581953129"/>
      <w:bookmarkStart w:id="39" w:name="_Toc14"/>
      <w:bookmarkEnd w:id="37"/>
      <w:bookmarkEnd w:id="38"/>
      <w:r>
        <w:rPr>
          <w:rtl w:val="true"/>
        </w:rPr>
        <w:t>حدیث سوّم</w:t>
      </w:r>
      <w:bookmarkEnd w:id="39"/>
    </w:p>
    <w:p>
      <w:pPr>
        <w:pStyle w:val="BookText"/>
        <w:rPr/>
      </w:pPr>
      <w:r>
        <w:rPr>
          <w:rFonts w:ascii="IRNazanin" w:hAnsi="IRNazanin" w:eastAsia="IRNazanin"/>
          <w:color w:val="111111"/>
          <w:sz w:val="28"/>
          <w:sz w:val="28"/>
          <w:szCs w:val="28"/>
          <w:rtl w:val="true"/>
          <w:lang w:bidi="fa-IR"/>
        </w:rPr>
        <w:t>آن را مرحوم کلینی از علیّ بن ابراهیم، از پدرش، از حمّاد بن عیسی روایت کرده است</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40" w:name="__RefHeading___Toc586559_581953129"/>
      <w:bookmarkStart w:id="41" w:name="_Toc15"/>
      <w:bookmarkEnd w:id="40"/>
      <w:r>
        <w:rPr>
          <w:rtl w:val="true"/>
        </w:rPr>
        <w:t>حدیث چهارم</w:t>
      </w:r>
      <w:bookmarkEnd w:id="41"/>
    </w:p>
    <w:p>
      <w:pPr>
        <w:pStyle w:val="BookText"/>
        <w:rPr/>
      </w:pPr>
      <w:r>
        <w:rPr>
          <w:rFonts w:ascii="IRNazanin" w:hAnsi="IRNazanin" w:eastAsia="IRNazanin"/>
          <w:color w:val="111111"/>
          <w:sz w:val="28"/>
          <w:sz w:val="28"/>
          <w:szCs w:val="28"/>
          <w:rtl w:val="true"/>
          <w:lang w:bidi="fa-IR"/>
        </w:rPr>
        <w:t>آن را محمّد بن یعقوب، از علیّ بن ابراهیم، از پدرش، از محمّد بن اسماعیل، از فضل بن شاذان، از محمّد بن عیسی، از احمد بن محمّد و همگی از حمّاد بن عیسی، از حریز، از زراره، از امام باقر علیه السلام روایت کرده است</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42" w:name="__RefHeading___Toc586561_581953129"/>
      <w:bookmarkStart w:id="43" w:name="_Toc16"/>
      <w:bookmarkEnd w:id="42"/>
      <w:r>
        <w:rPr>
          <w:rtl w:val="true"/>
        </w:rPr>
        <w:t>حدیث پنجم</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با همین اسانید از حمّاد بن عیسی، از حریز، از زراره نقل کرده است</w:t>
      </w:r>
      <w:r>
        <w:rPr>
          <w:rFonts w:eastAsia="IRNazanin" w:cs="IRNazanin"/>
          <w:color w:val="111111"/>
          <w:sz w:val="28"/>
          <w:szCs w:val="28"/>
          <w:rtl w:val="true"/>
          <w:lang w:bidi="fa-IR"/>
        </w:rPr>
        <w:t xml:space="preserve">. </w:t>
      </w:r>
      <w:r>
        <w:rPr>
          <w:rStyle w:val="FootnoteAnchor"/>
          <w:rtl w:val="true"/>
        </w:rPr>
        <w:footnoteReference w:id="25"/>
      </w:r>
      <w:bookmarkStart w:id="44" w:name="pg5280_34438"/>
    </w:p>
    <w:p>
      <w:pPr>
        <w:pStyle w:val="Heading4"/>
        <w:numPr>
          <w:ilvl w:val="3"/>
          <w:numId w:val="1"/>
        </w:numPr>
        <w:rPr/>
      </w:pPr>
      <w:bookmarkStart w:id="45" w:name="__RefHeading___Toc586563_581953129"/>
      <w:bookmarkStart w:id="46" w:name="_Toc17"/>
      <w:bookmarkEnd w:id="44"/>
      <w:bookmarkEnd w:id="45"/>
      <w:r>
        <w:rPr>
          <w:rtl w:val="true"/>
        </w:rPr>
        <w:t>حدیث ششم</w:t>
      </w:r>
      <w:bookmarkEnd w:id="46"/>
    </w:p>
    <w:p>
      <w:pPr>
        <w:pStyle w:val="BookText"/>
        <w:rPr/>
      </w:pPr>
      <w:r>
        <w:rPr>
          <w:rFonts w:ascii="IRNazanin" w:hAnsi="IRNazanin" w:eastAsia="IRNazanin"/>
          <w:color w:val="111111"/>
          <w:sz w:val="28"/>
          <w:sz w:val="28"/>
          <w:szCs w:val="28"/>
          <w:rtl w:val="true"/>
          <w:lang w:bidi="fa-IR"/>
        </w:rPr>
        <w:t>آن را شیخ صدوق در علل الشرایع از محمّد بن علی ماجیلویه، از علیّ بن ابراهیم، از پدرش، از حماد روایت کرده است</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47" w:name="__RefHeading___Toc586565_581953129"/>
      <w:bookmarkStart w:id="48" w:name="_Toc18"/>
      <w:bookmarkEnd w:id="47"/>
      <w:r>
        <w:rPr>
          <w:rtl w:val="true"/>
        </w:rPr>
        <w:t>حدیث هفتم</w:t>
      </w:r>
      <w:bookmarkEnd w:id="48"/>
    </w:p>
    <w:p>
      <w:pPr>
        <w:pStyle w:val="BookText"/>
        <w:rPr/>
      </w:pPr>
      <w:r>
        <w:rPr>
          <w:rFonts w:ascii="IRNazanin" w:hAnsi="IRNazanin" w:eastAsia="IRNazanin"/>
          <w:color w:val="111111"/>
          <w:sz w:val="28"/>
          <w:sz w:val="28"/>
          <w:szCs w:val="28"/>
          <w:rtl w:val="true"/>
          <w:lang w:bidi="fa-IR"/>
        </w:rPr>
        <w:t>آن را از علیّ بن ابراهیم، از پدرش، از محمّد بن اسماعیل، از فضل بن شاذان و همگی از ابن ابی عمیر و او از معاویة بن عمّار، از امام صادق علیه السلام روایت کرده است</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49" w:name="__RefHeading___Toc586567_581953129"/>
      <w:bookmarkStart w:id="50" w:name="_Toc19"/>
      <w:bookmarkEnd w:id="49"/>
      <w:r>
        <w:rPr>
          <w:rtl w:val="true"/>
        </w:rPr>
        <w:t>امر پنجم</w:t>
      </w:r>
      <w:r>
        <w:rPr>
          <w:rtl w:val="true"/>
        </w:rPr>
        <w:t xml:space="preserve">: </w:t>
      </w:r>
      <w:r>
        <w:rPr>
          <w:rtl w:val="true"/>
        </w:rPr>
        <w:t>نظر علمای مکتب اهل بیت علیهم السلام در مورد حکم تأمین</w:t>
      </w:r>
      <w:bookmarkEnd w:id="50"/>
    </w:p>
    <w:p>
      <w:pPr>
        <w:pStyle w:val="Heading4"/>
        <w:numPr>
          <w:ilvl w:val="3"/>
          <w:numId w:val="1"/>
        </w:numPr>
        <w:rPr/>
      </w:pPr>
      <w:bookmarkStart w:id="51" w:name="__RefHeading___Toc586569_581953129"/>
      <w:bookmarkStart w:id="52" w:name="_Toc20"/>
      <w:bookmarkEnd w:id="51"/>
      <w:r>
        <w:rPr>
          <w:rtl w:val="true"/>
        </w:rPr>
        <w:t>اشاره</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امامیّه با پیروی از اهل بیت علیهم السلام در این مورد، موضع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دقیقاً از همان راهی که اهل‌بیت علیهم السلام برایشان ترسیم کرده‌اند، رفته و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بیان آرای برخی از علمای بزرگ امامیّه که منطبق با سنّت شریف نبوی است، می‌پردازیم</w:t>
      </w:r>
      <w:r>
        <w:rPr>
          <w:rFonts w:eastAsia="IRNazanin" w:cs="IRNazanin"/>
          <w:color w:val="111111"/>
          <w:sz w:val="28"/>
          <w:szCs w:val="28"/>
          <w:rtl w:val="true"/>
          <w:lang w:bidi="fa-IR"/>
        </w:rPr>
        <w:t>.</w:t>
      </w:r>
      <w:bookmarkStart w:id="53" w:name="pg5280_34439"/>
    </w:p>
    <w:p>
      <w:pPr>
        <w:pStyle w:val="Heading4"/>
        <w:numPr>
          <w:ilvl w:val="3"/>
          <w:numId w:val="1"/>
        </w:numPr>
        <w:rPr/>
      </w:pPr>
      <w:bookmarkStart w:id="54" w:name="__RefHeading___Toc586571_581953129"/>
      <w:bookmarkStart w:id="55" w:name="_Toc21"/>
      <w:bookmarkEnd w:id="53"/>
      <w:bookmarkEnd w:id="54"/>
      <w:r>
        <w:rPr/>
        <w:t>1</w:t>
      </w:r>
      <w:r>
        <w:rPr>
          <w:rtl w:val="true"/>
        </w:rPr>
        <w:t xml:space="preserve">- </w:t>
      </w:r>
      <w:r>
        <w:rPr>
          <w:rtl w:val="true"/>
        </w:rPr>
        <w:t>شیخ مفید</w:t>
      </w:r>
      <w:bookmarkEnd w:id="55"/>
    </w:p>
    <w:p>
      <w:pPr>
        <w:pStyle w:val="BookText"/>
        <w:rPr/>
      </w:pPr>
      <w:r>
        <w:rPr>
          <w:rFonts w:ascii="IRNazanin" w:hAnsi="IRNazanin" w:eastAsia="IRNazanin"/>
          <w:color w:val="111111"/>
          <w:sz w:val="28"/>
          <w:sz w:val="28"/>
          <w:szCs w:val="28"/>
          <w:rtl w:val="true"/>
          <w:lang w:bidi="fa-IR"/>
        </w:rPr>
        <w:t>او بعد از بیان سنّتهای نماز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سورۀ حمد و توحید را قرائت می‌کند و آن دو را با بسم‌الله الرحمن‌الرحیم شروع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قرائت سورۀ حمد، آمین نمی‌گوید</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56" w:name="__RefHeading___Toc586573_581953129"/>
      <w:bookmarkStart w:id="57" w:name="_Toc22"/>
      <w:bookmarkEnd w:id="56"/>
      <w:r>
        <w:rPr/>
        <w:t>2</w:t>
      </w:r>
      <w:r>
        <w:rPr>
          <w:rtl w:val="true"/>
        </w:rPr>
        <w:t xml:space="preserve">- </w:t>
      </w:r>
      <w:r>
        <w:rPr>
          <w:rtl w:val="true"/>
        </w:rPr>
        <w:t>سیّد مرتضی علم الهدی</w:t>
      </w:r>
      <w:bookmarkEnd w:id="57"/>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تمایزات امامیّه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کلمۀ آمین را بعد از قرائت فاتحه ترک می‌کند، در حالی که فقهای مذاهب دیگر، آن را سنّت می‌دانند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او در ادامه می‌نویسد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 بر این فتوا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طایفۀ امامیّه اجماع دارند بر این که این لفظ، بدعت و قاطع نماز و احتیاط در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اختلافی در این نیست که اگر کسی این لفظ، را ترک کند، گناهکار نیست و نمازش را باطل نکرده است بلکه اختلاف در گفتن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قاطع نماز است و احتیاط در ترک آن است</w:t>
      </w:r>
      <w:r>
        <w:rPr>
          <w:rFonts w:eastAsia="IRNazanin" w:cs="IRNazanin"/>
          <w:color w:val="111111"/>
          <w:sz w:val="28"/>
          <w:szCs w:val="28"/>
          <w:rtl w:val="true"/>
          <w:lang w:bidi="fa-IR"/>
        </w:rPr>
        <w:t>.</w:t>
      </w:r>
      <w:bookmarkStart w:id="58" w:name="pg5280_34440"/>
    </w:p>
    <w:p>
      <w:pPr>
        <w:pStyle w:val="BookText"/>
        <w:rPr/>
      </w:pPr>
      <w:bookmarkEnd w:id="58"/>
      <w:r>
        <w:rPr>
          <w:rFonts w:ascii="IRNazanin" w:hAnsi="IRNazanin" w:eastAsia="IRNazanin"/>
          <w:color w:val="111111"/>
          <w:sz w:val="28"/>
          <w:sz w:val="28"/>
          <w:szCs w:val="28"/>
          <w:rtl w:val="true"/>
          <w:lang w:bidi="fa-IR"/>
        </w:rPr>
        <w:t>همچنین هیچ اختلافی نیست که این لفظ از اجزای قرآن نیست و همچنین به تنهایی، دعا یا تسبیح نیست، در این صورت تلّفظ آن، در حکم آوردن کلمه‌ای در نماز است که خارج از قرآن و تسبیح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آمین گفتن برای دعای سابق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قول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إهْدِنا الصِّراطَ الْمُستَقیم؛ ما را به راه راست هدایت بفرما،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باید با قصد باشد و کسی که سورۀ فاتحه را در نماز قرائت می‌کند، قصدش تلاوت است نه دعا و جایز است که قرائت بدون قصد 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ما قایل به این شده‌اند که تلفظ این کلمه بر طبق سنّت است و هر نمازگزار می‌تواند آن را بدون قصد دعا تلفظ کند و ما می‌گوییم اگر بطلان استعمال آن برای کسی که قصد دعا نمی‌کند، ثابت شد، بطلان آن در صورت قصد دعا نیز ثابت می‌شود؛ زیرا کسی فرقی بین این دو نگذاشته است</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59" w:name="__RefHeading___Toc586575_581953129"/>
      <w:bookmarkStart w:id="60" w:name="_Toc23"/>
      <w:bookmarkEnd w:id="59"/>
      <w:r>
        <w:rPr/>
        <w:t>3</w:t>
      </w:r>
      <w:r>
        <w:rPr>
          <w:rtl w:val="true"/>
        </w:rPr>
        <w:t xml:space="preserve">- </w:t>
      </w:r>
      <w:r>
        <w:rPr>
          <w:rtl w:val="true"/>
        </w:rPr>
        <w:t>شیخ طوسی</w:t>
      </w:r>
      <w:bookmarkEnd w:id="60"/>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آمین در هر صورت، نماز را قطع می‌کند؛ چه این که بلند، یا آهسته، در آخر سورۀ حمد، یا قبل از آن و به وسیلۀ امام، یا مأموم تلفّظ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bookmarkStart w:id="61" w:name="pg5280_34441"/>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 اجماع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اختلافی ندارند که تأمین، نماز را باطل می‌کند و همچنین هیچ اختلافی ندارند که اگر کسی آن را تلفّظ نکند، نمازش صحیح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وی در کتاب مبسوط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تروک نماز بر دو قسم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 و مسنون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تروک مفروض، چهارده عدد می‌باشد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تکتّف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را بغل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نگفتن آمین در خلال سورۀ حمد، یا آخر آن و</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62" w:name="__RefHeading___Toc586577_581953129"/>
      <w:bookmarkStart w:id="63" w:name="_Toc24"/>
      <w:bookmarkEnd w:id="62"/>
      <w:r>
        <w:rPr>
          <w:rtl w:val="true"/>
        </w:rPr>
        <w:t>امر ششم</w:t>
      </w:r>
      <w:r>
        <w:rPr>
          <w:rtl w:val="true"/>
        </w:rPr>
        <w:t xml:space="preserve">: </w:t>
      </w:r>
      <w:r>
        <w:rPr>
          <w:rtl w:val="true"/>
        </w:rPr>
        <w:t>نظر علمای اهل سنّت در مورد کلمۀ آمین</w:t>
      </w:r>
      <w:bookmarkEnd w:id="63"/>
    </w:p>
    <w:p>
      <w:pPr>
        <w:pStyle w:val="BookText"/>
        <w:rPr/>
      </w:pPr>
      <w:r>
        <w:rPr>
          <w:rFonts w:ascii="IRNazanin" w:hAnsi="IRNazanin" w:eastAsia="IRNazanin"/>
          <w:color w:val="111111"/>
          <w:sz w:val="28"/>
          <w:sz w:val="28"/>
          <w:szCs w:val="28"/>
          <w:rtl w:val="true"/>
          <w:lang w:bidi="fa-IR"/>
        </w:rPr>
        <w:t>ابوحنیفه و سفیان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 را بلند می‌گوید و مأموم آن را آهسته می‌گوید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مالک، دو روایت نقل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مثل قول ابوحنیفه است </w:t>
      </w:r>
      <w:r>
        <w:rPr>
          <w:rStyle w:val="FootnoteAnchor"/>
          <w:rtl w:val="true"/>
        </w:rPr>
        <w:footnoteReference w:id="34"/>
      </w:r>
      <w:r>
        <w:rPr>
          <w:rFonts w:ascii="IRNazanin" w:hAnsi="IRNazanin" w:eastAsia="IRNazanin"/>
          <w:color w:val="111111"/>
          <w:sz w:val="28"/>
          <w:sz w:val="28"/>
          <w:szCs w:val="28"/>
          <w:rtl w:val="true"/>
          <w:lang w:bidi="fa-IR"/>
        </w:rPr>
        <w:t>و دیگری این است که اصلاً آن را نگوید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 چنان بگوید که خودش بشنود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بلند بگوید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پیروان شافعی در این مسأله، نظرات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عدّه‌ای 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صفوف جماعت اندک و بهم نزدیک است به صورتی که صدای امام جماعت را می‌شنوند، آهسته گفتن مستحب است و اگر صفوف جماعت، زیاد و طولانی است و بسیاری از مردم صدای امام جماعت را نمی‌شنوند،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تا کسانی که در صفهای بعدی هستند، آن را بشنوند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احمد، اسحاق، ابوثور و عطا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برای مأمومین مستحب است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در روضة الطالبین می‌گوید</w:t>
      </w:r>
      <w:r>
        <w:rPr>
          <w:rFonts w:eastAsia="IRNazanin" w:cs="IRNazanin"/>
          <w:color w:val="111111"/>
          <w:sz w:val="28"/>
          <w:szCs w:val="28"/>
          <w:rtl w:val="true"/>
          <w:lang w:bidi="fa-IR"/>
        </w:rPr>
        <w:t>:</w:t>
      </w:r>
      <w:bookmarkStart w:id="64" w:name="pg5280_34443"/>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کسی که سورۀ فاتحه را در نماز، یا خارج آن می‌خواند، مستحب است که در آخر آن آمین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این کار برای امام و مأموم و کسی که نمازش را فرادا می‌خواند، یکسان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شوکانی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در مشروعیّت تأمین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نظر جمهور بر وجه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بزیزه از بعضی از اهل علم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ظهورِ صیغه امر بر وجوب، تأمین بر مأموم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ظاهریّه آن را بر هر نمازگزاری واجب دانسته‌اند، در حالی که ظاهرِ حدیث، آن را فقط بر مأموم واجب می‌کند و امّا برای امام جماعت و کسی که فرادا می‌خواند، فقط مستحب است</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65" w:name="__RefHeading___Toc586579_581953129"/>
      <w:bookmarkStart w:id="66" w:name="_Toc25"/>
      <w:bookmarkEnd w:id="65"/>
      <w:r>
        <w:rPr>
          <w:rtl w:val="true"/>
        </w:rPr>
        <w:t>امر هفتم</w:t>
      </w:r>
      <w:r>
        <w:rPr>
          <w:rtl w:val="true"/>
        </w:rPr>
        <w:t xml:space="preserve">: </w:t>
      </w:r>
      <w:r>
        <w:rPr>
          <w:rtl w:val="true"/>
        </w:rPr>
        <w:t>روایات کتب صحاح در بارۀ تأمین</w:t>
      </w:r>
      <w:bookmarkEnd w:id="66"/>
    </w:p>
    <w:p>
      <w:pPr>
        <w:pStyle w:val="Heading4"/>
        <w:numPr>
          <w:ilvl w:val="3"/>
          <w:numId w:val="1"/>
        </w:numPr>
        <w:rPr/>
      </w:pPr>
      <w:bookmarkStart w:id="67" w:name="__RefHeading___Toc586581_581953129"/>
      <w:bookmarkStart w:id="68" w:name="_Toc26"/>
      <w:bookmarkEnd w:id="67"/>
      <w:r>
        <w:rPr>
          <w:rtl w:val="true"/>
        </w:rPr>
        <w:t>اشاره</w:t>
      </w:r>
      <w:bookmarkEnd w:id="6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نظرات مختلفی را از فقهای عامّه دربارۀ تأمین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قایل به وجوب و برخی قایل به استحباب تأمین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w:t>
      </w:r>
    </w:p>
    <w:p>
      <w:pPr>
        <w:pStyle w:val="BookText"/>
        <w:rPr/>
      </w:pPr>
      <w:r>
        <w:rPr>
          <w:rFonts w:ascii="IRNazanin" w:hAnsi="IRNazanin" w:eastAsia="IRNazanin"/>
          <w:color w:val="111111"/>
          <w:sz w:val="28"/>
          <w:sz w:val="28"/>
          <w:szCs w:val="28"/>
          <w:rtl w:val="true"/>
          <w:lang w:bidi="fa-IR"/>
        </w:rPr>
        <w:t>است که این اختلاف، به روایاتی که بدان استناد کرده‌اند، باز می‌گردد؛ بنابراین، لازم است اسانید این روایات و اشکالات وارد بر آنها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با فرض سقوط سند، دلالت روایت نیز ساقط می‌شود و در این صورت، دلیلی باقی نمی‌ماند تا کسی براساس آن، به وجوب یا استحباب تأمین فتوا بدهد و این در حالی است که روایات صحیحی را نقل کردیم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قایلان به وجوب تأمین، به روایات مختلفی استناد کرده‌اند و ما به آنچه در کتب صحاح سِتّه آمده است،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این روایات از حیث اعتبار رُوات به دو طایفه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سلسله سند آنها به ابوهریره منتهی می‌شود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طایفۀ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غیر از ابوهریره منتهی 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معیار علمای عامّه در علم رجال، احادیث هر دو طایفه با اسانید صحیح روایت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طایفۀ اوّل به ابوهریره اعتماد و اطمینان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روایات ابوهریره را کنار بگذاریم و به آنها اعتماد نکنیم، در حالی که از موثق‌ترین اصحاب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بیشترین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بیش از پنج هزار حدیث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بودن و کثرتِ روایت، ملازم با موثّق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ادلّۀ علمایی که روایات ابوهریره را مردود دانسته و آنها را کنار گذاشته‌اند، بسیار زیاد و غیر قابل تأویل است که در این جا به بعضی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ابوهریره را بر إمارت بحرین منصوب کرد، پس از مدّتی، خلیفه مطّلع شد که ابوهریره اموال فراوانی جمع کرده و اسبهای زیادی را برای خودش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او را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عزل و پیش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وی پیش عمر حاضر شد، با عتاب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و قرآن، آیا اموال خدا را دزدیده‌ای؟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نکرده‌ام بلکه این اموال از هدایای مردم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ابن سعد و ابن حجر عسقلانی و ابن عبد ربّه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او را محاکمه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تو را بر ولایت بحرین منصوب کردم، پا برهنه بودی و الآن خبردار شده‌ام که اسبانی را به قیمت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خریده‌ای؟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هدایای مردم است که آنها را در داد و ستد به کار گرفته و زیاد گردانیده‌ام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نقل کرده است که ابوجعفر اسکافی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در نظر شیوخ ما فاسد است و روایاتش مورد قبول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با تازیانه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دیگر، آن قدر روایت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 که شایسته تر آن است که در بارۀ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دروغ را به آن حضرت نسبت می‌دهی</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عمر بن خطّاب، ابوهریره را سرزنش کرد و با تازیانه او را زد و او را از نقل روایت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نقل روایت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زیاده‌روی کرده‌ای که باید گفت تو، احادیث دروغ را به آن حضرت نسبت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نقل روایت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ندهی، تو را به قبیله‌ات دوس، یا به شام تبعید می‌کنم</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از استادش ابوجعفر اسکافی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 ابن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دروغگوترین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دروغگوترینِ زندگان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ابوهریرۀ دوسی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و حاکم و ذهبی و مسلم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بارها و 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کذّاب است؛ او احادیث بسیای را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وضع کرده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شیوخ معتزله و علمای مذهب حنفی، روایات ابوهریره را مردود دانسته و آنها را کنار گذاشته‌اند و اعلام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 یا فتوایی که براساس روایتی از ابوهریره صادر شده باشد، باطل و غیر قابل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ابوحنیفه می‌گفت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ثقه و عادل هستند و حدیثی که از طریق آنها نقل شده باشد، در نظر من صحیح و مقبول است، مگر احادیثی که از طریق ابوهریره انس بن مالک و سمره بن</w:t>
      </w:r>
      <w:bookmarkStart w:id="69" w:name="pg5280_34448"/>
    </w:p>
    <w:p>
      <w:pPr>
        <w:pStyle w:val="BookText"/>
        <w:rPr/>
      </w:pPr>
      <w:bookmarkEnd w:id="69"/>
      <w:r>
        <w:rPr>
          <w:rFonts w:ascii="IRNazanin" w:hAnsi="IRNazanin" w:eastAsia="IRNazanin"/>
          <w:color w:val="111111"/>
          <w:sz w:val="28"/>
          <w:sz w:val="28"/>
          <w:szCs w:val="28"/>
          <w:rtl w:val="true"/>
          <w:lang w:bidi="fa-IR"/>
        </w:rPr>
        <w:t>جندب نقل شده باشد که آنها را قبول نمی‌کنم و به نظر من مردود و متروک هستند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با این اوصاف، چگونه می‌توان به نقل روایت تأمین از ابوهریره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 طایفۀ دوّم را می‌توان به این ترتیب دسته‌بندی کرد</w:t>
      </w:r>
      <w:r>
        <w:rPr>
          <w:rFonts w:eastAsia="IRNazanin" w:cs="IRNazanin"/>
          <w:color w:val="111111"/>
          <w:sz w:val="28"/>
          <w:szCs w:val="28"/>
          <w:rtl w:val="true"/>
          <w:lang w:bidi="fa-IR"/>
        </w:rPr>
        <w:t>.</w:t>
      </w:r>
    </w:p>
    <w:p>
      <w:pPr>
        <w:pStyle w:val="Heading4"/>
        <w:numPr>
          <w:ilvl w:val="3"/>
          <w:numId w:val="1"/>
        </w:numPr>
        <w:rPr/>
      </w:pPr>
      <w:bookmarkStart w:id="70" w:name="__RefHeading___Toc586583_581953129"/>
      <w:bookmarkStart w:id="71" w:name="_Toc27"/>
      <w:bookmarkEnd w:id="70"/>
      <w:r>
        <w:rPr>
          <w:rtl w:val="true"/>
        </w:rPr>
        <w:t>الف</w:t>
      </w:r>
      <w:r>
        <w:rPr>
          <w:rtl w:val="true"/>
        </w:rPr>
        <w:t xml:space="preserve">: </w:t>
      </w:r>
      <w:r>
        <w:rPr>
          <w:rtl w:val="true"/>
        </w:rPr>
        <w:t>روایاتی که در سنن ابن ماجه آمده است</w:t>
      </w:r>
      <w:bookmarkEnd w:id="71"/>
    </w:p>
    <w:p>
      <w:pPr>
        <w:pStyle w:val="BookText"/>
        <w:rPr/>
      </w:pPr>
      <w:r>
        <w:rPr>
          <w:rStyle w:val="FootnoteAnchor"/>
          <w:rtl w:val="true"/>
        </w:rPr>
        <w:footnoteReference w:id="49"/>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ابی شیبه، از حُمَید بن عبدالرحمن، از ابن ابی‌لیلی، از سلمة بن کهیل، از حجیة بن عدی، از علی علیه السلام برای ما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پس از وَلا الضّالینَ،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صبّاح و عمّار بن خالد واسطی، از ابوبکر بن عیاش، از ابی اسحاق، از عبدالجبّار بن وائل، از پدرش برای ما روایت 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او پس از وَ لَا الضّالینَ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 ما این را از او شنیدیم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منصور، از عبدالصمد بن عبدالوارث، از حماد بن سلمه، از سهیل بن ابی صالح، از پدرش، از عایشه،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حَسَدَتْکُم الیهودُ عَلی شیء، ما حسدَتْکُم علی السَّلامِ و التأمینِ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بر چیزی همانند سلام و تأمین بر شما حسادت نمی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ولید خلّال دمشقی، از مروان بن محمّد و ابومسهر، از خالد بن یزید بن صبیح مری، از طلحة بن عمرو، از عطاء، از 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حَسَدَتْکُم الیهودُ عَلی شیء، ما حسدَتْکُم عَلی آمینَ، فاکثروا من قولِ آمین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بر چیزی همانند قول آمین بر شما حسادت نمی‌ورزند، پس آمین را زیاد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سند تمام این روایات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مورد روایت اوّل، بشّار عوّاد گفته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آن ضعیف است؛ زیرا حمید بن عبدالرحمن بن ابی لیلی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 بد حافظه بود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شعبه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ندیدم که بدتر از ابن ابی لیلی، مطالب را حفظ کند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 نسبت به حجیة بن عدی، ابو حاتم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حدیث او احتجاج نمی‌شود؛ چون شبیه به مجهول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مورد روایت دوّم، بشّار عواد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آن به خاطر انقطاع، ضعیف است؛ چون عبدالجبار بن وائل بن حجر، چیزی را از پدرش نشنیده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بخاری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عبدالجبّار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بعد از وفات پدرش به دنیا آمده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ابن حبّان گفته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عبدالجبّار بن وائل شش ماه پس از مرگ پدرش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زمانی که وائل بن حجر از دنیا رفت، مادر عبدالجبّار به او حامله بود و این انقطاعی است که حجّیّت حدیث را نقض می کند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مورد روایت سوّم باید گفت که در سلسله سند آن سهیل بن ابی صالح وجود دارد که حدیث او قابل احتجاج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الدوری، از ابن معین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سهیل بن ابی‌صالح و علاءبن عبدالرحمن مثل هم می‌باشد و قابل احتجاج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سُهیل نوشته می‌شود، امّا به آن احتجاج نمی‌شود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مورد روایت چهارم، بشّار عوّاد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آن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بوصیری گفته است؛ این سند ضعیف است؛ چون علمای رجال بر ضعف طلحة بن عمرو اتّفاق نظر دارند و احادیث او متروک و بسیار ضعیف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ابن معین در تاریخ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یحیی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عمرو ضعیف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ابن سعد می‌نویسد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طلحة بن عمرو در سال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بسیاری نقل کرده و بسیار ضعیف بود</w:t>
      </w:r>
      <w:r>
        <w:rPr>
          <w:rFonts w:eastAsia="IRNazanin" w:cs="IRNazanin"/>
          <w:color w:val="111111"/>
          <w:sz w:val="28"/>
          <w:szCs w:val="28"/>
          <w:rtl w:val="true"/>
          <w:lang w:bidi="fa-IR"/>
        </w:rPr>
        <w:t xml:space="preserve">». </w:t>
      </w:r>
      <w:r>
        <w:rPr>
          <w:rStyle w:val="FootnoteAnchor"/>
          <w:rtl w:val="true"/>
        </w:rPr>
        <w:footnoteReference w:id="59"/>
      </w:r>
      <w:bookmarkStart w:id="72" w:name="pg5280_34452"/>
    </w:p>
    <w:p>
      <w:pPr>
        <w:pStyle w:val="Heading4"/>
        <w:numPr>
          <w:ilvl w:val="3"/>
          <w:numId w:val="1"/>
        </w:numPr>
        <w:rPr/>
      </w:pPr>
      <w:bookmarkStart w:id="73" w:name="__RefHeading___Toc586585_581953129"/>
      <w:bookmarkStart w:id="74" w:name="_Toc28"/>
      <w:bookmarkEnd w:id="72"/>
      <w:bookmarkEnd w:id="73"/>
      <w:r>
        <w:rPr>
          <w:rtl w:val="true"/>
        </w:rPr>
        <w:t>ب</w:t>
      </w:r>
      <w:r>
        <w:rPr>
          <w:rtl w:val="true"/>
        </w:rPr>
        <w:t xml:space="preserve">: </w:t>
      </w:r>
      <w:r>
        <w:rPr>
          <w:rtl w:val="true"/>
        </w:rPr>
        <w:t>روایاتی که در سنن ابی داوود آمده است</w:t>
      </w:r>
      <w:bookmarkEnd w:id="74"/>
    </w:p>
    <w:p>
      <w:pPr>
        <w:pStyle w:val="BookText"/>
        <w:rPr/>
      </w:pPr>
      <w:r>
        <w:rPr>
          <w:rStyle w:val="FootnoteAnchor"/>
          <w:rtl w:val="true"/>
        </w:rPr>
        <w:footnoteReference w:id="60"/>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کثیر، از سفیان، از سلمه، از حجر بن عنبس حضرمی، از وائل بن حجر برای ما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ولاالضالین را قرائت می‌کرد، با صدای بلند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 بن خالد شعیری، از ابن نمیر، از علیّ بن صالح، از سلمة بن کهیل، از حجر بن عنبس، از وائل بن حجر برای ما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صدای بلند آمین گفت و به طرف راست و چپ خود سلام کرد، به گونه‌ای که سفیدی گونه‌اش را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ابراهیم بن راهویه، از وکیع از سفیان، از عاصم، از ابی عثمان، از بلال برای ما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آمین گفتن بر من سبقت نگیر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عتبۀ دمشقی و محمودبن خالد، از فریابی، از صبیح بن محرز حمصی، از ابومصبح مقرایی برای ما روایت کرده‌اند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ابی زهیر نمیری که از اصحاب بود، می‌نشستیم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بهترین حدیثها را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ما دعا</w:t>
      </w:r>
    </w:p>
    <w:p>
      <w:pPr>
        <w:pStyle w:val="BookText"/>
        <w:rPr/>
      </w:pPr>
      <w:r>
        <w:rPr>
          <w:rFonts w:ascii="IRNazanin" w:hAnsi="IRNazanin" w:eastAsia="IRNazanin"/>
          <w:color w:val="111111"/>
          <w:sz w:val="28"/>
          <w:sz w:val="28"/>
          <w:szCs w:val="28"/>
          <w:rtl w:val="true"/>
          <w:lang w:bidi="fa-IR"/>
        </w:rPr>
        <w:t>می‌کرد،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آمین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آمین همانند مهری است که بر پایان نامه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بیان حکمت این کار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مردی رسیدیم که اصرار داشت تا آن حضرت به درخواست او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به عریضۀ او گوش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ختم می‌کرد، برآورده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ازهمراهان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چه چیزی ختم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خواستش را به آمین ختم می‌کرد، برآورده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این سؤال را مطرح کرده بود، پیش آن درخواست کننده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خود را به آمین ختم کن و بشارت می‌دهم که در آن صورت، خواسته‌ات برآورده می‌شود و این لفظ پسندیده‌ای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مقرا، اسم یکی از قبایل حِمیر است</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روایات نیز مورد اشکال است؛ زیرا در سند روایت اوّل اختلاف شده است؛ از سویی حافظ در تلخیص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آن صحیح است و دارقطنی آن را روایت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ابن قطان به آن اشکال کرده 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 بن عنبس مجهول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سند روایت دوّم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صحیح آن چنان که صاحب تهذیب الکمال گفته است، </w:t>
      </w:r>
      <w:r>
        <w:rPr>
          <w:rStyle w:val="FootnoteAnchor"/>
          <w:rtl w:val="true"/>
        </w:rPr>
        <w:footnoteReference w:id="63"/>
      </w:r>
      <w:r>
        <w:rPr>
          <w:rFonts w:ascii="IRNazanin" w:hAnsi="IRNazanin" w:eastAsia="IRNazanin"/>
          <w:color w:val="111111"/>
          <w:sz w:val="28"/>
          <w:sz w:val="28"/>
          <w:szCs w:val="28"/>
          <w:rtl w:val="true"/>
          <w:lang w:bidi="fa-IR"/>
        </w:rPr>
        <w:t>علاء بن صالح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ثقه بودن وی اختلاف شده است؛ از سویی ابن معین و ابوحاتم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سویی دیگر، ابن مدینی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احادیث منکری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روایات او عمل نمی‌شود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ابن حجر عسقلانی در تهذیب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راستگو، ولی دچار اوهام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سند 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جبان می‌نویسد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سعد، میل کمی به نقل روایتهای او داشت و 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دیدم که به بازار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را کنار بگذارید که من چیزی از او روایت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وهیب روایات او را کنار گذاشته بود، زیرا برخی از حالات ورفتار او مورد انتقاد وی بود</w:t>
      </w:r>
      <w:r>
        <w:rPr>
          <w:rFonts w:eastAsia="IRNazanin" w:cs="IRNazanin"/>
          <w:color w:val="111111"/>
          <w:sz w:val="28"/>
          <w:szCs w:val="28"/>
          <w:rtl w:val="true"/>
          <w:lang w:bidi="fa-IR"/>
        </w:rPr>
        <w:t xml:space="preserve">». </w:t>
      </w:r>
      <w:r>
        <w:rPr>
          <w:rStyle w:val="FootnoteAnchor"/>
          <w:rtl w:val="true"/>
        </w:rPr>
        <w:footnoteReference w:id="66"/>
      </w:r>
      <w:bookmarkStart w:id="75" w:name="pg5280_34455"/>
    </w:p>
    <w:p>
      <w:pPr>
        <w:pStyle w:val="BookText"/>
        <w:rPr/>
      </w:pPr>
      <w:bookmarkEnd w:id="75"/>
      <w:r>
        <w:rPr>
          <w:rFonts w:ascii="IRNazanin" w:hAnsi="IRNazanin" w:eastAsia="IRNazanin"/>
          <w:color w:val="111111"/>
          <w:sz w:val="28"/>
          <w:sz w:val="28"/>
          <w:szCs w:val="28"/>
          <w:rtl w:val="true"/>
          <w:lang w:bidi="fa-IR"/>
        </w:rPr>
        <w:t xml:space="preserve">در سند روایت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ابومصبح مقرایی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او کسی است که به روایاتش احتجاج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رازی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را با کنیه‌اش نمی‌شناسند، حال چگونه اسمش شناخته می‌شود؟ و ابوعمرو نمری، این حدیث را از او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درست نیست</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76" w:name="__RefHeading___Toc586587_581953129"/>
      <w:bookmarkStart w:id="77" w:name="_Toc29"/>
      <w:bookmarkEnd w:id="76"/>
      <w:r>
        <w:rPr>
          <w:rtl w:val="true"/>
        </w:rPr>
        <w:t>ج</w:t>
      </w:r>
      <w:r>
        <w:rPr>
          <w:rtl w:val="true"/>
        </w:rPr>
        <w:t xml:space="preserve">: </w:t>
      </w:r>
      <w:r>
        <w:rPr>
          <w:rtl w:val="true"/>
        </w:rPr>
        <w:t>روایاتی که در سنن ترمذی آمده است</w:t>
      </w:r>
      <w:bookmarkEnd w:id="77"/>
    </w:p>
    <w:p>
      <w:pPr>
        <w:pStyle w:val="BookText"/>
        <w:rPr/>
      </w:pPr>
      <w:r>
        <w:rPr>
          <w:rStyle w:val="FootnoteAnchor"/>
          <w:rtl w:val="true"/>
        </w:rPr>
        <w:footnoteReference w:id="68"/>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 از محمّد بن بشّار، از یحیی بن سعید و عبدالرحمن بن مهدی، از سفیان، از سلمة بن کهیل، از حجر بن عنبس، از وائل بن حجر برای ما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الْمَغْضُوبِ عَلَیْهِمْ وَلاَ الضَّآلِّینَ را قرائت کرد و سپس با صدای بلند و کشیده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ابوعیسی، از ابوبکر محمّد بن ابان، از سلمة بن کهیل، از حجر بن عنبس، از وائل بن حجر،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حدیث سفیان از سلمة بن کهیل را برای ما روایت کرده است</w:t>
      </w:r>
      <w:r>
        <w:rPr>
          <w:rFonts w:eastAsia="IRNazanin" w:cs="IRNazanin"/>
          <w:color w:val="111111"/>
          <w:sz w:val="28"/>
          <w:szCs w:val="28"/>
          <w:rtl w:val="true"/>
          <w:lang w:bidi="fa-IR"/>
        </w:rPr>
        <w:t xml:space="preserve">». </w:t>
      </w:r>
      <w:r>
        <w:rPr>
          <w:rStyle w:val="FootnoteAnchor"/>
          <w:rtl w:val="true"/>
        </w:rPr>
        <w:footnoteReference w:id="70"/>
      </w:r>
      <w:bookmarkStart w:id="78" w:name="pg5280_34456"/>
    </w:p>
    <w:p>
      <w:pPr>
        <w:pStyle w:val="BookText"/>
        <w:rPr/>
      </w:pPr>
      <w:bookmarkEnd w:id="78"/>
      <w:r>
        <w:rPr>
          <w:rFonts w:ascii="IRNazanin" w:hAnsi="IRNazanin" w:eastAsia="IRNazanin"/>
          <w:color w:val="111111"/>
          <w:sz w:val="28"/>
          <w:sz w:val="28"/>
          <w:szCs w:val="28"/>
          <w:rtl w:val="true"/>
          <w:lang w:bidi="fa-IR"/>
        </w:rPr>
        <w:t xml:space="preserve">سند این دو روایت نیز مورد اشکال است؛ زیرا در سند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قول او در نظر بعضی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متّهم به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 او را تکذیب کرده است و عبدالله دورقی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یحیی بن معین بودیم که صحبت از بندار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یحیی به او اعتنایی نمی‌کند و او را ضعیف می‌شمارد و دیدم که قواریری از او راضی نیست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روایت دوّم هم از حیث سند نا تمام است؛ زیرا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عنبس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که بنا به گفتۀ بعضی از علمای رجال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شناختۀ، یا ضعیف هستند</w:t>
      </w:r>
      <w:r>
        <w:rPr>
          <w:rFonts w:eastAsia="IRNazanin" w:cs="IRNazanin"/>
          <w:color w:val="111111"/>
          <w:sz w:val="28"/>
          <w:szCs w:val="28"/>
          <w:rtl w:val="true"/>
          <w:lang w:bidi="fa-IR"/>
        </w:rPr>
        <w:t>.</w:t>
      </w:r>
    </w:p>
    <w:p>
      <w:pPr>
        <w:pStyle w:val="Heading2"/>
        <w:numPr>
          <w:ilvl w:val="1"/>
          <w:numId w:val="1"/>
        </w:numPr>
        <w:rPr/>
      </w:pPr>
      <w:bookmarkStart w:id="79" w:name="__RefHeading___Toc586589_581953129"/>
      <w:bookmarkStart w:id="80" w:name="_Toc30"/>
      <w:bookmarkEnd w:id="79"/>
      <w:r>
        <w:rPr>
          <w:rtl w:val="true"/>
        </w:rPr>
        <w:t>نتیجۀ بحث</w:t>
      </w:r>
      <w:bookmarkEnd w:id="80"/>
    </w:p>
    <w:p>
      <w:pPr>
        <w:pStyle w:val="BookText"/>
        <w:rPr/>
      </w:pPr>
      <w:r>
        <w:rPr>
          <w:rFonts w:ascii="IRNazanin" w:hAnsi="IRNazanin" w:eastAsia="IRNazanin"/>
          <w:color w:val="111111"/>
          <w:sz w:val="28"/>
          <w:sz w:val="28"/>
          <w:szCs w:val="28"/>
          <w:rtl w:val="true"/>
          <w:lang w:bidi="fa-IR"/>
        </w:rPr>
        <w:t>نتیجۀ بحث در مورد تأمین را در امور زیر می‌توان خلاصه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عبادات است و نزد تمام مذاهب ثابت شده است که عبادات، توقیفی هستند و در این صورت، تعیین ماهیّت و احکام آنها بر عهدۀ شارع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صحاح اهل سنّت که نزد آنان معتبر هستند، کیفیّت نماز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 راویان اسناد این روایات، در نظر آنان از افراد ثقه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 السلام به پیروانشان دستور داده‌اند که برای حفظ سنّت 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تحریف،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وارد کردن هر کلمه غریب دیگری در نماز، خودداری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نماز در نظر اهل بیت علیه السلام بر حسب آنچه روایاتشان آن را نقل می‌کند، مطابق با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می‌باشد و این نکته، از مشترکات روایات ایشان و بعضی از روایتهای کتب صحاحِ ستّه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علمای امامیّه با استناد به روایاتی که از ائمّه علیه السلام نقل شده است، به عدم جواز تأمین در نماز فتوا داده‌اند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موضعگیری علمای عامّه دربارۀ حکم تأمین در نماز، بر خلاف مدارک روایی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بحثهای گذشته، روایاتی را مورد بررسی قرار دادیم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را نقل نکرده بود، در صورتی که راویان اسناد آن موثق بودند، ولی روایات دیگری،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آن را سنّتی از سنّتهای نماز دانسته بودند که ضعف اسناد آنها را مشاهده کردیم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نمی‌شود، مگر بعد از 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اگر آن را نگوید، سورۀ فاتحه را به طور کامل ادا نکرده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الاُمّ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باب التأمین عندالفراغ من قراءة امّ القرآن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الاربعه، عبدالرحمن جزیری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حکم الاتیان بقول آمین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الغطاء، جعفر کاشف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فایدۀ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کتاب الأدب و در ج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 اجازة الخبر الواحد فی الأذان و الاقامه؛ سنن 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کتاب الصلاة، باب ذکر الأمر بالأذان و الاقامه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افتتاح الصلاة، 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باب صفة الصلاة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ابوهریره، سهل ساعدی، ابواُسید ساعدی، ابوقتاده، حارث بن ربعی و محمّد بن مسلمه بوده‌اند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اهل بیت علیهم السلام کسانی هستند که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ِعدل قرآن کریم قرار داده و تمسّک به قرآن و ایشان را واجب گردانیده و پیروی از غیر این دو جایز نیست؛ بنابراین، اگر عترت طاهرین، گفتن آمین را در نماز تحریم کرده‌اند، باید از آنان اطاعت شود و در نماز، ذکر نگردد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کتاب الصلاة، باب عدم جواز التأمین فی آخر الحمد،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673/4</w:t>
      </w:r>
      <w:r>
        <w:rPr>
          <w:rFonts w:ascii="IRNazanin" w:hAnsi="IRNazanin" w:eastAsia="IRNazanin"/>
          <w:b w:val="false"/>
          <w:b w:val="false"/>
          <w:bCs w:val="false"/>
          <w:i w:val="false"/>
          <w:i w:val="false"/>
          <w:iCs w:val="false"/>
          <w:color w:val="333333"/>
          <w:sz w:val="20"/>
          <w:sz w:val="20"/>
          <w:szCs w:val="20"/>
          <w:rtl w:val="true"/>
        </w:rPr>
        <w:t>، ابواب افعال الصلاة، باب کیفیتها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رجال این حدیث ثقه هستند؛ چنان که در معجم رجال الحدیث، از مرحوم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شرح حال </w:t>
      </w:r>
      <w:r>
        <w:rPr>
          <w:rFonts w:eastAsia="IRNazanin" w:cs="IRNazanin"/>
          <w:b w:val="false"/>
          <w:bCs w:val="false"/>
          <w:i w:val="false"/>
          <w:iCs w:val="false"/>
          <w:color w:val="333333"/>
          <w:sz w:val="20"/>
          <w:szCs w:val="20"/>
        </w:rPr>
        <w:t>10554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از کتاب العلل؛ 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صحیح است و رجال آن ثقه هستند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شرح حال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رجال آن ثقه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از آیت الله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50/18</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Pr>
        <w:t>12037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84/15</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Pr>
        <w:t>10235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Pr>
        <w:t>11977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حال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جلد؛ الفهرست،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حال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رجال 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آن ثقه هستند؛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رجال 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آن ثقه هستند؛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از آیت الله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Pr>
        <w:t>11401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آن ثقه هستند؛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از آیت الله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84/15</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Pr>
        <w:t>10235</w:t>
      </w:r>
      <w:r>
        <w:rPr>
          <w:rFonts w:ascii="IRNazanin" w:hAnsi="IRNazanin" w:eastAsia="IRNazanin"/>
          <w:b w:val="false"/>
          <w:b w:val="false"/>
          <w:bCs w:val="false"/>
          <w:i w:val="false"/>
          <w:i w:val="false"/>
          <w:iCs w:val="false"/>
          <w:color w:val="333333"/>
          <w:sz w:val="20"/>
          <w:sz w:val="20"/>
          <w:szCs w:val="20"/>
          <w:rtl w:val="true"/>
        </w:rPr>
        <w:t>؛ الفهرست، 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رجال 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Pr>
        <w:t>12457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المقنعه،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368/3</w:t>
      </w:r>
      <w:r>
        <w:rPr>
          <w:rFonts w:ascii="IRNazanin" w:hAnsi="IRNazanin" w:eastAsia="IRNazanin"/>
          <w:b w:val="false"/>
          <w:b w:val="false"/>
          <w:bCs w:val="false"/>
          <w:i w:val="false"/>
          <w:i w:val="false"/>
          <w:iCs w:val="false"/>
          <w:color w:val="333333"/>
          <w:sz w:val="20"/>
          <w:sz w:val="20"/>
          <w:szCs w:val="20"/>
          <w:rtl w:val="true"/>
        </w:rPr>
        <w:t>؛ الفتاوی الهندیّه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المغنی،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شرح 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اختلاف العلما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الانتصار، سیّد مرتضی علم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المغنی،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المغنی،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الطالبین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کتاب الصلاة، باب فی صفة الصلاة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التأمین و الجهر به مع القراءة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کتاب الأذان، باب فضل التأمین و باب جهر المأموم بالتأمین؛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کتاب الصلاة و باب التسمیع و التحمید و التأمین؛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کتاب الصلاة، باب الجهر بآمین، و باب فضل الأمر بالتأمین خلفَ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از روایات وارد شده در سنن ابن ماجه و سنن ابی داوود و جامع ترمذی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ابن اثیر، حوادث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الطبقات الکبری،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شرح نهج‌البلاغه، ابن ابی‌الحدید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از سخنان علی علیه السلام به اصحابش در شرح خطبۀ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المضیره ابوهریره، محمود ابوریّه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سیر أعلام النبلاء،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ascii="IRNazanin" w:hAnsi="IRNazanin" w:eastAsia="IRNazanin"/>
          <w:b w:val="false"/>
          <w:b w:val="false"/>
          <w:bCs w:val="false"/>
          <w:i w:val="false"/>
          <w:i w:val="false"/>
          <w:iCs w:val="false"/>
          <w:color w:val="333333"/>
          <w:sz w:val="20"/>
          <w:sz w:val="20"/>
          <w:szCs w:val="20"/>
          <w:rtl w:val="true"/>
        </w:rPr>
        <w:t xml:space="preserve">، کتاب معرفة الصحابه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ابوهریره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الاصول فی شرح مرقاة الوصول، محمّد بن فراموز حنفی، بحث سوّم در بیان حال راوی؛ شیخ المضیرة ابوهریره، محمود ابوریّه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کتاب الصلاة، باب الجهر بآمین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سنن بن ماجه، بشّار عوّاد معروف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تحفه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10065</w:t>
      </w:r>
      <w:r>
        <w:rPr>
          <w:rFonts w:ascii="IRNazanin" w:hAnsi="IRNazanin" w:eastAsia="IRNazanin"/>
          <w:b w:val="false"/>
          <w:b w:val="false"/>
          <w:bCs w:val="false"/>
          <w:i w:val="false"/>
          <w:i w:val="false"/>
          <w:iCs w:val="false"/>
          <w:color w:val="333333"/>
          <w:sz w:val="20"/>
          <w:sz w:val="20"/>
          <w:szCs w:val="20"/>
          <w:rtl w:val="true"/>
        </w:rPr>
        <w:t>؛ المسند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سنن ابن ماجه، بشّار عواد معروف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باب من اسمه عبدالجبّار، شرح حال عبدالجبّار بن وائل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الکبیر، نجاری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المجروحین،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سُهیل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سنن ابن ماجه، بشّار عوّاد معروف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تضعیف ابن ماجه، الالبانی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تحفة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5897</w:t>
      </w:r>
      <w:r>
        <w:rPr>
          <w:rFonts w:ascii="IRNazanin" w:hAnsi="IRNazanin" w:eastAsia="IRNazanin"/>
          <w:b w:val="false"/>
          <w:b w:val="false"/>
          <w:bCs w:val="false"/>
          <w:i w:val="false"/>
          <w:i w:val="false"/>
          <w:iCs w:val="false"/>
          <w:color w:val="333333"/>
          <w:sz w:val="20"/>
          <w:sz w:val="20"/>
          <w:szCs w:val="20"/>
          <w:rtl w:val="true"/>
        </w:rPr>
        <w:t>؛ المسند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الصلاة، باب التأمین وراء الامام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کتاب الصلاه، باب التأمین وراءالامام، ح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عون المعبود، شرح 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 یوسف المزی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شمارۀ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 یوسف المزی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 ابن حجر عسقلانی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کتاب الصلاه، باب ما جاء فی التأمین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باب ما جاء فی التأمین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باب ما جاء فی التأمین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9241</Words>
  <Characters>36074</Characters>
  <CharactersWithSpaces>44968</CharactersWithSpaces>
  <Paragraphs>449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2026-08-19T00:40:32Z</dcterms:created>
  <dc:creator>ghaemiyeh.com</dc:creator>
  <dc:description/>
  <dc:language>en-US</dc:language>
  <cp:lastModifiedBy/>
  <dcterms:modified xsi:type="dcterms:W3CDTF">2026-08-19T04:10:34Z</dcterms:modified>
  <cp:revision>1</cp:revision>
  <dc:subject/>
  <dc:title>حکم آمین گفتن در نماز</dc:title>
</cp:coreProperties>
</file>

<file path=docProps/custom.xml><?xml version="1.0" encoding="utf-8"?>
<Properties xmlns="http://schemas.openxmlformats.org/officeDocument/2006/custom-properties" xmlns:vt="http://schemas.openxmlformats.org/officeDocument/2006/docPropsVTypes"/>
</file>