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معاصره فی الساحه الدولیه اثارات العلمانیه الغربیه حول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942_581953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76944_581953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76946_581953129">
            <w:r>
              <w:rPr>
                <w:webHidden/>
                <w:rStyle w:val="IndexLink"/>
                <w:rtl w:val="true"/>
              </w:rPr>
              <w:t>مقدمّة المرکز</w:t>
            </w:r>
            <w:r>
              <w:rPr>
                <w:rStyle w:val="IndexLink"/>
                <w:rtl w:val="true"/>
              </w:rPr>
              <w:tab/>
            </w:r>
            <w:r>
              <w:rPr>
                <w:rStyle w:val="IndexLink"/>
              </w:rPr>
              <w:t>18</w:t>
            </w:r>
          </w:hyperlink>
        </w:p>
        <w:p>
          <w:pPr>
            <w:pStyle w:val="Contents2"/>
            <w:tabs>
              <w:tab w:val="clear" w:pos="8743"/>
              <w:tab w:val="right" w:pos="9026" w:leader="dot"/>
            </w:tabs>
            <w:rPr/>
          </w:pPr>
          <w:hyperlink w:anchor="__RefHeading___Toc476948_581953129">
            <w:r>
              <w:rPr>
                <w:webHidden/>
                <w:rStyle w:val="IndexLink"/>
              </w:rPr>
              <w:t>1</w:t>
            </w:r>
            <w:r>
              <w:rPr>
                <w:rStyle w:val="IndexLink"/>
                <w:rtl w:val="true"/>
              </w:rPr>
              <w:t xml:space="preserve">- </w:t>
            </w:r>
            <w:r>
              <w:rPr>
                <w:rStyle w:val="IndexLink"/>
                <w:rtl w:val="true"/>
              </w:rPr>
              <w:t>إثارات العلمانیة الغربیة حول الإسلام</w:t>
            </w:r>
            <w:r>
              <w:rPr>
                <w:rStyle w:val="IndexLink"/>
                <w:rtl w:val="true"/>
              </w:rPr>
              <w:tab/>
            </w:r>
            <w:r>
              <w:rPr>
                <w:rStyle w:val="IndexLink"/>
              </w:rPr>
              <w:t>23</w:t>
            </w:r>
          </w:hyperlink>
        </w:p>
        <w:p>
          <w:pPr>
            <w:pStyle w:val="Contents3"/>
            <w:tabs>
              <w:tab w:val="clear" w:pos="8459"/>
              <w:tab w:val="right" w:pos="9026" w:leader="dot"/>
            </w:tabs>
            <w:rPr/>
          </w:pPr>
          <w:hyperlink w:anchor="__RefHeading___Toc476950_58195312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476952_581953129">
            <w:r>
              <w:rPr>
                <w:webHidden/>
                <w:rStyle w:val="IndexLink"/>
                <w:rtl w:val="true"/>
              </w:rPr>
              <w:t>المقدّمة</w:t>
            </w:r>
            <w:r>
              <w:rPr>
                <w:rStyle w:val="IndexLink"/>
                <w:rtl w:val="true"/>
              </w:rPr>
              <w:tab/>
            </w:r>
            <w:r>
              <w:rPr>
                <w:rStyle w:val="IndexLink"/>
              </w:rPr>
              <w:t>24</w:t>
            </w:r>
          </w:hyperlink>
        </w:p>
        <w:p>
          <w:pPr>
            <w:pStyle w:val="Contents3"/>
            <w:tabs>
              <w:tab w:val="clear" w:pos="8459"/>
              <w:tab w:val="right" w:pos="9026" w:leader="dot"/>
            </w:tabs>
            <w:rPr/>
          </w:pPr>
          <w:hyperlink w:anchor="__RefHeading___Toc476954_581953129">
            <w:r>
              <w:rPr>
                <w:webHidden/>
                <w:rStyle w:val="IndexLink"/>
                <w:rtl w:val="true"/>
              </w:rPr>
              <w:t xml:space="preserve">المحاضرة الأولی </w:t>
            </w:r>
            <w:r>
              <w:rPr>
                <w:rStyle w:val="IndexLink"/>
                <w:rtl w:val="true"/>
              </w:rPr>
              <w:t>:</w:t>
            </w:r>
            <w:r>
              <w:rPr>
                <w:rStyle w:val="IndexLink"/>
                <w:rtl w:val="true"/>
              </w:rPr>
              <w:t>الفرق بین الشریعة والدین</w:t>
            </w:r>
            <w:r>
              <w:rPr>
                <w:rStyle w:val="IndexLink"/>
                <w:rtl w:val="true"/>
              </w:rPr>
              <w:tab/>
            </w:r>
            <w:r>
              <w:rPr>
                <w:rStyle w:val="IndexLink"/>
              </w:rPr>
              <w:t>25</w:t>
            </w:r>
          </w:hyperlink>
        </w:p>
        <w:p>
          <w:pPr>
            <w:pStyle w:val="Contents4"/>
            <w:tabs>
              <w:tab w:val="clear" w:pos="8176"/>
              <w:tab w:val="right" w:pos="9026" w:leader="dot"/>
            </w:tabs>
            <w:rPr/>
          </w:pPr>
          <w:hyperlink w:anchor="__RefHeading___Toc476956_58195312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76958_581953129">
            <w:r>
              <w:rPr>
                <w:webHidden/>
                <w:rStyle w:val="IndexLink"/>
                <w:rtl w:val="true"/>
              </w:rPr>
              <w:t>الدین الإسلامی خالد</w:t>
            </w:r>
            <w:r>
              <w:rPr>
                <w:rStyle w:val="IndexLink"/>
                <w:rtl w:val="true"/>
              </w:rPr>
              <w:tab/>
            </w:r>
            <w:r>
              <w:rPr>
                <w:rStyle w:val="IndexLink"/>
              </w:rPr>
              <w:t>26</w:t>
            </w:r>
          </w:hyperlink>
        </w:p>
        <w:p>
          <w:pPr>
            <w:pStyle w:val="Contents4"/>
            <w:tabs>
              <w:tab w:val="clear" w:pos="8176"/>
              <w:tab w:val="right" w:pos="9026" w:leader="dot"/>
            </w:tabs>
            <w:rPr/>
          </w:pPr>
          <w:hyperlink w:anchor="__RefHeading___Toc476960_581953129">
            <w:r>
              <w:rPr>
                <w:webHidden/>
                <w:rStyle w:val="IndexLink"/>
                <w:rtl w:val="true"/>
              </w:rPr>
              <w:t>المجتمعات العلمانیة لم تُطلّق الدین طلاقاً مؤبّداً</w:t>
            </w:r>
            <w:r>
              <w:rPr>
                <w:rStyle w:val="IndexLink"/>
                <w:rtl w:val="true"/>
              </w:rPr>
              <w:tab/>
            </w:r>
            <w:r>
              <w:rPr>
                <w:rStyle w:val="IndexLink"/>
              </w:rPr>
              <w:t>26</w:t>
            </w:r>
          </w:hyperlink>
        </w:p>
        <w:p>
          <w:pPr>
            <w:pStyle w:val="Contents4"/>
            <w:tabs>
              <w:tab w:val="clear" w:pos="8176"/>
              <w:tab w:val="right" w:pos="9026" w:leader="dot"/>
            </w:tabs>
            <w:rPr/>
          </w:pPr>
          <w:hyperlink w:anchor="__RefHeading___Toc476962_581953129">
            <w:r>
              <w:rPr>
                <w:webHidden/>
                <w:rStyle w:val="IndexLink"/>
                <w:rtl w:val="true"/>
              </w:rPr>
              <w:t>الدین واحد والشرائع متعدّدة</w:t>
            </w:r>
            <w:r>
              <w:rPr>
                <w:rStyle w:val="IndexLink"/>
                <w:rtl w:val="true"/>
              </w:rPr>
              <w:tab/>
            </w:r>
            <w:r>
              <w:rPr>
                <w:rStyle w:val="IndexLink"/>
              </w:rPr>
              <w:t>27</w:t>
            </w:r>
          </w:hyperlink>
        </w:p>
        <w:p>
          <w:pPr>
            <w:pStyle w:val="Contents4"/>
            <w:tabs>
              <w:tab w:val="clear" w:pos="8176"/>
              <w:tab w:val="right" w:pos="9026" w:leader="dot"/>
            </w:tabs>
            <w:rPr/>
          </w:pPr>
          <w:hyperlink w:anchor="__RefHeading___Toc476964_581953129">
            <w:r>
              <w:rPr>
                <w:webHidden/>
                <w:rStyle w:val="IndexLink"/>
                <w:rtl w:val="true"/>
              </w:rPr>
              <w:t>النسخ یقع فی الشرائع ، ولا یقع فی العقائد</w:t>
            </w:r>
            <w:r>
              <w:rPr>
                <w:rStyle w:val="IndexLink"/>
                <w:rtl w:val="true"/>
              </w:rPr>
              <w:tab/>
            </w:r>
            <w:r>
              <w:rPr>
                <w:rStyle w:val="IndexLink"/>
              </w:rPr>
              <w:t>29</w:t>
            </w:r>
          </w:hyperlink>
        </w:p>
        <w:p>
          <w:pPr>
            <w:pStyle w:val="Contents4"/>
            <w:tabs>
              <w:tab w:val="clear" w:pos="8176"/>
              <w:tab w:val="right" w:pos="9026" w:leader="dot"/>
            </w:tabs>
            <w:rPr/>
          </w:pPr>
          <w:hyperlink w:anchor="__RefHeading___Toc476966_581953129">
            <w:r>
              <w:rPr>
                <w:webHidden/>
                <w:rStyle w:val="IndexLink"/>
                <w:rtl w:val="true"/>
              </w:rPr>
              <w:t>آیات قرآنیة تدلّ علی أنَّ الدین واحد</w:t>
            </w:r>
            <w:r>
              <w:rPr>
                <w:rStyle w:val="IndexLink"/>
                <w:rtl w:val="true"/>
              </w:rPr>
              <w:tab/>
            </w:r>
            <w:r>
              <w:rPr>
                <w:rStyle w:val="IndexLink"/>
              </w:rPr>
              <w:t>31</w:t>
            </w:r>
          </w:hyperlink>
        </w:p>
        <w:p>
          <w:pPr>
            <w:pStyle w:val="Contents4"/>
            <w:tabs>
              <w:tab w:val="clear" w:pos="8176"/>
              <w:tab w:val="right" w:pos="9026" w:leader="dot"/>
            </w:tabs>
            <w:rPr/>
          </w:pPr>
          <w:hyperlink w:anchor="__RefHeading___Toc476968_581953129">
            <w:r>
              <w:rPr>
                <w:webHidden/>
                <w:rStyle w:val="IndexLink"/>
                <w:rtl w:val="true"/>
              </w:rPr>
              <w:t>الشریعة والدین وقضیة الغدیر</w:t>
            </w:r>
            <w:r>
              <w:rPr>
                <w:rStyle w:val="IndexLink"/>
                <w:rtl w:val="true"/>
              </w:rPr>
              <w:tab/>
            </w:r>
            <w:r>
              <w:rPr>
                <w:rStyle w:val="IndexLink"/>
              </w:rPr>
              <w:t>32</w:t>
            </w:r>
          </w:hyperlink>
        </w:p>
        <w:p>
          <w:pPr>
            <w:pStyle w:val="Contents4"/>
            <w:tabs>
              <w:tab w:val="clear" w:pos="8176"/>
              <w:tab w:val="right" w:pos="9026" w:leader="dot"/>
            </w:tabs>
            <w:rPr/>
          </w:pPr>
          <w:hyperlink w:anchor="__RefHeading___Toc476970_581953129">
            <w:r>
              <w:rPr>
                <w:webHidden/>
                <w:rStyle w:val="IndexLink"/>
                <w:rtl w:val="true"/>
              </w:rPr>
              <w:t>آیة المودّة وقضیة الإمامة</w:t>
            </w:r>
            <w:r>
              <w:rPr>
                <w:rStyle w:val="IndexLink"/>
                <w:rtl w:val="true"/>
              </w:rPr>
              <w:tab/>
            </w:r>
            <w:r>
              <w:rPr>
                <w:rStyle w:val="IndexLink"/>
              </w:rPr>
              <w:t>33</w:t>
            </w:r>
          </w:hyperlink>
        </w:p>
        <w:p>
          <w:pPr>
            <w:pStyle w:val="Contents3"/>
            <w:tabs>
              <w:tab w:val="clear" w:pos="8459"/>
              <w:tab w:val="right" w:pos="9026" w:leader="dot"/>
            </w:tabs>
            <w:rPr/>
          </w:pPr>
          <w:hyperlink w:anchor="__RefHeading___Toc476972_581953129">
            <w:r>
              <w:rPr>
                <w:webHidden/>
                <w:rStyle w:val="IndexLink"/>
                <w:rtl w:val="true"/>
              </w:rPr>
              <w:t>المحاضرة الثانیة المدارس الغربیة الحدیثة التی واجهت الکنیسة وتحکّم رجال الدین المسیحیین</w:t>
            </w:r>
            <w:r>
              <w:rPr>
                <w:rStyle w:val="IndexLink"/>
                <w:rtl w:val="true"/>
              </w:rPr>
              <w:tab/>
            </w:r>
            <w:r>
              <w:rPr>
                <w:rStyle w:val="IndexLink"/>
              </w:rPr>
              <w:t>35</w:t>
            </w:r>
          </w:hyperlink>
        </w:p>
        <w:p>
          <w:pPr>
            <w:pStyle w:val="Contents4"/>
            <w:tabs>
              <w:tab w:val="clear" w:pos="8176"/>
              <w:tab w:val="right" w:pos="9026" w:leader="dot"/>
            </w:tabs>
            <w:rPr/>
          </w:pPr>
          <w:hyperlink w:anchor="__RefHeading___Toc476974_58195312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476976_581953129">
            <w:r>
              <w:rPr>
                <w:webHidden/>
                <w:rStyle w:val="IndexLink"/>
                <w:rtl w:val="true"/>
              </w:rPr>
              <w:t>الأجواء التی نشأت فیها العلمانیة</w:t>
            </w:r>
            <w:r>
              <w:rPr>
                <w:rStyle w:val="IndexLink"/>
                <w:rtl w:val="true"/>
              </w:rPr>
              <w:tab/>
            </w:r>
            <w:r>
              <w:rPr>
                <w:rStyle w:val="IndexLink"/>
              </w:rPr>
              <w:t>35</w:t>
            </w:r>
          </w:hyperlink>
        </w:p>
        <w:p>
          <w:pPr>
            <w:pStyle w:val="Contents4"/>
            <w:tabs>
              <w:tab w:val="clear" w:pos="8176"/>
              <w:tab w:val="right" w:pos="9026" w:leader="dot"/>
            </w:tabs>
            <w:rPr/>
          </w:pPr>
          <w:hyperlink w:anchor="__RefHeading___Toc476978_581953129">
            <w:r>
              <w:rPr>
                <w:webHidden/>
                <w:rStyle w:val="IndexLink"/>
                <w:rtl w:val="true"/>
              </w:rPr>
              <w:t>المدرسة الأولی</w:t>
            </w:r>
            <w:r>
              <w:rPr>
                <w:rStyle w:val="IndexLink"/>
                <w:rtl w:val="true"/>
              </w:rPr>
              <w:t xml:space="preserve">: </w:t>
            </w:r>
            <w:r>
              <w:rPr>
                <w:rStyle w:val="IndexLink"/>
                <w:rtl w:val="true"/>
              </w:rPr>
              <w:t xml:space="preserve">العلمانیة </w:t>
            </w:r>
            <w:r>
              <w:rPr>
                <w:rStyle w:val="IndexLink"/>
                <w:rtl w:val="true"/>
              </w:rPr>
              <w:t>«</w:t>
            </w:r>
            <w:r>
              <w:rPr>
                <w:rStyle w:val="IndexLink"/>
                <w:rtl w:val="true"/>
              </w:rPr>
              <w:t>السکولارزم</w:t>
            </w:r>
            <w:r>
              <w:rPr>
                <w:rStyle w:val="IndexLink"/>
                <w:rtl w:val="true"/>
              </w:rPr>
              <w:t xml:space="preserve">» </w:t>
            </w:r>
            <w:r>
              <w:rPr>
                <w:rStyle w:val="IndexLink"/>
                <w:rtl w:val="true"/>
              </w:rPr>
              <w:t>فصل الدین عن السیاسة والمجتمع</w:t>
            </w:r>
            <w:r>
              <w:rPr>
                <w:rStyle w:val="IndexLink"/>
                <w:rtl w:val="true"/>
              </w:rPr>
              <w:tab/>
            </w:r>
            <w:r>
              <w:rPr>
                <w:rStyle w:val="IndexLink"/>
              </w:rPr>
              <w:t>37</w:t>
            </w:r>
          </w:hyperlink>
        </w:p>
        <w:p>
          <w:pPr>
            <w:pStyle w:val="Contents4"/>
            <w:tabs>
              <w:tab w:val="clear" w:pos="8176"/>
              <w:tab w:val="right" w:pos="9026" w:leader="dot"/>
            </w:tabs>
            <w:rPr/>
          </w:pPr>
          <w:hyperlink w:anchor="__RefHeading___Toc476980_581953129">
            <w:r>
              <w:rPr>
                <w:webHidden/>
                <w:rStyle w:val="IndexLink"/>
                <w:rtl w:val="true"/>
              </w:rPr>
              <w:t>المدرسة الثانیة</w:t>
            </w:r>
            <w:r>
              <w:rPr>
                <w:rStyle w:val="IndexLink"/>
                <w:rtl w:val="true"/>
              </w:rPr>
              <w:t xml:space="preserve">: </w:t>
            </w:r>
            <w:r>
              <w:rPr>
                <w:rStyle w:val="IndexLink"/>
                <w:rtl w:val="true"/>
              </w:rPr>
              <w:t xml:space="preserve">نظریة التعددیة </w:t>
            </w:r>
            <w:r>
              <w:rPr>
                <w:rStyle w:val="IndexLink"/>
                <w:rtl w:val="true"/>
              </w:rPr>
              <w:t>«</w:t>
            </w:r>
            <w:r>
              <w:rPr>
                <w:rStyle w:val="IndexLink"/>
                <w:rtl w:val="true"/>
              </w:rPr>
              <w:t>البلوری ألسم</w:t>
            </w:r>
            <w:r>
              <w:rPr>
                <w:rStyle w:val="IndexLink"/>
                <w:rtl w:val="true"/>
              </w:rPr>
              <w:t>»</w:t>
              <w:tab/>
            </w:r>
            <w:r>
              <w:rPr>
                <w:rStyle w:val="IndexLink"/>
              </w:rPr>
              <w:t>37</w:t>
            </w:r>
          </w:hyperlink>
        </w:p>
        <w:p>
          <w:pPr>
            <w:pStyle w:val="Contents4"/>
            <w:tabs>
              <w:tab w:val="clear" w:pos="8176"/>
              <w:tab w:val="right" w:pos="9026" w:leader="dot"/>
            </w:tabs>
            <w:rPr/>
          </w:pPr>
          <w:hyperlink w:anchor="__RefHeading___Toc476982_581953129">
            <w:r>
              <w:rPr>
                <w:webHidden/>
                <w:rStyle w:val="IndexLink"/>
                <w:rtl w:val="true"/>
              </w:rPr>
              <w:t>المدرسة الثالثة</w:t>
            </w:r>
            <w:r>
              <w:rPr>
                <w:rStyle w:val="IndexLink"/>
                <w:rtl w:val="true"/>
              </w:rPr>
              <w:t xml:space="preserve">: </w:t>
            </w:r>
            <w:r>
              <w:rPr>
                <w:rStyle w:val="IndexLink"/>
                <w:rtl w:val="true"/>
              </w:rPr>
              <w:t>المدرسة الهرمونطیقیة</w:t>
            </w:r>
            <w:r>
              <w:rPr>
                <w:rStyle w:val="IndexLink"/>
                <w:rtl w:val="true"/>
              </w:rPr>
              <w:tab/>
            </w:r>
            <w:r>
              <w:rPr>
                <w:rStyle w:val="IndexLink"/>
              </w:rPr>
              <w:t>39</w:t>
            </w:r>
          </w:hyperlink>
        </w:p>
        <w:p>
          <w:pPr>
            <w:pStyle w:val="Contents4"/>
            <w:tabs>
              <w:tab w:val="clear" w:pos="8176"/>
              <w:tab w:val="right" w:pos="9026" w:leader="dot"/>
            </w:tabs>
            <w:rPr/>
          </w:pPr>
          <w:hyperlink w:anchor="__RefHeading___Toc476984_581953129">
            <w:r>
              <w:rPr>
                <w:webHidden/>
                <w:rStyle w:val="IndexLink"/>
                <w:rtl w:val="true"/>
              </w:rPr>
              <w:t>الأثر الإیجابی للمدرسة الهرمونطیقیة علی النقد الأدبی</w:t>
            </w:r>
            <w:r>
              <w:rPr>
                <w:rStyle w:val="IndexLink"/>
                <w:rtl w:val="true"/>
              </w:rPr>
              <w:tab/>
            </w:r>
            <w:r>
              <w:rPr>
                <w:rStyle w:val="IndexLink"/>
              </w:rPr>
              <w:t>40</w:t>
            </w:r>
          </w:hyperlink>
        </w:p>
        <w:p>
          <w:pPr>
            <w:pStyle w:val="Contents3"/>
            <w:tabs>
              <w:tab w:val="clear" w:pos="8459"/>
              <w:tab w:val="right" w:pos="9026" w:leader="dot"/>
            </w:tabs>
            <w:rPr/>
          </w:pPr>
          <w:hyperlink w:anchor="__RefHeading___Toc476986_581953129">
            <w:r>
              <w:rPr>
                <w:webHidden/>
                <w:rStyle w:val="IndexLink"/>
                <w:rtl w:val="true"/>
              </w:rPr>
              <w:t>المحاضرة الثالثة إثارات العلمانیین الغربیین حول الإسلام</w:t>
            </w:r>
            <w:r>
              <w:rPr>
                <w:rStyle w:val="IndexLink"/>
                <w:rtl w:val="true"/>
              </w:rPr>
              <w:tab/>
            </w:r>
            <w:r>
              <w:rPr>
                <w:rStyle w:val="IndexLink"/>
              </w:rPr>
              <w:t>43</w:t>
            </w:r>
          </w:hyperlink>
        </w:p>
        <w:p>
          <w:pPr>
            <w:pStyle w:val="Contents3"/>
            <w:tabs>
              <w:tab w:val="clear" w:pos="8459"/>
              <w:tab w:val="right" w:pos="9026" w:leader="dot"/>
            </w:tabs>
            <w:rPr/>
          </w:pPr>
          <w:hyperlink w:anchor="__RefHeading___Toc476988_581953129">
            <w:r>
              <w:rPr>
                <w:webHidden/>
                <w:rStyle w:val="IndexLink"/>
                <w:rtl w:val="true"/>
              </w:rPr>
              <w:t xml:space="preserve">المحاضرة الرابعة مناقشة آراء مدرسة التعدّدیة </w:t>
            </w:r>
            <w:r>
              <w:rPr>
                <w:rStyle w:val="IndexLink"/>
                <w:rtl w:val="true"/>
              </w:rPr>
              <w:t>«</w:t>
            </w:r>
            <w:r>
              <w:rPr>
                <w:rStyle w:val="IndexLink"/>
                <w:rtl w:val="true"/>
              </w:rPr>
              <w:t>البلوری ألسم</w:t>
            </w:r>
            <w:r>
              <w:rPr>
                <w:rStyle w:val="IndexLink"/>
                <w:rtl w:val="true"/>
              </w:rPr>
              <w:t>»</w:t>
              <w:tab/>
            </w:r>
            <w:r>
              <w:rPr>
                <w:rStyle w:val="IndexLink"/>
              </w:rPr>
              <w:t>50</w:t>
            </w:r>
          </w:hyperlink>
        </w:p>
        <w:p>
          <w:pPr>
            <w:pStyle w:val="Contents4"/>
            <w:tabs>
              <w:tab w:val="clear" w:pos="8176"/>
              <w:tab w:val="right" w:pos="9026" w:leader="dot"/>
            </w:tabs>
            <w:rPr/>
          </w:pPr>
          <w:hyperlink w:anchor="__RefHeading___Toc476990_58195312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476992_581953129">
            <w:r>
              <w:rPr>
                <w:webHidden/>
                <w:rStyle w:val="IndexLink"/>
                <w:rtl w:val="true"/>
              </w:rPr>
              <w:t>الرّد علی هذه الشبهة</w:t>
            </w:r>
            <w:r>
              <w:rPr>
                <w:rStyle w:val="IndexLink"/>
                <w:rtl w:val="true"/>
              </w:rPr>
              <w:tab/>
            </w:r>
            <w:r>
              <w:rPr>
                <w:rStyle w:val="IndexLink"/>
              </w:rPr>
              <w:t>51</w:t>
            </w:r>
          </w:hyperlink>
        </w:p>
        <w:p>
          <w:pPr>
            <w:pStyle w:val="Contents3"/>
            <w:tabs>
              <w:tab w:val="clear" w:pos="8459"/>
              <w:tab w:val="right" w:pos="9026" w:leader="dot"/>
            </w:tabs>
            <w:rPr/>
          </w:pPr>
          <w:hyperlink w:anchor="__RefHeading___Toc476994_581953129">
            <w:r>
              <w:rPr>
                <w:webHidden/>
                <w:rStyle w:val="IndexLink"/>
                <w:rtl w:val="true"/>
              </w:rPr>
              <w:t xml:space="preserve">المحاضرة الخامسة مناقشة مدرسة العلمانیة </w:t>
            </w:r>
            <w:r>
              <w:rPr>
                <w:rStyle w:val="IndexLink"/>
                <w:rtl w:val="true"/>
              </w:rPr>
              <w:t>«</w:t>
            </w:r>
            <w:r>
              <w:rPr>
                <w:rStyle w:val="IndexLink"/>
                <w:rtl w:val="true"/>
              </w:rPr>
              <w:t>السکولارزم</w:t>
            </w:r>
            <w:r>
              <w:rPr>
                <w:rStyle w:val="IndexLink"/>
                <w:rtl w:val="true"/>
              </w:rPr>
              <w:t>»</w:t>
              <w:tab/>
            </w:r>
            <w:r>
              <w:rPr>
                <w:rStyle w:val="IndexLink"/>
              </w:rPr>
              <w:t>58</w:t>
            </w:r>
          </w:hyperlink>
        </w:p>
        <w:p>
          <w:pPr>
            <w:pStyle w:val="Contents4"/>
            <w:tabs>
              <w:tab w:val="clear" w:pos="8176"/>
              <w:tab w:val="right" w:pos="9026" w:leader="dot"/>
            </w:tabs>
            <w:rPr/>
          </w:pPr>
          <w:hyperlink w:anchor="__RefHeading___Toc476996_581953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476998_581953129">
            <w:r>
              <w:rPr>
                <w:webHidden/>
                <w:rStyle w:val="IndexLink"/>
                <w:rtl w:val="true"/>
              </w:rPr>
              <w:t>الشبهة التی یطرحونها</w:t>
            </w:r>
            <w:r>
              <w:rPr>
                <w:rStyle w:val="IndexLink"/>
                <w:rtl w:val="true"/>
              </w:rPr>
              <w:tab/>
            </w:r>
            <w:r>
              <w:rPr>
                <w:rStyle w:val="IndexLink"/>
              </w:rPr>
              <w:t>60</w:t>
            </w:r>
          </w:hyperlink>
        </w:p>
        <w:p>
          <w:pPr>
            <w:pStyle w:val="Contents4"/>
            <w:tabs>
              <w:tab w:val="clear" w:pos="8176"/>
              <w:tab w:val="right" w:pos="9026" w:leader="dot"/>
            </w:tabs>
            <w:rPr/>
          </w:pPr>
          <w:hyperlink w:anchor="__RefHeading___Toc477000_581953129">
            <w:r>
              <w:rPr>
                <w:webHidden/>
                <w:rStyle w:val="IndexLink"/>
                <w:rtl w:val="true"/>
              </w:rPr>
              <w:t xml:space="preserve">الجواب الأوّل </w:t>
            </w:r>
            <w:r>
              <w:rPr>
                <w:rStyle w:val="IndexLink"/>
                <w:rtl w:val="true"/>
              </w:rPr>
              <w:t>:</w:t>
              <w:tab/>
            </w:r>
            <w:r>
              <w:rPr>
                <w:rStyle w:val="IndexLink"/>
              </w:rPr>
              <w:t>61</w:t>
            </w:r>
          </w:hyperlink>
        </w:p>
        <w:p>
          <w:pPr>
            <w:pStyle w:val="Contents4"/>
            <w:tabs>
              <w:tab w:val="clear" w:pos="8176"/>
              <w:tab w:val="right" w:pos="9026" w:leader="dot"/>
            </w:tabs>
            <w:rPr/>
          </w:pPr>
          <w:hyperlink w:anchor="__RefHeading___Toc477002_581953129">
            <w:r>
              <w:rPr>
                <w:webHidden/>
                <w:rStyle w:val="IndexLink"/>
                <w:rtl w:val="true"/>
              </w:rPr>
              <w:t xml:space="preserve">الجواب الثانی </w:t>
            </w:r>
            <w:r>
              <w:rPr>
                <w:rStyle w:val="IndexLink"/>
                <w:rtl w:val="true"/>
              </w:rPr>
              <w:t>:</w:t>
              <w:tab/>
            </w:r>
            <w:r>
              <w:rPr>
                <w:rStyle w:val="IndexLink"/>
              </w:rPr>
              <w:t>63</w:t>
            </w:r>
          </w:hyperlink>
        </w:p>
        <w:p>
          <w:pPr>
            <w:pStyle w:val="Contents3"/>
            <w:tabs>
              <w:tab w:val="clear" w:pos="8459"/>
              <w:tab w:val="right" w:pos="9026" w:leader="dot"/>
            </w:tabs>
            <w:rPr/>
          </w:pPr>
          <w:hyperlink w:anchor="__RefHeading___Toc477004_581953129">
            <w:r>
              <w:rPr>
                <w:webHidden/>
                <w:rStyle w:val="IndexLink"/>
                <w:rtl w:val="true"/>
              </w:rPr>
              <w:t>المحاضرة السادسة الإمام هو الذی یطبّق الشریعة علی المتغیّرات</w:t>
            </w:r>
            <w:r>
              <w:rPr>
                <w:rStyle w:val="IndexLink"/>
                <w:rtl w:val="true"/>
              </w:rPr>
              <w:tab/>
            </w:r>
            <w:r>
              <w:rPr>
                <w:rStyle w:val="IndexLink"/>
              </w:rPr>
              <w:t>64</w:t>
            </w:r>
          </w:hyperlink>
        </w:p>
        <w:p>
          <w:pPr>
            <w:pStyle w:val="Contents4"/>
            <w:tabs>
              <w:tab w:val="clear" w:pos="8176"/>
              <w:tab w:val="right" w:pos="9026" w:leader="dot"/>
            </w:tabs>
            <w:rPr/>
          </w:pPr>
          <w:hyperlink w:anchor="__RefHeading___Toc477006_58195312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77008_581953129">
            <w:r>
              <w:rPr>
                <w:webHidden/>
                <w:rStyle w:val="IndexLink"/>
                <w:rtl w:val="true"/>
              </w:rPr>
              <w:t>مجهولات العلوم وحلولها</w:t>
            </w:r>
            <w:r>
              <w:rPr>
                <w:rStyle w:val="IndexLink"/>
                <w:rtl w:val="true"/>
              </w:rPr>
              <w:tab/>
            </w:r>
            <w:r>
              <w:rPr>
                <w:rStyle w:val="IndexLink"/>
              </w:rPr>
              <w:t>65</w:t>
            </w:r>
          </w:hyperlink>
        </w:p>
        <w:p>
          <w:pPr>
            <w:pStyle w:val="Contents4"/>
            <w:tabs>
              <w:tab w:val="clear" w:pos="8176"/>
              <w:tab w:val="right" w:pos="9026" w:leader="dot"/>
            </w:tabs>
            <w:rPr/>
          </w:pPr>
          <w:hyperlink w:anchor="__RefHeading___Toc477010_581953129">
            <w:r>
              <w:rPr>
                <w:webHidden/>
                <w:rStyle w:val="IndexLink"/>
                <w:rtl w:val="true"/>
              </w:rPr>
              <w:t>الإمام عنده علم تأویل الکتاب</w:t>
            </w:r>
            <w:r>
              <w:rPr>
                <w:rStyle w:val="IndexLink"/>
                <w:rtl w:val="true"/>
              </w:rPr>
              <w:tab/>
            </w:r>
            <w:r>
              <w:rPr>
                <w:rStyle w:val="IndexLink"/>
              </w:rPr>
              <w:t>65</w:t>
            </w:r>
          </w:hyperlink>
        </w:p>
        <w:p>
          <w:pPr>
            <w:pStyle w:val="Contents4"/>
            <w:tabs>
              <w:tab w:val="clear" w:pos="8176"/>
              <w:tab w:val="right" w:pos="9026" w:leader="dot"/>
            </w:tabs>
            <w:rPr/>
          </w:pPr>
          <w:hyperlink w:anchor="__RefHeading___Toc477012_581953129">
            <w:r>
              <w:rPr>
                <w:webHidden/>
                <w:rStyle w:val="IndexLink"/>
                <w:rtl w:val="true"/>
              </w:rPr>
              <w:t>أین یوجد الإمام المهدی ؟</w:t>
            </w:r>
            <w:r>
              <w:rPr>
                <w:rStyle w:val="IndexLink"/>
                <w:rtl w:val="true"/>
              </w:rPr>
              <w:tab/>
            </w:r>
            <w:r>
              <w:rPr>
                <w:rStyle w:val="IndexLink"/>
              </w:rPr>
              <w:t>67</w:t>
            </w:r>
          </w:hyperlink>
        </w:p>
        <w:p>
          <w:pPr>
            <w:pStyle w:val="Contents4"/>
            <w:tabs>
              <w:tab w:val="clear" w:pos="8176"/>
              <w:tab w:val="right" w:pos="9026" w:leader="dot"/>
            </w:tabs>
            <w:rPr/>
          </w:pPr>
          <w:hyperlink w:anchor="__RefHeading___Toc477014_581953129">
            <w:r>
              <w:rPr>
                <w:webHidden/>
                <w:rStyle w:val="IndexLink"/>
                <w:rtl w:val="true"/>
              </w:rPr>
              <w:t>الغیبة مقابل الظهور ، ولیس مقابل الحضور</w:t>
            </w:r>
            <w:r>
              <w:rPr>
                <w:rStyle w:val="IndexLink"/>
                <w:rtl w:val="true"/>
              </w:rPr>
              <w:tab/>
            </w:r>
            <w:r>
              <w:rPr>
                <w:rStyle w:val="IndexLink"/>
              </w:rPr>
              <w:t>67</w:t>
            </w:r>
          </w:hyperlink>
        </w:p>
        <w:p>
          <w:pPr>
            <w:pStyle w:val="Contents4"/>
            <w:tabs>
              <w:tab w:val="clear" w:pos="8176"/>
              <w:tab w:val="right" w:pos="9026" w:leader="dot"/>
            </w:tabs>
            <w:rPr/>
          </w:pPr>
          <w:hyperlink w:anchor="__RefHeading___Toc477016_581953129">
            <w:r>
              <w:rPr>
                <w:webHidden/>
                <w:rStyle w:val="IndexLink"/>
                <w:rtl w:val="true"/>
              </w:rPr>
              <w:t>اختلاف أنماط الحکومات ، وأهمیة الأجهزة السریة</w:t>
            </w:r>
            <w:r>
              <w:rPr>
                <w:rStyle w:val="IndexLink"/>
                <w:rtl w:val="true"/>
              </w:rPr>
              <w:tab/>
            </w:r>
            <w:r>
              <w:rPr>
                <w:rStyle w:val="IndexLink"/>
              </w:rPr>
              <w:t>67</w:t>
            </w:r>
          </w:hyperlink>
        </w:p>
        <w:p>
          <w:pPr>
            <w:pStyle w:val="Contents4"/>
            <w:tabs>
              <w:tab w:val="clear" w:pos="8176"/>
              <w:tab w:val="right" w:pos="9026" w:leader="dot"/>
            </w:tabs>
            <w:rPr/>
          </w:pPr>
          <w:hyperlink w:anchor="__RefHeading___Toc477018_581953129">
            <w:r>
              <w:rPr>
                <w:webHidden/>
                <w:rStyle w:val="IndexLink"/>
                <w:rtl w:val="true"/>
              </w:rPr>
              <w:t>المتغیّرات کثیرة ، ولکن الشریعة تغطّیها</w:t>
            </w:r>
            <w:r>
              <w:rPr>
                <w:rStyle w:val="IndexLink"/>
                <w:rtl w:val="true"/>
              </w:rPr>
              <w:tab/>
            </w:r>
            <w:r>
              <w:rPr>
                <w:rStyle w:val="IndexLink"/>
              </w:rPr>
              <w:t>70</w:t>
            </w:r>
          </w:hyperlink>
        </w:p>
        <w:p>
          <w:pPr>
            <w:pStyle w:val="Contents4"/>
            <w:tabs>
              <w:tab w:val="clear" w:pos="8176"/>
              <w:tab w:val="right" w:pos="9026" w:leader="dot"/>
            </w:tabs>
            <w:rPr/>
          </w:pPr>
          <w:hyperlink w:anchor="__RefHeading___Toc477020_581953129">
            <w:r>
              <w:rPr>
                <w:webHidden/>
                <w:rStyle w:val="IndexLink"/>
                <w:rtl w:val="true"/>
              </w:rPr>
              <w:t>لا یمکن الاکتفاء بظاهر اللفظ القرآنی</w:t>
            </w:r>
            <w:r>
              <w:rPr>
                <w:rStyle w:val="IndexLink"/>
                <w:rtl w:val="true"/>
              </w:rPr>
              <w:tab/>
            </w:r>
            <w:r>
              <w:rPr>
                <w:rStyle w:val="IndexLink"/>
              </w:rPr>
              <w:t>70</w:t>
            </w:r>
          </w:hyperlink>
        </w:p>
        <w:p>
          <w:pPr>
            <w:pStyle w:val="Contents4"/>
            <w:tabs>
              <w:tab w:val="clear" w:pos="8176"/>
              <w:tab w:val="right" w:pos="9026" w:leader="dot"/>
            </w:tabs>
            <w:rPr/>
          </w:pPr>
          <w:hyperlink w:anchor="__RefHeading___Toc477022_581953129">
            <w:r>
              <w:rPr>
                <w:webHidden/>
                <w:rStyle w:val="IndexLink"/>
                <w:rtl w:val="true"/>
              </w:rPr>
              <w:t>العالمون بالتأویل، وأصحاب العلم اللدنّی موجودون فی أُمّة محمّد، وهم الأئمة علیهم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477024_581953129">
            <w:r>
              <w:rPr>
                <w:webHidden/>
                <w:rStyle w:val="IndexLink"/>
                <w:rtl w:val="true"/>
              </w:rPr>
              <w:t>المحاضرة السابعة مناقشة مدرسة الهرمونطیقیة</w:t>
            </w:r>
            <w:r>
              <w:rPr>
                <w:rStyle w:val="IndexLink"/>
                <w:rtl w:val="true"/>
              </w:rPr>
              <w:tab/>
            </w:r>
            <w:r>
              <w:rPr>
                <w:rStyle w:val="IndexLink"/>
              </w:rPr>
              <w:t>73</w:t>
            </w:r>
          </w:hyperlink>
        </w:p>
        <w:p>
          <w:pPr>
            <w:pStyle w:val="Contents4"/>
            <w:tabs>
              <w:tab w:val="clear" w:pos="8176"/>
              <w:tab w:val="right" w:pos="9026" w:leader="dot"/>
            </w:tabs>
            <w:rPr/>
          </w:pPr>
          <w:hyperlink w:anchor="__RefHeading___Toc477026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77028_581953129">
            <w:r>
              <w:rPr>
                <w:webHidden/>
                <w:rStyle w:val="IndexLink"/>
                <w:rtl w:val="true"/>
              </w:rPr>
              <w:t xml:space="preserve">إشکالٌ </w:t>
            </w:r>
            <w:r>
              <w:rPr>
                <w:rStyle w:val="IndexLink"/>
                <w:rtl w:val="true"/>
              </w:rPr>
              <w:t xml:space="preserve">: </w:t>
            </w:r>
            <w:r>
              <w:rPr>
                <w:rStyle w:val="IndexLink"/>
                <w:rtl w:val="true"/>
              </w:rPr>
              <w:t>إنّ القضاء الإسلامی یعتمد علی البیّنة والحلف ، مع أنّ القضاء تجاوز بتطوّر هذه المرحلة</w:t>
            </w:r>
            <w:r>
              <w:rPr>
                <w:rStyle w:val="IndexLink"/>
                <w:rtl w:val="true"/>
              </w:rPr>
              <w:tab/>
            </w:r>
            <w:r>
              <w:rPr>
                <w:rStyle w:val="IndexLink"/>
              </w:rPr>
              <w:t>73</w:t>
            </w:r>
          </w:hyperlink>
        </w:p>
        <w:p>
          <w:pPr>
            <w:pStyle w:val="Contents4"/>
            <w:tabs>
              <w:tab w:val="clear" w:pos="8176"/>
              <w:tab w:val="right" w:pos="9026" w:leader="dot"/>
            </w:tabs>
            <w:rPr/>
          </w:pPr>
          <w:hyperlink w:anchor="__RefHeading___Toc477030_581953129">
            <w:r>
              <w:rPr>
                <w:webHidden/>
                <w:rStyle w:val="IndexLink"/>
                <w:rtl w:val="true"/>
              </w:rPr>
              <w:t>الإشکال الثانی</w:t>
            </w:r>
            <w:r>
              <w:rPr>
                <w:rStyle w:val="IndexLink"/>
                <w:rtl w:val="true"/>
              </w:rPr>
              <w:t xml:space="preserve">: </w:t>
            </w:r>
            <w:r>
              <w:rPr>
                <w:rStyle w:val="IndexLink"/>
                <w:rtl w:val="true"/>
              </w:rPr>
              <w:t>لماذا تطالب القبیلة والعصبة بدفع الدیة ؟</w:t>
            </w:r>
            <w:r>
              <w:rPr>
                <w:rStyle w:val="IndexLink"/>
                <w:rtl w:val="true"/>
              </w:rPr>
              <w:tab/>
            </w:r>
            <w:r>
              <w:rPr>
                <w:rStyle w:val="IndexLink"/>
              </w:rPr>
              <w:t>74</w:t>
            </w:r>
          </w:hyperlink>
        </w:p>
        <w:p>
          <w:pPr>
            <w:pStyle w:val="Contents4"/>
            <w:tabs>
              <w:tab w:val="clear" w:pos="8176"/>
              <w:tab w:val="right" w:pos="9026" w:leader="dot"/>
            </w:tabs>
            <w:rPr/>
          </w:pPr>
          <w:hyperlink w:anchor="__RefHeading___Toc477032_581953129">
            <w:r>
              <w:rPr>
                <w:webHidden/>
                <w:rStyle w:val="IndexLink"/>
                <w:rtl w:val="true"/>
              </w:rPr>
              <w:t xml:space="preserve">المدرسة الهرمونطیقیة </w:t>
            </w:r>
            <w:r>
              <w:rPr>
                <w:rStyle w:val="IndexLink"/>
                <w:rtl w:val="true"/>
              </w:rPr>
              <w:t>«</w:t>
            </w:r>
            <w:r>
              <w:rPr>
                <w:rStyle w:val="IndexLink"/>
                <w:rtl w:val="true"/>
              </w:rPr>
              <w:t>قراءة النص</w:t>
            </w:r>
            <w:r>
              <w:rPr>
                <w:rStyle w:val="IndexLink"/>
                <w:rtl w:val="true"/>
              </w:rPr>
              <w:t>»</w:t>
              <w:tab/>
            </w:r>
            <w:r>
              <w:rPr>
                <w:rStyle w:val="IndexLink"/>
              </w:rPr>
              <w:t>75</w:t>
            </w:r>
          </w:hyperlink>
        </w:p>
        <w:p>
          <w:pPr>
            <w:pStyle w:val="Contents4"/>
            <w:tabs>
              <w:tab w:val="clear" w:pos="8176"/>
              <w:tab w:val="right" w:pos="9026" w:leader="dot"/>
            </w:tabs>
            <w:rPr/>
          </w:pPr>
          <w:hyperlink w:anchor="__RefHeading___Toc477034_581953129">
            <w:r>
              <w:rPr>
                <w:webHidden/>
                <w:rStyle w:val="IndexLink"/>
                <w:rtl w:val="true"/>
              </w:rPr>
              <w:t>نشأة النقد الأدبی</w:t>
            </w:r>
            <w:r>
              <w:rPr>
                <w:rStyle w:val="IndexLink"/>
                <w:rtl w:val="true"/>
              </w:rPr>
              <w:tab/>
            </w:r>
            <w:r>
              <w:rPr>
                <w:rStyle w:val="IndexLink"/>
              </w:rPr>
              <w:t>75</w:t>
            </w:r>
          </w:hyperlink>
        </w:p>
        <w:p>
          <w:pPr>
            <w:pStyle w:val="Contents4"/>
            <w:tabs>
              <w:tab w:val="clear" w:pos="8176"/>
              <w:tab w:val="right" w:pos="9026" w:leader="dot"/>
            </w:tabs>
            <w:rPr/>
          </w:pPr>
          <w:hyperlink w:anchor="__RefHeading___Toc477036_581953129">
            <w:r>
              <w:rPr>
                <w:webHidden/>
                <w:rStyle w:val="IndexLink"/>
                <w:rtl w:val="true"/>
              </w:rPr>
              <w:t>التعمّق فی النص الأدبی یوازی التأویل فی النص الدینی</w:t>
            </w:r>
            <w:r>
              <w:rPr>
                <w:rStyle w:val="IndexLink"/>
                <w:rtl w:val="true"/>
              </w:rPr>
              <w:tab/>
            </w:r>
            <w:r>
              <w:rPr>
                <w:rStyle w:val="IndexLink"/>
              </w:rPr>
              <w:t>76</w:t>
            </w:r>
          </w:hyperlink>
        </w:p>
        <w:p>
          <w:pPr>
            <w:pStyle w:val="Contents4"/>
            <w:tabs>
              <w:tab w:val="clear" w:pos="8176"/>
              <w:tab w:val="right" w:pos="9026" w:leader="dot"/>
            </w:tabs>
            <w:rPr/>
          </w:pPr>
          <w:hyperlink w:anchor="__RefHeading___Toc477038_581953129">
            <w:r>
              <w:rPr>
                <w:webHidden/>
                <w:rStyle w:val="IndexLink"/>
                <w:rtl w:val="true"/>
              </w:rPr>
              <w:t>تطوّر علم الفقه</w:t>
            </w:r>
            <w:r>
              <w:rPr>
                <w:rStyle w:val="IndexLink"/>
                <w:rtl w:val="true"/>
              </w:rPr>
              <w:tab/>
            </w:r>
            <w:r>
              <w:rPr>
                <w:rStyle w:val="IndexLink"/>
              </w:rPr>
              <w:t>76</w:t>
            </w:r>
          </w:hyperlink>
        </w:p>
        <w:p>
          <w:pPr>
            <w:pStyle w:val="Contents4"/>
            <w:tabs>
              <w:tab w:val="clear" w:pos="8176"/>
              <w:tab w:val="right" w:pos="9026" w:leader="dot"/>
            </w:tabs>
            <w:rPr/>
          </w:pPr>
          <w:hyperlink w:anchor="__RefHeading___Toc477040_581953129">
            <w:r>
              <w:rPr>
                <w:webHidden/>
                <w:rStyle w:val="IndexLink"/>
                <w:rtl w:val="true"/>
              </w:rPr>
              <w:t>القبول بالتعدّد لیس مطلقاً</w:t>
            </w:r>
            <w:r>
              <w:rPr>
                <w:rStyle w:val="IndexLink"/>
                <w:rtl w:val="true"/>
              </w:rPr>
              <w:tab/>
            </w:r>
            <w:r>
              <w:rPr>
                <w:rStyle w:val="IndexLink"/>
              </w:rPr>
              <w:t>77</w:t>
            </w:r>
          </w:hyperlink>
        </w:p>
        <w:p>
          <w:pPr>
            <w:pStyle w:val="Contents2"/>
            <w:tabs>
              <w:tab w:val="clear" w:pos="8743"/>
              <w:tab w:val="right" w:pos="9026" w:leader="dot"/>
            </w:tabs>
            <w:rPr/>
          </w:pPr>
          <w:hyperlink w:anchor="__RefHeading___Toc477042_581953129">
            <w:r>
              <w:rPr>
                <w:webHidden/>
                <w:rStyle w:val="IndexLink"/>
              </w:rPr>
              <w:t>2</w:t>
            </w:r>
            <w:r>
              <w:rPr>
                <w:rStyle w:val="IndexLink"/>
                <w:rtl w:val="true"/>
              </w:rPr>
              <w:t xml:space="preserve">- </w:t>
            </w:r>
            <w:r>
              <w:rPr>
                <w:rStyle w:val="IndexLink"/>
                <w:rtl w:val="true"/>
              </w:rPr>
              <w:t>النهضة الحسینیة ومفهوم الإرهاب والسلام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477044_581953129">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477046_581953129">
            <w:r>
              <w:rPr>
                <w:webHidden/>
                <w:rStyle w:val="IndexLink"/>
                <w:rtl w:val="true"/>
              </w:rPr>
              <w:t>المقدّمة</w:t>
            </w:r>
            <w:r>
              <w:rPr>
                <w:rStyle w:val="IndexLink"/>
                <w:rtl w:val="true"/>
              </w:rPr>
              <w:tab/>
            </w:r>
            <w:r>
              <w:rPr>
                <w:rStyle w:val="IndexLink"/>
              </w:rPr>
              <w:t>82</w:t>
            </w:r>
          </w:hyperlink>
        </w:p>
        <w:p>
          <w:pPr>
            <w:pStyle w:val="Contents3"/>
            <w:tabs>
              <w:tab w:val="clear" w:pos="8459"/>
              <w:tab w:val="right" w:pos="9026" w:leader="dot"/>
            </w:tabs>
            <w:rPr/>
          </w:pPr>
          <w:hyperlink w:anchor="__RefHeading___Toc477048_581953129">
            <w:r>
              <w:rPr>
                <w:webHidden/>
                <w:rStyle w:val="IndexLink"/>
                <w:rtl w:val="true"/>
              </w:rPr>
              <w:t>المحاضرة الأُولی إحیاء الشعائر الحسینیة</w:t>
            </w:r>
            <w:r>
              <w:rPr>
                <w:rStyle w:val="IndexLink"/>
                <w:rtl w:val="true"/>
              </w:rPr>
              <w:tab/>
            </w:r>
            <w:r>
              <w:rPr>
                <w:rStyle w:val="IndexLink"/>
              </w:rPr>
              <w:t>84</w:t>
            </w:r>
          </w:hyperlink>
        </w:p>
        <w:p>
          <w:pPr>
            <w:pStyle w:val="Contents4"/>
            <w:tabs>
              <w:tab w:val="clear" w:pos="8176"/>
              <w:tab w:val="right" w:pos="9026" w:leader="dot"/>
            </w:tabs>
            <w:rPr/>
          </w:pPr>
          <w:hyperlink w:anchor="__RefHeading___Toc477050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77052_581953129">
            <w:r>
              <w:rPr>
                <w:webHidden/>
                <w:rStyle w:val="IndexLink"/>
                <w:rtl w:val="true"/>
              </w:rPr>
              <w:t>إحیاء الشعائر الحسینیة</w:t>
            </w:r>
            <w:r>
              <w:rPr>
                <w:rStyle w:val="IndexLink"/>
                <w:rtl w:val="true"/>
              </w:rPr>
              <w:tab/>
            </w:r>
            <w:r>
              <w:rPr>
                <w:rStyle w:val="IndexLink"/>
              </w:rPr>
              <w:t>84</w:t>
            </w:r>
          </w:hyperlink>
        </w:p>
        <w:p>
          <w:pPr>
            <w:pStyle w:val="Contents4"/>
            <w:tabs>
              <w:tab w:val="clear" w:pos="8176"/>
              <w:tab w:val="right" w:pos="9026" w:leader="dot"/>
            </w:tabs>
            <w:rPr/>
          </w:pPr>
          <w:hyperlink w:anchor="__RefHeading___Toc477054_581953129">
            <w:r>
              <w:rPr>
                <w:webHidden/>
                <w:rStyle w:val="IndexLink"/>
                <w:rtl w:val="true"/>
              </w:rPr>
              <w:t>الشعائر الدینیة لا تقتصر علی شعائر الحجّ</w:t>
            </w:r>
            <w:r>
              <w:rPr>
                <w:rStyle w:val="IndexLink"/>
                <w:rtl w:val="true"/>
              </w:rPr>
              <w:tab/>
            </w:r>
            <w:r>
              <w:rPr>
                <w:rStyle w:val="IndexLink"/>
              </w:rPr>
              <w:t>85</w:t>
            </w:r>
          </w:hyperlink>
        </w:p>
        <w:p>
          <w:pPr>
            <w:pStyle w:val="Contents4"/>
            <w:tabs>
              <w:tab w:val="clear" w:pos="8176"/>
              <w:tab w:val="right" w:pos="9026" w:leader="dot"/>
            </w:tabs>
            <w:rPr/>
          </w:pPr>
          <w:hyperlink w:anchor="__RefHeading___Toc477056_581953129">
            <w:r>
              <w:rPr>
                <w:webHidden/>
                <w:rStyle w:val="IndexLink"/>
                <w:rtl w:val="true"/>
              </w:rPr>
              <w:t>للشعیرة عدّة مصادیق ، ویشترط فیها عدم الحرمة الشرعیة</w:t>
            </w:r>
            <w:r>
              <w:rPr>
                <w:rStyle w:val="IndexLink"/>
                <w:rtl w:val="true"/>
              </w:rPr>
              <w:tab/>
            </w:r>
            <w:r>
              <w:rPr>
                <w:rStyle w:val="IndexLink"/>
              </w:rPr>
              <w:t>85</w:t>
            </w:r>
          </w:hyperlink>
        </w:p>
        <w:p>
          <w:pPr>
            <w:pStyle w:val="Contents4"/>
            <w:tabs>
              <w:tab w:val="clear" w:pos="8176"/>
              <w:tab w:val="right" w:pos="9026" w:leader="dot"/>
            </w:tabs>
            <w:rPr/>
          </w:pPr>
          <w:hyperlink w:anchor="__RefHeading___Toc477058_581953129">
            <w:r>
              <w:rPr>
                <w:webHidden/>
                <w:rStyle w:val="IndexLink"/>
                <w:rtl w:val="true"/>
              </w:rPr>
              <w:t>تطبیق علی المولد النبوی</w:t>
            </w:r>
            <w:r>
              <w:rPr>
                <w:rStyle w:val="IndexLink"/>
                <w:rtl w:val="true"/>
              </w:rPr>
              <w:tab/>
            </w:r>
            <w:r>
              <w:rPr>
                <w:rStyle w:val="IndexLink"/>
              </w:rPr>
              <w:t>86</w:t>
            </w:r>
          </w:hyperlink>
        </w:p>
        <w:p>
          <w:pPr>
            <w:pStyle w:val="Contents4"/>
            <w:tabs>
              <w:tab w:val="clear" w:pos="8176"/>
              <w:tab w:val="right" w:pos="9026" w:leader="dot"/>
            </w:tabs>
            <w:rPr/>
          </w:pPr>
          <w:hyperlink w:anchor="__RefHeading___Toc477060_581953129">
            <w:r>
              <w:rPr>
                <w:webHidden/>
                <w:rStyle w:val="IndexLink"/>
                <w:rtl w:val="true"/>
              </w:rPr>
              <w:t>استحداث أُسلوب جدید فی إحیاء الشعیرة لا یعتبر بدعة</w:t>
            </w:r>
            <w:r>
              <w:rPr>
                <w:rStyle w:val="IndexLink"/>
                <w:rtl w:val="true"/>
              </w:rPr>
              <w:tab/>
            </w:r>
            <w:r>
              <w:rPr>
                <w:rStyle w:val="IndexLink"/>
              </w:rPr>
              <w:t>86</w:t>
            </w:r>
          </w:hyperlink>
        </w:p>
        <w:p>
          <w:pPr>
            <w:pStyle w:val="Contents4"/>
            <w:tabs>
              <w:tab w:val="clear" w:pos="8176"/>
              <w:tab w:val="right" w:pos="9026" w:leader="dot"/>
            </w:tabs>
            <w:rPr/>
          </w:pPr>
          <w:hyperlink w:anchor="__RefHeading___Toc477062_581953129">
            <w:r>
              <w:rPr>
                <w:webHidden/>
                <w:rStyle w:val="IndexLink"/>
                <w:rtl w:val="true"/>
              </w:rPr>
              <w:t>للمعنی اللغوی دور مهم فی فهم النصّ الشرعی</w:t>
            </w:r>
            <w:r>
              <w:rPr>
                <w:rStyle w:val="IndexLink"/>
                <w:rtl w:val="true"/>
              </w:rPr>
              <w:tab/>
            </w:r>
            <w:r>
              <w:rPr>
                <w:rStyle w:val="IndexLink"/>
              </w:rPr>
              <w:t>87</w:t>
            </w:r>
          </w:hyperlink>
        </w:p>
        <w:p>
          <w:pPr>
            <w:pStyle w:val="Contents4"/>
            <w:tabs>
              <w:tab w:val="clear" w:pos="8176"/>
              <w:tab w:val="right" w:pos="9026" w:leader="dot"/>
            </w:tabs>
            <w:rPr/>
          </w:pPr>
          <w:hyperlink w:anchor="__RefHeading___Toc477064_581953129">
            <w:r>
              <w:rPr>
                <w:webHidden/>
                <w:rStyle w:val="IndexLink"/>
                <w:rtl w:val="true"/>
              </w:rPr>
              <w:t>الشعیرة علامة</w:t>
            </w:r>
            <w:r>
              <w:rPr>
                <w:rStyle w:val="IndexLink"/>
                <w:rtl w:val="true"/>
              </w:rPr>
              <w:tab/>
            </w:r>
            <w:r>
              <w:rPr>
                <w:rStyle w:val="IndexLink"/>
              </w:rPr>
              <w:t>87</w:t>
            </w:r>
          </w:hyperlink>
        </w:p>
        <w:p>
          <w:pPr>
            <w:pStyle w:val="Contents4"/>
            <w:tabs>
              <w:tab w:val="clear" w:pos="8176"/>
              <w:tab w:val="right" w:pos="9026" w:leader="dot"/>
            </w:tabs>
            <w:rPr/>
          </w:pPr>
          <w:hyperlink w:anchor="__RefHeading___Toc477066_581953129">
            <w:r>
              <w:rPr>
                <w:webHidden/>
                <w:rStyle w:val="IndexLink"/>
                <w:rtl w:val="true"/>
              </w:rPr>
              <w:t>الفرح لفرح أهل البیت علیهم السلام والحزن لحزنهم من مصادیق مودّتهم</w:t>
            </w:r>
            <w:r>
              <w:rPr>
                <w:rStyle w:val="IndexLink"/>
                <w:rtl w:val="true"/>
              </w:rPr>
              <w:tab/>
            </w:r>
            <w:r>
              <w:rPr>
                <w:rStyle w:val="IndexLink"/>
              </w:rPr>
              <w:t>87</w:t>
            </w:r>
          </w:hyperlink>
        </w:p>
        <w:p>
          <w:pPr>
            <w:pStyle w:val="Contents4"/>
            <w:tabs>
              <w:tab w:val="clear" w:pos="8176"/>
              <w:tab w:val="right" w:pos="9026" w:leader="dot"/>
            </w:tabs>
            <w:rPr/>
          </w:pPr>
          <w:hyperlink w:anchor="__RefHeading___Toc477068_581953129">
            <w:r>
              <w:rPr>
                <w:webHidden/>
                <w:rStyle w:val="IndexLink"/>
                <w:rtl w:val="true"/>
              </w:rPr>
              <w:t>تعظیم من عظّمه اللّه أمرٌ راجح فی الدین</w:t>
            </w:r>
            <w:r>
              <w:rPr>
                <w:rStyle w:val="IndexLink"/>
                <w:rtl w:val="true"/>
              </w:rPr>
              <w:tab/>
            </w:r>
            <w:r>
              <w:rPr>
                <w:rStyle w:val="IndexLink"/>
              </w:rPr>
              <w:t>88</w:t>
            </w:r>
          </w:hyperlink>
        </w:p>
        <w:p>
          <w:pPr>
            <w:pStyle w:val="Contents4"/>
            <w:tabs>
              <w:tab w:val="clear" w:pos="8176"/>
              <w:tab w:val="right" w:pos="9026" w:leader="dot"/>
            </w:tabs>
            <w:rPr/>
          </w:pPr>
          <w:hyperlink w:anchor="__RefHeading___Toc477070_581953129">
            <w:r>
              <w:rPr>
                <w:webHidden/>
                <w:rStyle w:val="IndexLink"/>
                <w:rtl w:val="true"/>
              </w:rPr>
              <w:t>أهل البیت علیهم السلام قد بیّنوا بعض مصادیق الشعائر</w:t>
            </w:r>
            <w:r>
              <w:rPr>
                <w:rStyle w:val="IndexLink"/>
                <w:rtl w:val="true"/>
              </w:rPr>
              <w:tab/>
            </w:r>
            <w:r>
              <w:rPr>
                <w:rStyle w:val="IndexLink"/>
              </w:rPr>
              <w:t>89</w:t>
            </w:r>
          </w:hyperlink>
        </w:p>
        <w:p>
          <w:pPr>
            <w:pStyle w:val="Contents4"/>
            <w:tabs>
              <w:tab w:val="clear" w:pos="8176"/>
              <w:tab w:val="right" w:pos="9026" w:leader="dot"/>
            </w:tabs>
            <w:rPr/>
          </w:pPr>
          <w:hyperlink w:anchor="__RefHeading___Toc477072_581953129">
            <w:r>
              <w:rPr>
                <w:webHidden/>
                <w:rStyle w:val="IndexLink"/>
                <w:rtl w:val="true"/>
              </w:rPr>
              <w:t>روایات وسائل الشیعة فی إحیاء الشعائر الحسینیة</w:t>
            </w:r>
            <w:r>
              <w:rPr>
                <w:rStyle w:val="IndexLink"/>
                <w:rtl w:val="true"/>
              </w:rPr>
              <w:tab/>
            </w:r>
            <w:r>
              <w:rPr>
                <w:rStyle w:val="IndexLink"/>
              </w:rPr>
              <w:t>90</w:t>
            </w:r>
          </w:hyperlink>
        </w:p>
        <w:p>
          <w:pPr>
            <w:pStyle w:val="Contents4"/>
            <w:tabs>
              <w:tab w:val="clear" w:pos="8176"/>
              <w:tab w:val="right" w:pos="9026" w:leader="dot"/>
            </w:tabs>
            <w:rPr/>
          </w:pPr>
          <w:hyperlink w:anchor="__RefHeading___Toc477074_581953129">
            <w:r>
              <w:rPr>
                <w:webHidden/>
                <w:rStyle w:val="IndexLink"/>
                <w:rtl w:val="true"/>
              </w:rPr>
              <w:t xml:space="preserve">والشعائر الحسینیة لها عدّة وجوه </w:t>
            </w:r>
            <w:r>
              <w:rPr>
                <w:rStyle w:val="IndexLink"/>
                <w:rtl w:val="true"/>
              </w:rPr>
              <w:t>:</w:t>
              <w:tab/>
            </w:r>
            <w:r>
              <w:rPr>
                <w:rStyle w:val="IndexLink"/>
              </w:rPr>
              <w:t>90</w:t>
            </w:r>
          </w:hyperlink>
        </w:p>
        <w:p>
          <w:pPr>
            <w:pStyle w:val="Contents4"/>
            <w:tabs>
              <w:tab w:val="clear" w:pos="8176"/>
              <w:tab w:val="right" w:pos="9026" w:leader="dot"/>
            </w:tabs>
            <w:rPr/>
          </w:pPr>
          <w:hyperlink w:anchor="__RefHeading___Toc477076_581953129">
            <w:r>
              <w:rPr>
                <w:webHidden/>
                <w:rStyle w:val="IndexLink"/>
                <w:rtl w:val="true"/>
              </w:rPr>
              <w:t>ینبغی أن تکون ذکری عاشوراء خالیة من مظاهر الفرح</w:t>
            </w:r>
            <w:r>
              <w:rPr>
                <w:rStyle w:val="IndexLink"/>
                <w:rtl w:val="true"/>
              </w:rPr>
              <w:tab/>
            </w:r>
            <w:r>
              <w:rPr>
                <w:rStyle w:val="IndexLink"/>
              </w:rPr>
              <w:t>92</w:t>
            </w:r>
          </w:hyperlink>
        </w:p>
        <w:p>
          <w:pPr>
            <w:pStyle w:val="Contents4"/>
            <w:tabs>
              <w:tab w:val="clear" w:pos="8176"/>
              <w:tab w:val="right" w:pos="9026" w:leader="dot"/>
            </w:tabs>
            <w:rPr/>
          </w:pPr>
          <w:hyperlink w:anchor="__RefHeading___Toc477078_581953129">
            <w:r>
              <w:rPr>
                <w:webHidden/>
                <w:rStyle w:val="IndexLink"/>
                <w:rtl w:val="true"/>
              </w:rPr>
              <w:t>المحافظة علی قدسیّة الذکری</w:t>
            </w:r>
            <w:r>
              <w:rPr>
                <w:rStyle w:val="IndexLink"/>
                <w:rtl w:val="true"/>
              </w:rPr>
              <w:tab/>
            </w:r>
            <w:r>
              <w:rPr>
                <w:rStyle w:val="IndexLink"/>
              </w:rPr>
              <w:t>92</w:t>
            </w:r>
          </w:hyperlink>
        </w:p>
        <w:p>
          <w:pPr>
            <w:pStyle w:val="Contents3"/>
            <w:tabs>
              <w:tab w:val="clear" w:pos="8459"/>
              <w:tab w:val="right" w:pos="9026" w:leader="dot"/>
            </w:tabs>
            <w:rPr/>
          </w:pPr>
          <w:hyperlink w:anchor="__RefHeading___Toc477080_581953129">
            <w:r>
              <w:rPr>
                <w:webHidden/>
                <w:rStyle w:val="IndexLink"/>
                <w:rtl w:val="true"/>
              </w:rPr>
              <w:t>المحاضرة الثانیة البکاء ، وعلاج ظاهرة الإرهاب والقسوة</w:t>
            </w:r>
            <w:r>
              <w:rPr>
                <w:rStyle w:val="IndexLink"/>
                <w:rtl w:val="true"/>
              </w:rPr>
              <w:tab/>
            </w:r>
            <w:r>
              <w:rPr>
                <w:rStyle w:val="IndexLink"/>
              </w:rPr>
              <w:t>94</w:t>
            </w:r>
          </w:hyperlink>
        </w:p>
        <w:p>
          <w:pPr>
            <w:pStyle w:val="Contents4"/>
            <w:tabs>
              <w:tab w:val="clear" w:pos="8176"/>
              <w:tab w:val="right" w:pos="9026" w:leader="dot"/>
            </w:tabs>
            <w:rPr/>
          </w:pPr>
          <w:hyperlink w:anchor="__RefHeading___Toc477082_58195312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477084_581953129">
            <w:r>
              <w:rPr>
                <w:webHidden/>
                <w:rStyle w:val="IndexLink"/>
                <w:rtl w:val="true"/>
              </w:rPr>
              <w:t>أرکان الشعیرة الحسینیة</w:t>
            </w:r>
            <w:r>
              <w:rPr>
                <w:rStyle w:val="IndexLink"/>
                <w:rtl w:val="true"/>
              </w:rPr>
              <w:tab/>
            </w:r>
            <w:r>
              <w:rPr>
                <w:rStyle w:val="IndexLink"/>
              </w:rPr>
              <w:t>94</w:t>
            </w:r>
          </w:hyperlink>
        </w:p>
        <w:p>
          <w:pPr>
            <w:pStyle w:val="Contents4"/>
            <w:tabs>
              <w:tab w:val="clear" w:pos="8176"/>
              <w:tab w:val="right" w:pos="9026" w:leader="dot"/>
            </w:tabs>
            <w:rPr/>
          </w:pPr>
          <w:hyperlink w:anchor="__RefHeading___Toc477086_581953129">
            <w:r>
              <w:rPr>
                <w:webHidden/>
                <w:rStyle w:val="IndexLink"/>
                <w:rtl w:val="true"/>
              </w:rPr>
              <w:t>یجب أن تدل الشعیرة الحسینیة علی أهداف وقیم الثورة الحسینیة</w:t>
            </w:r>
            <w:r>
              <w:rPr>
                <w:rStyle w:val="IndexLink"/>
                <w:rtl w:val="true"/>
              </w:rPr>
              <w:tab/>
            </w:r>
            <w:r>
              <w:rPr>
                <w:rStyle w:val="IndexLink"/>
              </w:rPr>
              <w:t>95</w:t>
            </w:r>
          </w:hyperlink>
        </w:p>
        <w:p>
          <w:pPr>
            <w:pStyle w:val="Contents4"/>
            <w:tabs>
              <w:tab w:val="clear" w:pos="8176"/>
              <w:tab w:val="right" w:pos="9026" w:leader="dot"/>
            </w:tabs>
            <w:rPr/>
          </w:pPr>
          <w:hyperlink w:anchor="__RefHeading___Toc477088_581953129">
            <w:r>
              <w:rPr>
                <w:webHidden/>
                <w:rStyle w:val="IndexLink"/>
                <w:rtl w:val="true"/>
              </w:rPr>
              <w:t>یجب تطبیق مواقف وأهداف الإمام الحسین علیه السلام علی الواقع</w:t>
            </w:r>
            <w:r>
              <w:rPr>
                <w:rStyle w:val="IndexLink"/>
                <w:rtl w:val="true"/>
              </w:rPr>
              <w:tab/>
            </w:r>
            <w:r>
              <w:rPr>
                <w:rStyle w:val="IndexLink"/>
              </w:rPr>
              <w:t>95</w:t>
            </w:r>
          </w:hyperlink>
        </w:p>
        <w:p>
          <w:pPr>
            <w:pStyle w:val="Contents4"/>
            <w:tabs>
              <w:tab w:val="clear" w:pos="8176"/>
              <w:tab w:val="right" w:pos="9026" w:leader="dot"/>
            </w:tabs>
            <w:rPr/>
          </w:pPr>
          <w:hyperlink w:anchor="__RefHeading___Toc477090_581953129">
            <w:r>
              <w:rPr>
                <w:webHidden/>
                <w:rStyle w:val="IndexLink"/>
                <w:rtl w:val="true"/>
              </w:rPr>
              <w:t>هل البکاء ظاهرة سلبیة ؟</w:t>
            </w:r>
            <w:r>
              <w:rPr>
                <w:rStyle w:val="IndexLink"/>
                <w:rtl w:val="true"/>
              </w:rPr>
              <w:tab/>
            </w:r>
            <w:r>
              <w:rPr>
                <w:rStyle w:val="IndexLink"/>
              </w:rPr>
              <w:t>95</w:t>
            </w:r>
          </w:hyperlink>
        </w:p>
        <w:p>
          <w:pPr>
            <w:pStyle w:val="Contents4"/>
            <w:tabs>
              <w:tab w:val="clear" w:pos="8176"/>
              <w:tab w:val="right" w:pos="9026" w:leader="dot"/>
            </w:tabs>
            <w:rPr/>
          </w:pPr>
          <w:hyperlink w:anchor="__RefHeading___Toc477092_581953129">
            <w:r>
              <w:rPr>
                <w:webHidden/>
                <w:rStyle w:val="IndexLink"/>
                <w:rtl w:val="true"/>
              </w:rPr>
              <w:t>البکاء علاج لأمراض الروح والنفس</w:t>
            </w:r>
            <w:r>
              <w:rPr>
                <w:rStyle w:val="IndexLink"/>
                <w:rtl w:val="true"/>
              </w:rPr>
              <w:tab/>
            </w:r>
            <w:r>
              <w:rPr>
                <w:rStyle w:val="IndexLink"/>
              </w:rPr>
              <w:t>96</w:t>
            </w:r>
          </w:hyperlink>
        </w:p>
        <w:p>
          <w:pPr>
            <w:pStyle w:val="Contents4"/>
            <w:tabs>
              <w:tab w:val="clear" w:pos="8176"/>
              <w:tab w:val="right" w:pos="9026" w:leader="dot"/>
            </w:tabs>
            <w:rPr/>
          </w:pPr>
          <w:hyperlink w:anchor="__RefHeading___Toc477094_581953129">
            <w:r>
              <w:rPr>
                <w:webHidden/>
                <w:rStyle w:val="IndexLink"/>
                <w:rtl w:val="true"/>
              </w:rPr>
              <w:t>الإسلام والقرآن الکریم یثنی علی البکّائین</w:t>
            </w:r>
            <w:r>
              <w:rPr>
                <w:rStyle w:val="IndexLink"/>
                <w:rtl w:val="true"/>
              </w:rPr>
              <w:tab/>
            </w:r>
            <w:r>
              <w:rPr>
                <w:rStyle w:val="IndexLink"/>
              </w:rPr>
              <w:t>96</w:t>
            </w:r>
          </w:hyperlink>
        </w:p>
        <w:p>
          <w:pPr>
            <w:pStyle w:val="Contents4"/>
            <w:tabs>
              <w:tab w:val="clear" w:pos="8176"/>
              <w:tab w:val="right" w:pos="9026" w:leader="dot"/>
            </w:tabs>
            <w:rPr/>
          </w:pPr>
          <w:hyperlink w:anchor="__RefHeading___Toc477096_581953129">
            <w:r>
              <w:rPr>
                <w:webHidden/>
                <w:rStyle w:val="IndexLink"/>
                <w:rtl w:val="true"/>
              </w:rPr>
              <w:t>البکاء یُقرّب الإنسان إلی الفضائل ، ویرقق القلب</w:t>
            </w:r>
            <w:r>
              <w:rPr>
                <w:rStyle w:val="IndexLink"/>
                <w:rtl w:val="true"/>
              </w:rPr>
              <w:tab/>
            </w:r>
            <w:r>
              <w:rPr>
                <w:rStyle w:val="IndexLink"/>
              </w:rPr>
              <w:t>97</w:t>
            </w:r>
          </w:hyperlink>
        </w:p>
        <w:p>
          <w:pPr>
            <w:pStyle w:val="Contents4"/>
            <w:tabs>
              <w:tab w:val="clear" w:pos="8176"/>
              <w:tab w:val="right" w:pos="9026" w:leader="dot"/>
            </w:tabs>
            <w:rPr/>
          </w:pPr>
          <w:hyperlink w:anchor="__RefHeading___Toc477098_581953129">
            <w:r>
              <w:rPr>
                <w:webHidden/>
                <w:rStyle w:val="IndexLink"/>
                <w:rtl w:val="true"/>
              </w:rPr>
              <w:t>الحکمة الإلهیة لخلق حالة البکاء عند الإنسان</w:t>
            </w:r>
            <w:r>
              <w:rPr>
                <w:rStyle w:val="IndexLink"/>
                <w:rtl w:val="true"/>
              </w:rPr>
              <w:tab/>
            </w:r>
            <w:r>
              <w:rPr>
                <w:rStyle w:val="IndexLink"/>
              </w:rPr>
              <w:t>97</w:t>
            </w:r>
          </w:hyperlink>
        </w:p>
        <w:p>
          <w:pPr>
            <w:pStyle w:val="Contents4"/>
            <w:tabs>
              <w:tab w:val="clear" w:pos="8176"/>
              <w:tab w:val="right" w:pos="9026" w:leader="dot"/>
            </w:tabs>
            <w:rPr/>
          </w:pPr>
          <w:hyperlink w:anchor="__RefHeading___Toc477100_581953129">
            <w:r>
              <w:rPr>
                <w:webHidden/>
                <w:rStyle w:val="IndexLink"/>
                <w:rtl w:val="true"/>
              </w:rPr>
              <w:t>الآثار الإیجابیة للبکاء</w:t>
            </w:r>
            <w:r>
              <w:rPr>
                <w:rStyle w:val="IndexLink"/>
                <w:rtl w:val="true"/>
              </w:rPr>
              <w:tab/>
            </w:r>
            <w:r>
              <w:rPr>
                <w:rStyle w:val="IndexLink"/>
              </w:rPr>
              <w:t>98</w:t>
            </w:r>
          </w:hyperlink>
        </w:p>
        <w:p>
          <w:pPr>
            <w:pStyle w:val="Contents4"/>
            <w:tabs>
              <w:tab w:val="clear" w:pos="8176"/>
              <w:tab w:val="right" w:pos="9026" w:leader="dot"/>
            </w:tabs>
            <w:rPr/>
          </w:pPr>
          <w:hyperlink w:anchor="__RefHeading___Toc477102_581953129">
            <w:r>
              <w:rPr>
                <w:webHidden/>
                <w:rStyle w:val="IndexLink"/>
                <w:rtl w:val="true"/>
              </w:rPr>
              <w:t>الحسین قتیل العَبرة</w:t>
            </w:r>
            <w:r>
              <w:rPr>
                <w:rStyle w:val="IndexLink"/>
                <w:rtl w:val="true"/>
              </w:rPr>
              <w:tab/>
            </w:r>
            <w:r>
              <w:rPr>
                <w:rStyle w:val="IndexLink"/>
              </w:rPr>
              <w:t>98</w:t>
            </w:r>
          </w:hyperlink>
        </w:p>
        <w:p>
          <w:pPr>
            <w:pStyle w:val="Contents4"/>
            <w:tabs>
              <w:tab w:val="clear" w:pos="8176"/>
              <w:tab w:val="right" w:pos="9026" w:leader="dot"/>
            </w:tabs>
            <w:rPr/>
          </w:pPr>
          <w:hyperlink w:anchor="__RefHeading___Toc477104_581953129">
            <w:r>
              <w:rPr>
                <w:webHidden/>
                <w:rStyle w:val="IndexLink"/>
                <w:rtl w:val="true"/>
              </w:rPr>
              <w:t>لا بدّ من التفاعل مع القضیة ، لکی نستطیع تفعیل دور البکاء</w:t>
            </w:r>
            <w:r>
              <w:rPr>
                <w:rStyle w:val="IndexLink"/>
                <w:rtl w:val="true"/>
              </w:rPr>
              <w:tab/>
            </w:r>
            <w:r>
              <w:rPr>
                <w:rStyle w:val="IndexLink"/>
              </w:rPr>
              <w:t>98</w:t>
            </w:r>
          </w:hyperlink>
        </w:p>
        <w:p>
          <w:pPr>
            <w:pStyle w:val="Contents4"/>
            <w:tabs>
              <w:tab w:val="clear" w:pos="8176"/>
              <w:tab w:val="right" w:pos="9026" w:leader="dot"/>
            </w:tabs>
            <w:rPr/>
          </w:pPr>
          <w:hyperlink w:anchor="__RefHeading___Toc477106_581953129">
            <w:r>
              <w:rPr>
                <w:webHidden/>
                <w:rStyle w:val="IndexLink"/>
                <w:rtl w:val="true"/>
              </w:rPr>
              <w:t>هل الإرهاب مرادف للصلابة والشدّة</w:t>
            </w:r>
            <w:r>
              <w:rPr>
                <w:rStyle w:val="IndexLink"/>
                <w:rtl w:val="true"/>
              </w:rPr>
              <w:tab/>
            </w:r>
            <w:r>
              <w:rPr>
                <w:rStyle w:val="IndexLink"/>
              </w:rPr>
              <w:t>99</w:t>
            </w:r>
          </w:hyperlink>
        </w:p>
        <w:p>
          <w:pPr>
            <w:pStyle w:val="Contents4"/>
            <w:tabs>
              <w:tab w:val="clear" w:pos="8176"/>
              <w:tab w:val="right" w:pos="9026" w:leader="dot"/>
            </w:tabs>
            <w:rPr/>
          </w:pPr>
          <w:hyperlink w:anchor="__RefHeading___Toc477108_581953129">
            <w:r>
              <w:rPr>
                <w:webHidden/>
                <w:rStyle w:val="IndexLink"/>
                <w:rtl w:val="true"/>
              </w:rPr>
              <w:t>الإجابة القانونیة لهذا السؤال</w:t>
            </w:r>
            <w:r>
              <w:rPr>
                <w:rStyle w:val="IndexLink"/>
                <w:rtl w:val="true"/>
              </w:rPr>
              <w:tab/>
            </w:r>
            <w:r>
              <w:rPr>
                <w:rStyle w:val="IndexLink"/>
              </w:rPr>
              <w:t>99</w:t>
            </w:r>
          </w:hyperlink>
        </w:p>
        <w:p>
          <w:pPr>
            <w:pStyle w:val="Contents4"/>
            <w:tabs>
              <w:tab w:val="clear" w:pos="8176"/>
              <w:tab w:val="right" w:pos="9026" w:leader="dot"/>
            </w:tabs>
            <w:rPr/>
          </w:pPr>
          <w:hyperlink w:anchor="__RefHeading___Toc477110_581953129">
            <w:r>
              <w:rPr>
                <w:webHidden/>
                <w:rStyle w:val="IndexLink"/>
                <w:rtl w:val="true"/>
              </w:rPr>
              <w:t>المراحل التی تستند إلیها القضایا القانونیة</w:t>
            </w:r>
            <w:r>
              <w:rPr>
                <w:rStyle w:val="IndexLink"/>
                <w:rtl w:val="true"/>
              </w:rPr>
              <w:tab/>
            </w:r>
            <w:r>
              <w:rPr>
                <w:rStyle w:val="IndexLink"/>
              </w:rPr>
              <w:t>100</w:t>
            </w:r>
          </w:hyperlink>
        </w:p>
        <w:p>
          <w:pPr>
            <w:pStyle w:val="Contents4"/>
            <w:tabs>
              <w:tab w:val="clear" w:pos="8176"/>
              <w:tab w:val="right" w:pos="9026" w:leader="dot"/>
            </w:tabs>
            <w:rPr/>
          </w:pPr>
          <w:hyperlink w:anchor="__RefHeading___Toc477112_581953129">
            <w:r>
              <w:rPr>
                <w:webHidden/>
                <w:rStyle w:val="IndexLink"/>
                <w:rtl w:val="true"/>
              </w:rPr>
              <w:t>لا یمکن الحکم علی القانون دون معرفة خلفیّاته الحقوقیة والأخلاقیة</w:t>
            </w:r>
            <w:r>
              <w:rPr>
                <w:rStyle w:val="IndexLink"/>
                <w:rtl w:val="true"/>
              </w:rPr>
              <w:tab/>
            </w:r>
            <w:r>
              <w:rPr>
                <w:rStyle w:val="IndexLink"/>
              </w:rPr>
              <w:t>100</w:t>
            </w:r>
          </w:hyperlink>
        </w:p>
        <w:p>
          <w:pPr>
            <w:pStyle w:val="Contents4"/>
            <w:tabs>
              <w:tab w:val="clear" w:pos="8176"/>
              <w:tab w:val="right" w:pos="9026" w:leader="dot"/>
            </w:tabs>
            <w:rPr/>
          </w:pPr>
          <w:hyperlink w:anchor="__RefHeading___Toc477114_581953129">
            <w:r>
              <w:rPr>
                <w:webHidden/>
                <w:rStyle w:val="IndexLink"/>
                <w:rtl w:val="true"/>
              </w:rPr>
              <w:t>لابدّ من دراسة الخطوط الحمراء والخضراء بناءً علی هذه الخلفیّات</w:t>
            </w:r>
            <w:r>
              <w:rPr>
                <w:rStyle w:val="IndexLink"/>
                <w:rtl w:val="true"/>
              </w:rPr>
              <w:tab/>
            </w:r>
            <w:r>
              <w:rPr>
                <w:rStyle w:val="IndexLink"/>
              </w:rPr>
              <w:t>101</w:t>
            </w:r>
          </w:hyperlink>
        </w:p>
        <w:p>
          <w:pPr>
            <w:pStyle w:val="Contents4"/>
            <w:tabs>
              <w:tab w:val="clear" w:pos="8176"/>
              <w:tab w:val="right" w:pos="9026" w:leader="dot"/>
            </w:tabs>
            <w:rPr/>
          </w:pPr>
          <w:hyperlink w:anchor="__RefHeading___Toc477116_581953129">
            <w:r>
              <w:rPr>
                <w:webHidden/>
                <w:rStyle w:val="IndexLink"/>
                <w:rtl w:val="true"/>
              </w:rPr>
              <w:t>رؤیتنا العقائدیة تبتنی علی وجود الخالق وتوحیده</w:t>
            </w:r>
            <w:r>
              <w:rPr>
                <w:rStyle w:val="IndexLink"/>
                <w:rtl w:val="true"/>
              </w:rPr>
              <w:tab/>
            </w:r>
            <w:r>
              <w:rPr>
                <w:rStyle w:val="IndexLink"/>
              </w:rPr>
              <w:t>101</w:t>
            </w:r>
          </w:hyperlink>
        </w:p>
        <w:p>
          <w:pPr>
            <w:pStyle w:val="Contents4"/>
            <w:tabs>
              <w:tab w:val="clear" w:pos="8176"/>
              <w:tab w:val="right" w:pos="9026" w:leader="dot"/>
            </w:tabs>
            <w:rPr/>
          </w:pPr>
          <w:hyperlink w:anchor="__RefHeading___Toc477118_581953129">
            <w:r>
              <w:rPr>
                <w:webHidden/>
                <w:rStyle w:val="IndexLink"/>
                <w:rtl w:val="true"/>
              </w:rPr>
              <w:t>لکل فعل منشأ أخلاقی</w:t>
            </w:r>
            <w:r>
              <w:rPr>
                <w:rStyle w:val="IndexLink"/>
                <w:rtl w:val="true"/>
              </w:rPr>
              <w:tab/>
            </w:r>
            <w:r>
              <w:rPr>
                <w:rStyle w:val="IndexLink"/>
              </w:rPr>
              <w:t>101</w:t>
            </w:r>
          </w:hyperlink>
        </w:p>
        <w:p>
          <w:pPr>
            <w:pStyle w:val="Contents4"/>
            <w:tabs>
              <w:tab w:val="clear" w:pos="8176"/>
              <w:tab w:val="right" w:pos="9026" w:leader="dot"/>
            </w:tabs>
            <w:rPr/>
          </w:pPr>
          <w:hyperlink w:anchor="__RefHeading___Toc477120_581953129">
            <w:r>
              <w:rPr>
                <w:webHidden/>
                <w:rStyle w:val="IndexLink"/>
                <w:rtl w:val="true"/>
              </w:rPr>
              <w:t>الارتباط بین المراحل الأربع</w:t>
            </w:r>
            <w:r>
              <w:rPr>
                <w:rStyle w:val="IndexLink"/>
                <w:rtl w:val="true"/>
              </w:rPr>
              <w:tab/>
            </w:r>
            <w:r>
              <w:rPr>
                <w:rStyle w:val="IndexLink"/>
              </w:rPr>
              <w:t>102</w:t>
            </w:r>
          </w:hyperlink>
        </w:p>
        <w:p>
          <w:pPr>
            <w:pStyle w:val="Contents4"/>
            <w:tabs>
              <w:tab w:val="clear" w:pos="8176"/>
              <w:tab w:val="right" w:pos="9026" w:leader="dot"/>
            </w:tabs>
            <w:rPr/>
          </w:pPr>
          <w:hyperlink w:anchor="__RefHeading___Toc477122_581953129">
            <w:r>
              <w:rPr>
                <w:webHidden/>
                <w:rStyle w:val="IndexLink"/>
                <w:rtl w:val="true"/>
              </w:rPr>
              <w:t>روح الشریعة وفقه المقاصد</w:t>
            </w:r>
            <w:r>
              <w:rPr>
                <w:rStyle w:val="IndexLink"/>
                <w:rtl w:val="true"/>
              </w:rPr>
              <w:tab/>
            </w:r>
            <w:r>
              <w:rPr>
                <w:rStyle w:val="IndexLink"/>
              </w:rPr>
              <w:t>102</w:t>
            </w:r>
          </w:hyperlink>
        </w:p>
        <w:p>
          <w:pPr>
            <w:pStyle w:val="Contents4"/>
            <w:tabs>
              <w:tab w:val="clear" w:pos="8176"/>
              <w:tab w:val="right" w:pos="9026" w:leader="dot"/>
            </w:tabs>
            <w:rPr/>
          </w:pPr>
          <w:hyperlink w:anchor="__RefHeading___Toc477124_581953129">
            <w:r>
              <w:rPr>
                <w:webHidden/>
                <w:rStyle w:val="IndexLink"/>
                <w:rtl w:val="true"/>
              </w:rPr>
              <w:t>الإمام الحسین علیه السلام یرجع أعداءه إلی الأصول الأخلاقیة</w:t>
            </w:r>
            <w:r>
              <w:rPr>
                <w:rStyle w:val="IndexLink"/>
                <w:rtl w:val="true"/>
              </w:rPr>
              <w:tab/>
            </w:r>
            <w:r>
              <w:rPr>
                <w:rStyle w:val="IndexLink"/>
              </w:rPr>
              <w:t>103</w:t>
            </w:r>
          </w:hyperlink>
        </w:p>
        <w:p>
          <w:pPr>
            <w:pStyle w:val="Contents3"/>
            <w:tabs>
              <w:tab w:val="clear" w:pos="8459"/>
              <w:tab w:val="right" w:pos="9026" w:leader="dot"/>
            </w:tabs>
            <w:rPr/>
          </w:pPr>
          <w:hyperlink w:anchor="__RefHeading___Toc477126_581953129">
            <w:r>
              <w:rPr>
                <w:webHidden/>
                <w:rStyle w:val="IndexLink"/>
                <w:rtl w:val="true"/>
              </w:rPr>
              <w:t>المحاضرة الثالثة استناد الأحکام القانونیة للقاعدة الأخلاقیة فی التشریع الإسلامی</w:t>
            </w:r>
            <w:r>
              <w:rPr>
                <w:rStyle w:val="IndexLink"/>
                <w:rtl w:val="true"/>
              </w:rPr>
              <w:tab/>
            </w:r>
            <w:r>
              <w:rPr>
                <w:rStyle w:val="IndexLink"/>
              </w:rPr>
              <w:t>104</w:t>
            </w:r>
          </w:hyperlink>
        </w:p>
        <w:p>
          <w:pPr>
            <w:pStyle w:val="Contents4"/>
            <w:tabs>
              <w:tab w:val="clear" w:pos="8176"/>
              <w:tab w:val="right" w:pos="9026" w:leader="dot"/>
            </w:tabs>
            <w:rPr/>
          </w:pPr>
          <w:hyperlink w:anchor="__RefHeading___Toc477128_581953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477130_581953129">
            <w:r>
              <w:rPr>
                <w:webHidden/>
                <w:rStyle w:val="IndexLink"/>
                <w:rtl w:val="true"/>
              </w:rPr>
              <w:t>الاختلاف بین التعامل القانونی والتعامل الأخلاقی</w:t>
            </w:r>
            <w:r>
              <w:rPr>
                <w:rStyle w:val="IndexLink"/>
                <w:rtl w:val="true"/>
              </w:rPr>
              <w:tab/>
            </w:r>
            <w:r>
              <w:rPr>
                <w:rStyle w:val="IndexLink"/>
              </w:rPr>
              <w:t>104</w:t>
            </w:r>
          </w:hyperlink>
        </w:p>
        <w:p>
          <w:pPr>
            <w:pStyle w:val="Contents4"/>
            <w:tabs>
              <w:tab w:val="clear" w:pos="8176"/>
              <w:tab w:val="right" w:pos="9026" w:leader="dot"/>
            </w:tabs>
            <w:rPr/>
          </w:pPr>
          <w:hyperlink w:anchor="__RefHeading___Toc477132_581953129">
            <w:r>
              <w:rPr>
                <w:webHidden/>
                <w:rStyle w:val="IndexLink"/>
                <w:rtl w:val="true"/>
              </w:rPr>
              <w:t>فصل النزاعات بالقانون أم بالأخلاق ؟</w:t>
            </w:r>
            <w:r>
              <w:rPr>
                <w:rStyle w:val="IndexLink"/>
                <w:rtl w:val="true"/>
              </w:rPr>
              <w:tab/>
            </w:r>
            <w:r>
              <w:rPr>
                <w:rStyle w:val="IndexLink"/>
              </w:rPr>
              <w:t>105</w:t>
            </w:r>
          </w:hyperlink>
        </w:p>
        <w:p>
          <w:pPr>
            <w:pStyle w:val="Contents4"/>
            <w:tabs>
              <w:tab w:val="clear" w:pos="8176"/>
              <w:tab w:val="right" w:pos="9026" w:leader="dot"/>
            </w:tabs>
            <w:rPr/>
          </w:pPr>
          <w:hyperlink w:anchor="__RefHeading___Toc477134_581953129">
            <w:r>
              <w:rPr>
                <w:webHidden/>
                <w:rStyle w:val="IndexLink"/>
                <w:rtl w:val="true"/>
              </w:rPr>
              <w:t>الصلة بین الموازین الأخلاقیة والموازین القانونیة</w:t>
            </w:r>
            <w:r>
              <w:rPr>
                <w:rStyle w:val="IndexLink"/>
                <w:rtl w:val="true"/>
              </w:rPr>
              <w:tab/>
            </w:r>
            <w:r>
              <w:rPr>
                <w:rStyle w:val="IndexLink"/>
              </w:rPr>
              <w:t>105</w:t>
            </w:r>
          </w:hyperlink>
        </w:p>
        <w:p>
          <w:pPr>
            <w:pStyle w:val="Contents4"/>
            <w:tabs>
              <w:tab w:val="clear" w:pos="8176"/>
              <w:tab w:val="right" w:pos="9026" w:leader="dot"/>
            </w:tabs>
            <w:rPr/>
          </w:pPr>
          <w:hyperlink w:anchor="__RefHeading___Toc477136_581953129">
            <w:r>
              <w:rPr>
                <w:webHidden/>
                <w:rStyle w:val="IndexLink"/>
                <w:rtl w:val="true"/>
              </w:rPr>
              <w:t>القانون یُهدّد فی حالة الحدیّة فی تطبیق القانون مع استبعاد العنصر الأخلاقی</w:t>
            </w:r>
            <w:r>
              <w:rPr>
                <w:rStyle w:val="IndexLink"/>
                <w:rtl w:val="true"/>
              </w:rPr>
              <w:tab/>
            </w:r>
            <w:r>
              <w:rPr>
                <w:rStyle w:val="IndexLink"/>
              </w:rPr>
              <w:t>106</w:t>
            </w:r>
          </w:hyperlink>
        </w:p>
        <w:p>
          <w:pPr>
            <w:pStyle w:val="Contents4"/>
            <w:tabs>
              <w:tab w:val="clear" w:pos="8176"/>
              <w:tab w:val="right" w:pos="9026" w:leader="dot"/>
            </w:tabs>
            <w:rPr/>
          </w:pPr>
          <w:hyperlink w:anchor="__RefHeading___Toc477138_581953129">
            <w:r>
              <w:rPr>
                <w:webHidden/>
                <w:rStyle w:val="IndexLink"/>
                <w:rtl w:val="true"/>
              </w:rPr>
              <w:t>القرآن یأمر بالأخذ بالعفو والإعراض عن الجاهلین</w:t>
            </w:r>
            <w:r>
              <w:rPr>
                <w:rStyle w:val="IndexLink"/>
                <w:rtl w:val="true"/>
              </w:rPr>
              <w:tab/>
            </w:r>
            <w:r>
              <w:rPr>
                <w:rStyle w:val="IndexLink"/>
              </w:rPr>
              <w:t>107</w:t>
            </w:r>
          </w:hyperlink>
        </w:p>
        <w:p>
          <w:pPr>
            <w:pStyle w:val="Contents4"/>
            <w:tabs>
              <w:tab w:val="clear" w:pos="8176"/>
              <w:tab w:val="right" w:pos="9026" w:leader="dot"/>
            </w:tabs>
            <w:rPr/>
          </w:pPr>
          <w:hyperlink w:anchor="__RefHeading___Toc477140_581953129">
            <w:r>
              <w:rPr>
                <w:webHidden/>
                <w:rStyle w:val="IndexLink"/>
                <w:rtl w:val="true"/>
              </w:rPr>
              <w:t>الرفق فی مرحلة نص القانون ، وفی مرحلة تطبیق القانون</w:t>
            </w:r>
            <w:r>
              <w:rPr>
                <w:rStyle w:val="IndexLink"/>
                <w:rtl w:val="true"/>
              </w:rPr>
              <w:tab/>
            </w:r>
            <w:r>
              <w:rPr>
                <w:rStyle w:val="IndexLink"/>
              </w:rPr>
              <w:t>109</w:t>
            </w:r>
          </w:hyperlink>
        </w:p>
        <w:p>
          <w:pPr>
            <w:pStyle w:val="Contents4"/>
            <w:tabs>
              <w:tab w:val="clear" w:pos="8176"/>
              <w:tab w:val="right" w:pos="9026" w:leader="dot"/>
            </w:tabs>
            <w:rPr/>
          </w:pPr>
          <w:hyperlink w:anchor="__RefHeading___Toc477142_581953129">
            <w:r>
              <w:rPr>
                <w:webHidden/>
                <w:rStyle w:val="IndexLink"/>
                <w:rtl w:val="true"/>
              </w:rPr>
              <w:t>سَنّ القوانین وتفسیرها تبعاً لمصالح شخصیة</w:t>
            </w:r>
            <w:r>
              <w:rPr>
                <w:rStyle w:val="IndexLink"/>
                <w:rtl w:val="true"/>
              </w:rPr>
              <w:tab/>
            </w:r>
            <w:r>
              <w:rPr>
                <w:rStyle w:val="IndexLink"/>
              </w:rPr>
              <w:t>109</w:t>
            </w:r>
          </w:hyperlink>
        </w:p>
        <w:p>
          <w:pPr>
            <w:pStyle w:val="Contents4"/>
            <w:tabs>
              <w:tab w:val="clear" w:pos="8176"/>
              <w:tab w:val="right" w:pos="9026" w:leader="dot"/>
            </w:tabs>
            <w:rPr/>
          </w:pPr>
          <w:hyperlink w:anchor="__RefHeading___Toc477144_581953129">
            <w:r>
              <w:rPr>
                <w:webHidden/>
                <w:rStyle w:val="IndexLink"/>
                <w:rtl w:val="true"/>
              </w:rPr>
              <w:t>الفرق بین العفو والإعراض عن الجاهلین</w:t>
            </w:r>
            <w:r>
              <w:rPr>
                <w:rStyle w:val="IndexLink"/>
                <w:rtl w:val="true"/>
              </w:rPr>
              <w:tab/>
            </w:r>
            <w:r>
              <w:rPr>
                <w:rStyle w:val="IndexLink"/>
              </w:rPr>
              <w:t>110</w:t>
            </w:r>
          </w:hyperlink>
        </w:p>
        <w:p>
          <w:pPr>
            <w:pStyle w:val="Contents4"/>
            <w:tabs>
              <w:tab w:val="clear" w:pos="8176"/>
              <w:tab w:val="right" w:pos="9026" w:leader="dot"/>
            </w:tabs>
            <w:rPr/>
          </w:pPr>
          <w:hyperlink w:anchor="__RefHeading___Toc477146_581953129">
            <w:r>
              <w:rPr>
                <w:webHidden/>
                <w:rStyle w:val="IndexLink"/>
                <w:rtl w:val="true"/>
              </w:rPr>
              <w:t>کظم الغیظ ، والسیطرة علی القوّة الغضبیة</w:t>
            </w:r>
            <w:r>
              <w:rPr>
                <w:rStyle w:val="IndexLink"/>
                <w:rtl w:val="true"/>
              </w:rPr>
              <w:tab/>
            </w:r>
            <w:r>
              <w:rPr>
                <w:rStyle w:val="IndexLink"/>
              </w:rPr>
              <w:t>111</w:t>
            </w:r>
          </w:hyperlink>
        </w:p>
        <w:p>
          <w:pPr>
            <w:pStyle w:val="Contents4"/>
            <w:tabs>
              <w:tab w:val="clear" w:pos="8176"/>
              <w:tab w:val="right" w:pos="9026" w:leader="dot"/>
            </w:tabs>
            <w:rPr/>
          </w:pPr>
          <w:hyperlink w:anchor="__RefHeading___Toc477148_581953129">
            <w:r>
              <w:rPr>
                <w:webHidden/>
                <w:rStyle w:val="IndexLink"/>
                <w:rtl w:val="true"/>
              </w:rPr>
              <w:t>اختلاف المصطلحات</w:t>
            </w:r>
            <w:r>
              <w:rPr>
                <w:rStyle w:val="IndexLink"/>
                <w:rtl w:val="true"/>
              </w:rPr>
              <w:tab/>
            </w:r>
            <w:r>
              <w:rPr>
                <w:rStyle w:val="IndexLink"/>
              </w:rPr>
              <w:t>111</w:t>
            </w:r>
          </w:hyperlink>
        </w:p>
        <w:p>
          <w:pPr>
            <w:pStyle w:val="Contents4"/>
            <w:tabs>
              <w:tab w:val="clear" w:pos="8176"/>
              <w:tab w:val="right" w:pos="9026" w:leader="dot"/>
            </w:tabs>
            <w:rPr/>
          </w:pPr>
          <w:hyperlink w:anchor="__RefHeading___Toc477150_581953129">
            <w:r>
              <w:rPr>
                <w:webHidden/>
                <w:rStyle w:val="IndexLink"/>
                <w:rtl w:val="true"/>
              </w:rPr>
              <w:t>أحادیث أهل البیت علیهم السلام فی الرفق والحلم</w:t>
            </w:r>
            <w:r>
              <w:rPr>
                <w:rStyle w:val="IndexLink"/>
                <w:rtl w:val="true"/>
              </w:rPr>
              <w:tab/>
            </w:r>
            <w:r>
              <w:rPr>
                <w:rStyle w:val="IndexLink"/>
              </w:rPr>
              <w:t>112</w:t>
            </w:r>
          </w:hyperlink>
        </w:p>
        <w:p>
          <w:pPr>
            <w:pStyle w:val="Contents3"/>
            <w:tabs>
              <w:tab w:val="clear" w:pos="8459"/>
              <w:tab w:val="right" w:pos="9026" w:leader="dot"/>
            </w:tabs>
            <w:rPr/>
          </w:pPr>
          <w:hyperlink w:anchor="__RefHeading___Toc477152_581953129">
            <w:r>
              <w:rPr>
                <w:webHidden/>
                <w:rStyle w:val="IndexLink"/>
                <w:rtl w:val="true"/>
              </w:rPr>
              <w:t>المحاضرة الرابعة الحوار هو الخیار الأوّل فی الفکر الإسلامی وسیرة أهل البیت علیهم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77154_581953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77156_581953129">
            <w:r>
              <w:rPr>
                <w:webHidden/>
                <w:rStyle w:val="IndexLink"/>
                <w:rtl w:val="true"/>
              </w:rPr>
              <w:t>لماذا کان التعقّل هو الطبیعة الأوّلیة فی القوانین الشرعیة ؟</w:t>
            </w:r>
            <w:r>
              <w:rPr>
                <w:rStyle w:val="IndexLink"/>
                <w:rtl w:val="true"/>
              </w:rPr>
              <w:tab/>
            </w:r>
            <w:r>
              <w:rPr>
                <w:rStyle w:val="IndexLink"/>
              </w:rPr>
              <w:t>115</w:t>
            </w:r>
          </w:hyperlink>
        </w:p>
        <w:p>
          <w:pPr>
            <w:pStyle w:val="Contents4"/>
            <w:tabs>
              <w:tab w:val="clear" w:pos="8176"/>
              <w:tab w:val="right" w:pos="9026" w:leader="dot"/>
            </w:tabs>
            <w:rPr/>
          </w:pPr>
          <w:hyperlink w:anchor="__RefHeading___Toc477158_581953129">
            <w:r>
              <w:rPr>
                <w:webHidden/>
                <w:rStyle w:val="IndexLink"/>
                <w:rtl w:val="true"/>
              </w:rPr>
              <w:t>البناء والإعمار لیس من طبیعة القوّة الغضبیة</w:t>
            </w:r>
            <w:r>
              <w:rPr>
                <w:rStyle w:val="IndexLink"/>
                <w:rtl w:val="true"/>
              </w:rPr>
              <w:tab/>
            </w:r>
            <w:r>
              <w:rPr>
                <w:rStyle w:val="IndexLink"/>
              </w:rPr>
              <w:t>116</w:t>
            </w:r>
          </w:hyperlink>
        </w:p>
        <w:p>
          <w:pPr>
            <w:pStyle w:val="Contents4"/>
            <w:tabs>
              <w:tab w:val="clear" w:pos="8176"/>
              <w:tab w:val="right" w:pos="9026" w:leader="dot"/>
            </w:tabs>
            <w:rPr/>
          </w:pPr>
          <w:hyperlink w:anchor="__RefHeading___Toc477160_581953129">
            <w:r>
              <w:rPr>
                <w:webHidden/>
                <w:rStyle w:val="IndexLink"/>
                <w:rtl w:val="true"/>
              </w:rPr>
              <w:t>الدمار هو نتیجة إطلاق عنان القوّة الشهویة والقوّة الغضبیة</w:t>
            </w:r>
            <w:r>
              <w:rPr>
                <w:rStyle w:val="IndexLink"/>
                <w:rtl w:val="true"/>
              </w:rPr>
              <w:tab/>
            </w:r>
            <w:r>
              <w:rPr>
                <w:rStyle w:val="IndexLink"/>
              </w:rPr>
              <w:t>116</w:t>
            </w:r>
          </w:hyperlink>
        </w:p>
        <w:p>
          <w:pPr>
            <w:pStyle w:val="Contents4"/>
            <w:tabs>
              <w:tab w:val="clear" w:pos="8176"/>
              <w:tab w:val="right" w:pos="9026" w:leader="dot"/>
            </w:tabs>
            <w:rPr/>
          </w:pPr>
          <w:hyperlink w:anchor="__RefHeading___Toc477162_581953129">
            <w:r>
              <w:rPr>
                <w:webHidden/>
                <w:rStyle w:val="IndexLink"/>
                <w:rtl w:val="true"/>
              </w:rPr>
              <w:t>یجب أن نطلق عنان القوی العقلیّة والفکریة ، ونجعلها حاکمة علی بقیّة القوی</w:t>
            </w:r>
            <w:r>
              <w:rPr>
                <w:rStyle w:val="IndexLink"/>
                <w:rtl w:val="true"/>
              </w:rPr>
              <w:tab/>
            </w:r>
            <w:r>
              <w:rPr>
                <w:rStyle w:val="IndexLink"/>
              </w:rPr>
              <w:t>117</w:t>
            </w:r>
          </w:hyperlink>
        </w:p>
        <w:p>
          <w:pPr>
            <w:pStyle w:val="Contents4"/>
            <w:tabs>
              <w:tab w:val="clear" w:pos="8176"/>
              <w:tab w:val="right" w:pos="9026" w:leader="dot"/>
            </w:tabs>
            <w:rPr/>
          </w:pPr>
          <w:hyperlink w:anchor="__RefHeading___Toc477164_581953129">
            <w:r>
              <w:rPr>
                <w:webHidden/>
                <w:rStyle w:val="IndexLink"/>
                <w:rtl w:val="true"/>
              </w:rPr>
              <w:t>التعقّل هو أنسب الخیارات للطبیعة البشریة</w:t>
            </w:r>
            <w:r>
              <w:rPr>
                <w:rStyle w:val="IndexLink"/>
                <w:rtl w:val="true"/>
              </w:rPr>
              <w:tab/>
            </w:r>
            <w:r>
              <w:rPr>
                <w:rStyle w:val="IndexLink"/>
              </w:rPr>
              <w:t>117</w:t>
            </w:r>
          </w:hyperlink>
        </w:p>
        <w:p>
          <w:pPr>
            <w:pStyle w:val="Contents4"/>
            <w:tabs>
              <w:tab w:val="clear" w:pos="8176"/>
              <w:tab w:val="right" w:pos="9026" w:leader="dot"/>
            </w:tabs>
            <w:rPr/>
          </w:pPr>
          <w:hyperlink w:anchor="__RefHeading___Toc477166_581953129">
            <w:r>
              <w:rPr>
                <w:webHidden/>
                <w:rStyle w:val="IndexLink"/>
                <w:rtl w:val="true"/>
              </w:rPr>
              <w:t>الفرق بین العقوبة والردع</w:t>
            </w:r>
            <w:r>
              <w:rPr>
                <w:rStyle w:val="IndexLink"/>
                <w:rtl w:val="true"/>
              </w:rPr>
              <w:tab/>
            </w:r>
            <w:r>
              <w:rPr>
                <w:rStyle w:val="IndexLink"/>
              </w:rPr>
              <w:t>118</w:t>
            </w:r>
          </w:hyperlink>
        </w:p>
        <w:p>
          <w:pPr>
            <w:pStyle w:val="Contents4"/>
            <w:tabs>
              <w:tab w:val="clear" w:pos="8176"/>
              <w:tab w:val="right" w:pos="9026" w:leader="dot"/>
            </w:tabs>
            <w:rPr/>
          </w:pPr>
          <w:hyperlink w:anchor="__RefHeading___Toc477168_581953129">
            <w:r>
              <w:rPr>
                <w:webHidden/>
                <w:rStyle w:val="IndexLink"/>
                <w:rtl w:val="true"/>
              </w:rPr>
              <w:t>«</w:t>
            </w:r>
            <w:r>
              <w:rPr>
                <w:rStyle w:val="IndexLink"/>
                <w:rtl w:val="true"/>
              </w:rPr>
              <w:t>وَمَا کُنَّا مُعَذِّبِینَ حَتَّی نَبْعَثَ رَسُولاً</w:t>
            </w:r>
            <w:r>
              <w:rPr>
                <w:rStyle w:val="IndexLink"/>
                <w:rtl w:val="true"/>
              </w:rPr>
              <w:tab/>
            </w:r>
            <w:r>
              <w:rPr>
                <w:rStyle w:val="IndexLink"/>
              </w:rPr>
              <w:t>119</w:t>
            </w:r>
          </w:hyperlink>
        </w:p>
        <w:p>
          <w:pPr>
            <w:pStyle w:val="Contents4"/>
            <w:tabs>
              <w:tab w:val="clear" w:pos="8176"/>
              <w:tab w:val="right" w:pos="9026" w:leader="dot"/>
            </w:tabs>
            <w:rPr/>
          </w:pPr>
          <w:hyperlink w:anchor="__RefHeading___Toc477170_581953129">
            <w:r>
              <w:rPr>
                <w:webHidden/>
                <w:rStyle w:val="IndexLink"/>
                <w:rtl w:val="true"/>
              </w:rPr>
              <w:t>القساوة فی المرحلة الثانیة</w:t>
            </w:r>
            <w:r>
              <w:rPr>
                <w:rStyle w:val="IndexLink"/>
                <w:rtl w:val="true"/>
              </w:rPr>
              <w:tab/>
            </w:r>
            <w:r>
              <w:rPr>
                <w:rStyle w:val="IndexLink"/>
              </w:rPr>
              <w:t>119</w:t>
            </w:r>
          </w:hyperlink>
        </w:p>
        <w:p>
          <w:pPr>
            <w:pStyle w:val="Contents4"/>
            <w:tabs>
              <w:tab w:val="clear" w:pos="8176"/>
              <w:tab w:val="right" w:pos="9026" w:leader="dot"/>
            </w:tabs>
            <w:rPr/>
          </w:pPr>
          <w:hyperlink w:anchor="__RefHeading___Toc477172_581953129">
            <w:r>
              <w:rPr>
                <w:webHidden/>
                <w:rStyle w:val="IndexLink"/>
                <w:rtl w:val="true"/>
              </w:rPr>
              <w:t>الحوار فی النزاعات القضائیة</w:t>
            </w:r>
            <w:r>
              <w:rPr>
                <w:rStyle w:val="IndexLink"/>
                <w:rtl w:val="true"/>
              </w:rPr>
              <w:tab/>
            </w:r>
            <w:r>
              <w:rPr>
                <w:rStyle w:val="IndexLink"/>
              </w:rPr>
              <w:t>120</w:t>
            </w:r>
          </w:hyperlink>
        </w:p>
        <w:p>
          <w:pPr>
            <w:pStyle w:val="Contents4"/>
            <w:tabs>
              <w:tab w:val="clear" w:pos="8176"/>
              <w:tab w:val="right" w:pos="9026" w:leader="dot"/>
            </w:tabs>
            <w:rPr/>
          </w:pPr>
          <w:hyperlink w:anchor="__RefHeading___Toc477174_581953129">
            <w:r>
              <w:rPr>
                <w:webHidden/>
                <w:rStyle w:val="IndexLink"/>
                <w:rtl w:val="true"/>
              </w:rPr>
              <w:t>ممارسة الحکومات الدکتاتوریة شوّهت صورة الإسلام</w:t>
            </w:r>
            <w:r>
              <w:rPr>
                <w:rStyle w:val="IndexLink"/>
                <w:rtl w:val="true"/>
              </w:rPr>
              <w:tab/>
            </w:r>
            <w:r>
              <w:rPr>
                <w:rStyle w:val="IndexLink"/>
              </w:rPr>
              <w:t>120</w:t>
            </w:r>
          </w:hyperlink>
        </w:p>
        <w:p>
          <w:pPr>
            <w:pStyle w:val="Contents4"/>
            <w:tabs>
              <w:tab w:val="clear" w:pos="8176"/>
              <w:tab w:val="right" w:pos="9026" w:leader="dot"/>
            </w:tabs>
            <w:rPr/>
          </w:pPr>
          <w:hyperlink w:anchor="__RefHeading___Toc477176_581953129">
            <w:r>
              <w:rPr>
                <w:webHidden/>
                <w:rStyle w:val="IndexLink"/>
                <w:rtl w:val="true"/>
              </w:rPr>
              <w:t>الشوری لا تعنی إرادة الأکثریّة ، وإنّما هی الأخذ بأفضل الآراء</w:t>
            </w:r>
            <w:r>
              <w:rPr>
                <w:rStyle w:val="IndexLink"/>
                <w:rtl w:val="true"/>
              </w:rPr>
              <w:tab/>
            </w:r>
            <w:r>
              <w:rPr>
                <w:rStyle w:val="IndexLink"/>
              </w:rPr>
              <w:t>120</w:t>
            </w:r>
          </w:hyperlink>
        </w:p>
        <w:p>
          <w:pPr>
            <w:pStyle w:val="Contents4"/>
            <w:tabs>
              <w:tab w:val="clear" w:pos="8176"/>
              <w:tab w:val="right" w:pos="9026" w:leader="dot"/>
            </w:tabs>
            <w:rPr/>
          </w:pPr>
          <w:hyperlink w:anchor="__RefHeading___Toc477178_581953129">
            <w:r>
              <w:rPr>
                <w:webHidden/>
                <w:rStyle w:val="IndexLink"/>
                <w:rtl w:val="true"/>
              </w:rPr>
              <w:t>یُفتح باب القتال إذا أُغلق باب الحوار</w:t>
            </w:r>
            <w:r>
              <w:rPr>
                <w:rStyle w:val="IndexLink"/>
                <w:rtl w:val="true"/>
              </w:rPr>
              <w:tab/>
            </w:r>
            <w:r>
              <w:rPr>
                <w:rStyle w:val="IndexLink"/>
              </w:rPr>
              <w:t>122</w:t>
            </w:r>
          </w:hyperlink>
        </w:p>
        <w:p>
          <w:pPr>
            <w:pStyle w:val="Contents4"/>
            <w:tabs>
              <w:tab w:val="clear" w:pos="8176"/>
              <w:tab w:val="right" w:pos="9026" w:leader="dot"/>
            </w:tabs>
            <w:rPr/>
          </w:pPr>
          <w:hyperlink w:anchor="__RefHeading___Toc477180_581953129">
            <w:r>
              <w:rPr>
                <w:webHidden/>
                <w:rStyle w:val="IndexLink"/>
                <w:rtl w:val="true"/>
              </w:rPr>
              <w:t>الإمام علی علیه السلام طرق کل أبواب الحوار قبل القتال</w:t>
            </w:r>
            <w:r>
              <w:rPr>
                <w:rStyle w:val="IndexLink"/>
                <w:rtl w:val="true"/>
              </w:rPr>
              <w:tab/>
            </w:r>
            <w:r>
              <w:rPr>
                <w:rStyle w:val="IndexLink"/>
              </w:rPr>
              <w:t>122</w:t>
            </w:r>
          </w:hyperlink>
        </w:p>
        <w:p>
          <w:pPr>
            <w:pStyle w:val="Contents4"/>
            <w:tabs>
              <w:tab w:val="clear" w:pos="8176"/>
              <w:tab w:val="right" w:pos="9026" w:leader="dot"/>
            </w:tabs>
            <w:rPr/>
          </w:pPr>
          <w:hyperlink w:anchor="__RefHeading___Toc477182_581953129">
            <w:r>
              <w:rPr>
                <w:webHidden/>
                <w:rStyle w:val="IndexLink"/>
                <w:rtl w:val="true"/>
              </w:rPr>
              <w:t>أمیر المؤمنین علیه السلام ، وحواره مع حزب الخوارج</w:t>
            </w:r>
            <w:r>
              <w:rPr>
                <w:rStyle w:val="IndexLink"/>
                <w:rtl w:val="true"/>
              </w:rPr>
              <w:tab/>
            </w:r>
            <w:r>
              <w:rPr>
                <w:rStyle w:val="IndexLink"/>
              </w:rPr>
              <w:t>123</w:t>
            </w:r>
          </w:hyperlink>
        </w:p>
        <w:p>
          <w:pPr>
            <w:pStyle w:val="Contents4"/>
            <w:tabs>
              <w:tab w:val="clear" w:pos="8176"/>
              <w:tab w:val="right" w:pos="9026" w:leader="dot"/>
            </w:tabs>
            <w:rPr/>
          </w:pPr>
          <w:hyperlink w:anchor="__RefHeading___Toc477184_581953129">
            <w:r>
              <w:rPr>
                <w:webHidden/>
                <w:rStyle w:val="IndexLink"/>
                <w:rtl w:val="true"/>
              </w:rPr>
              <w:t>النبی صلی الله علیه و آله یقدّم الحوار علی القتال</w:t>
            </w:r>
            <w:r>
              <w:rPr>
                <w:rStyle w:val="IndexLink"/>
                <w:rtl w:val="true"/>
              </w:rPr>
              <w:tab/>
            </w:r>
            <w:r>
              <w:rPr>
                <w:rStyle w:val="IndexLink"/>
              </w:rPr>
              <w:t>124</w:t>
            </w:r>
          </w:hyperlink>
        </w:p>
        <w:p>
          <w:pPr>
            <w:pStyle w:val="Contents4"/>
            <w:tabs>
              <w:tab w:val="clear" w:pos="8176"/>
              <w:tab w:val="right" w:pos="9026" w:leader="dot"/>
            </w:tabs>
            <w:rPr/>
          </w:pPr>
          <w:hyperlink w:anchor="__RefHeading___Toc477186_581953129">
            <w:r>
              <w:rPr>
                <w:webHidden/>
                <w:rStyle w:val="IndexLink"/>
                <w:rtl w:val="true"/>
              </w:rPr>
              <w:t>الإمام الحسین علیه السلام ، والحوار مع الأعداء</w:t>
            </w:r>
            <w:r>
              <w:rPr>
                <w:rStyle w:val="IndexLink"/>
                <w:rtl w:val="true"/>
              </w:rPr>
              <w:tab/>
            </w:r>
            <w:r>
              <w:rPr>
                <w:rStyle w:val="IndexLink"/>
              </w:rPr>
              <w:t>124</w:t>
            </w:r>
          </w:hyperlink>
        </w:p>
        <w:p>
          <w:pPr>
            <w:pStyle w:val="Contents3"/>
            <w:tabs>
              <w:tab w:val="clear" w:pos="8459"/>
              <w:tab w:val="right" w:pos="9026" w:leader="dot"/>
            </w:tabs>
            <w:rPr/>
          </w:pPr>
          <w:hyperlink w:anchor="__RefHeading___Toc477188_581953129">
            <w:r>
              <w:rPr>
                <w:webHidden/>
                <w:rStyle w:val="IndexLink"/>
                <w:rtl w:val="true"/>
              </w:rPr>
              <w:t>المحاضرة الخامسة الجهاد الابتدائی والحروب العدوانیة</w:t>
            </w:r>
            <w:r>
              <w:rPr>
                <w:rStyle w:val="IndexLink"/>
                <w:rtl w:val="true"/>
              </w:rPr>
              <w:tab/>
            </w:r>
            <w:r>
              <w:rPr>
                <w:rStyle w:val="IndexLink"/>
              </w:rPr>
              <w:t>125</w:t>
            </w:r>
          </w:hyperlink>
        </w:p>
        <w:p>
          <w:pPr>
            <w:pStyle w:val="Contents4"/>
            <w:tabs>
              <w:tab w:val="clear" w:pos="8176"/>
              <w:tab w:val="right" w:pos="9026" w:leader="dot"/>
            </w:tabs>
            <w:rPr/>
          </w:pPr>
          <w:hyperlink w:anchor="__RefHeading___Toc477190_58195312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477192_581953129">
            <w:r>
              <w:rPr>
                <w:webHidden/>
                <w:rStyle w:val="IndexLink"/>
                <w:rtl w:val="true"/>
              </w:rPr>
              <w:t>المعترضون علی الإسلام</w:t>
            </w:r>
            <w:r>
              <w:rPr>
                <w:rStyle w:val="IndexLink"/>
                <w:rtl w:val="true"/>
              </w:rPr>
              <w:tab/>
            </w:r>
            <w:r>
              <w:rPr>
                <w:rStyle w:val="IndexLink"/>
              </w:rPr>
              <w:t>125</w:t>
            </w:r>
          </w:hyperlink>
        </w:p>
        <w:p>
          <w:pPr>
            <w:pStyle w:val="Contents4"/>
            <w:tabs>
              <w:tab w:val="clear" w:pos="8176"/>
              <w:tab w:val="right" w:pos="9026" w:leader="dot"/>
            </w:tabs>
            <w:rPr/>
          </w:pPr>
          <w:hyperlink w:anchor="__RefHeading___Toc477194_581953129">
            <w:r>
              <w:rPr>
                <w:webHidden/>
                <w:rStyle w:val="IndexLink"/>
                <w:rtl w:val="true"/>
              </w:rPr>
              <w:t>هل الإسلام دین القوّة والعنف والإرهاب ؟</w:t>
            </w:r>
            <w:r>
              <w:rPr>
                <w:rStyle w:val="IndexLink"/>
                <w:rtl w:val="true"/>
              </w:rPr>
              <w:tab/>
            </w:r>
            <w:r>
              <w:rPr>
                <w:rStyle w:val="IndexLink"/>
              </w:rPr>
              <w:t>126</w:t>
            </w:r>
          </w:hyperlink>
        </w:p>
        <w:p>
          <w:pPr>
            <w:pStyle w:val="Contents4"/>
            <w:tabs>
              <w:tab w:val="clear" w:pos="8176"/>
              <w:tab w:val="right" w:pos="9026" w:leader="dot"/>
            </w:tabs>
            <w:rPr/>
          </w:pPr>
          <w:hyperlink w:anchor="__RefHeading___Toc477196_581953129">
            <w:r>
              <w:rPr>
                <w:webHidden/>
                <w:rStyle w:val="IndexLink"/>
                <w:rtl w:val="true"/>
              </w:rPr>
              <w:t>طمع الجیوش الفاتحة فی الأموال والنساء</w:t>
            </w:r>
            <w:r>
              <w:rPr>
                <w:rStyle w:val="IndexLink"/>
                <w:rtl w:val="true"/>
              </w:rPr>
              <w:tab/>
            </w:r>
            <w:r>
              <w:rPr>
                <w:rStyle w:val="IndexLink"/>
              </w:rPr>
              <w:t>126</w:t>
            </w:r>
          </w:hyperlink>
        </w:p>
        <w:p>
          <w:pPr>
            <w:pStyle w:val="Contents4"/>
            <w:tabs>
              <w:tab w:val="clear" w:pos="8176"/>
              <w:tab w:val="right" w:pos="9026" w:leader="dot"/>
            </w:tabs>
            <w:rPr/>
          </w:pPr>
          <w:hyperlink w:anchor="__RefHeading___Toc477198_581953129">
            <w:r>
              <w:rPr>
                <w:webHidden/>
                <w:rStyle w:val="IndexLink"/>
                <w:rtl w:val="true"/>
              </w:rPr>
              <w:t>لماذا دخلت أوروبا فی الدین المسیحی فی القرن الثانی الهجری ؟</w:t>
            </w:r>
            <w:r>
              <w:rPr>
                <w:rStyle w:val="IndexLink"/>
                <w:rtl w:val="true"/>
              </w:rPr>
              <w:tab/>
            </w:r>
            <w:r>
              <w:rPr>
                <w:rStyle w:val="IndexLink"/>
              </w:rPr>
              <w:t>127</w:t>
            </w:r>
          </w:hyperlink>
        </w:p>
        <w:p>
          <w:pPr>
            <w:pStyle w:val="Contents4"/>
            <w:tabs>
              <w:tab w:val="clear" w:pos="8176"/>
              <w:tab w:val="right" w:pos="9026" w:leader="dot"/>
            </w:tabs>
            <w:rPr/>
          </w:pPr>
          <w:hyperlink w:anchor="__RefHeading___Toc477200_581953129">
            <w:r>
              <w:rPr>
                <w:webHidden/>
                <w:rStyle w:val="IndexLink"/>
                <w:rtl w:val="true"/>
              </w:rPr>
              <w:t>هل الجهاد الابتدائی هو الحرب العدوانیّة ؟</w:t>
            </w:r>
            <w:r>
              <w:rPr>
                <w:rStyle w:val="IndexLink"/>
                <w:rtl w:val="true"/>
              </w:rPr>
              <w:tab/>
            </w:r>
            <w:r>
              <w:rPr>
                <w:rStyle w:val="IndexLink"/>
              </w:rPr>
              <w:t>127</w:t>
            </w:r>
          </w:hyperlink>
        </w:p>
        <w:p>
          <w:pPr>
            <w:pStyle w:val="Contents4"/>
            <w:tabs>
              <w:tab w:val="clear" w:pos="8176"/>
              <w:tab w:val="right" w:pos="9026" w:leader="dot"/>
            </w:tabs>
            <w:rPr/>
          </w:pPr>
          <w:hyperlink w:anchor="__RefHeading___Toc477202_581953129">
            <w:r>
              <w:rPr>
                <w:webHidden/>
                <w:rStyle w:val="IndexLink"/>
                <w:rtl w:val="true"/>
              </w:rPr>
              <w:t>بعض الکتَّاب المصریین تنکّروا لوجود الجهاد الابتدائی</w:t>
            </w:r>
            <w:r>
              <w:rPr>
                <w:rStyle w:val="IndexLink"/>
                <w:rtl w:val="true"/>
              </w:rPr>
              <w:tab/>
            </w:r>
            <w:r>
              <w:rPr>
                <w:rStyle w:val="IndexLink"/>
              </w:rPr>
              <w:t>127</w:t>
            </w:r>
          </w:hyperlink>
        </w:p>
        <w:p>
          <w:pPr>
            <w:pStyle w:val="Contents4"/>
            <w:tabs>
              <w:tab w:val="clear" w:pos="8176"/>
              <w:tab w:val="right" w:pos="9026" w:leader="dot"/>
            </w:tabs>
            <w:rPr/>
          </w:pPr>
          <w:hyperlink w:anchor="__RefHeading___Toc477204_581953129">
            <w:r>
              <w:rPr>
                <w:webHidden/>
                <w:rStyle w:val="IndexLink"/>
                <w:rtl w:val="true"/>
              </w:rPr>
              <w:t>حروب النبی صلی الله علیه و آله کلّها دفاعیّة</w:t>
            </w:r>
            <w:r>
              <w:rPr>
                <w:rStyle w:val="IndexLink"/>
                <w:rtl w:val="true"/>
              </w:rPr>
              <w:tab/>
            </w:r>
            <w:r>
              <w:rPr>
                <w:rStyle w:val="IndexLink"/>
              </w:rPr>
              <w:t>129</w:t>
            </w:r>
          </w:hyperlink>
        </w:p>
        <w:p>
          <w:pPr>
            <w:pStyle w:val="Contents4"/>
            <w:tabs>
              <w:tab w:val="clear" w:pos="8176"/>
              <w:tab w:val="right" w:pos="9026" w:leader="dot"/>
            </w:tabs>
            <w:rPr/>
          </w:pPr>
          <w:hyperlink w:anchor="__RefHeading___Toc477206_581953129">
            <w:r>
              <w:rPr>
                <w:webHidden/>
                <w:rStyle w:val="IndexLink"/>
                <w:rtl w:val="true"/>
              </w:rPr>
              <w:t>الجواب الصحیح عن إشکال الجهاد الابتدائی</w:t>
            </w:r>
            <w:r>
              <w:rPr>
                <w:rStyle w:val="IndexLink"/>
                <w:rtl w:val="true"/>
              </w:rPr>
              <w:tab/>
            </w:r>
            <w:r>
              <w:rPr>
                <w:rStyle w:val="IndexLink"/>
              </w:rPr>
              <w:t>131</w:t>
            </w:r>
          </w:hyperlink>
        </w:p>
        <w:p>
          <w:pPr>
            <w:pStyle w:val="Contents4"/>
            <w:tabs>
              <w:tab w:val="clear" w:pos="8176"/>
              <w:tab w:val="right" w:pos="9026" w:leader="dot"/>
            </w:tabs>
            <w:rPr/>
          </w:pPr>
          <w:hyperlink w:anchor="__RefHeading___Toc477208_581953129">
            <w:r>
              <w:rPr>
                <w:webHidden/>
                <w:rStyle w:val="IndexLink"/>
                <w:rtl w:val="true"/>
              </w:rPr>
              <w:t>الجهاد الابتدائی له خلفیّة حقوقیة دفاعیّة</w:t>
            </w:r>
            <w:r>
              <w:rPr>
                <w:rStyle w:val="IndexLink"/>
                <w:rtl w:val="true"/>
              </w:rPr>
              <w:tab/>
            </w:r>
            <w:r>
              <w:rPr>
                <w:rStyle w:val="IndexLink"/>
              </w:rPr>
              <w:t>131</w:t>
            </w:r>
          </w:hyperlink>
        </w:p>
        <w:p>
          <w:pPr>
            <w:pStyle w:val="Contents4"/>
            <w:tabs>
              <w:tab w:val="clear" w:pos="8176"/>
              <w:tab w:val="right" w:pos="9026" w:leader="dot"/>
            </w:tabs>
            <w:rPr/>
          </w:pPr>
          <w:hyperlink w:anchor="__RefHeading___Toc477210_581953129">
            <w:r>
              <w:rPr>
                <w:webHidden/>
                <w:rStyle w:val="IndexLink"/>
                <w:rtl w:val="true"/>
              </w:rPr>
              <w:t>القرآن الکریم ینهی عن إهلاک الحرث والنسل</w:t>
            </w:r>
            <w:r>
              <w:rPr>
                <w:rStyle w:val="IndexLink"/>
                <w:rtl w:val="true"/>
              </w:rPr>
              <w:tab/>
            </w:r>
            <w:r>
              <w:rPr>
                <w:rStyle w:val="IndexLink"/>
              </w:rPr>
              <w:t>132</w:t>
            </w:r>
          </w:hyperlink>
        </w:p>
        <w:p>
          <w:pPr>
            <w:pStyle w:val="Contents4"/>
            <w:tabs>
              <w:tab w:val="clear" w:pos="8176"/>
              <w:tab w:val="right" w:pos="9026" w:leader="dot"/>
            </w:tabs>
            <w:rPr/>
          </w:pPr>
          <w:hyperlink w:anchor="__RefHeading___Toc477212_581953129">
            <w:r>
              <w:rPr>
                <w:webHidden/>
                <w:rStyle w:val="IndexLink"/>
                <w:rtl w:val="true"/>
              </w:rPr>
              <w:t>الإسلام یکرّم بنی آدم</w:t>
            </w:r>
            <w:r>
              <w:rPr>
                <w:rStyle w:val="IndexLink"/>
                <w:rtl w:val="true"/>
              </w:rPr>
              <w:tab/>
            </w:r>
            <w:r>
              <w:rPr>
                <w:rStyle w:val="IndexLink"/>
              </w:rPr>
              <w:t>132</w:t>
            </w:r>
          </w:hyperlink>
        </w:p>
        <w:p>
          <w:pPr>
            <w:pStyle w:val="Contents3"/>
            <w:tabs>
              <w:tab w:val="clear" w:pos="8459"/>
              <w:tab w:val="right" w:pos="9026" w:leader="dot"/>
            </w:tabs>
            <w:rPr/>
          </w:pPr>
          <w:hyperlink w:anchor="__RefHeading___Toc477214_581953129">
            <w:r>
              <w:rPr>
                <w:webHidden/>
                <w:rStyle w:val="IndexLink"/>
                <w:rtl w:val="true"/>
              </w:rPr>
              <w:t>المحاضرة السادسة الخلفیّات الحقوقیة للجهاد الابتدائی</w:t>
            </w:r>
            <w:r>
              <w:rPr>
                <w:rStyle w:val="IndexLink"/>
                <w:rtl w:val="true"/>
              </w:rPr>
              <w:tab/>
            </w:r>
            <w:r>
              <w:rPr>
                <w:rStyle w:val="IndexLink"/>
              </w:rPr>
              <w:t>133</w:t>
            </w:r>
          </w:hyperlink>
        </w:p>
        <w:p>
          <w:pPr>
            <w:pStyle w:val="Contents4"/>
            <w:tabs>
              <w:tab w:val="clear" w:pos="8176"/>
              <w:tab w:val="right" w:pos="9026" w:leader="dot"/>
            </w:tabs>
            <w:rPr/>
          </w:pPr>
          <w:hyperlink w:anchor="__RefHeading___Toc477216_581953129">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477218_581953129">
            <w:r>
              <w:rPr>
                <w:webHidden/>
                <w:rStyle w:val="IndexLink"/>
                <w:rtl w:val="true"/>
              </w:rPr>
              <w:t>الجهاد الابتدائی والإرهاب</w:t>
            </w:r>
            <w:r>
              <w:rPr>
                <w:rStyle w:val="IndexLink"/>
                <w:rtl w:val="true"/>
              </w:rPr>
              <w:tab/>
            </w:r>
            <w:r>
              <w:rPr>
                <w:rStyle w:val="IndexLink"/>
              </w:rPr>
              <w:t>133</w:t>
            </w:r>
          </w:hyperlink>
        </w:p>
        <w:p>
          <w:pPr>
            <w:pStyle w:val="Contents4"/>
            <w:tabs>
              <w:tab w:val="clear" w:pos="8176"/>
              <w:tab w:val="right" w:pos="9026" w:leader="dot"/>
            </w:tabs>
            <w:rPr/>
          </w:pPr>
          <w:hyperlink w:anchor="__RefHeading___Toc477220_581953129">
            <w:r>
              <w:rPr>
                <w:webHidden/>
                <w:rStyle w:val="IndexLink"/>
                <w:rtl w:val="true"/>
              </w:rPr>
              <w:t>قوی الاستکبار وآیات الجهاد</w:t>
            </w:r>
            <w:r>
              <w:rPr>
                <w:rStyle w:val="IndexLink"/>
                <w:rtl w:val="true"/>
              </w:rPr>
              <w:tab/>
            </w:r>
            <w:r>
              <w:rPr>
                <w:rStyle w:val="IndexLink"/>
              </w:rPr>
              <w:t>134</w:t>
            </w:r>
          </w:hyperlink>
        </w:p>
        <w:p>
          <w:pPr>
            <w:pStyle w:val="Contents4"/>
            <w:tabs>
              <w:tab w:val="clear" w:pos="8176"/>
              <w:tab w:val="right" w:pos="9026" w:leader="dot"/>
            </w:tabs>
            <w:rPr/>
          </w:pPr>
          <w:hyperlink w:anchor="__RefHeading___Toc477222_581953129">
            <w:r>
              <w:rPr>
                <w:webHidden/>
                <w:rStyle w:val="IndexLink"/>
                <w:rtl w:val="true"/>
              </w:rPr>
              <w:t>الإسلام لیس مسؤول عن المخالفات الشرعیة التی یقوم بها المسلمون</w:t>
            </w:r>
            <w:r>
              <w:rPr>
                <w:rStyle w:val="IndexLink"/>
                <w:rtl w:val="true"/>
              </w:rPr>
              <w:tab/>
            </w:r>
            <w:r>
              <w:rPr>
                <w:rStyle w:val="IndexLink"/>
              </w:rPr>
              <w:t>134</w:t>
            </w:r>
          </w:hyperlink>
        </w:p>
        <w:p>
          <w:pPr>
            <w:pStyle w:val="Contents4"/>
            <w:tabs>
              <w:tab w:val="clear" w:pos="8176"/>
              <w:tab w:val="right" w:pos="9026" w:leader="dot"/>
            </w:tabs>
            <w:rPr/>
          </w:pPr>
          <w:hyperlink w:anchor="__RefHeading___Toc477224_581953129">
            <w:r>
              <w:rPr>
                <w:webHidden/>
                <w:rStyle w:val="IndexLink"/>
                <w:rtl w:val="true"/>
              </w:rPr>
              <w:t>لا یصح أن نحمل اصطلاحات علم علی اصطلاحات علم آخر</w:t>
            </w:r>
            <w:r>
              <w:rPr>
                <w:rStyle w:val="IndexLink"/>
                <w:rtl w:val="true"/>
              </w:rPr>
              <w:tab/>
            </w:r>
            <w:r>
              <w:rPr>
                <w:rStyle w:val="IndexLink"/>
              </w:rPr>
              <w:t>135</w:t>
            </w:r>
          </w:hyperlink>
        </w:p>
        <w:p>
          <w:pPr>
            <w:pStyle w:val="Contents4"/>
            <w:tabs>
              <w:tab w:val="clear" w:pos="8176"/>
              <w:tab w:val="right" w:pos="9026" w:leader="dot"/>
            </w:tabs>
            <w:rPr/>
          </w:pPr>
          <w:hyperlink w:anchor="__RefHeading___Toc477226_581953129">
            <w:r>
              <w:rPr>
                <w:webHidden/>
                <w:rStyle w:val="IndexLink"/>
                <w:rtl w:val="true"/>
              </w:rPr>
              <w:t>الجهاد الابتدائی یستند إلی خلفیّة حقوقیة</w:t>
            </w:r>
            <w:r>
              <w:rPr>
                <w:rStyle w:val="IndexLink"/>
                <w:rtl w:val="true"/>
              </w:rPr>
              <w:tab/>
            </w:r>
            <w:r>
              <w:rPr>
                <w:rStyle w:val="IndexLink"/>
              </w:rPr>
              <w:t>135</w:t>
            </w:r>
          </w:hyperlink>
        </w:p>
        <w:p>
          <w:pPr>
            <w:pStyle w:val="Contents4"/>
            <w:tabs>
              <w:tab w:val="clear" w:pos="8176"/>
              <w:tab w:val="right" w:pos="9026" w:leader="dot"/>
            </w:tabs>
            <w:rPr/>
          </w:pPr>
          <w:hyperlink w:anchor="__RefHeading___Toc477228_581953129">
            <w:r>
              <w:rPr>
                <w:webHidden/>
                <w:rStyle w:val="IndexLink"/>
                <w:rtl w:val="true"/>
              </w:rPr>
              <w:t>الجهاد الابتدائی جهاد دفاعی فی المصطلح الحقوقی</w:t>
            </w:r>
            <w:r>
              <w:rPr>
                <w:rStyle w:val="IndexLink"/>
                <w:rtl w:val="true"/>
              </w:rPr>
              <w:tab/>
            </w:r>
            <w:r>
              <w:rPr>
                <w:rStyle w:val="IndexLink"/>
              </w:rPr>
              <w:t>136</w:t>
            </w:r>
          </w:hyperlink>
        </w:p>
        <w:p>
          <w:pPr>
            <w:pStyle w:val="Contents4"/>
            <w:tabs>
              <w:tab w:val="clear" w:pos="8176"/>
              <w:tab w:val="right" w:pos="9026" w:leader="dot"/>
            </w:tabs>
            <w:rPr/>
          </w:pPr>
          <w:hyperlink w:anchor="__RefHeading___Toc477230_581953129">
            <w:r>
              <w:rPr>
                <w:webHidden/>
                <w:rStyle w:val="IndexLink"/>
                <w:rtl w:val="true"/>
              </w:rPr>
              <w:t>لایوجد مصطلح الجهاد الابتدائی فی النصوص الشرعیة</w:t>
            </w:r>
            <w:r>
              <w:rPr>
                <w:rStyle w:val="IndexLink"/>
                <w:rtl w:val="true"/>
              </w:rPr>
              <w:tab/>
            </w:r>
            <w:r>
              <w:rPr>
                <w:rStyle w:val="IndexLink"/>
              </w:rPr>
              <w:t>136</w:t>
            </w:r>
          </w:hyperlink>
        </w:p>
        <w:p>
          <w:pPr>
            <w:pStyle w:val="Contents4"/>
            <w:tabs>
              <w:tab w:val="clear" w:pos="8176"/>
              <w:tab w:val="right" w:pos="9026" w:leader="dot"/>
            </w:tabs>
            <w:rPr/>
          </w:pPr>
          <w:hyperlink w:anchor="__RefHeading___Toc477232_581953129">
            <w:r>
              <w:rPr>
                <w:webHidden/>
                <w:rStyle w:val="IndexLink"/>
                <w:rtl w:val="true"/>
              </w:rPr>
              <w:t>الجهاد الابتدائی بین الفطرة الإنسانیة والنظام العالمی</w:t>
            </w:r>
            <w:r>
              <w:rPr>
                <w:rStyle w:val="IndexLink"/>
                <w:rtl w:val="true"/>
              </w:rPr>
              <w:tab/>
            </w:r>
            <w:r>
              <w:rPr>
                <w:rStyle w:val="IndexLink"/>
              </w:rPr>
              <w:t>136</w:t>
            </w:r>
          </w:hyperlink>
        </w:p>
        <w:p>
          <w:pPr>
            <w:pStyle w:val="Contents4"/>
            <w:tabs>
              <w:tab w:val="clear" w:pos="8176"/>
              <w:tab w:val="right" w:pos="9026" w:leader="dot"/>
            </w:tabs>
            <w:rPr/>
          </w:pPr>
          <w:hyperlink w:anchor="__RefHeading___Toc477234_581953129">
            <w:r>
              <w:rPr>
                <w:webHidden/>
                <w:rStyle w:val="IndexLink"/>
                <w:rtl w:val="true"/>
              </w:rPr>
              <w:t>ما هو الإرهاب ؟</w:t>
            </w:r>
            <w:r>
              <w:rPr>
                <w:rStyle w:val="IndexLink"/>
                <w:rtl w:val="true"/>
              </w:rPr>
              <w:tab/>
            </w:r>
            <w:r>
              <w:rPr>
                <w:rStyle w:val="IndexLink"/>
              </w:rPr>
              <w:t>137</w:t>
            </w:r>
          </w:hyperlink>
        </w:p>
        <w:p>
          <w:pPr>
            <w:pStyle w:val="Contents4"/>
            <w:tabs>
              <w:tab w:val="clear" w:pos="8176"/>
              <w:tab w:val="right" w:pos="9026" w:leader="dot"/>
            </w:tabs>
            <w:rPr/>
          </w:pPr>
          <w:hyperlink w:anchor="__RefHeading___Toc477236_581953129">
            <w:r>
              <w:rPr>
                <w:webHidden/>
                <w:rStyle w:val="IndexLink"/>
                <w:rtl w:val="true"/>
              </w:rPr>
              <w:t>مبررات القتال فی القرآن الکریم</w:t>
            </w:r>
            <w:r>
              <w:rPr>
                <w:rStyle w:val="IndexLink"/>
                <w:rtl w:val="true"/>
              </w:rPr>
              <w:tab/>
            </w:r>
            <w:r>
              <w:rPr>
                <w:rStyle w:val="IndexLink"/>
              </w:rPr>
              <w:t>138</w:t>
            </w:r>
          </w:hyperlink>
        </w:p>
        <w:p>
          <w:pPr>
            <w:pStyle w:val="Contents4"/>
            <w:tabs>
              <w:tab w:val="clear" w:pos="8176"/>
              <w:tab w:val="right" w:pos="9026" w:leader="dot"/>
            </w:tabs>
            <w:rPr/>
          </w:pPr>
          <w:hyperlink w:anchor="__RefHeading___Toc477238_581953129">
            <w:r>
              <w:rPr>
                <w:webHidden/>
                <w:rStyle w:val="IndexLink"/>
                <w:rtl w:val="true"/>
              </w:rPr>
              <w:t>دور الإعلام فی استضعاف الشعوب</w:t>
            </w:r>
            <w:r>
              <w:rPr>
                <w:rStyle w:val="IndexLink"/>
                <w:rtl w:val="true"/>
              </w:rPr>
              <w:tab/>
            </w:r>
            <w:r>
              <w:rPr>
                <w:rStyle w:val="IndexLink"/>
              </w:rPr>
              <w:t>138</w:t>
            </w:r>
          </w:hyperlink>
        </w:p>
        <w:p>
          <w:pPr>
            <w:pStyle w:val="Contents4"/>
            <w:tabs>
              <w:tab w:val="clear" w:pos="8176"/>
              <w:tab w:val="right" w:pos="9026" w:leader="dot"/>
            </w:tabs>
            <w:rPr/>
          </w:pPr>
          <w:hyperlink w:anchor="__RefHeading___Toc477240_581953129">
            <w:r>
              <w:rPr>
                <w:webHidden/>
                <w:rStyle w:val="IndexLink"/>
                <w:rtl w:val="true"/>
              </w:rPr>
              <w:t>تعالیم القرآن وممارسات بعض المسلمین</w:t>
            </w:r>
            <w:r>
              <w:rPr>
                <w:rStyle w:val="IndexLink"/>
                <w:rtl w:val="true"/>
              </w:rPr>
              <w:tab/>
            </w:r>
            <w:r>
              <w:rPr>
                <w:rStyle w:val="IndexLink"/>
              </w:rPr>
              <w:t>139</w:t>
            </w:r>
          </w:hyperlink>
        </w:p>
        <w:p>
          <w:pPr>
            <w:pStyle w:val="Contents4"/>
            <w:tabs>
              <w:tab w:val="clear" w:pos="8176"/>
              <w:tab w:val="right" w:pos="9026" w:leader="dot"/>
            </w:tabs>
            <w:rPr/>
          </w:pPr>
          <w:hyperlink w:anchor="__RefHeading___Toc477242_581953129">
            <w:r>
              <w:rPr>
                <w:webHidden/>
                <w:rStyle w:val="IndexLink"/>
                <w:rtl w:val="true"/>
              </w:rPr>
              <w:t>صفات المجاهدین فی القرآن الکریم</w:t>
            </w:r>
            <w:r>
              <w:rPr>
                <w:rStyle w:val="IndexLink"/>
                <w:rtl w:val="true"/>
              </w:rPr>
              <w:tab/>
            </w:r>
            <w:r>
              <w:rPr>
                <w:rStyle w:val="IndexLink"/>
              </w:rPr>
              <w:t>139</w:t>
            </w:r>
          </w:hyperlink>
        </w:p>
        <w:p>
          <w:pPr>
            <w:pStyle w:val="Contents4"/>
            <w:tabs>
              <w:tab w:val="clear" w:pos="8176"/>
              <w:tab w:val="right" w:pos="9026" w:leader="dot"/>
            </w:tabs>
            <w:rPr/>
          </w:pPr>
          <w:hyperlink w:anchor="__RefHeading___Toc477244_581953129">
            <w:r>
              <w:rPr>
                <w:webHidden/>
                <w:rStyle w:val="IndexLink"/>
                <w:rtl w:val="true"/>
              </w:rPr>
              <w:t>الجهاد الابتدائی له شروط خاصّة ، وله أهداف محدّدة</w:t>
            </w:r>
            <w:r>
              <w:rPr>
                <w:rStyle w:val="IndexLink"/>
                <w:rtl w:val="true"/>
              </w:rPr>
              <w:tab/>
            </w:r>
            <w:r>
              <w:rPr>
                <w:rStyle w:val="IndexLink"/>
              </w:rPr>
              <w:t>140</w:t>
            </w:r>
          </w:hyperlink>
        </w:p>
        <w:p>
          <w:pPr>
            <w:pStyle w:val="Contents4"/>
            <w:tabs>
              <w:tab w:val="clear" w:pos="8176"/>
              <w:tab w:val="right" w:pos="9026" w:leader="dot"/>
            </w:tabs>
            <w:rPr/>
          </w:pPr>
          <w:hyperlink w:anchor="__RefHeading___Toc477246_581953129">
            <w:r>
              <w:rPr>
                <w:webHidden/>
                <w:rStyle w:val="IndexLink"/>
                <w:rtl w:val="true"/>
              </w:rPr>
              <w:t>الجهاد الابتدائی من حقوق الإمام المعصوم الخاصّة</w:t>
            </w:r>
            <w:r>
              <w:rPr>
                <w:rStyle w:val="IndexLink"/>
                <w:rtl w:val="true"/>
              </w:rPr>
              <w:tab/>
            </w:r>
            <w:r>
              <w:rPr>
                <w:rStyle w:val="IndexLink"/>
              </w:rPr>
              <w:t>140</w:t>
            </w:r>
          </w:hyperlink>
        </w:p>
        <w:p>
          <w:pPr>
            <w:pStyle w:val="Contents4"/>
            <w:tabs>
              <w:tab w:val="clear" w:pos="8176"/>
              <w:tab w:val="right" w:pos="9026" w:leader="dot"/>
            </w:tabs>
            <w:rPr/>
          </w:pPr>
          <w:hyperlink w:anchor="__RefHeading___Toc477248_581953129">
            <w:r>
              <w:rPr>
                <w:webHidden/>
                <w:rStyle w:val="IndexLink"/>
                <w:rtl w:val="true"/>
              </w:rPr>
              <w:t>أمریکا والتناقض بین الشعار والواقع</w:t>
            </w:r>
            <w:r>
              <w:rPr>
                <w:rStyle w:val="IndexLink"/>
                <w:rtl w:val="true"/>
              </w:rPr>
              <w:tab/>
            </w:r>
            <w:r>
              <w:rPr>
                <w:rStyle w:val="IndexLink"/>
              </w:rPr>
              <w:t>141</w:t>
            </w:r>
          </w:hyperlink>
        </w:p>
        <w:p>
          <w:pPr>
            <w:pStyle w:val="Contents4"/>
            <w:tabs>
              <w:tab w:val="clear" w:pos="8176"/>
              <w:tab w:val="right" w:pos="9026" w:leader="dot"/>
            </w:tabs>
            <w:rPr/>
          </w:pPr>
          <w:hyperlink w:anchor="__RefHeading___Toc477250_581953129">
            <w:r>
              <w:rPr>
                <w:webHidden/>
                <w:rStyle w:val="IndexLink"/>
                <w:rtl w:val="true"/>
              </w:rPr>
              <w:t>الإسلام یدعو إلی العدالة ویطبّقها</w:t>
            </w:r>
            <w:r>
              <w:rPr>
                <w:rStyle w:val="IndexLink"/>
                <w:rtl w:val="true"/>
              </w:rPr>
              <w:tab/>
            </w:r>
            <w:r>
              <w:rPr>
                <w:rStyle w:val="IndexLink"/>
              </w:rPr>
              <w:t>142</w:t>
            </w:r>
          </w:hyperlink>
        </w:p>
        <w:p>
          <w:pPr>
            <w:pStyle w:val="Contents4"/>
            <w:tabs>
              <w:tab w:val="clear" w:pos="8176"/>
              <w:tab w:val="right" w:pos="9026" w:leader="dot"/>
            </w:tabs>
            <w:rPr/>
          </w:pPr>
          <w:hyperlink w:anchor="__RefHeading___Toc477252_581953129">
            <w:r>
              <w:rPr>
                <w:webHidden/>
                <w:rStyle w:val="IndexLink"/>
                <w:rtl w:val="true"/>
              </w:rPr>
              <w:t>الفیتو عند الإمامیة الاثنی عشریة لا یکون إلّاعند المعصوم</w:t>
            </w:r>
            <w:r>
              <w:rPr>
                <w:rStyle w:val="IndexLink"/>
                <w:rtl w:val="true"/>
              </w:rPr>
              <w:tab/>
            </w:r>
            <w:r>
              <w:rPr>
                <w:rStyle w:val="IndexLink"/>
              </w:rPr>
              <w:t>142</w:t>
            </w:r>
          </w:hyperlink>
        </w:p>
        <w:p>
          <w:pPr>
            <w:pStyle w:val="Contents4"/>
            <w:tabs>
              <w:tab w:val="clear" w:pos="8176"/>
              <w:tab w:val="right" w:pos="9026" w:leader="dot"/>
            </w:tabs>
            <w:rPr/>
          </w:pPr>
          <w:hyperlink w:anchor="__RefHeading___Toc477254_581953129">
            <w:r>
              <w:rPr>
                <w:webHidden/>
                <w:rStyle w:val="IndexLink"/>
                <w:rtl w:val="true"/>
              </w:rPr>
              <w:t>النزوع الفطری نحو العصمة</w:t>
            </w:r>
            <w:r>
              <w:rPr>
                <w:rStyle w:val="IndexLink"/>
                <w:rtl w:val="true"/>
              </w:rPr>
              <w:tab/>
            </w:r>
            <w:r>
              <w:rPr>
                <w:rStyle w:val="IndexLink"/>
              </w:rPr>
              <w:t>143</w:t>
            </w:r>
          </w:hyperlink>
        </w:p>
        <w:p>
          <w:pPr>
            <w:pStyle w:val="Contents3"/>
            <w:tabs>
              <w:tab w:val="clear" w:pos="8459"/>
              <w:tab w:val="right" w:pos="9026" w:leader="dot"/>
            </w:tabs>
            <w:rPr/>
          </w:pPr>
          <w:hyperlink w:anchor="__RefHeading___Toc477256_581953129">
            <w:r>
              <w:rPr>
                <w:webHidden/>
                <w:rStyle w:val="IndexLink"/>
                <w:rtl w:val="true"/>
              </w:rPr>
              <w:t>المحاضرة السابعة الرد علی شبهة الرق وحقوق الإنسان</w:t>
            </w:r>
            <w:r>
              <w:rPr>
                <w:rStyle w:val="IndexLink"/>
                <w:rtl w:val="true"/>
              </w:rPr>
              <w:tab/>
            </w:r>
            <w:r>
              <w:rPr>
                <w:rStyle w:val="IndexLink"/>
              </w:rPr>
              <w:t>144</w:t>
            </w:r>
          </w:hyperlink>
        </w:p>
        <w:p>
          <w:pPr>
            <w:pStyle w:val="Contents4"/>
            <w:tabs>
              <w:tab w:val="clear" w:pos="8176"/>
              <w:tab w:val="right" w:pos="9026" w:leader="dot"/>
            </w:tabs>
            <w:rPr/>
          </w:pPr>
          <w:hyperlink w:anchor="__RefHeading___Toc477258_581953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77260_581953129">
            <w:r>
              <w:rPr>
                <w:webHidden/>
                <w:rStyle w:val="IndexLink"/>
                <w:rtl w:val="true"/>
              </w:rPr>
              <w:t>مسألة الرق وحقوق الإنسان</w:t>
            </w:r>
            <w:r>
              <w:rPr>
                <w:rStyle w:val="IndexLink"/>
                <w:rtl w:val="true"/>
              </w:rPr>
              <w:tab/>
            </w:r>
            <w:r>
              <w:rPr>
                <w:rStyle w:val="IndexLink"/>
              </w:rPr>
              <w:t>144</w:t>
            </w:r>
          </w:hyperlink>
        </w:p>
        <w:p>
          <w:pPr>
            <w:pStyle w:val="Contents4"/>
            <w:tabs>
              <w:tab w:val="clear" w:pos="8176"/>
              <w:tab w:val="right" w:pos="9026" w:leader="dot"/>
            </w:tabs>
            <w:rPr/>
          </w:pPr>
          <w:hyperlink w:anchor="__RefHeading___Toc477262_581953129">
            <w:r>
              <w:rPr>
                <w:webHidden/>
                <w:rStyle w:val="IndexLink"/>
                <w:rtl w:val="true"/>
              </w:rPr>
              <w:t>قراءات جدیدة تفسّر النصوص الشرعیة</w:t>
            </w:r>
            <w:r>
              <w:rPr>
                <w:rStyle w:val="IndexLink"/>
                <w:rtl w:val="true"/>
              </w:rPr>
              <w:tab/>
            </w:r>
            <w:r>
              <w:rPr>
                <w:rStyle w:val="IndexLink"/>
              </w:rPr>
              <w:t>145</w:t>
            </w:r>
          </w:hyperlink>
        </w:p>
        <w:p>
          <w:pPr>
            <w:pStyle w:val="Contents4"/>
            <w:tabs>
              <w:tab w:val="clear" w:pos="8176"/>
              <w:tab w:val="right" w:pos="9026" w:leader="dot"/>
            </w:tabs>
            <w:rPr/>
          </w:pPr>
          <w:hyperlink w:anchor="__RefHeading___Toc477264_581953129">
            <w:r>
              <w:rPr>
                <w:webHidden/>
                <w:rStyle w:val="IndexLink"/>
                <w:rtl w:val="true"/>
              </w:rPr>
              <w:t xml:space="preserve">الحداثیّون </w:t>
            </w:r>
            <w:r>
              <w:rPr>
                <w:rStyle w:val="IndexLink"/>
                <w:rtl w:val="true"/>
              </w:rPr>
              <w:t xml:space="preserve">: </w:t>
            </w:r>
            <w:r>
              <w:rPr>
                <w:rStyle w:val="IndexLink"/>
                <w:rtl w:val="true"/>
              </w:rPr>
              <w:t>أحکام الإسلام لیست أبدیّة</w:t>
            </w:r>
            <w:r>
              <w:rPr>
                <w:rStyle w:val="IndexLink"/>
                <w:rtl w:val="true"/>
              </w:rPr>
              <w:tab/>
            </w:r>
            <w:r>
              <w:rPr>
                <w:rStyle w:val="IndexLink"/>
              </w:rPr>
              <w:t>145</w:t>
            </w:r>
          </w:hyperlink>
        </w:p>
        <w:p>
          <w:pPr>
            <w:pStyle w:val="Contents4"/>
            <w:tabs>
              <w:tab w:val="clear" w:pos="8176"/>
              <w:tab w:val="right" w:pos="9026" w:leader="dot"/>
            </w:tabs>
            <w:rPr/>
          </w:pPr>
          <w:hyperlink w:anchor="__RefHeading___Toc477266_581953129">
            <w:r>
              <w:rPr>
                <w:webHidden/>
                <w:rStyle w:val="IndexLink"/>
                <w:rtl w:val="true"/>
              </w:rPr>
              <w:t>الدین یتناسب مع کل الأزمان وکل البیئات</w:t>
            </w:r>
            <w:r>
              <w:rPr>
                <w:rStyle w:val="IndexLink"/>
                <w:rtl w:val="true"/>
              </w:rPr>
              <w:tab/>
            </w:r>
            <w:r>
              <w:rPr>
                <w:rStyle w:val="IndexLink"/>
              </w:rPr>
              <w:t>146</w:t>
            </w:r>
          </w:hyperlink>
        </w:p>
        <w:p>
          <w:pPr>
            <w:pStyle w:val="Contents4"/>
            <w:tabs>
              <w:tab w:val="clear" w:pos="8176"/>
              <w:tab w:val="right" w:pos="9026" w:leader="dot"/>
            </w:tabs>
            <w:rPr/>
          </w:pPr>
          <w:hyperlink w:anchor="__RefHeading___Toc477268_581953129">
            <w:r>
              <w:rPr>
                <w:webHidden/>
                <w:rStyle w:val="IndexLink"/>
                <w:rtl w:val="true"/>
              </w:rPr>
              <w:t>کرامة الإنسان فی التشریع الإسلامی</w:t>
            </w:r>
            <w:r>
              <w:rPr>
                <w:rStyle w:val="IndexLink"/>
                <w:rtl w:val="true"/>
              </w:rPr>
              <w:tab/>
            </w:r>
            <w:r>
              <w:rPr>
                <w:rStyle w:val="IndexLink"/>
              </w:rPr>
              <w:t>146</w:t>
            </w:r>
          </w:hyperlink>
        </w:p>
        <w:p>
          <w:pPr>
            <w:pStyle w:val="Contents4"/>
            <w:tabs>
              <w:tab w:val="clear" w:pos="8176"/>
              <w:tab w:val="right" w:pos="9026" w:leader="dot"/>
            </w:tabs>
            <w:rPr/>
          </w:pPr>
          <w:hyperlink w:anchor="__RefHeading___Toc477270_581953129">
            <w:r>
              <w:rPr>
                <w:webHidden/>
                <w:rStyle w:val="IndexLink"/>
                <w:rtl w:val="true"/>
              </w:rPr>
              <w:t>هناک فرق بین الکفار فی الفکر الإسلامی</w:t>
            </w:r>
            <w:r>
              <w:rPr>
                <w:rStyle w:val="IndexLink"/>
                <w:rtl w:val="true"/>
              </w:rPr>
              <w:tab/>
            </w:r>
            <w:r>
              <w:rPr>
                <w:rStyle w:val="IndexLink"/>
              </w:rPr>
              <w:t>148</w:t>
            </w:r>
          </w:hyperlink>
        </w:p>
        <w:p>
          <w:pPr>
            <w:pStyle w:val="Contents4"/>
            <w:tabs>
              <w:tab w:val="clear" w:pos="8176"/>
              <w:tab w:val="right" w:pos="9026" w:leader="dot"/>
            </w:tabs>
            <w:rPr/>
          </w:pPr>
          <w:hyperlink w:anchor="__RefHeading___Toc477272_581953129">
            <w:r>
              <w:rPr>
                <w:webHidden/>
                <w:rStyle w:val="IndexLink"/>
                <w:rtl w:val="true"/>
              </w:rPr>
              <w:t>الجزء الوافر من الشریعة الإسلامیة مستمد من الفطرة الإنسانیة</w:t>
            </w:r>
            <w:r>
              <w:rPr>
                <w:rStyle w:val="IndexLink"/>
                <w:rtl w:val="true"/>
              </w:rPr>
              <w:tab/>
            </w:r>
            <w:r>
              <w:rPr>
                <w:rStyle w:val="IndexLink"/>
              </w:rPr>
              <w:t>148</w:t>
            </w:r>
          </w:hyperlink>
        </w:p>
        <w:p>
          <w:pPr>
            <w:pStyle w:val="Contents4"/>
            <w:tabs>
              <w:tab w:val="clear" w:pos="8176"/>
              <w:tab w:val="right" w:pos="9026" w:leader="dot"/>
            </w:tabs>
            <w:rPr/>
          </w:pPr>
          <w:hyperlink w:anchor="__RefHeading___Toc477274_581953129">
            <w:r>
              <w:rPr>
                <w:webHidden/>
                <w:rStyle w:val="IndexLink"/>
                <w:rtl w:val="true"/>
              </w:rPr>
              <w:t>معنی الرق فی الفقه الإسلامی</w:t>
            </w:r>
            <w:r>
              <w:rPr>
                <w:rStyle w:val="IndexLink"/>
                <w:rtl w:val="true"/>
              </w:rPr>
              <w:tab/>
            </w:r>
            <w:r>
              <w:rPr>
                <w:rStyle w:val="IndexLink"/>
              </w:rPr>
              <w:t>149</w:t>
            </w:r>
          </w:hyperlink>
        </w:p>
        <w:p>
          <w:pPr>
            <w:pStyle w:val="Contents4"/>
            <w:tabs>
              <w:tab w:val="clear" w:pos="8176"/>
              <w:tab w:val="right" w:pos="9026" w:leader="dot"/>
            </w:tabs>
            <w:rPr/>
          </w:pPr>
          <w:hyperlink w:anchor="__RefHeading___Toc477276_581953129">
            <w:r>
              <w:rPr>
                <w:webHidden/>
                <w:rStyle w:val="IndexLink"/>
                <w:rtl w:val="true"/>
              </w:rPr>
              <w:t>الإسلام شجّع علی تحریر العبید ومعاملتهم بالحسنی</w:t>
            </w:r>
            <w:r>
              <w:rPr>
                <w:rStyle w:val="IndexLink"/>
                <w:rtl w:val="true"/>
              </w:rPr>
              <w:tab/>
            </w:r>
            <w:r>
              <w:rPr>
                <w:rStyle w:val="IndexLink"/>
              </w:rPr>
              <w:t>149</w:t>
            </w:r>
          </w:hyperlink>
        </w:p>
        <w:p>
          <w:pPr>
            <w:pStyle w:val="Contents4"/>
            <w:tabs>
              <w:tab w:val="clear" w:pos="8176"/>
              <w:tab w:val="right" w:pos="9026" w:leader="dot"/>
            </w:tabs>
            <w:rPr/>
          </w:pPr>
          <w:hyperlink w:anchor="__RefHeading___Toc477278_581953129">
            <w:r>
              <w:rPr>
                <w:webHidden/>
                <w:rStyle w:val="IndexLink"/>
                <w:rtl w:val="true"/>
              </w:rPr>
              <w:t>نیویورک مدینة بیضاء</w:t>
            </w:r>
            <w:r>
              <w:rPr>
                <w:rStyle w:val="IndexLink"/>
                <w:rtl w:val="true"/>
              </w:rPr>
              <w:tab/>
            </w:r>
            <w:r>
              <w:rPr>
                <w:rStyle w:val="IndexLink"/>
              </w:rPr>
              <w:t>150</w:t>
            </w:r>
          </w:hyperlink>
        </w:p>
        <w:p>
          <w:pPr>
            <w:pStyle w:val="Contents4"/>
            <w:tabs>
              <w:tab w:val="clear" w:pos="8176"/>
              <w:tab w:val="right" w:pos="9026" w:leader="dot"/>
            </w:tabs>
            <w:rPr/>
          </w:pPr>
          <w:hyperlink w:anchor="__RefHeading___Toc477280_581953129">
            <w:r>
              <w:rPr>
                <w:webHidden/>
                <w:rStyle w:val="IndexLink"/>
                <w:rtl w:val="true"/>
              </w:rPr>
              <w:t>الرق یعنی الخدمة فی التشریع الإسلامی</w:t>
            </w:r>
            <w:r>
              <w:rPr>
                <w:rStyle w:val="IndexLink"/>
                <w:rtl w:val="true"/>
              </w:rPr>
              <w:tab/>
            </w:r>
            <w:r>
              <w:rPr>
                <w:rStyle w:val="IndexLink"/>
              </w:rPr>
              <w:t>151</w:t>
            </w:r>
          </w:hyperlink>
        </w:p>
        <w:p>
          <w:pPr>
            <w:pStyle w:val="Contents4"/>
            <w:tabs>
              <w:tab w:val="clear" w:pos="8176"/>
              <w:tab w:val="right" w:pos="9026" w:leader="dot"/>
            </w:tabs>
            <w:rPr/>
          </w:pPr>
          <w:hyperlink w:anchor="__RefHeading___Toc477282_581953129">
            <w:r>
              <w:rPr>
                <w:webHidden/>
                <w:rStyle w:val="IndexLink"/>
                <w:rtl w:val="true"/>
              </w:rPr>
              <w:t>استئصال الغدّة السرطانیة</w:t>
            </w:r>
            <w:r>
              <w:rPr>
                <w:rStyle w:val="IndexLink"/>
                <w:rtl w:val="true"/>
              </w:rPr>
              <w:tab/>
            </w:r>
            <w:r>
              <w:rPr>
                <w:rStyle w:val="IndexLink"/>
              </w:rPr>
              <w:t>151</w:t>
            </w:r>
          </w:hyperlink>
        </w:p>
        <w:p>
          <w:pPr>
            <w:pStyle w:val="Contents4"/>
            <w:tabs>
              <w:tab w:val="clear" w:pos="8176"/>
              <w:tab w:val="right" w:pos="9026" w:leader="dot"/>
            </w:tabs>
            <w:rPr/>
          </w:pPr>
          <w:hyperlink w:anchor="__RefHeading___Toc477284_581953129">
            <w:r>
              <w:rPr>
                <w:webHidden/>
                <w:rStyle w:val="IndexLink"/>
                <w:rtl w:val="true"/>
              </w:rPr>
              <w:t>ولکم فی القصاص حیاة</w:t>
            </w:r>
            <w:r>
              <w:rPr>
                <w:rStyle w:val="IndexLink"/>
                <w:rtl w:val="true"/>
              </w:rPr>
              <w:tab/>
            </w:r>
            <w:r>
              <w:rPr>
                <w:rStyle w:val="IndexLink"/>
              </w:rPr>
              <w:t>151</w:t>
            </w:r>
          </w:hyperlink>
        </w:p>
        <w:p>
          <w:pPr>
            <w:pStyle w:val="Contents4"/>
            <w:tabs>
              <w:tab w:val="clear" w:pos="8176"/>
              <w:tab w:val="right" w:pos="9026" w:leader="dot"/>
            </w:tabs>
            <w:rPr/>
          </w:pPr>
          <w:hyperlink w:anchor="__RefHeading___Toc477286_581953129">
            <w:r>
              <w:rPr>
                <w:webHidden/>
                <w:rStyle w:val="IndexLink"/>
                <w:rtl w:val="true"/>
              </w:rPr>
              <w:t>مفهوم الإرهاب</w:t>
            </w:r>
            <w:r>
              <w:rPr>
                <w:rStyle w:val="IndexLink"/>
                <w:rtl w:val="true"/>
              </w:rPr>
              <w:tab/>
            </w:r>
            <w:r>
              <w:rPr>
                <w:rStyle w:val="IndexLink"/>
              </w:rPr>
              <w:t>152</w:t>
            </w:r>
          </w:hyperlink>
        </w:p>
        <w:p>
          <w:pPr>
            <w:pStyle w:val="Contents4"/>
            <w:tabs>
              <w:tab w:val="clear" w:pos="8176"/>
              <w:tab w:val="right" w:pos="9026" w:leader="dot"/>
            </w:tabs>
            <w:rPr/>
          </w:pPr>
          <w:hyperlink w:anchor="__RefHeading___Toc477288_581953129">
            <w:r>
              <w:rPr>
                <w:webHidden/>
                <w:rStyle w:val="IndexLink"/>
                <w:rtl w:val="true"/>
              </w:rPr>
              <w:t>تعریف الأُمم المتّحدة للإرهاب</w:t>
            </w:r>
            <w:r>
              <w:rPr>
                <w:rStyle w:val="IndexLink"/>
                <w:rtl w:val="true"/>
              </w:rPr>
              <w:tab/>
            </w:r>
            <w:r>
              <w:rPr>
                <w:rStyle w:val="IndexLink"/>
              </w:rPr>
              <w:t>152</w:t>
            </w:r>
          </w:hyperlink>
        </w:p>
        <w:p>
          <w:pPr>
            <w:pStyle w:val="Contents4"/>
            <w:tabs>
              <w:tab w:val="clear" w:pos="8176"/>
              <w:tab w:val="right" w:pos="9026" w:leader="dot"/>
            </w:tabs>
            <w:rPr/>
          </w:pPr>
          <w:hyperlink w:anchor="__RefHeading___Toc477290_581953129">
            <w:r>
              <w:rPr>
                <w:webHidden/>
                <w:rStyle w:val="IndexLink"/>
                <w:rtl w:val="true"/>
              </w:rPr>
              <w:t>النصر بالرعب</w:t>
            </w:r>
            <w:r>
              <w:rPr>
                <w:rStyle w:val="IndexLink"/>
                <w:rtl w:val="true"/>
              </w:rPr>
              <w:tab/>
            </w:r>
            <w:r>
              <w:rPr>
                <w:rStyle w:val="IndexLink"/>
              </w:rPr>
              <w:t>153</w:t>
            </w:r>
          </w:hyperlink>
        </w:p>
        <w:p>
          <w:pPr>
            <w:pStyle w:val="Contents3"/>
            <w:tabs>
              <w:tab w:val="clear" w:pos="8459"/>
              <w:tab w:val="right" w:pos="9026" w:leader="dot"/>
            </w:tabs>
            <w:rPr/>
          </w:pPr>
          <w:hyperlink w:anchor="__RefHeading___Toc477292_581953129">
            <w:r>
              <w:rPr>
                <w:webHidden/>
                <w:rStyle w:val="IndexLink"/>
                <w:rtl w:val="true"/>
              </w:rPr>
              <w:t>المحاضرة الثامنة مناقشة تعریفات الإرهاب وتطبیقاتها</w:t>
            </w:r>
            <w:r>
              <w:rPr>
                <w:rStyle w:val="IndexLink"/>
                <w:rtl w:val="true"/>
              </w:rPr>
              <w:tab/>
            </w:r>
            <w:r>
              <w:rPr>
                <w:rStyle w:val="IndexLink"/>
              </w:rPr>
              <w:t>154</w:t>
            </w:r>
          </w:hyperlink>
        </w:p>
        <w:p>
          <w:pPr>
            <w:pStyle w:val="Contents4"/>
            <w:tabs>
              <w:tab w:val="clear" w:pos="8176"/>
              <w:tab w:val="right" w:pos="9026" w:leader="dot"/>
            </w:tabs>
            <w:rPr/>
          </w:pPr>
          <w:hyperlink w:anchor="__RefHeading___Toc477294_58195312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477296_581953129">
            <w:r>
              <w:rPr>
                <w:webHidden/>
                <w:rStyle w:val="IndexLink"/>
                <w:rtl w:val="true"/>
              </w:rPr>
              <w:t>العملیات الإرهابیة لا تستهدف الحصول علی مکاسب مادّیة</w:t>
            </w:r>
            <w:r>
              <w:rPr>
                <w:rStyle w:val="IndexLink"/>
                <w:rtl w:val="true"/>
              </w:rPr>
              <w:tab/>
            </w:r>
            <w:r>
              <w:rPr>
                <w:rStyle w:val="IndexLink"/>
              </w:rPr>
              <w:t>154</w:t>
            </w:r>
          </w:hyperlink>
        </w:p>
        <w:p>
          <w:pPr>
            <w:pStyle w:val="Contents4"/>
            <w:tabs>
              <w:tab w:val="clear" w:pos="8176"/>
              <w:tab w:val="right" w:pos="9026" w:leader="dot"/>
            </w:tabs>
            <w:rPr/>
          </w:pPr>
          <w:hyperlink w:anchor="__RefHeading___Toc477298_581953129">
            <w:r>
              <w:rPr>
                <w:webHidden/>
                <w:rStyle w:val="IndexLink"/>
                <w:rtl w:val="true"/>
              </w:rPr>
              <w:t>العملیات الإرهابیة ترتبط بالأهداف السیاسیة وتستهدف الضغط النفسی</w:t>
            </w:r>
            <w:r>
              <w:rPr>
                <w:rStyle w:val="IndexLink"/>
                <w:rtl w:val="true"/>
              </w:rPr>
              <w:tab/>
            </w:r>
            <w:r>
              <w:rPr>
                <w:rStyle w:val="IndexLink"/>
              </w:rPr>
              <w:t>155</w:t>
            </w:r>
          </w:hyperlink>
        </w:p>
        <w:p>
          <w:pPr>
            <w:pStyle w:val="Contents4"/>
            <w:tabs>
              <w:tab w:val="clear" w:pos="8176"/>
              <w:tab w:val="right" w:pos="9026" w:leader="dot"/>
            </w:tabs>
            <w:rPr/>
          </w:pPr>
          <w:hyperlink w:anchor="__RefHeading___Toc477300_581953129">
            <w:r>
              <w:rPr>
                <w:webHidden/>
                <w:rStyle w:val="IndexLink"/>
                <w:rtl w:val="true"/>
              </w:rPr>
              <w:t>الإرهاب هو العنف المتطرف</w:t>
            </w:r>
            <w:r>
              <w:rPr>
                <w:rStyle w:val="IndexLink"/>
                <w:rtl w:val="true"/>
              </w:rPr>
              <w:tab/>
            </w:r>
            <w:r>
              <w:rPr>
                <w:rStyle w:val="IndexLink"/>
              </w:rPr>
              <w:t>155</w:t>
            </w:r>
          </w:hyperlink>
        </w:p>
        <w:p>
          <w:pPr>
            <w:pStyle w:val="Contents4"/>
            <w:tabs>
              <w:tab w:val="clear" w:pos="8176"/>
              <w:tab w:val="right" w:pos="9026" w:leader="dot"/>
            </w:tabs>
            <w:rPr/>
          </w:pPr>
          <w:hyperlink w:anchor="__RefHeading___Toc477302_581953129">
            <w:r>
              <w:rPr>
                <w:webHidden/>
                <w:rStyle w:val="IndexLink"/>
                <w:rtl w:val="true"/>
              </w:rPr>
              <w:t>ضوابط المبارزة العسکریة</w:t>
            </w:r>
            <w:r>
              <w:rPr>
                <w:rStyle w:val="IndexLink"/>
                <w:rtl w:val="true"/>
              </w:rPr>
              <w:tab/>
            </w:r>
            <w:r>
              <w:rPr>
                <w:rStyle w:val="IndexLink"/>
              </w:rPr>
              <w:t>155</w:t>
            </w:r>
          </w:hyperlink>
        </w:p>
        <w:p>
          <w:pPr>
            <w:pStyle w:val="Contents4"/>
            <w:tabs>
              <w:tab w:val="clear" w:pos="8176"/>
              <w:tab w:val="right" w:pos="9026" w:leader="dot"/>
            </w:tabs>
            <w:rPr/>
          </w:pPr>
          <w:hyperlink w:anchor="__RefHeading___Toc477304_581953129">
            <w:r>
              <w:rPr>
                <w:webHidden/>
                <w:rStyle w:val="IndexLink"/>
                <w:rtl w:val="true"/>
              </w:rPr>
              <w:t>لابدّ من وجود ضوابط للقوّة</w:t>
            </w:r>
            <w:r>
              <w:rPr>
                <w:rStyle w:val="IndexLink"/>
                <w:rtl w:val="true"/>
              </w:rPr>
              <w:tab/>
            </w:r>
            <w:r>
              <w:rPr>
                <w:rStyle w:val="IndexLink"/>
              </w:rPr>
              <w:t>156</w:t>
            </w:r>
          </w:hyperlink>
        </w:p>
        <w:p>
          <w:pPr>
            <w:pStyle w:val="Contents4"/>
            <w:tabs>
              <w:tab w:val="clear" w:pos="8176"/>
              <w:tab w:val="right" w:pos="9026" w:leader="dot"/>
            </w:tabs>
            <w:rPr/>
          </w:pPr>
          <w:hyperlink w:anchor="__RefHeading___Toc477306_581953129">
            <w:r>
              <w:rPr>
                <w:webHidden/>
                <w:rStyle w:val="IndexLink"/>
                <w:rtl w:val="true"/>
              </w:rPr>
              <w:t>قتل المدنیین فی الحروب مخالف لقوانین الحرب</w:t>
            </w:r>
            <w:r>
              <w:rPr>
                <w:rStyle w:val="IndexLink"/>
                <w:rtl w:val="true"/>
              </w:rPr>
              <w:tab/>
            </w:r>
            <w:r>
              <w:rPr>
                <w:rStyle w:val="IndexLink"/>
              </w:rPr>
              <w:t>156</w:t>
            </w:r>
          </w:hyperlink>
        </w:p>
        <w:p>
          <w:pPr>
            <w:pStyle w:val="Contents4"/>
            <w:tabs>
              <w:tab w:val="clear" w:pos="8176"/>
              <w:tab w:val="right" w:pos="9026" w:leader="dot"/>
            </w:tabs>
            <w:rPr/>
          </w:pPr>
          <w:hyperlink w:anchor="__RefHeading___Toc477308_581953129">
            <w:r>
              <w:rPr>
                <w:webHidden/>
                <w:rStyle w:val="IndexLink"/>
                <w:rtl w:val="true"/>
              </w:rPr>
              <w:t>استخدام الأسلحة الکیمیاویة والجرثومیة</w:t>
            </w:r>
            <w:r>
              <w:rPr>
                <w:rStyle w:val="IndexLink"/>
                <w:rtl w:val="true"/>
              </w:rPr>
              <w:tab/>
            </w:r>
            <w:r>
              <w:rPr>
                <w:rStyle w:val="IndexLink"/>
              </w:rPr>
              <w:t>157</w:t>
            </w:r>
          </w:hyperlink>
        </w:p>
        <w:p>
          <w:pPr>
            <w:pStyle w:val="Contents4"/>
            <w:tabs>
              <w:tab w:val="clear" w:pos="8176"/>
              <w:tab w:val="right" w:pos="9026" w:leader="dot"/>
            </w:tabs>
            <w:rPr/>
          </w:pPr>
          <w:hyperlink w:anchor="__RefHeading___Toc477310_581953129">
            <w:r>
              <w:rPr>
                <w:webHidden/>
                <w:rStyle w:val="IndexLink"/>
                <w:rtl w:val="true"/>
              </w:rPr>
              <w:t>الآثار السلبیة للانتقام</w:t>
            </w:r>
            <w:r>
              <w:rPr>
                <w:rStyle w:val="IndexLink"/>
                <w:rtl w:val="true"/>
              </w:rPr>
              <w:tab/>
            </w:r>
            <w:r>
              <w:rPr>
                <w:rStyle w:val="IndexLink"/>
              </w:rPr>
              <w:t>157</w:t>
            </w:r>
          </w:hyperlink>
        </w:p>
        <w:p>
          <w:pPr>
            <w:pStyle w:val="Contents4"/>
            <w:tabs>
              <w:tab w:val="clear" w:pos="8176"/>
              <w:tab w:val="right" w:pos="9026" w:leader="dot"/>
            </w:tabs>
            <w:rPr/>
          </w:pPr>
          <w:hyperlink w:anchor="__RefHeading___Toc477312_581953129">
            <w:r>
              <w:rPr>
                <w:webHidden/>
                <w:rStyle w:val="IndexLink"/>
                <w:rtl w:val="true"/>
              </w:rPr>
              <w:t>أقسام الإرهاب</w:t>
            </w:r>
            <w:r>
              <w:rPr>
                <w:rStyle w:val="IndexLink"/>
                <w:rtl w:val="true"/>
              </w:rPr>
              <w:tab/>
            </w:r>
            <w:r>
              <w:rPr>
                <w:rStyle w:val="IndexLink"/>
              </w:rPr>
              <w:t>157</w:t>
            </w:r>
          </w:hyperlink>
        </w:p>
        <w:p>
          <w:pPr>
            <w:pStyle w:val="Contents4"/>
            <w:tabs>
              <w:tab w:val="clear" w:pos="8176"/>
              <w:tab w:val="right" w:pos="9026" w:leader="dot"/>
            </w:tabs>
            <w:rPr/>
          </w:pPr>
          <w:hyperlink w:anchor="__RefHeading___Toc477314_581953129">
            <w:r>
              <w:rPr>
                <w:webHidden/>
                <w:rStyle w:val="IndexLink"/>
                <w:rtl w:val="true"/>
              </w:rPr>
              <w:t>معنی الإرهاب الحربی</w:t>
            </w:r>
            <w:r>
              <w:rPr>
                <w:rStyle w:val="IndexLink"/>
                <w:rtl w:val="true"/>
              </w:rPr>
              <w:tab/>
            </w:r>
            <w:r>
              <w:rPr>
                <w:rStyle w:val="IndexLink"/>
              </w:rPr>
              <w:t>158</w:t>
            </w:r>
          </w:hyperlink>
        </w:p>
        <w:p>
          <w:pPr>
            <w:pStyle w:val="Contents4"/>
            <w:tabs>
              <w:tab w:val="clear" w:pos="8176"/>
              <w:tab w:val="right" w:pos="9026" w:leader="dot"/>
            </w:tabs>
            <w:rPr/>
          </w:pPr>
          <w:hyperlink w:anchor="__RefHeading___Toc477316_581953129">
            <w:r>
              <w:rPr>
                <w:webHidden/>
                <w:rStyle w:val="IndexLink"/>
                <w:rtl w:val="true"/>
              </w:rPr>
              <w:t>معنی الإرهاب القمعی</w:t>
            </w:r>
            <w:r>
              <w:rPr>
                <w:rStyle w:val="IndexLink"/>
                <w:rtl w:val="true"/>
              </w:rPr>
              <w:tab/>
            </w:r>
            <w:r>
              <w:rPr>
                <w:rStyle w:val="IndexLink"/>
              </w:rPr>
              <w:t>158</w:t>
            </w:r>
          </w:hyperlink>
        </w:p>
        <w:p>
          <w:pPr>
            <w:pStyle w:val="Contents4"/>
            <w:tabs>
              <w:tab w:val="clear" w:pos="8176"/>
              <w:tab w:val="right" w:pos="9026" w:leader="dot"/>
            </w:tabs>
            <w:rPr/>
          </w:pPr>
          <w:hyperlink w:anchor="__RefHeading___Toc477318_581953129">
            <w:r>
              <w:rPr>
                <w:webHidden/>
                <w:rStyle w:val="IndexLink"/>
                <w:rtl w:val="true"/>
              </w:rPr>
              <w:t>معنی الإرهاب الثوری</w:t>
            </w:r>
            <w:r>
              <w:rPr>
                <w:rStyle w:val="IndexLink"/>
                <w:rtl w:val="true"/>
              </w:rPr>
              <w:tab/>
            </w:r>
            <w:r>
              <w:rPr>
                <w:rStyle w:val="IndexLink"/>
              </w:rPr>
              <w:t>158</w:t>
            </w:r>
          </w:hyperlink>
        </w:p>
        <w:p>
          <w:pPr>
            <w:pStyle w:val="Contents4"/>
            <w:tabs>
              <w:tab w:val="clear" w:pos="8176"/>
              <w:tab w:val="right" w:pos="9026" w:leader="dot"/>
            </w:tabs>
            <w:rPr/>
          </w:pPr>
          <w:hyperlink w:anchor="__RefHeading___Toc477320_581953129">
            <w:r>
              <w:rPr>
                <w:webHidden/>
                <w:rStyle w:val="IndexLink"/>
                <w:rtl w:val="true"/>
              </w:rPr>
              <w:t>ارتباط ثورة الإمام الحسین علیه السلام بالشرع والمُثل والمبادیء والقیم فی کل مراحلها</w:t>
            </w:r>
            <w:r>
              <w:rPr>
                <w:rStyle w:val="IndexLink"/>
                <w:rtl w:val="true"/>
              </w:rPr>
              <w:tab/>
            </w:r>
            <w:r>
              <w:rPr>
                <w:rStyle w:val="IndexLink"/>
              </w:rPr>
              <w:t>158</w:t>
            </w:r>
          </w:hyperlink>
        </w:p>
        <w:p>
          <w:pPr>
            <w:pStyle w:val="Contents4"/>
            <w:tabs>
              <w:tab w:val="clear" w:pos="8176"/>
              <w:tab w:val="right" w:pos="9026" w:leader="dot"/>
            </w:tabs>
            <w:rPr/>
          </w:pPr>
          <w:hyperlink w:anchor="__RefHeading___Toc477322_581953129">
            <w:r>
              <w:rPr>
                <w:webHidden/>
                <w:rStyle w:val="IndexLink"/>
                <w:rtl w:val="true"/>
              </w:rPr>
              <w:t>الحکم لیس إلّاوسیلة لإقامة العدل</w:t>
            </w:r>
            <w:r>
              <w:rPr>
                <w:rStyle w:val="IndexLink"/>
                <w:rtl w:val="true"/>
              </w:rPr>
              <w:tab/>
            </w:r>
            <w:r>
              <w:rPr>
                <w:rStyle w:val="IndexLink"/>
              </w:rPr>
              <w:t>159</w:t>
            </w:r>
          </w:hyperlink>
        </w:p>
        <w:p>
          <w:pPr>
            <w:pStyle w:val="Contents4"/>
            <w:tabs>
              <w:tab w:val="clear" w:pos="8176"/>
              <w:tab w:val="right" w:pos="9026" w:leader="dot"/>
            </w:tabs>
            <w:rPr/>
          </w:pPr>
          <w:hyperlink w:anchor="__RefHeading___Toc477324_581953129">
            <w:r>
              <w:rPr>
                <w:webHidden/>
                <w:rStyle w:val="IndexLink"/>
                <w:rtl w:val="true"/>
              </w:rPr>
              <w:t xml:space="preserve">أهل البیت علیهم السلام یرفضون قاعدة </w:t>
            </w:r>
            <w:r>
              <w:rPr>
                <w:rStyle w:val="IndexLink"/>
                <w:rtl w:val="true"/>
              </w:rPr>
              <w:t>«</w:t>
            </w:r>
            <w:r>
              <w:rPr>
                <w:rStyle w:val="IndexLink"/>
                <w:rtl w:val="true"/>
              </w:rPr>
              <w:t>ادفع الأفسد بالفاسد</w:t>
            </w:r>
            <w:r>
              <w:rPr>
                <w:rStyle w:val="IndexLink"/>
                <w:rtl w:val="true"/>
              </w:rPr>
              <w:t>»</w:t>
              <w:tab/>
            </w:r>
            <w:r>
              <w:rPr>
                <w:rStyle w:val="IndexLink"/>
              </w:rPr>
              <w:t>159</w:t>
            </w:r>
          </w:hyperlink>
        </w:p>
        <w:p>
          <w:pPr>
            <w:pStyle w:val="Contents4"/>
            <w:tabs>
              <w:tab w:val="clear" w:pos="8176"/>
              <w:tab w:val="right" w:pos="9026" w:leader="dot"/>
            </w:tabs>
            <w:rPr/>
          </w:pPr>
          <w:hyperlink w:anchor="__RefHeading___Toc477326_581953129">
            <w:r>
              <w:rPr>
                <w:webHidden/>
                <w:rStyle w:val="IndexLink"/>
                <w:rtl w:val="true"/>
              </w:rPr>
              <w:t>إذا وصلت التقیّة إلی الدم فلا تقیّة</w:t>
            </w:r>
            <w:r>
              <w:rPr>
                <w:rStyle w:val="IndexLink"/>
                <w:rtl w:val="true"/>
              </w:rPr>
              <w:tab/>
            </w:r>
            <w:r>
              <w:rPr>
                <w:rStyle w:val="IndexLink"/>
              </w:rPr>
              <w:t>160</w:t>
            </w:r>
          </w:hyperlink>
        </w:p>
        <w:p>
          <w:pPr>
            <w:pStyle w:val="Contents4"/>
            <w:tabs>
              <w:tab w:val="clear" w:pos="8176"/>
              <w:tab w:val="right" w:pos="9026" w:leader="dot"/>
            </w:tabs>
            <w:rPr/>
          </w:pPr>
          <w:hyperlink w:anchor="__RefHeading___Toc477328_581953129">
            <w:r>
              <w:rPr>
                <w:webHidden/>
                <w:rStyle w:val="IndexLink"/>
                <w:rtl w:val="true"/>
              </w:rPr>
              <w:t>العملیات الاستشهادیة لا تتدرج تحت عنوان ارتکاب المحرم</w:t>
            </w:r>
            <w:r>
              <w:rPr>
                <w:rStyle w:val="IndexLink"/>
                <w:rtl w:val="true"/>
              </w:rPr>
              <w:tab/>
            </w:r>
            <w:r>
              <w:rPr>
                <w:rStyle w:val="IndexLink"/>
              </w:rPr>
              <w:t>160</w:t>
            </w:r>
          </w:hyperlink>
        </w:p>
        <w:p>
          <w:pPr>
            <w:pStyle w:val="Contents4"/>
            <w:tabs>
              <w:tab w:val="clear" w:pos="8176"/>
              <w:tab w:val="right" w:pos="9026" w:leader="dot"/>
            </w:tabs>
            <w:rPr/>
          </w:pPr>
          <w:hyperlink w:anchor="__RefHeading___Toc477330_581953129">
            <w:r>
              <w:rPr>
                <w:webHidden/>
                <w:rStyle w:val="IndexLink"/>
                <w:rtl w:val="true"/>
              </w:rPr>
              <w:t>فصل الإمام الحسین علیه السلام عن القبائل الموالیة له</w:t>
            </w:r>
            <w:r>
              <w:rPr>
                <w:rStyle w:val="IndexLink"/>
                <w:rtl w:val="true"/>
              </w:rPr>
              <w:tab/>
            </w:r>
            <w:r>
              <w:rPr>
                <w:rStyle w:val="IndexLink"/>
              </w:rPr>
              <w:t>160</w:t>
            </w:r>
          </w:hyperlink>
        </w:p>
        <w:p>
          <w:pPr>
            <w:pStyle w:val="Contents4"/>
            <w:tabs>
              <w:tab w:val="clear" w:pos="8176"/>
              <w:tab w:val="right" w:pos="9026" w:leader="dot"/>
            </w:tabs>
            <w:rPr/>
          </w:pPr>
          <w:hyperlink w:anchor="__RefHeading___Toc477332_581953129">
            <w:r>
              <w:rPr>
                <w:webHidden/>
                <w:rStyle w:val="IndexLink"/>
                <w:rtl w:val="true"/>
              </w:rPr>
              <w:t>معنی الإرهاب المالی</w:t>
            </w:r>
            <w:r>
              <w:rPr>
                <w:rStyle w:val="IndexLink"/>
                <w:rtl w:val="true"/>
              </w:rPr>
              <w:tab/>
            </w:r>
            <w:r>
              <w:rPr>
                <w:rStyle w:val="IndexLink"/>
              </w:rPr>
              <w:t>161</w:t>
            </w:r>
          </w:hyperlink>
        </w:p>
        <w:p>
          <w:pPr>
            <w:pStyle w:val="Contents4"/>
            <w:tabs>
              <w:tab w:val="clear" w:pos="8176"/>
              <w:tab w:val="right" w:pos="9026" w:leader="dot"/>
            </w:tabs>
            <w:rPr/>
          </w:pPr>
          <w:hyperlink w:anchor="__RefHeading___Toc477334_581953129">
            <w:r>
              <w:rPr>
                <w:webHidden/>
                <w:rStyle w:val="IndexLink"/>
                <w:rtl w:val="true"/>
              </w:rPr>
              <w:t>أسباب صالح الإمام الحسن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477336_581953129">
            <w:r>
              <w:rPr>
                <w:webHidden/>
                <w:rStyle w:val="IndexLink"/>
                <w:rtl w:val="true"/>
              </w:rPr>
              <w:t>الفرق بین جیش الإمام علی وجیش الإمام الحسن علیهما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477338_581953129">
            <w:r>
              <w:rPr>
                <w:webHidden/>
                <w:rStyle w:val="IndexLink"/>
                <w:rtl w:val="true"/>
              </w:rPr>
              <w:t>الدولة تتکوّن من مجموعة من القوی</w:t>
            </w:r>
            <w:r>
              <w:rPr>
                <w:rStyle w:val="IndexLink"/>
                <w:rtl w:val="true"/>
              </w:rPr>
              <w:tab/>
            </w:r>
            <w:r>
              <w:rPr>
                <w:rStyle w:val="IndexLink"/>
              </w:rPr>
              <w:t>162</w:t>
            </w:r>
          </w:hyperlink>
        </w:p>
        <w:p>
          <w:pPr>
            <w:pStyle w:val="Contents4"/>
            <w:tabs>
              <w:tab w:val="clear" w:pos="8176"/>
              <w:tab w:val="right" w:pos="9026" w:leader="dot"/>
            </w:tabs>
            <w:rPr/>
          </w:pPr>
          <w:hyperlink w:anchor="__RefHeading___Toc477340_581953129">
            <w:r>
              <w:rPr>
                <w:webHidden/>
                <w:rStyle w:val="IndexLink"/>
                <w:rtl w:val="true"/>
              </w:rPr>
              <w:t>المرجعیة الشیعیة تعتبر شبه دولة</w:t>
            </w:r>
            <w:r>
              <w:rPr>
                <w:rStyle w:val="IndexLink"/>
                <w:rtl w:val="true"/>
              </w:rPr>
              <w:tab/>
            </w:r>
            <w:r>
              <w:rPr>
                <w:rStyle w:val="IndexLink"/>
              </w:rPr>
              <w:t>163</w:t>
            </w:r>
          </w:hyperlink>
        </w:p>
        <w:p>
          <w:pPr>
            <w:pStyle w:val="Contents4"/>
            <w:tabs>
              <w:tab w:val="clear" w:pos="8176"/>
              <w:tab w:val="right" w:pos="9026" w:leader="dot"/>
            </w:tabs>
            <w:rPr/>
          </w:pPr>
          <w:hyperlink w:anchor="__RefHeading___Toc477342_581953129">
            <w:r>
              <w:rPr>
                <w:webHidden/>
                <w:rStyle w:val="IndexLink"/>
                <w:rtl w:val="true"/>
              </w:rPr>
              <w:t>نفوذ الأئمة وقواعدهم الجماهیریة</w:t>
            </w:r>
            <w:r>
              <w:rPr>
                <w:rStyle w:val="IndexLink"/>
                <w:rtl w:val="true"/>
              </w:rPr>
              <w:tab/>
            </w:r>
            <w:r>
              <w:rPr>
                <w:rStyle w:val="IndexLink"/>
              </w:rPr>
              <w:t>163</w:t>
            </w:r>
          </w:hyperlink>
        </w:p>
        <w:p>
          <w:pPr>
            <w:pStyle w:val="Contents4"/>
            <w:tabs>
              <w:tab w:val="clear" w:pos="8176"/>
              <w:tab w:val="right" w:pos="9026" w:leader="dot"/>
            </w:tabs>
            <w:rPr/>
          </w:pPr>
          <w:hyperlink w:anchor="__RefHeading___Toc477344_581953129">
            <w:r>
              <w:rPr>
                <w:webHidden/>
                <w:rStyle w:val="IndexLink"/>
                <w:rtl w:val="true"/>
              </w:rPr>
              <w:t>من أهداف الإمام الحسن علیه السلام من الصلح الإبقاء علی نفوذه فی أتباعه</w:t>
            </w:r>
            <w:r>
              <w:rPr>
                <w:rStyle w:val="IndexLink"/>
                <w:rtl w:val="true"/>
              </w:rPr>
              <w:tab/>
            </w:r>
            <w:r>
              <w:rPr>
                <w:rStyle w:val="IndexLink"/>
              </w:rPr>
              <w:t>164</w:t>
            </w:r>
          </w:hyperlink>
        </w:p>
        <w:p>
          <w:pPr>
            <w:pStyle w:val="Contents4"/>
            <w:tabs>
              <w:tab w:val="clear" w:pos="8176"/>
              <w:tab w:val="right" w:pos="9026" w:leader="dot"/>
            </w:tabs>
            <w:rPr/>
          </w:pPr>
          <w:hyperlink w:anchor="__RefHeading___Toc477346_581953129">
            <w:r>
              <w:rPr>
                <w:webHidden/>
                <w:rStyle w:val="IndexLink"/>
                <w:rtl w:val="true"/>
              </w:rPr>
              <w:t>أحادیث نبویّة فی فضل الإمام الحسن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477348_581953129">
            <w:r>
              <w:rPr>
                <w:webHidden/>
                <w:rStyle w:val="IndexLink"/>
                <w:rtl w:val="true"/>
              </w:rPr>
              <w:t>ظروف الإمام الحسن علیه السلام تختلف عن ظروف الإمام علی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477350_581953129">
            <w:r>
              <w:rPr>
                <w:webHidden/>
                <w:rStyle w:val="IndexLink"/>
                <w:rtl w:val="true"/>
              </w:rPr>
              <w:t>المحاضرة التاسعة من یقف وراء مخططات الإرهاب ؟</w:t>
            </w:r>
            <w:r>
              <w:rPr>
                <w:rStyle w:val="IndexLink"/>
                <w:rtl w:val="true"/>
              </w:rPr>
              <w:tab/>
            </w:r>
            <w:r>
              <w:rPr>
                <w:rStyle w:val="IndexLink"/>
              </w:rPr>
              <w:t>167</w:t>
            </w:r>
          </w:hyperlink>
        </w:p>
        <w:p>
          <w:pPr>
            <w:pStyle w:val="Contents4"/>
            <w:tabs>
              <w:tab w:val="clear" w:pos="8176"/>
              <w:tab w:val="right" w:pos="9026" w:leader="dot"/>
            </w:tabs>
            <w:rPr/>
          </w:pPr>
          <w:hyperlink w:anchor="__RefHeading___Toc477352_581953129">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477354_581953129">
            <w:r>
              <w:rPr>
                <w:webHidden/>
                <w:rStyle w:val="IndexLink"/>
                <w:rtl w:val="true"/>
              </w:rPr>
              <w:t>إرهاب الدولة</w:t>
            </w:r>
            <w:r>
              <w:rPr>
                <w:rStyle w:val="IndexLink"/>
                <w:rtl w:val="true"/>
              </w:rPr>
              <w:tab/>
            </w:r>
            <w:r>
              <w:rPr>
                <w:rStyle w:val="IndexLink"/>
              </w:rPr>
              <w:t>167</w:t>
            </w:r>
          </w:hyperlink>
        </w:p>
        <w:p>
          <w:pPr>
            <w:pStyle w:val="Contents4"/>
            <w:tabs>
              <w:tab w:val="clear" w:pos="8176"/>
              <w:tab w:val="right" w:pos="9026" w:leader="dot"/>
            </w:tabs>
            <w:rPr/>
          </w:pPr>
          <w:hyperlink w:anchor="__RefHeading___Toc477356_581953129">
            <w:r>
              <w:rPr>
                <w:webHidden/>
                <w:rStyle w:val="IndexLink"/>
                <w:rtl w:val="true"/>
              </w:rPr>
              <w:t>الإرهاب والإیدلوجیة</w:t>
            </w:r>
            <w:r>
              <w:rPr>
                <w:rStyle w:val="IndexLink"/>
                <w:rtl w:val="true"/>
              </w:rPr>
              <w:tab/>
            </w:r>
            <w:r>
              <w:rPr>
                <w:rStyle w:val="IndexLink"/>
              </w:rPr>
              <w:t>168</w:t>
            </w:r>
          </w:hyperlink>
        </w:p>
        <w:p>
          <w:pPr>
            <w:pStyle w:val="Contents4"/>
            <w:tabs>
              <w:tab w:val="clear" w:pos="8176"/>
              <w:tab w:val="right" w:pos="9026" w:leader="dot"/>
            </w:tabs>
            <w:rPr/>
          </w:pPr>
          <w:hyperlink w:anchor="__RefHeading___Toc477358_581953129">
            <w:r>
              <w:rPr>
                <w:webHidden/>
                <w:rStyle w:val="IndexLink"/>
                <w:rtl w:val="true"/>
              </w:rPr>
              <w:t>الإرهاب الصهیونی</w:t>
            </w:r>
            <w:r>
              <w:rPr>
                <w:rStyle w:val="IndexLink"/>
                <w:rtl w:val="true"/>
              </w:rPr>
              <w:tab/>
            </w:r>
            <w:r>
              <w:rPr>
                <w:rStyle w:val="IndexLink"/>
              </w:rPr>
              <w:t>169</w:t>
            </w:r>
          </w:hyperlink>
        </w:p>
        <w:p>
          <w:pPr>
            <w:pStyle w:val="Contents4"/>
            <w:tabs>
              <w:tab w:val="clear" w:pos="8176"/>
              <w:tab w:val="right" w:pos="9026" w:leader="dot"/>
            </w:tabs>
            <w:rPr/>
          </w:pPr>
          <w:hyperlink w:anchor="__RefHeading___Toc477360_581953129">
            <w:r>
              <w:rPr>
                <w:webHidden/>
                <w:rStyle w:val="IndexLink"/>
                <w:rtl w:val="true"/>
              </w:rPr>
              <w:t>الهندوس والبوذیّون والثقافة المنحلّة</w:t>
            </w:r>
            <w:r>
              <w:rPr>
                <w:rStyle w:val="IndexLink"/>
                <w:rtl w:val="true"/>
              </w:rPr>
              <w:tab/>
            </w:r>
            <w:r>
              <w:rPr>
                <w:rStyle w:val="IndexLink"/>
              </w:rPr>
              <w:t>169</w:t>
            </w:r>
          </w:hyperlink>
        </w:p>
        <w:p>
          <w:pPr>
            <w:pStyle w:val="Contents4"/>
            <w:tabs>
              <w:tab w:val="clear" w:pos="8176"/>
              <w:tab w:val="right" w:pos="9026" w:leader="dot"/>
            </w:tabs>
            <w:rPr/>
          </w:pPr>
          <w:hyperlink w:anchor="__RefHeading___Toc477362_581953129">
            <w:r>
              <w:rPr>
                <w:webHidden/>
                <w:rStyle w:val="IndexLink"/>
                <w:rtl w:val="true"/>
              </w:rPr>
              <w:t>لماذا غضّ النظر عن الإرهاب الصهیونی</w:t>
            </w:r>
            <w:r>
              <w:rPr>
                <w:rStyle w:val="IndexLink"/>
                <w:rtl w:val="true"/>
              </w:rPr>
              <w:tab/>
            </w:r>
            <w:r>
              <w:rPr>
                <w:rStyle w:val="IndexLink"/>
              </w:rPr>
              <w:t>169</w:t>
            </w:r>
          </w:hyperlink>
        </w:p>
        <w:p>
          <w:pPr>
            <w:pStyle w:val="Contents4"/>
            <w:tabs>
              <w:tab w:val="clear" w:pos="8176"/>
              <w:tab w:val="right" w:pos="9026" w:leader="dot"/>
            </w:tabs>
            <w:rPr/>
          </w:pPr>
          <w:hyperlink w:anchor="__RefHeading___Toc477364_581953129">
            <w:r>
              <w:rPr>
                <w:webHidden/>
                <w:rStyle w:val="IndexLink"/>
                <w:rtl w:val="true"/>
              </w:rPr>
              <w:t>اتهام الإسلام بالإرهاب</w:t>
            </w:r>
            <w:r>
              <w:rPr>
                <w:rStyle w:val="IndexLink"/>
                <w:rtl w:val="true"/>
              </w:rPr>
              <w:tab/>
            </w:r>
            <w:r>
              <w:rPr>
                <w:rStyle w:val="IndexLink"/>
              </w:rPr>
              <w:t>170</w:t>
            </w:r>
          </w:hyperlink>
        </w:p>
        <w:p>
          <w:pPr>
            <w:pStyle w:val="Contents4"/>
            <w:tabs>
              <w:tab w:val="clear" w:pos="8176"/>
              <w:tab w:val="right" w:pos="9026" w:leader="dot"/>
            </w:tabs>
            <w:rPr/>
          </w:pPr>
          <w:hyperlink w:anchor="__RefHeading___Toc477366_581953129">
            <w:r>
              <w:rPr>
                <w:webHidden/>
                <w:rStyle w:val="IndexLink"/>
                <w:rtl w:val="true"/>
              </w:rPr>
              <w:t>القوی الخفیّة وراء عملیات الإرهاب العالمیة</w:t>
            </w:r>
            <w:r>
              <w:rPr>
                <w:rStyle w:val="IndexLink"/>
                <w:rtl w:val="true"/>
              </w:rPr>
              <w:tab/>
            </w:r>
            <w:r>
              <w:rPr>
                <w:rStyle w:val="IndexLink"/>
              </w:rPr>
              <w:t>170</w:t>
            </w:r>
          </w:hyperlink>
        </w:p>
        <w:p>
          <w:pPr>
            <w:pStyle w:val="Contents4"/>
            <w:tabs>
              <w:tab w:val="clear" w:pos="8176"/>
              <w:tab w:val="right" w:pos="9026" w:leader="dot"/>
            </w:tabs>
            <w:rPr/>
          </w:pPr>
          <w:hyperlink w:anchor="__RefHeading___Toc477368_581953129">
            <w:r>
              <w:rPr>
                <w:webHidden/>
                <w:rStyle w:val="IndexLink"/>
                <w:rtl w:val="true"/>
              </w:rPr>
              <w:t>تسلیط الأضواء الإعلامیة من أجل تمریر مخططات شیطانیة</w:t>
            </w:r>
            <w:r>
              <w:rPr>
                <w:rStyle w:val="IndexLink"/>
                <w:rtl w:val="true"/>
              </w:rPr>
              <w:tab/>
            </w:r>
            <w:r>
              <w:rPr>
                <w:rStyle w:val="IndexLink"/>
              </w:rPr>
              <w:t>171</w:t>
            </w:r>
          </w:hyperlink>
        </w:p>
        <w:p>
          <w:pPr>
            <w:pStyle w:val="Contents4"/>
            <w:tabs>
              <w:tab w:val="clear" w:pos="8176"/>
              <w:tab w:val="right" w:pos="9026" w:leader="dot"/>
            </w:tabs>
            <w:rPr/>
          </w:pPr>
          <w:hyperlink w:anchor="__RefHeading___Toc477370_581953129">
            <w:r>
              <w:rPr>
                <w:webHidden/>
                <w:rStyle w:val="IndexLink"/>
                <w:rtl w:val="true"/>
              </w:rPr>
              <w:t>دور الإعلام الخطیر والمشبوه</w:t>
            </w:r>
            <w:r>
              <w:rPr>
                <w:rStyle w:val="IndexLink"/>
                <w:rtl w:val="true"/>
              </w:rPr>
              <w:tab/>
            </w:r>
            <w:r>
              <w:rPr>
                <w:rStyle w:val="IndexLink"/>
              </w:rPr>
              <w:t>171</w:t>
            </w:r>
          </w:hyperlink>
        </w:p>
        <w:p>
          <w:pPr>
            <w:pStyle w:val="Contents4"/>
            <w:tabs>
              <w:tab w:val="clear" w:pos="8176"/>
              <w:tab w:val="right" w:pos="9026" w:leader="dot"/>
            </w:tabs>
            <w:rPr/>
          </w:pPr>
          <w:hyperlink w:anchor="__RefHeading___Toc477372_581953129">
            <w:r>
              <w:rPr>
                <w:webHidden/>
                <w:rStyle w:val="IndexLink"/>
                <w:rtl w:val="true"/>
              </w:rPr>
              <w:t>نشر أخبار کاذبة لخدمة جهات معیّنة</w:t>
            </w:r>
            <w:r>
              <w:rPr>
                <w:rStyle w:val="IndexLink"/>
                <w:rtl w:val="true"/>
              </w:rPr>
              <w:tab/>
            </w:r>
            <w:r>
              <w:rPr>
                <w:rStyle w:val="IndexLink"/>
              </w:rPr>
              <w:t>171</w:t>
            </w:r>
          </w:hyperlink>
        </w:p>
        <w:p>
          <w:pPr>
            <w:pStyle w:val="Contents4"/>
            <w:tabs>
              <w:tab w:val="clear" w:pos="8176"/>
              <w:tab w:val="right" w:pos="9026" w:leader="dot"/>
            </w:tabs>
            <w:rPr/>
          </w:pPr>
          <w:hyperlink w:anchor="__RefHeading___Toc477374_581953129">
            <w:r>
              <w:rPr>
                <w:webHidden/>
                <w:rStyle w:val="IndexLink"/>
                <w:rtl w:val="true"/>
              </w:rPr>
              <w:t xml:space="preserve">المؤاخذة الأولی </w:t>
            </w:r>
            <w:r>
              <w:rPr>
                <w:rStyle w:val="IndexLink"/>
                <w:rtl w:val="true"/>
              </w:rPr>
              <w:t xml:space="preserve">: </w:t>
            </w:r>
            <w:r>
              <w:rPr>
                <w:rStyle w:val="IndexLink"/>
                <w:rtl w:val="true"/>
              </w:rPr>
              <w:t>إغفال عنصر الخفاء</w:t>
            </w:r>
            <w:r>
              <w:rPr>
                <w:rStyle w:val="IndexLink"/>
                <w:rtl w:val="true"/>
              </w:rPr>
              <w:t>.</w:t>
              <w:tab/>
            </w:r>
            <w:r>
              <w:rPr>
                <w:rStyle w:val="IndexLink"/>
              </w:rPr>
              <w:t>173</w:t>
            </w:r>
          </w:hyperlink>
        </w:p>
        <w:p>
          <w:pPr>
            <w:pStyle w:val="Contents4"/>
            <w:tabs>
              <w:tab w:val="clear" w:pos="8176"/>
              <w:tab w:val="right" w:pos="9026" w:leader="dot"/>
            </w:tabs>
            <w:rPr/>
          </w:pPr>
          <w:hyperlink w:anchor="__RefHeading___Toc477376_581953129">
            <w:r>
              <w:rPr>
                <w:webHidden/>
                <w:rStyle w:val="IndexLink"/>
                <w:rtl w:val="true"/>
              </w:rPr>
              <w:t xml:space="preserve">المؤاخذة الثانیة </w:t>
            </w:r>
            <w:r>
              <w:rPr>
                <w:rStyle w:val="IndexLink"/>
                <w:rtl w:val="true"/>
              </w:rPr>
              <w:t xml:space="preserve">: </w:t>
            </w:r>
            <w:r>
              <w:rPr>
                <w:rStyle w:val="IndexLink"/>
                <w:rtl w:val="true"/>
              </w:rPr>
              <w:t>ما هو المیزان والفیصل فی تحدید الإرهاب ؟</w:t>
            </w:r>
            <w:r>
              <w:rPr>
                <w:rStyle w:val="IndexLink"/>
                <w:rtl w:val="true"/>
              </w:rPr>
              <w:tab/>
            </w:r>
            <w:r>
              <w:rPr>
                <w:rStyle w:val="IndexLink"/>
              </w:rPr>
              <w:t>174</w:t>
            </w:r>
          </w:hyperlink>
        </w:p>
        <w:p>
          <w:pPr>
            <w:pStyle w:val="Contents4"/>
            <w:tabs>
              <w:tab w:val="clear" w:pos="8176"/>
              <w:tab w:val="right" w:pos="9026" w:leader="dot"/>
            </w:tabs>
            <w:rPr/>
          </w:pPr>
          <w:hyperlink w:anchor="__RefHeading___Toc477378_581953129">
            <w:r>
              <w:rPr>
                <w:webHidden/>
                <w:rStyle w:val="IndexLink"/>
                <w:rtl w:val="true"/>
              </w:rPr>
              <w:t>الضابطة فی قبول الإرهاب</w:t>
            </w:r>
            <w:r>
              <w:rPr>
                <w:rStyle w:val="IndexLink"/>
                <w:rtl w:val="true"/>
              </w:rPr>
              <w:tab/>
            </w:r>
            <w:r>
              <w:rPr>
                <w:rStyle w:val="IndexLink"/>
              </w:rPr>
              <w:t>175</w:t>
            </w:r>
          </w:hyperlink>
        </w:p>
        <w:p>
          <w:pPr>
            <w:pStyle w:val="Contents4"/>
            <w:tabs>
              <w:tab w:val="clear" w:pos="8176"/>
              <w:tab w:val="right" w:pos="9026" w:leader="dot"/>
            </w:tabs>
            <w:rPr/>
          </w:pPr>
          <w:hyperlink w:anchor="__RefHeading___Toc477380_581953129">
            <w:r>
              <w:rPr>
                <w:webHidden/>
                <w:rStyle w:val="IndexLink"/>
                <w:rtl w:val="true"/>
              </w:rPr>
              <w:t>الخلفیّة الحقوقیة والأخلاقیة والعقائدیة للقوانین</w:t>
            </w:r>
            <w:r>
              <w:rPr>
                <w:rStyle w:val="IndexLink"/>
                <w:rtl w:val="true"/>
              </w:rPr>
              <w:tab/>
            </w:r>
            <w:r>
              <w:rPr>
                <w:rStyle w:val="IndexLink"/>
              </w:rPr>
              <w:t>175</w:t>
            </w:r>
          </w:hyperlink>
        </w:p>
        <w:p>
          <w:pPr>
            <w:pStyle w:val="Contents4"/>
            <w:tabs>
              <w:tab w:val="clear" w:pos="8176"/>
              <w:tab w:val="right" w:pos="9026" w:leader="dot"/>
            </w:tabs>
            <w:rPr/>
          </w:pPr>
          <w:hyperlink w:anchor="__RefHeading___Toc477382_581953129">
            <w:r>
              <w:rPr>
                <w:webHidden/>
                <w:rStyle w:val="IndexLink"/>
                <w:rtl w:val="true"/>
              </w:rPr>
              <w:t>القوی السامیة فی أعلی الإنسان</w:t>
            </w:r>
            <w:r>
              <w:rPr>
                <w:rStyle w:val="IndexLink"/>
                <w:rtl w:val="true"/>
              </w:rPr>
              <w:tab/>
            </w:r>
            <w:r>
              <w:rPr>
                <w:rStyle w:val="IndexLink"/>
              </w:rPr>
              <w:t>176</w:t>
            </w:r>
          </w:hyperlink>
        </w:p>
        <w:p>
          <w:pPr>
            <w:pStyle w:val="Contents4"/>
            <w:tabs>
              <w:tab w:val="clear" w:pos="8176"/>
              <w:tab w:val="right" w:pos="9026" w:leader="dot"/>
            </w:tabs>
            <w:rPr/>
          </w:pPr>
          <w:hyperlink w:anchor="__RefHeading___Toc477384_581953129">
            <w:r>
              <w:rPr>
                <w:webHidden/>
                <w:rStyle w:val="IndexLink"/>
                <w:rtl w:val="true"/>
              </w:rPr>
              <w:t>لا للعبودیّة للاستکبار</w:t>
            </w:r>
            <w:r>
              <w:rPr>
                <w:rStyle w:val="IndexLink"/>
                <w:rtl w:val="true"/>
              </w:rPr>
              <w:tab/>
            </w:r>
            <w:r>
              <w:rPr>
                <w:rStyle w:val="IndexLink"/>
              </w:rPr>
              <w:t>176</w:t>
            </w:r>
          </w:hyperlink>
        </w:p>
        <w:p>
          <w:pPr>
            <w:pStyle w:val="Contents3"/>
            <w:tabs>
              <w:tab w:val="clear" w:pos="8459"/>
              <w:tab w:val="right" w:pos="9026" w:leader="dot"/>
            </w:tabs>
            <w:rPr/>
          </w:pPr>
          <w:hyperlink w:anchor="__RefHeading___Toc477386_581953129">
            <w:r>
              <w:rPr>
                <w:webHidden/>
                <w:rStyle w:val="IndexLink"/>
                <w:rtl w:val="true"/>
              </w:rPr>
              <w:t>المحاضرة العاشرة الإمام الحسین علیه السلام اختار الشهادة ، ولم یرضخ للإرهاب</w:t>
            </w:r>
            <w:r>
              <w:rPr>
                <w:rStyle w:val="IndexLink"/>
                <w:rtl w:val="true"/>
              </w:rPr>
              <w:tab/>
            </w:r>
            <w:r>
              <w:rPr>
                <w:rStyle w:val="IndexLink"/>
              </w:rPr>
              <w:t>178</w:t>
            </w:r>
          </w:hyperlink>
        </w:p>
        <w:p>
          <w:pPr>
            <w:pStyle w:val="Contents4"/>
            <w:tabs>
              <w:tab w:val="clear" w:pos="8176"/>
              <w:tab w:val="right" w:pos="9026" w:leader="dot"/>
            </w:tabs>
            <w:rPr/>
          </w:pPr>
          <w:hyperlink w:anchor="__RefHeading___Toc477388_581953129">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477390_581953129">
            <w:r>
              <w:rPr>
                <w:webHidden/>
                <w:rStyle w:val="IndexLink"/>
                <w:rtl w:val="true"/>
              </w:rPr>
              <w:t>من رضی بعمل قوم أشرک معهم</w:t>
            </w:r>
            <w:r>
              <w:rPr>
                <w:rStyle w:val="IndexLink"/>
                <w:rtl w:val="true"/>
              </w:rPr>
              <w:tab/>
            </w:r>
            <w:r>
              <w:rPr>
                <w:rStyle w:val="IndexLink"/>
              </w:rPr>
              <w:t>178</w:t>
            </w:r>
          </w:hyperlink>
        </w:p>
        <w:p>
          <w:pPr>
            <w:pStyle w:val="Contents4"/>
            <w:tabs>
              <w:tab w:val="clear" w:pos="8176"/>
              <w:tab w:val="right" w:pos="9026" w:leader="dot"/>
            </w:tabs>
            <w:rPr/>
          </w:pPr>
          <w:hyperlink w:anchor="__RefHeading___Toc477392_581953129">
            <w:r>
              <w:rPr>
                <w:webHidden/>
                <w:rStyle w:val="IndexLink"/>
                <w:rtl w:val="true"/>
              </w:rPr>
              <w:t>لابد من وضوح الموقف تجاه الحق والباطل</w:t>
            </w:r>
            <w:r>
              <w:rPr>
                <w:rStyle w:val="IndexLink"/>
                <w:rtl w:val="true"/>
              </w:rPr>
              <w:tab/>
            </w:r>
            <w:r>
              <w:rPr>
                <w:rStyle w:val="IndexLink"/>
              </w:rPr>
              <w:t>179</w:t>
            </w:r>
          </w:hyperlink>
        </w:p>
        <w:p>
          <w:pPr>
            <w:pStyle w:val="Contents4"/>
            <w:tabs>
              <w:tab w:val="clear" w:pos="8176"/>
              <w:tab w:val="right" w:pos="9026" w:leader="dot"/>
            </w:tabs>
            <w:rPr/>
          </w:pPr>
          <w:hyperlink w:anchor="__RefHeading___Toc477394_581953129">
            <w:r>
              <w:rPr>
                <w:webHidden/>
                <w:rStyle w:val="IndexLink"/>
                <w:rtl w:val="true"/>
              </w:rPr>
              <w:t xml:space="preserve">فی النصوص الدولیة یذکرون عدّة أسباب للإرهاب وهی </w:t>
            </w:r>
            <w:r>
              <w:rPr>
                <w:rStyle w:val="IndexLink"/>
                <w:rtl w:val="true"/>
              </w:rPr>
              <w:t>:</w:t>
              <w:tab/>
            </w:r>
            <w:r>
              <w:rPr>
                <w:rStyle w:val="IndexLink"/>
              </w:rPr>
              <w:t>179</w:t>
            </w:r>
          </w:hyperlink>
        </w:p>
        <w:p>
          <w:pPr>
            <w:pStyle w:val="Contents4"/>
            <w:tabs>
              <w:tab w:val="clear" w:pos="8176"/>
              <w:tab w:val="right" w:pos="9026" w:leader="dot"/>
            </w:tabs>
            <w:rPr/>
          </w:pPr>
          <w:hyperlink w:anchor="__RefHeading___Toc477396_581953129">
            <w:r>
              <w:rPr>
                <w:webHidden/>
                <w:rStyle w:val="IndexLink"/>
                <w:rtl w:val="true"/>
              </w:rPr>
              <w:t>معالجة أسباب الإرهاب</w:t>
            </w:r>
            <w:r>
              <w:rPr>
                <w:rStyle w:val="IndexLink"/>
                <w:rtl w:val="true"/>
              </w:rPr>
              <w:tab/>
            </w:r>
            <w:r>
              <w:rPr>
                <w:rStyle w:val="IndexLink"/>
              </w:rPr>
              <w:t>179</w:t>
            </w:r>
          </w:hyperlink>
        </w:p>
        <w:p>
          <w:pPr>
            <w:pStyle w:val="Contents4"/>
            <w:tabs>
              <w:tab w:val="clear" w:pos="8176"/>
              <w:tab w:val="right" w:pos="9026" w:leader="dot"/>
            </w:tabs>
            <w:rPr/>
          </w:pPr>
          <w:hyperlink w:anchor="__RefHeading___Toc477398_581953129">
            <w:r>
              <w:rPr>
                <w:webHidden/>
                <w:rStyle w:val="IndexLink"/>
                <w:rtl w:val="true"/>
              </w:rPr>
              <w:t>عدم الرضوخ للإرهاب</w:t>
            </w:r>
            <w:r>
              <w:rPr>
                <w:rStyle w:val="IndexLink"/>
                <w:rtl w:val="true"/>
              </w:rPr>
              <w:tab/>
            </w:r>
            <w:r>
              <w:rPr>
                <w:rStyle w:val="IndexLink"/>
              </w:rPr>
              <w:t>180</w:t>
            </w:r>
          </w:hyperlink>
        </w:p>
        <w:p>
          <w:pPr>
            <w:pStyle w:val="Contents4"/>
            <w:tabs>
              <w:tab w:val="clear" w:pos="8176"/>
              <w:tab w:val="right" w:pos="9026" w:leader="dot"/>
            </w:tabs>
            <w:rPr/>
          </w:pPr>
          <w:hyperlink w:anchor="__RefHeading___Toc477400_581953129">
            <w:r>
              <w:rPr>
                <w:webHidden/>
                <w:rStyle w:val="IndexLink"/>
                <w:rtl w:val="true"/>
              </w:rPr>
              <w:t>مقارنة بین موقف النبی صلی الله علیه و آله وموقف الإمام الحسین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477402_581953129">
            <w:r>
              <w:rPr>
                <w:webHidden/>
                <w:rStyle w:val="IndexLink"/>
                <w:rtl w:val="true"/>
              </w:rPr>
              <w:t>هل اختبرت نیّة أصحابک ؟</w:t>
            </w:r>
            <w:r>
              <w:rPr>
                <w:rStyle w:val="IndexLink"/>
                <w:rtl w:val="true"/>
              </w:rPr>
              <w:tab/>
            </w:r>
            <w:r>
              <w:rPr>
                <w:rStyle w:val="IndexLink"/>
              </w:rPr>
              <w:t>181</w:t>
            </w:r>
          </w:hyperlink>
        </w:p>
        <w:p>
          <w:pPr>
            <w:pStyle w:val="Contents2"/>
            <w:tabs>
              <w:tab w:val="clear" w:pos="8743"/>
              <w:tab w:val="right" w:pos="9026" w:leader="dot"/>
            </w:tabs>
            <w:rPr/>
          </w:pPr>
          <w:hyperlink w:anchor="__RefHeading___Toc477404_581953129">
            <w:r>
              <w:rPr>
                <w:webHidden/>
                <w:rStyle w:val="IndexLink"/>
              </w:rPr>
              <w:t>3</w:t>
            </w:r>
            <w:r>
              <w:rPr>
                <w:rStyle w:val="IndexLink"/>
                <w:rtl w:val="true"/>
              </w:rPr>
              <w:t xml:space="preserve">- </w:t>
            </w:r>
            <w:r>
              <w:rPr>
                <w:rStyle w:val="IndexLink"/>
                <w:rtl w:val="true"/>
              </w:rPr>
              <w:t>عاشوراء ومفهوم العولمة</w:t>
            </w:r>
            <w:r>
              <w:rPr>
                <w:rStyle w:val="IndexLink"/>
                <w:rtl w:val="true"/>
              </w:rPr>
              <w:tab/>
            </w:r>
            <w:r>
              <w:rPr>
                <w:rStyle w:val="IndexLink"/>
              </w:rPr>
              <w:t>182</w:t>
            </w:r>
          </w:hyperlink>
        </w:p>
        <w:p>
          <w:pPr>
            <w:pStyle w:val="Contents3"/>
            <w:tabs>
              <w:tab w:val="clear" w:pos="8459"/>
              <w:tab w:val="right" w:pos="9026" w:leader="dot"/>
            </w:tabs>
            <w:rPr/>
          </w:pPr>
          <w:hyperlink w:anchor="__RefHeading___Toc477406_581953129">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477408_581953129">
            <w:r>
              <w:rPr>
                <w:webHidden/>
                <w:rStyle w:val="IndexLink"/>
                <w:rtl w:val="true"/>
              </w:rPr>
              <w:t>المقدّمة</w:t>
            </w:r>
            <w:r>
              <w:rPr>
                <w:rStyle w:val="IndexLink"/>
                <w:rtl w:val="true"/>
              </w:rPr>
              <w:tab/>
            </w:r>
            <w:r>
              <w:rPr>
                <w:rStyle w:val="IndexLink"/>
              </w:rPr>
              <w:t>183</w:t>
            </w:r>
          </w:hyperlink>
        </w:p>
        <w:p>
          <w:pPr>
            <w:pStyle w:val="Contents3"/>
            <w:tabs>
              <w:tab w:val="clear" w:pos="8459"/>
              <w:tab w:val="right" w:pos="9026" w:leader="dot"/>
            </w:tabs>
            <w:rPr/>
          </w:pPr>
          <w:hyperlink w:anchor="__RefHeading___Toc477410_581953129">
            <w:r>
              <w:rPr>
                <w:webHidden/>
                <w:rStyle w:val="IndexLink"/>
                <w:rtl w:val="true"/>
              </w:rPr>
              <w:t>عناوین المحاضرات</w:t>
            </w:r>
            <w:r>
              <w:rPr>
                <w:rStyle w:val="IndexLink"/>
                <w:rtl w:val="true"/>
              </w:rPr>
              <w:tab/>
            </w:r>
            <w:r>
              <w:rPr>
                <w:rStyle w:val="IndexLink"/>
              </w:rPr>
              <w:t>185</w:t>
            </w:r>
          </w:hyperlink>
        </w:p>
        <w:p>
          <w:pPr>
            <w:pStyle w:val="Contents4"/>
            <w:tabs>
              <w:tab w:val="clear" w:pos="8176"/>
              <w:tab w:val="right" w:pos="9026" w:leader="dot"/>
            </w:tabs>
            <w:rPr/>
          </w:pPr>
          <w:hyperlink w:anchor="__RefHeading___Toc477412_581953129">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477414_581953129">
            <w:r>
              <w:rPr>
                <w:webHidden/>
                <w:rStyle w:val="IndexLink"/>
                <w:rtl w:val="true"/>
              </w:rPr>
              <w:t xml:space="preserve">المحاضرة الأُولی </w:t>
            </w:r>
            <w:r>
              <w:rPr>
                <w:rStyle w:val="IndexLink"/>
                <w:rtl w:val="true"/>
              </w:rPr>
              <w:t>:</w:t>
            </w:r>
            <w:r>
              <w:rPr>
                <w:rStyle w:val="IndexLink"/>
                <w:rtl w:val="true"/>
              </w:rPr>
              <w:t>الموقف من أحداث التاریخ وشخصیّاته</w:t>
            </w:r>
            <w:r>
              <w:rPr>
                <w:rStyle w:val="IndexLink"/>
                <w:rtl w:val="true"/>
              </w:rPr>
              <w:tab/>
            </w:r>
            <w:r>
              <w:rPr>
                <w:rStyle w:val="IndexLink"/>
              </w:rPr>
              <w:t>186</w:t>
            </w:r>
          </w:hyperlink>
        </w:p>
        <w:p>
          <w:pPr>
            <w:pStyle w:val="Contents5"/>
            <w:tabs>
              <w:tab w:val="clear" w:pos="7892"/>
              <w:tab w:val="right" w:pos="9026" w:leader="dot"/>
            </w:tabs>
            <w:rPr/>
          </w:pPr>
          <w:hyperlink w:anchor="__RefHeading___Toc477416_581953129">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477418_581953129">
            <w:r>
              <w:rPr>
                <w:webHidden/>
                <w:rStyle w:val="IndexLink"/>
                <w:rtl w:val="true"/>
              </w:rPr>
              <w:t>القرآن الکریم یحاکم الشخصیّات التاریخیة ، وکذلک السنّة المطهّرة والفطرة الإنسانیة والعقل البشری</w:t>
            </w:r>
            <w:r>
              <w:rPr>
                <w:rStyle w:val="IndexLink"/>
                <w:rtl w:val="true"/>
              </w:rPr>
              <w:tab/>
            </w:r>
            <w:r>
              <w:rPr>
                <w:rStyle w:val="IndexLink"/>
              </w:rPr>
              <w:t>186</w:t>
            </w:r>
          </w:hyperlink>
        </w:p>
        <w:p>
          <w:pPr>
            <w:pStyle w:val="Contents5"/>
            <w:tabs>
              <w:tab w:val="clear" w:pos="7892"/>
              <w:tab w:val="right" w:pos="9026" w:leader="dot"/>
            </w:tabs>
            <w:rPr/>
          </w:pPr>
          <w:hyperlink w:anchor="__RefHeading___Toc477420_581953129">
            <w:r>
              <w:rPr>
                <w:webHidden/>
                <w:rStyle w:val="IndexLink"/>
                <w:rtl w:val="true"/>
              </w:rPr>
              <w:t>سنّة الرثاء فی القرآن الکریم</w:t>
            </w:r>
            <w:r>
              <w:rPr>
                <w:rStyle w:val="IndexLink"/>
                <w:rtl w:val="true"/>
              </w:rPr>
              <w:tab/>
            </w:r>
            <w:r>
              <w:rPr>
                <w:rStyle w:val="IndexLink"/>
              </w:rPr>
              <w:t>187</w:t>
            </w:r>
          </w:hyperlink>
        </w:p>
        <w:p>
          <w:pPr>
            <w:pStyle w:val="Contents5"/>
            <w:tabs>
              <w:tab w:val="clear" w:pos="7892"/>
              <w:tab w:val="right" w:pos="9026" w:leader="dot"/>
            </w:tabs>
            <w:rPr/>
          </w:pPr>
          <w:hyperlink w:anchor="__RefHeading___Toc477422_581953129">
            <w:r>
              <w:rPr>
                <w:webHidden/>
                <w:rStyle w:val="IndexLink"/>
                <w:rtl w:val="true"/>
              </w:rPr>
              <w:t>موقف القرآن الکریم من البدریین الذین کانوا مع النبی محمّد صلی الله علیه و آله</w:t>
            </w:r>
            <w:r>
              <w:rPr>
                <w:rStyle w:val="IndexLink"/>
                <w:rtl w:val="true"/>
              </w:rPr>
              <w:tab/>
            </w:r>
            <w:r>
              <w:rPr>
                <w:rStyle w:val="IndexLink"/>
              </w:rPr>
              <w:t>188</w:t>
            </w:r>
          </w:hyperlink>
        </w:p>
        <w:p>
          <w:pPr>
            <w:pStyle w:val="Contents5"/>
            <w:tabs>
              <w:tab w:val="clear" w:pos="7892"/>
              <w:tab w:val="right" w:pos="9026" w:leader="dot"/>
            </w:tabs>
            <w:rPr/>
          </w:pPr>
          <w:hyperlink w:anchor="__RefHeading___Toc477424_581953129">
            <w:r>
              <w:rPr>
                <w:webHidden/>
                <w:rStyle w:val="IndexLink"/>
                <w:rtl w:val="true"/>
              </w:rPr>
              <w:t>اللعن مفهوم قرآنی یراد منه البراءة من الظالم ومساندة المظلوم</w:t>
            </w:r>
            <w:r>
              <w:rPr>
                <w:rStyle w:val="IndexLink"/>
                <w:rtl w:val="true"/>
              </w:rPr>
              <w:tab/>
            </w:r>
            <w:r>
              <w:rPr>
                <w:rStyle w:val="IndexLink"/>
              </w:rPr>
              <w:t>190</w:t>
            </w:r>
          </w:hyperlink>
        </w:p>
        <w:p>
          <w:pPr>
            <w:pStyle w:val="Contents5"/>
            <w:tabs>
              <w:tab w:val="clear" w:pos="7892"/>
              <w:tab w:val="right" w:pos="9026" w:leader="dot"/>
            </w:tabs>
            <w:rPr/>
          </w:pPr>
          <w:hyperlink w:anchor="__RefHeading___Toc477426_581953129">
            <w:r>
              <w:rPr>
                <w:webHidden/>
                <w:rStyle w:val="IndexLink"/>
                <w:rtl w:val="true"/>
              </w:rPr>
              <w:t>اتخاذ الموقف من أحداث التاریخ وشخصیّاته بناءً علی مفهوم انکار المنکر</w:t>
            </w:r>
            <w:r>
              <w:rPr>
                <w:rStyle w:val="IndexLink"/>
                <w:rtl w:val="true"/>
              </w:rPr>
              <w:tab/>
            </w:r>
            <w:r>
              <w:rPr>
                <w:rStyle w:val="IndexLink"/>
              </w:rPr>
              <w:t>191</w:t>
            </w:r>
          </w:hyperlink>
        </w:p>
        <w:p>
          <w:pPr>
            <w:pStyle w:val="Contents5"/>
            <w:tabs>
              <w:tab w:val="clear" w:pos="7892"/>
              <w:tab w:val="right" w:pos="9026" w:leader="dot"/>
            </w:tabs>
            <w:rPr/>
          </w:pPr>
          <w:hyperlink w:anchor="__RefHeading___Toc477428_581953129">
            <w:r>
              <w:rPr>
                <w:webHidden/>
                <w:rStyle w:val="IndexLink"/>
                <w:rtl w:val="true"/>
              </w:rPr>
              <w:t>انکار المنکر التاریخی فی القرآن الکریم</w:t>
            </w:r>
            <w:r>
              <w:rPr>
                <w:rStyle w:val="IndexLink"/>
                <w:rtl w:val="true"/>
              </w:rPr>
              <w:tab/>
            </w:r>
            <w:r>
              <w:rPr>
                <w:rStyle w:val="IndexLink"/>
              </w:rPr>
              <w:t>192</w:t>
            </w:r>
          </w:hyperlink>
        </w:p>
        <w:p>
          <w:pPr>
            <w:pStyle w:val="Contents5"/>
            <w:tabs>
              <w:tab w:val="clear" w:pos="7892"/>
              <w:tab w:val="right" w:pos="9026" w:leader="dot"/>
            </w:tabs>
            <w:rPr/>
          </w:pPr>
          <w:hyperlink w:anchor="__RefHeading___Toc477430_581953129">
            <w:r>
              <w:rPr>
                <w:webHidden/>
                <w:rStyle w:val="IndexLink"/>
                <w:rtl w:val="true"/>
              </w:rPr>
              <w:t>ولعن اللّه امّة رضیت بذلک</w:t>
            </w:r>
            <w:r>
              <w:rPr>
                <w:rStyle w:val="IndexLink"/>
                <w:rtl w:val="true"/>
              </w:rPr>
              <w:tab/>
            </w:r>
            <w:r>
              <w:rPr>
                <w:rStyle w:val="IndexLink"/>
              </w:rPr>
              <w:t>192</w:t>
            </w:r>
          </w:hyperlink>
        </w:p>
        <w:p>
          <w:pPr>
            <w:pStyle w:val="Contents5"/>
            <w:tabs>
              <w:tab w:val="clear" w:pos="7892"/>
              <w:tab w:val="right" w:pos="9026" w:leader="dot"/>
            </w:tabs>
            <w:rPr/>
          </w:pPr>
          <w:hyperlink w:anchor="__RefHeading___Toc477432_581953129">
            <w:r>
              <w:rPr>
                <w:webHidden/>
                <w:rStyle w:val="IndexLink"/>
                <w:rtl w:val="true"/>
              </w:rPr>
              <w:t>البراءة علی صعید العلاقات الدولیة</w:t>
            </w:r>
            <w:r>
              <w:rPr>
                <w:rStyle w:val="IndexLink"/>
                <w:rtl w:val="true"/>
              </w:rPr>
              <w:tab/>
            </w:r>
            <w:r>
              <w:rPr>
                <w:rStyle w:val="IndexLink"/>
              </w:rPr>
              <w:t>193</w:t>
            </w:r>
          </w:hyperlink>
        </w:p>
        <w:p>
          <w:pPr>
            <w:pStyle w:val="Contents4"/>
            <w:tabs>
              <w:tab w:val="clear" w:pos="8176"/>
              <w:tab w:val="right" w:pos="9026" w:leader="dot"/>
            </w:tabs>
            <w:rPr/>
          </w:pPr>
          <w:hyperlink w:anchor="__RefHeading___Toc477434_581953129">
            <w:r>
              <w:rPr>
                <w:webHidden/>
                <w:rStyle w:val="IndexLink"/>
                <w:rtl w:val="true"/>
              </w:rPr>
              <w:t>المحاضرة الثانیة إشکالات حول الشعائر الحسینیة</w:t>
            </w:r>
            <w:r>
              <w:rPr>
                <w:rStyle w:val="IndexLink"/>
                <w:rtl w:val="true"/>
              </w:rPr>
              <w:tab/>
            </w:r>
            <w:r>
              <w:rPr>
                <w:rStyle w:val="IndexLink"/>
              </w:rPr>
              <w:t>195</w:t>
            </w:r>
          </w:hyperlink>
        </w:p>
        <w:p>
          <w:pPr>
            <w:pStyle w:val="Contents5"/>
            <w:tabs>
              <w:tab w:val="clear" w:pos="7892"/>
              <w:tab w:val="right" w:pos="9026" w:leader="dot"/>
            </w:tabs>
            <w:rPr/>
          </w:pPr>
          <w:hyperlink w:anchor="__RefHeading___Toc477436_581953129">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477438_581953129">
            <w:r>
              <w:rPr>
                <w:webHidden/>
                <w:rStyle w:val="IndexLink"/>
                <w:rtl w:val="true"/>
              </w:rPr>
              <w:t>إشکالات حول إحیاء الشعائر الحسینیة</w:t>
            </w:r>
            <w:r>
              <w:rPr>
                <w:rStyle w:val="IndexLink"/>
                <w:rtl w:val="true"/>
              </w:rPr>
              <w:tab/>
            </w:r>
            <w:r>
              <w:rPr>
                <w:rStyle w:val="IndexLink"/>
              </w:rPr>
              <w:t>195</w:t>
            </w:r>
          </w:hyperlink>
        </w:p>
        <w:p>
          <w:pPr>
            <w:pStyle w:val="Contents5"/>
            <w:tabs>
              <w:tab w:val="clear" w:pos="7892"/>
              <w:tab w:val="right" w:pos="9026" w:leader="dot"/>
            </w:tabs>
            <w:rPr/>
          </w:pPr>
          <w:hyperlink w:anchor="__RefHeading___Toc477440_581953129">
            <w:r>
              <w:rPr>
                <w:webHidden/>
                <w:rStyle w:val="IndexLink"/>
                <w:rtl w:val="true"/>
              </w:rPr>
              <w:t>هذه الإشکالات لا تختص بالشعائر الحسینیة</w:t>
            </w:r>
            <w:r>
              <w:rPr>
                <w:rStyle w:val="IndexLink"/>
                <w:rtl w:val="true"/>
              </w:rPr>
              <w:tab/>
            </w:r>
            <w:r>
              <w:rPr>
                <w:rStyle w:val="IndexLink"/>
              </w:rPr>
              <w:t>197</w:t>
            </w:r>
          </w:hyperlink>
        </w:p>
        <w:p>
          <w:pPr>
            <w:pStyle w:val="Contents5"/>
            <w:tabs>
              <w:tab w:val="clear" w:pos="7892"/>
              <w:tab w:val="right" w:pos="9026" w:leader="dot"/>
            </w:tabs>
            <w:rPr/>
          </w:pPr>
          <w:hyperlink w:anchor="__RefHeading___Toc477442_581953129">
            <w:r>
              <w:rPr>
                <w:webHidden/>
                <w:rStyle w:val="IndexLink"/>
                <w:rtl w:val="true"/>
              </w:rPr>
              <w:t>لا یمکن فرض ثقافة علی الثقافات الأُخری وإلغاء خصوصیاتها</w:t>
            </w:r>
            <w:r>
              <w:rPr>
                <w:rStyle w:val="IndexLink"/>
                <w:rtl w:val="true"/>
              </w:rPr>
              <w:tab/>
            </w:r>
            <w:r>
              <w:rPr>
                <w:rStyle w:val="IndexLink"/>
              </w:rPr>
              <w:t>197</w:t>
            </w:r>
          </w:hyperlink>
        </w:p>
        <w:p>
          <w:pPr>
            <w:pStyle w:val="Contents5"/>
            <w:tabs>
              <w:tab w:val="clear" w:pos="7892"/>
              <w:tab w:val="right" w:pos="9026" w:leader="dot"/>
            </w:tabs>
            <w:rPr/>
          </w:pPr>
          <w:hyperlink w:anchor="__RefHeading___Toc477444_581953129">
            <w:r>
              <w:rPr>
                <w:webHidden/>
                <w:rStyle w:val="IndexLink"/>
                <w:rtl w:val="true"/>
              </w:rPr>
              <w:t>خطورة طرح العولمة</w:t>
            </w:r>
            <w:r>
              <w:rPr>
                <w:rStyle w:val="IndexLink"/>
                <w:rtl w:val="true"/>
              </w:rPr>
              <w:tab/>
            </w:r>
            <w:r>
              <w:rPr>
                <w:rStyle w:val="IndexLink"/>
              </w:rPr>
              <w:t>198</w:t>
            </w:r>
          </w:hyperlink>
        </w:p>
        <w:p>
          <w:pPr>
            <w:pStyle w:val="Contents5"/>
            <w:tabs>
              <w:tab w:val="clear" w:pos="7892"/>
              <w:tab w:val="right" w:pos="9026" w:leader="dot"/>
            </w:tabs>
            <w:rPr/>
          </w:pPr>
          <w:hyperlink w:anchor="__RefHeading___Toc477446_581953129">
            <w:r>
              <w:rPr>
                <w:webHidden/>
                <w:rStyle w:val="IndexLink"/>
                <w:rtl w:val="true"/>
              </w:rPr>
              <w:t>من التقلید ما هو إیجابی ، ومنه ما هو سلبی</w:t>
            </w:r>
            <w:r>
              <w:rPr>
                <w:rStyle w:val="IndexLink"/>
                <w:rtl w:val="true"/>
              </w:rPr>
              <w:tab/>
            </w:r>
            <w:r>
              <w:rPr>
                <w:rStyle w:val="IndexLink"/>
              </w:rPr>
              <w:t>198</w:t>
            </w:r>
          </w:hyperlink>
        </w:p>
        <w:p>
          <w:pPr>
            <w:pStyle w:val="Contents5"/>
            <w:tabs>
              <w:tab w:val="clear" w:pos="7892"/>
              <w:tab w:val="right" w:pos="9026" w:leader="dot"/>
            </w:tabs>
            <w:rPr/>
          </w:pPr>
          <w:hyperlink w:anchor="__RefHeading___Toc477448_581953129">
            <w:r>
              <w:rPr>
                <w:webHidden/>
                <w:rStyle w:val="IndexLink"/>
                <w:rtl w:val="true"/>
              </w:rPr>
              <w:t>هل البکاء والحزن ظاهرة سلبیة وهدّامة؟</w:t>
            </w:r>
            <w:r>
              <w:rPr>
                <w:rStyle w:val="IndexLink"/>
                <w:rtl w:val="true"/>
              </w:rPr>
              <w:tab/>
            </w:r>
            <w:r>
              <w:rPr>
                <w:rStyle w:val="IndexLink"/>
              </w:rPr>
              <w:t>200</w:t>
            </w:r>
          </w:hyperlink>
        </w:p>
        <w:p>
          <w:pPr>
            <w:pStyle w:val="Contents4"/>
            <w:tabs>
              <w:tab w:val="clear" w:pos="8176"/>
              <w:tab w:val="right" w:pos="9026" w:leader="dot"/>
            </w:tabs>
            <w:rPr/>
          </w:pPr>
          <w:hyperlink w:anchor="__RefHeading___Toc477450_581953129">
            <w:r>
              <w:rPr>
                <w:webHidden/>
                <w:rStyle w:val="IndexLink"/>
                <w:rtl w:val="true"/>
              </w:rPr>
              <w:t>المحاضرة الثالثة الحسین والخطاب العولمی والعولمة فی العصور السابقة</w:t>
            </w:r>
            <w:r>
              <w:rPr>
                <w:rStyle w:val="IndexLink"/>
                <w:rtl w:val="true"/>
              </w:rPr>
              <w:tab/>
            </w:r>
            <w:r>
              <w:rPr>
                <w:rStyle w:val="IndexLink"/>
              </w:rPr>
              <w:t>202</w:t>
            </w:r>
          </w:hyperlink>
        </w:p>
        <w:p>
          <w:pPr>
            <w:pStyle w:val="Contents5"/>
            <w:tabs>
              <w:tab w:val="clear" w:pos="7892"/>
              <w:tab w:val="right" w:pos="9026" w:leader="dot"/>
            </w:tabs>
            <w:rPr/>
          </w:pPr>
          <w:hyperlink w:anchor="__RefHeading___Toc477452_58195312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77454_581953129">
            <w:r>
              <w:rPr>
                <w:webHidden/>
                <w:rStyle w:val="IndexLink"/>
                <w:rtl w:val="true"/>
              </w:rPr>
              <w:t>الشعائر الحسینیة فی دائرة العولمة</w:t>
            </w:r>
            <w:r>
              <w:rPr>
                <w:rStyle w:val="IndexLink"/>
                <w:rtl w:val="true"/>
              </w:rPr>
              <w:tab/>
            </w:r>
            <w:r>
              <w:rPr>
                <w:rStyle w:val="IndexLink"/>
              </w:rPr>
              <w:t>202</w:t>
            </w:r>
          </w:hyperlink>
        </w:p>
        <w:p>
          <w:pPr>
            <w:pStyle w:val="Contents5"/>
            <w:tabs>
              <w:tab w:val="clear" w:pos="7892"/>
              <w:tab w:val="right" w:pos="9026" w:leader="dot"/>
            </w:tabs>
            <w:rPr/>
          </w:pPr>
          <w:hyperlink w:anchor="__RefHeading___Toc477456_581953129">
            <w:r>
              <w:rPr>
                <w:webHidden/>
                <w:rStyle w:val="IndexLink"/>
                <w:rtl w:val="true"/>
              </w:rPr>
              <w:t>الشعائر الحسینیة وخطاب العولمة</w:t>
            </w:r>
            <w:r>
              <w:rPr>
                <w:rStyle w:val="IndexLink"/>
                <w:rtl w:val="true"/>
              </w:rPr>
              <w:tab/>
            </w:r>
            <w:r>
              <w:rPr>
                <w:rStyle w:val="IndexLink"/>
              </w:rPr>
              <w:t>203</w:t>
            </w:r>
          </w:hyperlink>
        </w:p>
        <w:p>
          <w:pPr>
            <w:pStyle w:val="Contents5"/>
            <w:tabs>
              <w:tab w:val="clear" w:pos="7892"/>
              <w:tab w:val="right" w:pos="9026" w:leader="dot"/>
            </w:tabs>
            <w:rPr/>
          </w:pPr>
          <w:hyperlink w:anchor="__RefHeading___Toc477458_581953129">
            <w:r>
              <w:rPr>
                <w:webHidden/>
                <w:rStyle w:val="IndexLink"/>
                <w:rtl w:val="true"/>
              </w:rPr>
              <w:t>الشعائر الحسینیة تدعو إلی التضحیة والفداء لا إلی التقهقر والیأس</w:t>
            </w:r>
            <w:r>
              <w:rPr>
                <w:rStyle w:val="IndexLink"/>
                <w:rtl w:val="true"/>
              </w:rPr>
              <w:tab/>
            </w:r>
            <w:r>
              <w:rPr>
                <w:rStyle w:val="IndexLink"/>
              </w:rPr>
              <w:t>203</w:t>
            </w:r>
          </w:hyperlink>
        </w:p>
        <w:p>
          <w:pPr>
            <w:pStyle w:val="Contents5"/>
            <w:tabs>
              <w:tab w:val="clear" w:pos="7892"/>
              <w:tab w:val="right" w:pos="9026" w:leader="dot"/>
            </w:tabs>
            <w:rPr/>
          </w:pPr>
          <w:hyperlink w:anchor="__RefHeading___Toc477460_581953129">
            <w:r>
              <w:rPr>
                <w:webHidden/>
                <w:rStyle w:val="IndexLink"/>
                <w:rtl w:val="true"/>
              </w:rPr>
              <w:t>الحثّ علی زیارة الحسین، فی أشدّ الظروف صعوبة</w:t>
            </w:r>
            <w:r>
              <w:rPr>
                <w:rStyle w:val="IndexLink"/>
                <w:rtl w:val="true"/>
              </w:rPr>
              <w:tab/>
            </w:r>
            <w:r>
              <w:rPr>
                <w:rStyle w:val="IndexLink"/>
              </w:rPr>
              <w:t>203</w:t>
            </w:r>
          </w:hyperlink>
        </w:p>
        <w:p>
          <w:pPr>
            <w:pStyle w:val="Contents5"/>
            <w:tabs>
              <w:tab w:val="clear" w:pos="7892"/>
              <w:tab w:val="right" w:pos="9026" w:leader="dot"/>
            </w:tabs>
            <w:rPr/>
          </w:pPr>
          <w:hyperlink w:anchor="__RefHeading___Toc477462_581953129">
            <w:r>
              <w:rPr>
                <w:webHidden/>
                <w:rStyle w:val="IndexLink"/>
                <w:rtl w:val="true"/>
              </w:rPr>
              <w:t>الإمام الهادی علیه السلام یأمر أبا هاشم الجعفری بزیارة الحسین علیه السلام فی عصر</w:t>
            </w:r>
            <w:r>
              <w:rPr>
                <w:rStyle w:val="IndexLink"/>
                <w:rtl w:val="true"/>
              </w:rPr>
              <w:tab/>
            </w:r>
            <w:r>
              <w:rPr>
                <w:rStyle w:val="IndexLink"/>
              </w:rPr>
              <w:t>204</w:t>
            </w:r>
          </w:hyperlink>
        </w:p>
        <w:p>
          <w:pPr>
            <w:pStyle w:val="Contents5"/>
            <w:tabs>
              <w:tab w:val="clear" w:pos="7892"/>
              <w:tab w:val="right" w:pos="9026" w:leader="dot"/>
            </w:tabs>
            <w:rPr/>
          </w:pPr>
          <w:hyperlink w:anchor="__RefHeading___Toc477464_581953129">
            <w:r>
              <w:rPr>
                <w:webHidden/>
                <w:rStyle w:val="IndexLink"/>
                <w:rtl w:val="true"/>
              </w:rPr>
              <w:t>الأنبیاء یحملون أرقی نماذج العولمة</w:t>
            </w:r>
            <w:r>
              <w:rPr>
                <w:rStyle w:val="IndexLink"/>
                <w:rtl w:val="true"/>
              </w:rPr>
              <w:tab/>
            </w:r>
            <w:r>
              <w:rPr>
                <w:rStyle w:val="IndexLink"/>
              </w:rPr>
              <w:t>205</w:t>
            </w:r>
          </w:hyperlink>
        </w:p>
        <w:p>
          <w:pPr>
            <w:pStyle w:val="Contents5"/>
            <w:tabs>
              <w:tab w:val="clear" w:pos="7892"/>
              <w:tab w:val="right" w:pos="9026" w:leader="dot"/>
            </w:tabs>
            <w:rPr/>
          </w:pPr>
          <w:hyperlink w:anchor="__RefHeading___Toc477466_581953129">
            <w:r>
              <w:rPr>
                <w:webHidden/>
                <w:rStyle w:val="IndexLink"/>
                <w:rtl w:val="true"/>
              </w:rPr>
              <w:t>نزعة البشر للتوحّد ، ونزعتهم للتفرّق</w:t>
            </w:r>
            <w:r>
              <w:rPr>
                <w:rStyle w:val="IndexLink"/>
                <w:rtl w:val="true"/>
              </w:rPr>
              <w:tab/>
            </w:r>
            <w:r>
              <w:rPr>
                <w:rStyle w:val="IndexLink"/>
              </w:rPr>
              <w:t>206</w:t>
            </w:r>
          </w:hyperlink>
        </w:p>
        <w:p>
          <w:pPr>
            <w:pStyle w:val="Contents5"/>
            <w:tabs>
              <w:tab w:val="clear" w:pos="7892"/>
              <w:tab w:val="right" w:pos="9026" w:leader="dot"/>
            </w:tabs>
            <w:rPr/>
          </w:pPr>
          <w:hyperlink w:anchor="__RefHeading___Toc477468_581953129">
            <w:r>
              <w:rPr>
                <w:webHidden/>
                <w:rStyle w:val="IndexLink"/>
                <w:rtl w:val="true"/>
              </w:rPr>
              <w:t>الأُمم المتحدة مظهر من مظاهر الوحدة</w:t>
            </w:r>
            <w:r>
              <w:rPr>
                <w:rStyle w:val="IndexLink"/>
                <w:rtl w:val="true"/>
              </w:rPr>
              <w:tab/>
            </w:r>
            <w:r>
              <w:rPr>
                <w:rStyle w:val="IndexLink"/>
              </w:rPr>
              <w:t>206</w:t>
            </w:r>
          </w:hyperlink>
        </w:p>
        <w:p>
          <w:pPr>
            <w:pStyle w:val="Contents5"/>
            <w:tabs>
              <w:tab w:val="clear" w:pos="7892"/>
              <w:tab w:val="right" w:pos="9026" w:leader="dot"/>
            </w:tabs>
            <w:rPr/>
          </w:pPr>
          <w:hyperlink w:anchor="__RefHeading___Toc477470_581953129">
            <w:r>
              <w:rPr>
                <w:webHidden/>
                <w:rStyle w:val="IndexLink"/>
                <w:rtl w:val="true"/>
              </w:rPr>
              <w:t xml:space="preserve">الإمام المهدی </w:t>
            </w:r>
            <w:r>
              <w:rPr>
                <w:rStyle w:val="IndexLink"/>
                <w:rtl w:val="true"/>
              </w:rPr>
              <w:t>(</w:t>
            </w:r>
            <w:r>
              <w:rPr>
                <w:rStyle w:val="IndexLink"/>
                <w:rtl w:val="true"/>
              </w:rPr>
              <w:t>عجّل اللّه فرجه الشریف</w:t>
            </w:r>
            <w:r>
              <w:rPr>
                <w:rStyle w:val="IndexLink"/>
                <w:rtl w:val="true"/>
              </w:rPr>
              <w:t xml:space="preserve">) </w:t>
            </w:r>
            <w:r>
              <w:rPr>
                <w:rStyle w:val="IndexLink"/>
                <w:rtl w:val="true"/>
              </w:rPr>
              <w:t>سیقیم حکومة عالمیة</w:t>
            </w:r>
            <w:r>
              <w:rPr>
                <w:rStyle w:val="IndexLink"/>
                <w:rtl w:val="true"/>
              </w:rPr>
              <w:tab/>
            </w:r>
            <w:r>
              <w:rPr>
                <w:rStyle w:val="IndexLink"/>
              </w:rPr>
              <w:t>207</w:t>
            </w:r>
          </w:hyperlink>
        </w:p>
        <w:p>
          <w:pPr>
            <w:pStyle w:val="Contents5"/>
            <w:tabs>
              <w:tab w:val="clear" w:pos="7892"/>
              <w:tab w:val="right" w:pos="9026" w:leader="dot"/>
            </w:tabs>
            <w:rPr/>
          </w:pPr>
          <w:hyperlink w:anchor="__RefHeading___Toc477472_581953129">
            <w:r>
              <w:rPr>
                <w:webHidden/>
                <w:rStyle w:val="IndexLink"/>
                <w:rtl w:val="true"/>
              </w:rPr>
              <w:t>العولمة تصبّ فی عدّة مجاری</w:t>
            </w:r>
            <w:r>
              <w:rPr>
                <w:rStyle w:val="IndexLink"/>
                <w:rtl w:val="true"/>
              </w:rPr>
              <w:tab/>
            </w:r>
            <w:r>
              <w:rPr>
                <w:rStyle w:val="IndexLink"/>
              </w:rPr>
              <w:t>207</w:t>
            </w:r>
          </w:hyperlink>
        </w:p>
        <w:p>
          <w:pPr>
            <w:pStyle w:val="Contents5"/>
            <w:tabs>
              <w:tab w:val="clear" w:pos="7892"/>
              <w:tab w:val="right" w:pos="9026" w:leader="dot"/>
            </w:tabs>
            <w:rPr/>
          </w:pPr>
          <w:hyperlink w:anchor="__RefHeading___Toc477474_581953129">
            <w:r>
              <w:rPr>
                <w:webHidden/>
                <w:rStyle w:val="IndexLink"/>
                <w:rtl w:val="true"/>
              </w:rPr>
              <w:t>العولمة نظام سبق له أن طبّق فی العصور السابقة</w:t>
            </w:r>
            <w:r>
              <w:rPr>
                <w:rStyle w:val="IndexLink"/>
                <w:rtl w:val="true"/>
              </w:rPr>
              <w:tab/>
            </w:r>
            <w:r>
              <w:rPr>
                <w:rStyle w:val="IndexLink"/>
              </w:rPr>
              <w:t>208</w:t>
            </w:r>
          </w:hyperlink>
        </w:p>
        <w:p>
          <w:pPr>
            <w:pStyle w:val="Contents5"/>
            <w:tabs>
              <w:tab w:val="clear" w:pos="7892"/>
              <w:tab w:val="right" w:pos="9026" w:leader="dot"/>
            </w:tabs>
            <w:rPr/>
          </w:pPr>
          <w:hyperlink w:anchor="__RefHeading___Toc477476_581953129">
            <w:r>
              <w:rPr>
                <w:webHidden/>
                <w:rStyle w:val="IndexLink"/>
                <w:rtl w:val="true"/>
              </w:rPr>
              <w:t>تعریف الأُمم المتحدة للعولمة</w:t>
            </w:r>
            <w:r>
              <w:rPr>
                <w:rStyle w:val="IndexLink"/>
                <w:rtl w:val="true"/>
              </w:rPr>
              <w:tab/>
            </w:r>
            <w:r>
              <w:rPr>
                <w:rStyle w:val="IndexLink"/>
              </w:rPr>
              <w:t>209</w:t>
            </w:r>
          </w:hyperlink>
        </w:p>
        <w:p>
          <w:pPr>
            <w:pStyle w:val="Contents4"/>
            <w:tabs>
              <w:tab w:val="clear" w:pos="8176"/>
              <w:tab w:val="right" w:pos="9026" w:leader="dot"/>
            </w:tabs>
            <w:rPr/>
          </w:pPr>
          <w:hyperlink w:anchor="__RefHeading___Toc477478_581953129">
            <w:r>
              <w:rPr>
                <w:webHidden/>
                <w:rStyle w:val="IndexLink"/>
                <w:rtl w:val="true"/>
              </w:rPr>
              <w:t>المحاضرة الرابعة الوحدة الثقافیة أوّلاً</w:t>
            </w:r>
            <w:r>
              <w:rPr>
                <w:rStyle w:val="IndexLink"/>
                <w:rtl w:val="true"/>
              </w:rPr>
              <w:tab/>
            </w:r>
            <w:r>
              <w:rPr>
                <w:rStyle w:val="IndexLink"/>
              </w:rPr>
              <w:t>210</w:t>
            </w:r>
          </w:hyperlink>
        </w:p>
        <w:p>
          <w:pPr>
            <w:pStyle w:val="Contents5"/>
            <w:tabs>
              <w:tab w:val="clear" w:pos="7892"/>
              <w:tab w:val="right" w:pos="9026" w:leader="dot"/>
            </w:tabs>
            <w:rPr/>
          </w:pPr>
          <w:hyperlink w:anchor="__RefHeading___Toc477480_58195312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77482_581953129">
            <w:r>
              <w:rPr>
                <w:webHidden/>
                <w:rStyle w:val="IndexLink"/>
                <w:rtl w:val="true"/>
              </w:rPr>
              <w:t>آلیة تطبیق العولمة</w:t>
            </w:r>
            <w:r>
              <w:rPr>
                <w:rStyle w:val="IndexLink"/>
                <w:rtl w:val="true"/>
              </w:rPr>
              <w:tab/>
            </w:r>
            <w:r>
              <w:rPr>
                <w:rStyle w:val="IndexLink"/>
              </w:rPr>
              <w:t>210</w:t>
            </w:r>
          </w:hyperlink>
        </w:p>
        <w:p>
          <w:pPr>
            <w:pStyle w:val="Contents5"/>
            <w:tabs>
              <w:tab w:val="clear" w:pos="7892"/>
              <w:tab w:val="right" w:pos="9026" w:leader="dot"/>
            </w:tabs>
            <w:rPr/>
          </w:pPr>
          <w:hyperlink w:anchor="__RefHeading___Toc477484_581953129">
            <w:r>
              <w:rPr>
                <w:webHidden/>
                <w:rStyle w:val="IndexLink"/>
                <w:rtl w:val="true"/>
              </w:rPr>
              <w:t>من أمثلة الوحدة فی العالم الغربی</w:t>
            </w:r>
            <w:r>
              <w:rPr>
                <w:rStyle w:val="IndexLink"/>
                <w:rtl w:val="true"/>
              </w:rPr>
              <w:tab/>
            </w:r>
            <w:r>
              <w:rPr>
                <w:rStyle w:val="IndexLink"/>
              </w:rPr>
              <w:t>211</w:t>
            </w:r>
          </w:hyperlink>
        </w:p>
        <w:p>
          <w:pPr>
            <w:pStyle w:val="Contents5"/>
            <w:tabs>
              <w:tab w:val="clear" w:pos="7892"/>
              <w:tab w:val="right" w:pos="9026" w:leader="dot"/>
            </w:tabs>
            <w:rPr/>
          </w:pPr>
          <w:hyperlink w:anchor="__RefHeading___Toc477486_581953129">
            <w:r>
              <w:rPr>
                <w:webHidden/>
                <w:rStyle w:val="IndexLink"/>
                <w:rtl w:val="true"/>
              </w:rPr>
              <w:t>الأُمم المتحدة لا تشکّل نموذجاً متکاملاً للوحدة</w:t>
            </w:r>
            <w:r>
              <w:rPr>
                <w:rStyle w:val="IndexLink"/>
                <w:rtl w:val="true"/>
              </w:rPr>
              <w:tab/>
            </w:r>
            <w:r>
              <w:rPr>
                <w:rStyle w:val="IndexLink"/>
              </w:rPr>
              <w:t>211</w:t>
            </w:r>
          </w:hyperlink>
        </w:p>
        <w:p>
          <w:pPr>
            <w:pStyle w:val="Contents5"/>
            <w:tabs>
              <w:tab w:val="clear" w:pos="7892"/>
              <w:tab w:val="right" w:pos="9026" w:leader="dot"/>
            </w:tabs>
            <w:rPr/>
          </w:pPr>
          <w:hyperlink w:anchor="__RefHeading___Toc477488_581953129">
            <w:r>
              <w:rPr>
                <w:webHidden/>
                <w:rStyle w:val="IndexLink"/>
                <w:rtl w:val="true"/>
              </w:rPr>
              <w:t>الوحدة الثقافیة أوّلاً ، والمجتمع الإسلامی قائم علی وحدة فکریة وعقائدیة</w:t>
            </w:r>
            <w:r>
              <w:rPr>
                <w:rStyle w:val="IndexLink"/>
                <w:rtl w:val="true"/>
              </w:rPr>
              <w:tab/>
            </w:r>
            <w:r>
              <w:rPr>
                <w:rStyle w:val="IndexLink"/>
              </w:rPr>
              <w:t>211</w:t>
            </w:r>
          </w:hyperlink>
        </w:p>
        <w:p>
          <w:pPr>
            <w:pStyle w:val="Contents5"/>
            <w:tabs>
              <w:tab w:val="clear" w:pos="7892"/>
              <w:tab w:val="right" w:pos="9026" w:leader="dot"/>
            </w:tabs>
            <w:rPr/>
          </w:pPr>
          <w:hyperlink w:anchor="__RefHeading___Toc477490_581953129">
            <w:r>
              <w:rPr>
                <w:webHidden/>
                <w:rStyle w:val="IndexLink"/>
                <w:rtl w:val="true"/>
              </w:rPr>
              <w:t>الوحدة العسکریة والاقتصادیة تزول بزوال ضغوطها</w:t>
            </w:r>
            <w:r>
              <w:rPr>
                <w:rStyle w:val="IndexLink"/>
                <w:rtl w:val="true"/>
              </w:rPr>
              <w:tab/>
            </w:r>
            <w:r>
              <w:rPr>
                <w:rStyle w:val="IndexLink"/>
              </w:rPr>
              <w:t>212</w:t>
            </w:r>
          </w:hyperlink>
        </w:p>
        <w:p>
          <w:pPr>
            <w:pStyle w:val="Contents5"/>
            <w:tabs>
              <w:tab w:val="clear" w:pos="7892"/>
              <w:tab w:val="right" w:pos="9026" w:leader="dot"/>
            </w:tabs>
            <w:rPr/>
          </w:pPr>
          <w:hyperlink w:anchor="__RefHeading___Toc477492_581953129">
            <w:r>
              <w:rPr>
                <w:webHidden/>
                <w:rStyle w:val="IndexLink"/>
                <w:rtl w:val="true"/>
              </w:rPr>
              <w:t>مفهوم الطاعة من نافذة تراث أهل البیت علیهم السلام</w:t>
            </w:r>
            <w:r>
              <w:rPr>
                <w:rStyle w:val="IndexLink"/>
                <w:rtl w:val="true"/>
              </w:rPr>
              <w:tab/>
            </w:r>
            <w:r>
              <w:rPr>
                <w:rStyle w:val="IndexLink"/>
              </w:rPr>
              <w:t>212</w:t>
            </w:r>
          </w:hyperlink>
        </w:p>
        <w:p>
          <w:pPr>
            <w:pStyle w:val="Contents5"/>
            <w:tabs>
              <w:tab w:val="clear" w:pos="7892"/>
              <w:tab w:val="right" w:pos="9026" w:leader="dot"/>
            </w:tabs>
            <w:rPr/>
          </w:pPr>
          <w:hyperlink w:anchor="__RefHeading___Toc477494_581953129">
            <w:r>
              <w:rPr>
                <w:webHidden/>
                <w:rStyle w:val="IndexLink"/>
                <w:rtl w:val="true"/>
              </w:rPr>
              <w:t>أهل البیت فی صدد بیان درجات الطاعة ، ولیس التقلیل من شأن الطمع</w:t>
            </w:r>
            <w:r>
              <w:rPr>
                <w:rStyle w:val="IndexLink"/>
                <w:rtl w:val="true"/>
              </w:rPr>
              <w:tab/>
            </w:r>
            <w:r>
              <w:rPr>
                <w:rStyle w:val="IndexLink"/>
              </w:rPr>
              <w:t>213</w:t>
            </w:r>
          </w:hyperlink>
        </w:p>
        <w:p>
          <w:pPr>
            <w:pStyle w:val="Contents5"/>
            <w:tabs>
              <w:tab w:val="clear" w:pos="7892"/>
              <w:tab w:val="right" w:pos="9026" w:leader="dot"/>
            </w:tabs>
            <w:rPr/>
          </w:pPr>
          <w:hyperlink w:anchor="__RefHeading___Toc477496_581953129">
            <w:r>
              <w:rPr>
                <w:webHidden/>
                <w:rStyle w:val="IndexLink"/>
                <w:rtl w:val="true"/>
              </w:rPr>
              <w:t>الحب والطمع والخوف أُمور مطلوبة فی الإنسان المؤمن</w:t>
            </w:r>
            <w:r>
              <w:rPr>
                <w:rStyle w:val="IndexLink"/>
                <w:rtl w:val="true"/>
              </w:rPr>
              <w:tab/>
            </w:r>
            <w:r>
              <w:rPr>
                <w:rStyle w:val="IndexLink"/>
              </w:rPr>
              <w:t>214</w:t>
            </w:r>
          </w:hyperlink>
        </w:p>
        <w:p>
          <w:pPr>
            <w:pStyle w:val="Contents5"/>
            <w:tabs>
              <w:tab w:val="clear" w:pos="7892"/>
              <w:tab w:val="right" w:pos="9026" w:leader="dot"/>
            </w:tabs>
            <w:rPr/>
          </w:pPr>
          <w:hyperlink w:anchor="__RefHeading___Toc477498_581953129">
            <w:r>
              <w:rPr>
                <w:webHidden/>
                <w:rStyle w:val="IndexLink"/>
                <w:rtl w:val="true"/>
              </w:rPr>
              <w:t>أهل البیت علیهم السلام فی مقام فتح الأُفق أمام الإنسان المؤمن</w:t>
            </w:r>
            <w:r>
              <w:rPr>
                <w:rStyle w:val="IndexLink"/>
                <w:rtl w:val="true"/>
              </w:rPr>
              <w:tab/>
            </w:r>
            <w:r>
              <w:rPr>
                <w:rStyle w:val="IndexLink"/>
              </w:rPr>
              <w:t>214</w:t>
            </w:r>
          </w:hyperlink>
        </w:p>
        <w:p>
          <w:pPr>
            <w:pStyle w:val="Contents5"/>
            <w:tabs>
              <w:tab w:val="clear" w:pos="7892"/>
              <w:tab w:val="right" w:pos="9026" w:leader="dot"/>
            </w:tabs>
            <w:rPr/>
          </w:pPr>
          <w:hyperlink w:anchor="__RefHeading___Toc477500_581953129">
            <w:r>
              <w:rPr>
                <w:webHidden/>
                <w:rStyle w:val="IndexLink"/>
                <w:rtl w:val="true"/>
              </w:rPr>
              <w:t>لابد من وجود الاقتناع والعامل الثقافی فی الطاعة والاتباع</w:t>
            </w:r>
            <w:r>
              <w:rPr>
                <w:rStyle w:val="IndexLink"/>
                <w:rtl w:val="true"/>
              </w:rPr>
              <w:tab/>
            </w:r>
            <w:r>
              <w:rPr>
                <w:rStyle w:val="IndexLink"/>
              </w:rPr>
              <w:t>215</w:t>
            </w:r>
          </w:hyperlink>
        </w:p>
        <w:p>
          <w:pPr>
            <w:pStyle w:val="Contents5"/>
            <w:tabs>
              <w:tab w:val="clear" w:pos="7892"/>
              <w:tab w:val="right" w:pos="9026" w:leader="dot"/>
            </w:tabs>
            <w:rPr/>
          </w:pPr>
          <w:hyperlink w:anchor="__RefHeading___Toc477502_581953129">
            <w:r>
              <w:rPr>
                <w:webHidden/>
                <w:rStyle w:val="IndexLink"/>
                <w:rtl w:val="true"/>
              </w:rPr>
              <w:t>الحرب العراقیة الإیرانیة کنموذج</w:t>
            </w:r>
            <w:r>
              <w:rPr>
                <w:rStyle w:val="IndexLink"/>
                <w:rtl w:val="true"/>
              </w:rPr>
              <w:tab/>
            </w:r>
            <w:r>
              <w:rPr>
                <w:rStyle w:val="IndexLink"/>
              </w:rPr>
              <w:t>215</w:t>
            </w:r>
          </w:hyperlink>
        </w:p>
        <w:p>
          <w:pPr>
            <w:pStyle w:val="Contents5"/>
            <w:tabs>
              <w:tab w:val="clear" w:pos="7892"/>
              <w:tab w:val="right" w:pos="9026" w:leader="dot"/>
            </w:tabs>
            <w:rPr/>
          </w:pPr>
          <w:hyperlink w:anchor="__RefHeading___Toc477504_581953129">
            <w:r>
              <w:rPr>
                <w:webHidden/>
                <w:rStyle w:val="IndexLink"/>
                <w:rtl w:val="true"/>
              </w:rPr>
              <w:t>نمتلک الفکر ونفتقد الإعلام ، أمّا هم فیمتلکون الإعلام ویفتقدون الفکر القوی</w:t>
            </w:r>
            <w:r>
              <w:rPr>
                <w:rStyle w:val="IndexLink"/>
                <w:rtl w:val="true"/>
              </w:rPr>
              <w:tab/>
            </w:r>
            <w:r>
              <w:rPr>
                <w:rStyle w:val="IndexLink"/>
              </w:rPr>
              <w:t>215</w:t>
            </w:r>
          </w:hyperlink>
        </w:p>
        <w:p>
          <w:pPr>
            <w:pStyle w:val="Contents5"/>
            <w:tabs>
              <w:tab w:val="clear" w:pos="7892"/>
              <w:tab w:val="right" w:pos="9026" w:leader="dot"/>
            </w:tabs>
            <w:rPr/>
          </w:pPr>
          <w:hyperlink w:anchor="__RefHeading___Toc477506_581953129">
            <w:r>
              <w:rPr>
                <w:webHidden/>
                <w:rStyle w:val="IndexLink"/>
                <w:rtl w:val="true"/>
              </w:rPr>
              <w:t>الغزو الثقافی ولیس الحوار الثقافی</w:t>
            </w:r>
            <w:r>
              <w:rPr>
                <w:rStyle w:val="IndexLink"/>
                <w:rtl w:val="true"/>
              </w:rPr>
              <w:tab/>
            </w:r>
            <w:r>
              <w:rPr>
                <w:rStyle w:val="IndexLink"/>
              </w:rPr>
              <w:t>216</w:t>
            </w:r>
          </w:hyperlink>
        </w:p>
        <w:p>
          <w:pPr>
            <w:pStyle w:val="Contents5"/>
            <w:tabs>
              <w:tab w:val="clear" w:pos="7892"/>
              <w:tab w:val="right" w:pos="9026" w:leader="dot"/>
            </w:tabs>
            <w:rPr/>
          </w:pPr>
          <w:hyperlink w:anchor="__RefHeading___Toc477508_581953129">
            <w:r>
              <w:rPr>
                <w:webHidden/>
                <w:rStyle w:val="IndexLink"/>
                <w:rtl w:val="true"/>
              </w:rPr>
              <w:t>دعوة لمواجهة الغزو الثقافی المتمثّل فی الجنون الجنسی</w:t>
            </w:r>
            <w:r>
              <w:rPr>
                <w:rStyle w:val="IndexLink"/>
                <w:rtl w:val="true"/>
              </w:rPr>
              <w:tab/>
            </w:r>
            <w:r>
              <w:rPr>
                <w:rStyle w:val="IndexLink"/>
              </w:rPr>
              <w:t>217</w:t>
            </w:r>
          </w:hyperlink>
        </w:p>
        <w:p>
          <w:pPr>
            <w:pStyle w:val="Contents4"/>
            <w:tabs>
              <w:tab w:val="clear" w:pos="8176"/>
              <w:tab w:val="right" w:pos="9026" w:leader="dot"/>
            </w:tabs>
            <w:rPr/>
          </w:pPr>
          <w:hyperlink w:anchor="__RefHeading___Toc477510_581953129">
            <w:r>
              <w:rPr>
                <w:webHidden/>
                <w:rStyle w:val="IndexLink"/>
                <w:rtl w:val="true"/>
              </w:rPr>
              <w:t>المحاضرة الخامسة الإسلام یعترف بالشعوب والقبائل ولکن لا یجعلها أساساً للمفاضلة</w:t>
            </w:r>
            <w:r>
              <w:rPr>
                <w:rStyle w:val="IndexLink"/>
                <w:rtl w:val="true"/>
              </w:rPr>
              <w:tab/>
            </w:r>
            <w:r>
              <w:rPr>
                <w:rStyle w:val="IndexLink"/>
              </w:rPr>
              <w:t>218</w:t>
            </w:r>
          </w:hyperlink>
        </w:p>
        <w:p>
          <w:pPr>
            <w:pStyle w:val="Contents5"/>
            <w:tabs>
              <w:tab w:val="clear" w:pos="7892"/>
              <w:tab w:val="right" w:pos="9026" w:leader="dot"/>
            </w:tabs>
            <w:rPr/>
          </w:pPr>
          <w:hyperlink w:anchor="__RefHeading___Toc477512_581953129">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77514_581953129">
            <w:r>
              <w:rPr>
                <w:webHidden/>
                <w:rStyle w:val="IndexLink"/>
                <w:rtl w:val="true"/>
              </w:rPr>
              <w:t>الحسین علیه السلام وخطاب العولمة</w:t>
            </w:r>
            <w:r>
              <w:rPr>
                <w:rStyle w:val="IndexLink"/>
                <w:rtl w:val="true"/>
              </w:rPr>
              <w:tab/>
            </w:r>
            <w:r>
              <w:rPr>
                <w:rStyle w:val="IndexLink"/>
              </w:rPr>
              <w:t>218</w:t>
            </w:r>
          </w:hyperlink>
        </w:p>
        <w:p>
          <w:pPr>
            <w:pStyle w:val="Contents5"/>
            <w:tabs>
              <w:tab w:val="clear" w:pos="7892"/>
              <w:tab w:val="right" w:pos="9026" w:leader="dot"/>
            </w:tabs>
            <w:rPr/>
          </w:pPr>
          <w:hyperlink w:anchor="__RefHeading___Toc477516_581953129">
            <w:r>
              <w:rPr>
                <w:webHidden/>
                <w:rStyle w:val="IndexLink"/>
                <w:rtl w:val="true"/>
              </w:rPr>
              <w:t>منابع غریزة الوحدة ، ومنابع غریزة الفرقة</w:t>
            </w:r>
            <w:r>
              <w:rPr>
                <w:rStyle w:val="IndexLink"/>
                <w:rtl w:val="true"/>
              </w:rPr>
              <w:tab/>
            </w:r>
            <w:r>
              <w:rPr>
                <w:rStyle w:val="IndexLink"/>
              </w:rPr>
              <w:t>219</w:t>
            </w:r>
          </w:hyperlink>
        </w:p>
        <w:p>
          <w:pPr>
            <w:pStyle w:val="Contents5"/>
            <w:tabs>
              <w:tab w:val="clear" w:pos="7892"/>
              <w:tab w:val="right" w:pos="9026" w:leader="dot"/>
            </w:tabs>
            <w:rPr/>
          </w:pPr>
          <w:hyperlink w:anchor="__RefHeading___Toc477518_581953129">
            <w:r>
              <w:rPr>
                <w:webHidden/>
                <w:rStyle w:val="IndexLink"/>
                <w:rtl w:val="true"/>
              </w:rPr>
              <w:t>القرآن الکریم یشیر إلی نزعتین فی حیاة الإنسان</w:t>
            </w:r>
            <w:r>
              <w:rPr>
                <w:rStyle w:val="IndexLink"/>
                <w:rtl w:val="true"/>
              </w:rPr>
              <w:tab/>
            </w:r>
            <w:r>
              <w:rPr>
                <w:rStyle w:val="IndexLink"/>
              </w:rPr>
              <w:t>220</w:t>
            </w:r>
          </w:hyperlink>
        </w:p>
        <w:p>
          <w:pPr>
            <w:pStyle w:val="Contents5"/>
            <w:tabs>
              <w:tab w:val="clear" w:pos="7892"/>
              <w:tab w:val="right" w:pos="9026" w:leader="dot"/>
            </w:tabs>
            <w:rPr/>
          </w:pPr>
          <w:hyperlink w:anchor="__RefHeading___Toc477520_581953129">
            <w:r>
              <w:rPr>
                <w:webHidden/>
                <w:rStyle w:val="IndexLink"/>
                <w:rtl w:val="true"/>
              </w:rPr>
              <w:t>الدین الإسلامی لا یتنکّر لنزعة التفرقة عند الإنسان ، ولکن یهذّبها</w:t>
            </w:r>
            <w:r>
              <w:rPr>
                <w:rStyle w:val="IndexLink"/>
                <w:rtl w:val="true"/>
              </w:rPr>
              <w:tab/>
            </w:r>
            <w:r>
              <w:rPr>
                <w:rStyle w:val="IndexLink"/>
              </w:rPr>
              <w:t>221</w:t>
            </w:r>
          </w:hyperlink>
        </w:p>
        <w:p>
          <w:pPr>
            <w:pStyle w:val="Contents5"/>
            <w:tabs>
              <w:tab w:val="clear" w:pos="7892"/>
              <w:tab w:val="right" w:pos="9026" w:leader="dot"/>
            </w:tabs>
            <w:rPr/>
          </w:pPr>
          <w:hyperlink w:anchor="__RefHeading___Toc477522_581953129">
            <w:r>
              <w:rPr>
                <w:webHidden/>
                <w:rStyle w:val="IndexLink"/>
                <w:rtl w:val="true"/>
              </w:rPr>
              <w:t>الإسلام یعترف بالوطنیة والقومیة ، ولکنه لا یجعلها أساساً للتفاضل</w:t>
            </w:r>
            <w:r>
              <w:rPr>
                <w:rStyle w:val="IndexLink"/>
                <w:rtl w:val="true"/>
              </w:rPr>
              <w:tab/>
            </w:r>
            <w:r>
              <w:rPr>
                <w:rStyle w:val="IndexLink"/>
              </w:rPr>
              <w:t>221</w:t>
            </w:r>
          </w:hyperlink>
        </w:p>
        <w:p>
          <w:pPr>
            <w:pStyle w:val="Contents5"/>
            <w:tabs>
              <w:tab w:val="clear" w:pos="7892"/>
              <w:tab w:val="right" w:pos="9026" w:leader="dot"/>
            </w:tabs>
            <w:rPr/>
          </w:pPr>
          <w:hyperlink w:anchor="__RefHeading___Toc477524_581953129">
            <w:r>
              <w:rPr>
                <w:webHidden/>
                <w:rStyle w:val="IndexLink"/>
                <w:rtl w:val="true"/>
              </w:rPr>
              <w:t>القومیات والوطنیات آلیات للمعیشة ، ولیست أساساً لتقییم الإنسان</w:t>
            </w:r>
            <w:r>
              <w:rPr>
                <w:rStyle w:val="IndexLink"/>
                <w:rtl w:val="true"/>
              </w:rPr>
              <w:tab/>
            </w:r>
            <w:r>
              <w:rPr>
                <w:rStyle w:val="IndexLink"/>
              </w:rPr>
              <w:t>222</w:t>
            </w:r>
          </w:hyperlink>
        </w:p>
        <w:p>
          <w:pPr>
            <w:pStyle w:val="Contents5"/>
            <w:tabs>
              <w:tab w:val="clear" w:pos="7892"/>
              <w:tab w:val="right" w:pos="9026" w:leader="dot"/>
            </w:tabs>
            <w:rPr/>
          </w:pPr>
          <w:hyperlink w:anchor="__RefHeading___Toc477526_581953129">
            <w:r>
              <w:rPr>
                <w:webHidden/>
                <w:rStyle w:val="IndexLink"/>
                <w:rtl w:val="true"/>
              </w:rPr>
              <w:t>الاعتراف بالشعوب والقبائل فی القرآن الکریم ، والحکمة الإلهیة فی خلقها</w:t>
            </w:r>
            <w:r>
              <w:rPr>
                <w:rStyle w:val="IndexLink"/>
                <w:rtl w:val="true"/>
              </w:rPr>
              <w:tab/>
            </w:r>
            <w:r>
              <w:rPr>
                <w:rStyle w:val="IndexLink"/>
              </w:rPr>
              <w:t>222</w:t>
            </w:r>
          </w:hyperlink>
        </w:p>
        <w:p>
          <w:pPr>
            <w:pStyle w:val="Contents5"/>
            <w:tabs>
              <w:tab w:val="clear" w:pos="7892"/>
              <w:tab w:val="right" w:pos="9026" w:leader="dot"/>
            </w:tabs>
            <w:rPr/>
          </w:pPr>
          <w:hyperlink w:anchor="__RefHeading___Toc477528_581953129">
            <w:r>
              <w:rPr>
                <w:webHidden/>
                <w:rStyle w:val="IndexLink"/>
                <w:rtl w:val="true"/>
              </w:rPr>
              <w:t>التعارف بین الشعوب عولمة بالمصطلح القرآنی</w:t>
            </w:r>
            <w:r>
              <w:rPr>
                <w:rStyle w:val="IndexLink"/>
                <w:rtl w:val="true"/>
              </w:rPr>
              <w:tab/>
            </w:r>
            <w:r>
              <w:rPr>
                <w:rStyle w:val="IndexLink"/>
              </w:rPr>
              <w:t>223</w:t>
            </w:r>
          </w:hyperlink>
        </w:p>
        <w:p>
          <w:pPr>
            <w:pStyle w:val="Contents5"/>
            <w:tabs>
              <w:tab w:val="clear" w:pos="7892"/>
              <w:tab w:val="right" w:pos="9026" w:leader="dot"/>
            </w:tabs>
            <w:rPr/>
          </w:pPr>
          <w:hyperlink w:anchor="__RefHeading___Toc477530_581953129">
            <w:r>
              <w:rPr>
                <w:webHidden/>
                <w:rStyle w:val="IndexLink"/>
                <w:rtl w:val="true"/>
              </w:rPr>
              <w:t>أهل الاختصاص مدعّوون لخدمة الدین من خلال اختصاصهم</w:t>
            </w:r>
            <w:r>
              <w:rPr>
                <w:rStyle w:val="IndexLink"/>
                <w:rtl w:val="true"/>
              </w:rPr>
              <w:tab/>
            </w:r>
            <w:r>
              <w:rPr>
                <w:rStyle w:val="IndexLink"/>
              </w:rPr>
              <w:t>224</w:t>
            </w:r>
          </w:hyperlink>
        </w:p>
        <w:p>
          <w:pPr>
            <w:pStyle w:val="Contents5"/>
            <w:tabs>
              <w:tab w:val="clear" w:pos="7892"/>
              <w:tab w:val="right" w:pos="9026" w:leader="dot"/>
            </w:tabs>
            <w:rPr/>
          </w:pPr>
          <w:hyperlink w:anchor="__RefHeading___Toc477532_581953129">
            <w:r>
              <w:rPr>
                <w:webHidden/>
                <w:rStyle w:val="IndexLink"/>
                <w:rtl w:val="true"/>
              </w:rPr>
              <w:t>التقوی والجوهر مناط تقییم الإنسان ، لا المظاهر والترف المادی</w:t>
            </w:r>
            <w:r>
              <w:rPr>
                <w:rStyle w:val="IndexLink"/>
                <w:rtl w:val="true"/>
              </w:rPr>
              <w:tab/>
            </w:r>
            <w:r>
              <w:rPr>
                <w:rStyle w:val="IndexLink"/>
              </w:rPr>
              <w:t>225</w:t>
            </w:r>
          </w:hyperlink>
        </w:p>
        <w:p>
          <w:pPr>
            <w:pStyle w:val="Contents5"/>
            <w:tabs>
              <w:tab w:val="clear" w:pos="7892"/>
              <w:tab w:val="right" w:pos="9026" w:leader="dot"/>
            </w:tabs>
            <w:rPr/>
          </w:pPr>
          <w:hyperlink w:anchor="__RefHeading___Toc477534_581953129">
            <w:r>
              <w:rPr>
                <w:webHidden/>
                <w:rStyle w:val="IndexLink"/>
                <w:rtl w:val="true"/>
              </w:rPr>
              <w:t>لقمان الحکیم بین المظهر والجوهر</w:t>
            </w:r>
            <w:r>
              <w:rPr>
                <w:rStyle w:val="IndexLink"/>
                <w:rtl w:val="true"/>
              </w:rPr>
              <w:tab/>
            </w:r>
            <w:r>
              <w:rPr>
                <w:rStyle w:val="IndexLink"/>
              </w:rPr>
              <w:t>225</w:t>
            </w:r>
          </w:hyperlink>
        </w:p>
        <w:p>
          <w:pPr>
            <w:pStyle w:val="Contents4"/>
            <w:tabs>
              <w:tab w:val="clear" w:pos="8176"/>
              <w:tab w:val="right" w:pos="9026" w:leader="dot"/>
            </w:tabs>
            <w:rPr/>
          </w:pPr>
          <w:hyperlink w:anchor="__RefHeading___Toc477536_581953129">
            <w:r>
              <w:rPr>
                <w:webHidden/>
                <w:rStyle w:val="IndexLink"/>
                <w:rtl w:val="true"/>
              </w:rPr>
              <w:t>المحاضرة السادسة نتائج اهتمام المجتمع بقیمه ، ونتائج إهمالها</w:t>
            </w:r>
            <w:r>
              <w:rPr>
                <w:rStyle w:val="IndexLink"/>
                <w:rtl w:val="true"/>
              </w:rPr>
              <w:tab/>
            </w:r>
            <w:r>
              <w:rPr>
                <w:rStyle w:val="IndexLink"/>
              </w:rPr>
              <w:t>227</w:t>
            </w:r>
          </w:hyperlink>
        </w:p>
        <w:p>
          <w:pPr>
            <w:pStyle w:val="Contents5"/>
            <w:tabs>
              <w:tab w:val="clear" w:pos="7892"/>
              <w:tab w:val="right" w:pos="9026" w:leader="dot"/>
            </w:tabs>
            <w:rPr/>
          </w:pPr>
          <w:hyperlink w:anchor="__RefHeading___Toc477538_581953129">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77540_581953129">
            <w:r>
              <w:rPr>
                <w:webHidden/>
                <w:rStyle w:val="IndexLink"/>
                <w:rtl w:val="true"/>
              </w:rPr>
              <w:t>شعر منسوب إلی الحسین علیه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477542_581953129">
            <w:r>
              <w:rPr>
                <w:webHidden/>
                <w:rStyle w:val="IndexLink"/>
                <w:rtl w:val="true"/>
              </w:rPr>
              <w:t>الأفعال التی تتفشّی من خلالها القیم الاجتماعیة</w:t>
            </w:r>
            <w:r>
              <w:rPr>
                <w:rStyle w:val="IndexLink"/>
                <w:rtl w:val="true"/>
              </w:rPr>
              <w:tab/>
            </w:r>
            <w:r>
              <w:rPr>
                <w:rStyle w:val="IndexLink"/>
              </w:rPr>
              <w:t>228</w:t>
            </w:r>
          </w:hyperlink>
        </w:p>
        <w:p>
          <w:pPr>
            <w:pStyle w:val="Contents5"/>
            <w:tabs>
              <w:tab w:val="clear" w:pos="7892"/>
              <w:tab w:val="right" w:pos="9026" w:leader="dot"/>
            </w:tabs>
            <w:rPr/>
          </w:pPr>
          <w:hyperlink w:anchor="__RefHeading___Toc477544_581953129">
            <w:r>
              <w:rPr>
                <w:webHidden/>
                <w:rStyle w:val="IndexLink"/>
                <w:rtl w:val="true"/>
              </w:rPr>
              <w:t>إذا استهزء المجتمع بقیمة ما ، فإنّه یتخلّص منها ویبعدها</w:t>
            </w:r>
            <w:r>
              <w:rPr>
                <w:rStyle w:val="IndexLink"/>
                <w:rtl w:val="true"/>
              </w:rPr>
              <w:tab/>
            </w:r>
            <w:r>
              <w:rPr>
                <w:rStyle w:val="IndexLink"/>
              </w:rPr>
              <w:t>229</w:t>
            </w:r>
          </w:hyperlink>
        </w:p>
        <w:p>
          <w:pPr>
            <w:pStyle w:val="Contents5"/>
            <w:tabs>
              <w:tab w:val="clear" w:pos="7892"/>
              <w:tab w:val="right" w:pos="9026" w:leader="dot"/>
            </w:tabs>
            <w:rPr/>
          </w:pPr>
          <w:hyperlink w:anchor="__RefHeading___Toc477546_581953129">
            <w:r>
              <w:rPr>
                <w:webHidden/>
                <w:rStyle w:val="IndexLink"/>
                <w:rtl w:val="true"/>
              </w:rPr>
              <w:t>عدم العمل بالحق ، وعدم التناهی عن الباطل هو سبب ثورة الحسین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477548_581953129">
            <w:r>
              <w:rPr>
                <w:webHidden/>
                <w:rStyle w:val="IndexLink"/>
                <w:rtl w:val="true"/>
              </w:rPr>
              <w:t>لا یمکن أن نطمئن إلی الفطرة الجماعیة والعقل الجماعی إذا کانا ملوّثین</w:t>
            </w:r>
            <w:r>
              <w:rPr>
                <w:rStyle w:val="IndexLink"/>
                <w:rtl w:val="true"/>
              </w:rPr>
              <w:tab/>
            </w:r>
            <w:r>
              <w:rPr>
                <w:rStyle w:val="IndexLink"/>
              </w:rPr>
              <w:t>230</w:t>
            </w:r>
          </w:hyperlink>
        </w:p>
        <w:p>
          <w:pPr>
            <w:pStyle w:val="Contents5"/>
            <w:tabs>
              <w:tab w:val="clear" w:pos="7892"/>
              <w:tab w:val="right" w:pos="9026" w:leader="dot"/>
            </w:tabs>
            <w:rPr/>
          </w:pPr>
          <w:hyperlink w:anchor="__RefHeading___Toc477550_581953129">
            <w:r>
              <w:rPr>
                <w:webHidden/>
                <w:rStyle w:val="IndexLink"/>
                <w:rtl w:val="true"/>
              </w:rPr>
              <w:t>من أبعاد الأمر بالمعروف والنهی عن المنکر</w:t>
            </w:r>
            <w:r>
              <w:rPr>
                <w:rStyle w:val="IndexLink"/>
                <w:rtl w:val="true"/>
              </w:rPr>
              <w:tab/>
            </w:r>
            <w:r>
              <w:rPr>
                <w:rStyle w:val="IndexLink"/>
              </w:rPr>
              <w:t>231</w:t>
            </w:r>
          </w:hyperlink>
        </w:p>
        <w:p>
          <w:pPr>
            <w:pStyle w:val="Contents5"/>
            <w:tabs>
              <w:tab w:val="clear" w:pos="7892"/>
              <w:tab w:val="right" w:pos="9026" w:leader="dot"/>
            </w:tabs>
            <w:rPr/>
          </w:pPr>
          <w:hyperlink w:anchor="__RefHeading___Toc477552_581953129">
            <w:r>
              <w:rPr>
                <w:webHidden/>
                <w:rStyle w:val="IndexLink"/>
                <w:rtl w:val="true"/>
              </w:rPr>
              <w:t>المجتمع مسؤول عن الحفاظ علی قیم المعروف</w:t>
            </w:r>
            <w:r>
              <w:rPr>
                <w:rStyle w:val="IndexLink"/>
                <w:rtl w:val="true"/>
              </w:rPr>
              <w:tab/>
            </w:r>
            <w:r>
              <w:rPr>
                <w:rStyle w:val="IndexLink"/>
              </w:rPr>
              <w:t>231</w:t>
            </w:r>
          </w:hyperlink>
        </w:p>
        <w:p>
          <w:pPr>
            <w:pStyle w:val="Contents5"/>
            <w:tabs>
              <w:tab w:val="clear" w:pos="7892"/>
              <w:tab w:val="right" w:pos="9026" w:leader="dot"/>
            </w:tabs>
            <w:rPr/>
          </w:pPr>
          <w:hyperlink w:anchor="__RefHeading___Toc477554_581953129">
            <w:r>
              <w:rPr>
                <w:webHidden/>
                <w:rStyle w:val="IndexLink"/>
                <w:rtl w:val="true"/>
              </w:rPr>
              <w:t>القرآن الکریم یأمر بالإصلاح المبنی علی العدل</w:t>
            </w:r>
            <w:r>
              <w:rPr>
                <w:rStyle w:val="IndexLink"/>
                <w:rtl w:val="true"/>
              </w:rPr>
              <w:tab/>
            </w:r>
            <w:r>
              <w:rPr>
                <w:rStyle w:val="IndexLink"/>
              </w:rPr>
              <w:t>232</w:t>
            </w:r>
          </w:hyperlink>
        </w:p>
        <w:p>
          <w:pPr>
            <w:pStyle w:val="Contents5"/>
            <w:tabs>
              <w:tab w:val="clear" w:pos="7892"/>
              <w:tab w:val="right" w:pos="9026" w:leader="dot"/>
            </w:tabs>
            <w:rPr/>
          </w:pPr>
          <w:hyperlink w:anchor="__RefHeading___Toc477556_581953129">
            <w:r>
              <w:rPr>
                <w:webHidden/>
                <w:rStyle w:val="IndexLink"/>
                <w:rtl w:val="true"/>
              </w:rPr>
              <w:t>العولمة فی مرحلة التطبیق الإسلامی</w:t>
            </w:r>
            <w:r>
              <w:rPr>
                <w:rStyle w:val="IndexLink"/>
                <w:rtl w:val="true"/>
              </w:rPr>
              <w:tab/>
            </w:r>
            <w:r>
              <w:rPr>
                <w:rStyle w:val="IndexLink"/>
              </w:rPr>
              <w:t>232</w:t>
            </w:r>
          </w:hyperlink>
        </w:p>
        <w:p>
          <w:pPr>
            <w:pStyle w:val="Contents5"/>
            <w:tabs>
              <w:tab w:val="clear" w:pos="7892"/>
              <w:tab w:val="right" w:pos="9026" w:leader="dot"/>
            </w:tabs>
            <w:rPr/>
          </w:pPr>
          <w:hyperlink w:anchor="__RefHeading___Toc477558_581953129">
            <w:r>
              <w:rPr>
                <w:webHidden/>
                <w:rStyle w:val="IndexLink"/>
                <w:rtl w:val="true"/>
              </w:rPr>
              <w:t>العولمة الإسلامیة قائمة علی الحوار والاقتناع الفکری</w:t>
            </w:r>
            <w:r>
              <w:rPr>
                <w:rStyle w:val="IndexLink"/>
                <w:rtl w:val="true"/>
              </w:rPr>
              <w:tab/>
            </w:r>
            <w:r>
              <w:rPr>
                <w:rStyle w:val="IndexLink"/>
              </w:rPr>
              <w:t>233</w:t>
            </w:r>
          </w:hyperlink>
        </w:p>
        <w:p>
          <w:pPr>
            <w:pStyle w:val="Contents5"/>
            <w:tabs>
              <w:tab w:val="clear" w:pos="7892"/>
              <w:tab w:val="right" w:pos="9026" w:leader="dot"/>
            </w:tabs>
            <w:rPr/>
          </w:pPr>
          <w:hyperlink w:anchor="__RefHeading___Toc477560_581953129">
            <w:r>
              <w:rPr>
                <w:webHidden/>
                <w:rStyle w:val="IndexLink"/>
                <w:rtl w:val="true"/>
              </w:rPr>
              <w:t>أخلاق النبی صلی الله علیه و آله وسیاسته ومبادئه عامل أساسی فی العولمة الإسلامیة</w:t>
            </w:r>
            <w:r>
              <w:rPr>
                <w:rStyle w:val="IndexLink"/>
                <w:rtl w:val="true"/>
              </w:rPr>
              <w:tab/>
            </w:r>
            <w:r>
              <w:rPr>
                <w:rStyle w:val="IndexLink"/>
              </w:rPr>
              <w:t>233</w:t>
            </w:r>
          </w:hyperlink>
        </w:p>
        <w:p>
          <w:pPr>
            <w:pStyle w:val="Contents5"/>
            <w:tabs>
              <w:tab w:val="clear" w:pos="7892"/>
              <w:tab w:val="right" w:pos="9026" w:leader="dot"/>
            </w:tabs>
            <w:rPr/>
          </w:pPr>
          <w:hyperlink w:anchor="__RefHeading___Toc477562_581953129">
            <w:r>
              <w:rPr>
                <w:webHidden/>
                <w:rStyle w:val="IndexLink"/>
                <w:rtl w:val="true"/>
              </w:rPr>
              <w:t>اختلاف المنهج بعد النبی صلی الله علیه و آله</w:t>
            </w:r>
            <w:r>
              <w:rPr>
                <w:rStyle w:val="IndexLink"/>
                <w:rtl w:val="true"/>
              </w:rPr>
              <w:tab/>
            </w:r>
            <w:r>
              <w:rPr>
                <w:rStyle w:val="IndexLink"/>
              </w:rPr>
              <w:t>234</w:t>
            </w:r>
          </w:hyperlink>
        </w:p>
        <w:p>
          <w:pPr>
            <w:pStyle w:val="Contents5"/>
            <w:tabs>
              <w:tab w:val="clear" w:pos="7892"/>
              <w:tab w:val="right" w:pos="9026" w:leader="dot"/>
            </w:tabs>
            <w:rPr/>
          </w:pPr>
          <w:hyperlink w:anchor="__RefHeading___Toc477564_581953129">
            <w:r>
              <w:rPr>
                <w:webHidden/>
                <w:rStyle w:val="IndexLink"/>
                <w:rtl w:val="true"/>
              </w:rPr>
              <w:t>الحسین علیه السلام یحیی دین النبی ویعید مبادءه</w:t>
            </w:r>
            <w:r>
              <w:rPr>
                <w:rStyle w:val="IndexLink"/>
                <w:rtl w:val="true"/>
              </w:rPr>
              <w:tab/>
            </w:r>
            <w:r>
              <w:rPr>
                <w:rStyle w:val="IndexLink"/>
              </w:rPr>
              <w:t>235</w:t>
            </w:r>
          </w:hyperlink>
        </w:p>
        <w:p>
          <w:pPr>
            <w:pStyle w:val="Contents4"/>
            <w:tabs>
              <w:tab w:val="clear" w:pos="8176"/>
              <w:tab w:val="right" w:pos="9026" w:leader="dot"/>
            </w:tabs>
            <w:rPr/>
          </w:pPr>
          <w:hyperlink w:anchor="__RefHeading___Toc477566_581953129">
            <w:r>
              <w:rPr>
                <w:webHidden/>
                <w:rStyle w:val="IndexLink"/>
                <w:rtl w:val="true"/>
              </w:rPr>
              <w:t>المحاضرة السابعة الحوار الحقیقی یوازن بین نقاط الاختلاف ونقاط الاتفاق</w:t>
            </w:r>
            <w:r>
              <w:rPr>
                <w:rStyle w:val="IndexLink"/>
                <w:rtl w:val="true"/>
              </w:rPr>
              <w:tab/>
            </w:r>
            <w:r>
              <w:rPr>
                <w:rStyle w:val="IndexLink"/>
              </w:rPr>
              <w:t>236</w:t>
            </w:r>
          </w:hyperlink>
        </w:p>
        <w:p>
          <w:pPr>
            <w:pStyle w:val="Contents5"/>
            <w:tabs>
              <w:tab w:val="clear" w:pos="7892"/>
              <w:tab w:val="right" w:pos="9026" w:leader="dot"/>
            </w:tabs>
            <w:rPr/>
          </w:pPr>
          <w:hyperlink w:anchor="__RefHeading___Toc477568_581953129">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77570_581953129">
            <w:r>
              <w:rPr>
                <w:webHidden/>
                <w:rStyle w:val="IndexLink"/>
                <w:rtl w:val="true"/>
              </w:rPr>
              <w:t>الحوار یجب أن یکون متوازناً بین نقاط الخلاف ونقاط الاتفاق</w:t>
            </w:r>
            <w:r>
              <w:rPr>
                <w:rStyle w:val="IndexLink"/>
                <w:rtl w:val="true"/>
              </w:rPr>
              <w:tab/>
            </w:r>
            <w:r>
              <w:rPr>
                <w:rStyle w:val="IndexLink"/>
              </w:rPr>
              <w:t>236</w:t>
            </w:r>
          </w:hyperlink>
        </w:p>
        <w:p>
          <w:pPr>
            <w:pStyle w:val="Contents5"/>
            <w:tabs>
              <w:tab w:val="clear" w:pos="7892"/>
              <w:tab w:val="right" w:pos="9026" w:leader="dot"/>
            </w:tabs>
            <w:rPr/>
          </w:pPr>
          <w:hyperlink w:anchor="__RefHeading___Toc477572_581953129">
            <w:r>
              <w:rPr>
                <w:webHidden/>
                <w:rStyle w:val="IndexLink"/>
                <w:rtl w:val="true"/>
              </w:rPr>
              <w:t>یجب أن تکون نقاط الاتفاق حقیقیة وواقعیة لا مختلقة ولا مصطنعة</w:t>
            </w:r>
            <w:r>
              <w:rPr>
                <w:rStyle w:val="IndexLink"/>
                <w:rtl w:val="true"/>
              </w:rPr>
              <w:tab/>
            </w:r>
            <w:r>
              <w:rPr>
                <w:rStyle w:val="IndexLink"/>
              </w:rPr>
              <w:t>237</w:t>
            </w:r>
          </w:hyperlink>
        </w:p>
        <w:p>
          <w:pPr>
            <w:pStyle w:val="Contents5"/>
            <w:tabs>
              <w:tab w:val="clear" w:pos="7892"/>
              <w:tab w:val="right" w:pos="9026" w:leader="dot"/>
            </w:tabs>
            <w:rPr/>
          </w:pPr>
          <w:hyperlink w:anchor="__RefHeading___Toc477574_581953129">
            <w:r>
              <w:rPr>
                <w:webHidden/>
                <w:rStyle w:val="IndexLink"/>
                <w:rtl w:val="true"/>
              </w:rPr>
              <w:t>یجب أن یعالج الحوار أسباب الفتنة</w:t>
            </w:r>
            <w:r>
              <w:rPr>
                <w:rStyle w:val="IndexLink"/>
                <w:rtl w:val="true"/>
              </w:rPr>
              <w:tab/>
            </w:r>
            <w:r>
              <w:rPr>
                <w:rStyle w:val="IndexLink"/>
              </w:rPr>
              <w:t>237</w:t>
            </w:r>
          </w:hyperlink>
        </w:p>
        <w:p>
          <w:pPr>
            <w:pStyle w:val="Contents5"/>
            <w:tabs>
              <w:tab w:val="clear" w:pos="7892"/>
              <w:tab w:val="right" w:pos="9026" w:leader="dot"/>
            </w:tabs>
            <w:rPr/>
          </w:pPr>
          <w:hyperlink w:anchor="__RefHeading___Toc477576_581953129">
            <w:r>
              <w:rPr>
                <w:webHidden/>
                <w:rStyle w:val="IndexLink"/>
                <w:rtl w:val="true"/>
              </w:rPr>
              <w:t>یجب أن یشمل الحوار جمیع الطوائف فی مؤتمرات التقریب</w:t>
            </w:r>
            <w:r>
              <w:rPr>
                <w:rStyle w:val="IndexLink"/>
                <w:rtl w:val="true"/>
              </w:rPr>
              <w:tab/>
            </w:r>
            <w:r>
              <w:rPr>
                <w:rStyle w:val="IndexLink"/>
              </w:rPr>
              <w:t>238</w:t>
            </w:r>
          </w:hyperlink>
        </w:p>
        <w:p>
          <w:pPr>
            <w:pStyle w:val="Contents5"/>
            <w:tabs>
              <w:tab w:val="clear" w:pos="7892"/>
              <w:tab w:val="right" w:pos="9026" w:leader="dot"/>
            </w:tabs>
            <w:rPr/>
          </w:pPr>
          <w:hyperlink w:anchor="__RefHeading___Toc477578_581953129">
            <w:r>
              <w:rPr>
                <w:webHidden/>
                <w:rStyle w:val="IndexLink"/>
                <w:rtl w:val="true"/>
              </w:rPr>
              <w:t>جهات الاتفاق بین المجتمعات الإنسانیة</w:t>
            </w:r>
            <w:r>
              <w:rPr>
                <w:rStyle w:val="IndexLink"/>
                <w:rtl w:val="true"/>
              </w:rPr>
              <w:tab/>
            </w:r>
            <w:r>
              <w:rPr>
                <w:rStyle w:val="IndexLink"/>
              </w:rPr>
              <w:t>239</w:t>
            </w:r>
          </w:hyperlink>
        </w:p>
        <w:p>
          <w:pPr>
            <w:pStyle w:val="Contents5"/>
            <w:tabs>
              <w:tab w:val="clear" w:pos="7892"/>
              <w:tab w:val="right" w:pos="9026" w:leader="dot"/>
            </w:tabs>
            <w:rPr/>
          </w:pPr>
          <w:hyperlink w:anchor="__RefHeading___Toc477580_581953129">
            <w:r>
              <w:rPr>
                <w:webHidden/>
                <w:rStyle w:val="IndexLink"/>
                <w:rtl w:val="true"/>
              </w:rPr>
              <w:t>الدین واحد بین جمیع الأنبیاء</w:t>
            </w:r>
            <w:r>
              <w:rPr>
                <w:rStyle w:val="IndexLink"/>
                <w:rtl w:val="true"/>
              </w:rPr>
              <w:tab/>
            </w:r>
            <w:r>
              <w:rPr>
                <w:rStyle w:val="IndexLink"/>
              </w:rPr>
              <w:t>239</w:t>
            </w:r>
          </w:hyperlink>
        </w:p>
        <w:p>
          <w:pPr>
            <w:pStyle w:val="Contents5"/>
            <w:tabs>
              <w:tab w:val="clear" w:pos="7892"/>
              <w:tab w:val="right" w:pos="9026" w:leader="dot"/>
            </w:tabs>
            <w:rPr/>
          </w:pPr>
          <w:hyperlink w:anchor="__RefHeading___Toc477582_581953129">
            <w:r>
              <w:rPr>
                <w:webHidden/>
                <w:rStyle w:val="IndexLink"/>
                <w:rtl w:val="true"/>
              </w:rPr>
              <w:t>أُصول الدین وأرکان فروع الدین وأُصول المحرّمات ثابتة فی کل الشرائع</w:t>
            </w:r>
            <w:r>
              <w:rPr>
                <w:rStyle w:val="IndexLink"/>
                <w:rtl w:val="true"/>
              </w:rPr>
              <w:tab/>
            </w:r>
            <w:r>
              <w:rPr>
                <w:rStyle w:val="IndexLink"/>
              </w:rPr>
              <w:t>240</w:t>
            </w:r>
          </w:hyperlink>
        </w:p>
        <w:p>
          <w:pPr>
            <w:pStyle w:val="Contents5"/>
            <w:tabs>
              <w:tab w:val="clear" w:pos="7892"/>
              <w:tab w:val="right" w:pos="9026" w:leader="dot"/>
            </w:tabs>
            <w:rPr/>
          </w:pPr>
          <w:hyperlink w:anchor="__RefHeading___Toc477584_581953129">
            <w:r>
              <w:rPr>
                <w:webHidden/>
                <w:rStyle w:val="IndexLink"/>
                <w:rtl w:val="true"/>
              </w:rPr>
              <w:t>بعض الآیات التی تدل علی أنَّ کل الأنبیاء مسلمون</w:t>
            </w:r>
            <w:r>
              <w:rPr>
                <w:rStyle w:val="IndexLink"/>
                <w:rtl w:val="true"/>
              </w:rPr>
              <w:tab/>
            </w:r>
            <w:r>
              <w:rPr>
                <w:rStyle w:val="IndexLink"/>
              </w:rPr>
              <w:t>241</w:t>
            </w:r>
          </w:hyperlink>
        </w:p>
        <w:p>
          <w:pPr>
            <w:pStyle w:val="Contents5"/>
            <w:tabs>
              <w:tab w:val="clear" w:pos="7892"/>
              <w:tab w:val="right" w:pos="9026" w:leader="dot"/>
            </w:tabs>
            <w:rPr/>
          </w:pPr>
          <w:hyperlink w:anchor="__RefHeading___Toc477586_581953129">
            <w:r>
              <w:rPr>
                <w:webHidden/>
                <w:rStyle w:val="IndexLink"/>
                <w:rtl w:val="true"/>
              </w:rPr>
              <w:t>جمیع الأنبیاء أنصار النبی محمّد صلی الله علیه و آله</w:t>
            </w:r>
            <w:r>
              <w:rPr>
                <w:rStyle w:val="IndexLink"/>
                <w:rtl w:val="true"/>
              </w:rPr>
              <w:tab/>
            </w:r>
            <w:r>
              <w:rPr>
                <w:rStyle w:val="IndexLink"/>
              </w:rPr>
              <w:t>242</w:t>
            </w:r>
          </w:hyperlink>
        </w:p>
        <w:p>
          <w:pPr>
            <w:pStyle w:val="Contents4"/>
            <w:tabs>
              <w:tab w:val="clear" w:pos="8176"/>
              <w:tab w:val="right" w:pos="9026" w:leader="dot"/>
            </w:tabs>
            <w:rPr/>
          </w:pPr>
          <w:hyperlink w:anchor="__RefHeading___Toc477588_581953129">
            <w:r>
              <w:rPr>
                <w:webHidden/>
                <w:rStyle w:val="IndexLink"/>
                <w:rtl w:val="true"/>
              </w:rPr>
              <w:t>المحاضرة الثامنة الحفاظ علی الوحدة الإسلامیة مع وجود الخلاف فی الأُصول والفروع</w:t>
            </w:r>
            <w:r>
              <w:rPr>
                <w:rStyle w:val="IndexLink"/>
                <w:rtl w:val="true"/>
              </w:rPr>
              <w:tab/>
            </w:r>
            <w:r>
              <w:rPr>
                <w:rStyle w:val="IndexLink"/>
              </w:rPr>
              <w:t>243</w:t>
            </w:r>
          </w:hyperlink>
        </w:p>
        <w:p>
          <w:pPr>
            <w:pStyle w:val="Contents5"/>
            <w:tabs>
              <w:tab w:val="clear" w:pos="7892"/>
              <w:tab w:val="right" w:pos="9026" w:leader="dot"/>
            </w:tabs>
            <w:rPr/>
          </w:pPr>
          <w:hyperlink w:anchor="__RefHeading___Toc477590_581953129">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77592_581953129">
            <w:r>
              <w:rPr>
                <w:webHidden/>
                <w:rStyle w:val="IndexLink"/>
                <w:rtl w:val="true"/>
              </w:rPr>
              <w:t>آراء فی الخلاف بین المذاهب الإسلامیة</w:t>
            </w:r>
            <w:r>
              <w:rPr>
                <w:rStyle w:val="IndexLink"/>
                <w:rtl w:val="true"/>
              </w:rPr>
              <w:tab/>
            </w:r>
            <w:r>
              <w:rPr>
                <w:rStyle w:val="IndexLink"/>
              </w:rPr>
              <w:t>243</w:t>
            </w:r>
          </w:hyperlink>
        </w:p>
        <w:p>
          <w:pPr>
            <w:pStyle w:val="Contents5"/>
            <w:tabs>
              <w:tab w:val="clear" w:pos="7892"/>
              <w:tab w:val="right" w:pos="9026" w:leader="dot"/>
            </w:tabs>
            <w:rPr/>
          </w:pPr>
          <w:hyperlink w:anchor="__RefHeading___Toc477594_581953129">
            <w:r>
              <w:rPr>
                <w:webHidden/>
                <w:rStyle w:val="IndexLink"/>
                <w:rtl w:val="true"/>
              </w:rPr>
              <w:t>الخلاف بین المذاهب واقع فی العقائد ، کما هو واقع فی الفقه</w:t>
            </w:r>
            <w:r>
              <w:rPr>
                <w:rStyle w:val="IndexLink"/>
                <w:rtl w:val="true"/>
              </w:rPr>
              <w:tab/>
            </w:r>
            <w:r>
              <w:rPr>
                <w:rStyle w:val="IndexLink"/>
              </w:rPr>
              <w:t>244</w:t>
            </w:r>
          </w:hyperlink>
        </w:p>
        <w:p>
          <w:pPr>
            <w:pStyle w:val="Contents5"/>
            <w:tabs>
              <w:tab w:val="clear" w:pos="7892"/>
              <w:tab w:val="right" w:pos="9026" w:leader="dot"/>
            </w:tabs>
            <w:rPr/>
          </w:pPr>
          <w:hyperlink w:anchor="__RefHeading___Toc477596_581953129">
            <w:r>
              <w:rPr>
                <w:webHidden/>
                <w:rStyle w:val="IndexLink"/>
                <w:rtl w:val="true"/>
              </w:rPr>
              <w:t>ضرورة التفریق بین الإسلام والإیمان</w:t>
            </w:r>
            <w:r>
              <w:rPr>
                <w:rStyle w:val="IndexLink"/>
                <w:rtl w:val="true"/>
              </w:rPr>
              <w:tab/>
            </w:r>
            <w:r>
              <w:rPr>
                <w:rStyle w:val="IndexLink"/>
              </w:rPr>
              <w:t>245</w:t>
            </w:r>
          </w:hyperlink>
        </w:p>
        <w:p>
          <w:pPr>
            <w:pStyle w:val="Contents5"/>
            <w:tabs>
              <w:tab w:val="clear" w:pos="7892"/>
              <w:tab w:val="right" w:pos="9026" w:leader="dot"/>
            </w:tabs>
            <w:rPr/>
          </w:pPr>
          <w:hyperlink w:anchor="__RefHeading___Toc477598_581953129">
            <w:r>
              <w:rPr>
                <w:webHidden/>
                <w:rStyle w:val="IndexLink"/>
                <w:rtl w:val="true"/>
              </w:rPr>
              <w:t>المنافقون یعتبرون من المسلمین ؛ لأنّهم یظهرون الإسلام</w:t>
            </w:r>
            <w:r>
              <w:rPr>
                <w:rStyle w:val="IndexLink"/>
                <w:rtl w:val="true"/>
              </w:rPr>
              <w:tab/>
            </w:r>
            <w:r>
              <w:rPr>
                <w:rStyle w:val="IndexLink"/>
              </w:rPr>
              <w:t>245</w:t>
            </w:r>
          </w:hyperlink>
        </w:p>
        <w:p>
          <w:pPr>
            <w:pStyle w:val="Contents5"/>
            <w:tabs>
              <w:tab w:val="clear" w:pos="7892"/>
              <w:tab w:val="right" w:pos="9026" w:leader="dot"/>
            </w:tabs>
            <w:rPr/>
          </w:pPr>
          <w:hyperlink w:anchor="__RefHeading___Toc477600_581953129">
            <w:r>
              <w:rPr>
                <w:webHidden/>
                <w:rStyle w:val="IndexLink"/>
                <w:rtl w:val="true"/>
              </w:rPr>
              <w:t>الإیمان مرتبة أرقی من الإسلام</w:t>
            </w:r>
            <w:r>
              <w:rPr>
                <w:rStyle w:val="IndexLink"/>
                <w:rtl w:val="true"/>
              </w:rPr>
              <w:tab/>
            </w:r>
            <w:r>
              <w:rPr>
                <w:rStyle w:val="IndexLink"/>
              </w:rPr>
              <w:t>245</w:t>
            </w:r>
          </w:hyperlink>
        </w:p>
        <w:p>
          <w:pPr>
            <w:pStyle w:val="Contents5"/>
            <w:tabs>
              <w:tab w:val="clear" w:pos="7892"/>
              <w:tab w:val="right" w:pos="9026" w:leader="dot"/>
            </w:tabs>
            <w:rPr/>
          </w:pPr>
          <w:hyperlink w:anchor="__RefHeading___Toc477602_581953129">
            <w:r>
              <w:rPr>
                <w:webHidden/>
                <w:rStyle w:val="IndexLink"/>
                <w:rtl w:val="true"/>
              </w:rPr>
              <w:t>الإمامة والعدل من أُصول الدین عند أتباع مذهب أهل البیت علیهم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477604_581953129">
            <w:r>
              <w:rPr>
                <w:webHidden/>
                <w:rStyle w:val="IndexLink"/>
                <w:rtl w:val="true"/>
              </w:rPr>
              <w:t>أُصول الدین فی مرتبة الإیمان تختلف عن أُصول الدین فی مرتبة الإسلام</w:t>
            </w:r>
            <w:r>
              <w:rPr>
                <w:rStyle w:val="IndexLink"/>
                <w:rtl w:val="true"/>
              </w:rPr>
              <w:tab/>
            </w:r>
            <w:r>
              <w:rPr>
                <w:rStyle w:val="IndexLink"/>
              </w:rPr>
              <w:t>246</w:t>
            </w:r>
          </w:hyperlink>
        </w:p>
        <w:p>
          <w:pPr>
            <w:pStyle w:val="Contents5"/>
            <w:tabs>
              <w:tab w:val="clear" w:pos="7892"/>
              <w:tab w:val="right" w:pos="9026" w:leader="dot"/>
            </w:tabs>
            <w:rPr/>
          </w:pPr>
          <w:hyperlink w:anchor="__RefHeading___Toc477606_581953129">
            <w:r>
              <w:rPr>
                <w:webHidden/>
                <w:rStyle w:val="IndexLink"/>
                <w:rtl w:val="true"/>
              </w:rPr>
              <w:t>أُصول الدین تتضمّن مفهوم التوحید</w:t>
            </w:r>
            <w:r>
              <w:rPr>
                <w:rStyle w:val="IndexLink"/>
                <w:rtl w:val="true"/>
              </w:rPr>
              <w:tab/>
            </w:r>
            <w:r>
              <w:rPr>
                <w:rStyle w:val="IndexLink"/>
              </w:rPr>
              <w:t>247</w:t>
            </w:r>
          </w:hyperlink>
        </w:p>
        <w:p>
          <w:pPr>
            <w:pStyle w:val="Contents5"/>
            <w:tabs>
              <w:tab w:val="clear" w:pos="7892"/>
              <w:tab w:val="right" w:pos="9026" w:leader="dot"/>
            </w:tabs>
            <w:rPr/>
          </w:pPr>
          <w:hyperlink w:anchor="__RefHeading___Toc477608_581953129">
            <w:r>
              <w:rPr>
                <w:webHidden/>
                <w:rStyle w:val="IndexLink"/>
                <w:rtl w:val="true"/>
              </w:rPr>
              <w:t>الإمامة توصل إلی طاعة اللّه</w:t>
            </w:r>
            <w:r>
              <w:rPr>
                <w:rStyle w:val="IndexLink"/>
                <w:rtl w:val="true"/>
              </w:rPr>
              <w:tab/>
            </w:r>
            <w:r>
              <w:rPr>
                <w:rStyle w:val="IndexLink"/>
              </w:rPr>
              <w:t>247</w:t>
            </w:r>
          </w:hyperlink>
        </w:p>
        <w:p>
          <w:pPr>
            <w:pStyle w:val="Contents5"/>
            <w:tabs>
              <w:tab w:val="clear" w:pos="7892"/>
              <w:tab w:val="right" w:pos="9026" w:leader="dot"/>
            </w:tabs>
            <w:rPr/>
          </w:pPr>
          <w:hyperlink w:anchor="__RefHeading___Toc477610_581953129">
            <w:r>
              <w:rPr>
                <w:webHidden/>
                <w:rStyle w:val="IndexLink"/>
                <w:rtl w:val="true"/>
              </w:rPr>
              <w:t>الإیمان النظری والإیمان العملی فی سورة الحمد</w:t>
            </w:r>
            <w:r>
              <w:rPr>
                <w:rStyle w:val="IndexLink"/>
                <w:rtl w:val="true"/>
              </w:rPr>
              <w:tab/>
            </w:r>
            <w:r>
              <w:rPr>
                <w:rStyle w:val="IndexLink"/>
              </w:rPr>
              <w:t>247</w:t>
            </w:r>
          </w:hyperlink>
        </w:p>
        <w:p>
          <w:pPr>
            <w:pStyle w:val="Contents5"/>
            <w:tabs>
              <w:tab w:val="clear" w:pos="7892"/>
              <w:tab w:val="right" w:pos="9026" w:leader="dot"/>
            </w:tabs>
            <w:rPr/>
          </w:pPr>
          <w:hyperlink w:anchor="__RefHeading___Toc477612_581953129">
            <w:r>
              <w:rPr>
                <w:webHidden/>
                <w:rStyle w:val="IndexLink"/>
                <w:rtl w:val="true"/>
              </w:rPr>
              <w:t>حدیث الفرقة الناجیة کدلیل علی ما نقول</w:t>
            </w:r>
            <w:r>
              <w:rPr>
                <w:rStyle w:val="IndexLink"/>
                <w:rtl w:val="true"/>
              </w:rPr>
              <w:tab/>
            </w:r>
            <w:r>
              <w:rPr>
                <w:rStyle w:val="IndexLink"/>
              </w:rPr>
              <w:t>248</w:t>
            </w:r>
          </w:hyperlink>
        </w:p>
        <w:p>
          <w:pPr>
            <w:pStyle w:val="Contents4"/>
            <w:tabs>
              <w:tab w:val="clear" w:pos="8176"/>
              <w:tab w:val="right" w:pos="9026" w:leader="dot"/>
            </w:tabs>
            <w:rPr/>
          </w:pPr>
          <w:hyperlink w:anchor="__RefHeading___Toc477614_581953129">
            <w:r>
              <w:rPr>
                <w:webHidden/>
                <w:rStyle w:val="IndexLink"/>
                <w:rtl w:val="true"/>
              </w:rPr>
              <w:t>المحاضرة التاسعة الحسین علیه السلام وتهمة شقّ عصا المسلمین</w:t>
            </w:r>
            <w:r>
              <w:rPr>
                <w:rStyle w:val="IndexLink"/>
                <w:rtl w:val="true"/>
              </w:rPr>
              <w:tab/>
            </w:r>
            <w:r>
              <w:rPr>
                <w:rStyle w:val="IndexLink"/>
              </w:rPr>
              <w:t>251</w:t>
            </w:r>
          </w:hyperlink>
        </w:p>
        <w:p>
          <w:pPr>
            <w:pStyle w:val="Contents5"/>
            <w:tabs>
              <w:tab w:val="clear" w:pos="7892"/>
              <w:tab w:val="right" w:pos="9026" w:leader="dot"/>
            </w:tabs>
            <w:rPr/>
          </w:pPr>
          <w:hyperlink w:anchor="__RefHeading___Toc477616_581953129">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77618_581953129">
            <w:r>
              <w:rPr>
                <w:webHidden/>
                <w:rStyle w:val="IndexLink"/>
                <w:rtl w:val="true"/>
              </w:rPr>
              <w:t>الحسین علیه السلام یقرّر الخروج علی السلطان الجائر</w:t>
            </w:r>
            <w:r>
              <w:rPr>
                <w:rStyle w:val="IndexLink"/>
                <w:rtl w:val="true"/>
              </w:rPr>
              <w:tab/>
            </w:r>
            <w:r>
              <w:rPr>
                <w:rStyle w:val="IndexLink"/>
              </w:rPr>
              <w:t>251</w:t>
            </w:r>
          </w:hyperlink>
        </w:p>
        <w:p>
          <w:pPr>
            <w:pStyle w:val="Contents5"/>
            <w:tabs>
              <w:tab w:val="clear" w:pos="7892"/>
              <w:tab w:val="right" w:pos="9026" w:leader="dot"/>
            </w:tabs>
            <w:rPr/>
          </w:pPr>
          <w:hyperlink w:anchor="__RefHeading___Toc477620_581953129">
            <w:r>
              <w:rPr>
                <w:webHidden/>
                <w:rStyle w:val="IndexLink"/>
                <w:rtl w:val="true"/>
              </w:rPr>
              <w:t xml:space="preserve">بنو أُمیة کانوا یسمّون المنتمین إلی حکوماتهم الجائرة ب </w:t>
            </w:r>
            <w:r>
              <w:rPr>
                <w:rStyle w:val="IndexLink"/>
                <w:rtl w:val="true"/>
              </w:rPr>
              <w:t>«</w:t>
            </w:r>
            <w:r>
              <w:rPr>
                <w:rStyle w:val="IndexLink"/>
                <w:rtl w:val="true"/>
              </w:rPr>
              <w:t>الجماعة</w:t>
            </w:r>
            <w:r>
              <w:rPr>
                <w:rStyle w:val="IndexLink"/>
                <w:rtl w:val="true"/>
              </w:rPr>
              <w:t>»</w:t>
              <w:tab/>
            </w:r>
            <w:r>
              <w:rPr>
                <w:rStyle w:val="IndexLink"/>
              </w:rPr>
              <w:t>252</w:t>
            </w:r>
          </w:hyperlink>
        </w:p>
        <w:p>
          <w:pPr>
            <w:pStyle w:val="Contents5"/>
            <w:tabs>
              <w:tab w:val="clear" w:pos="7892"/>
              <w:tab w:val="right" w:pos="9026" w:leader="dot"/>
            </w:tabs>
            <w:rPr/>
          </w:pPr>
          <w:hyperlink w:anchor="__RefHeading___Toc477622_581953129">
            <w:r>
              <w:rPr>
                <w:webHidden/>
                <w:rStyle w:val="IndexLink"/>
                <w:rtl w:val="true"/>
              </w:rPr>
              <w:t xml:space="preserve">بدایة مصطلح </w:t>
            </w:r>
            <w:r>
              <w:rPr>
                <w:rStyle w:val="IndexLink"/>
                <w:rtl w:val="true"/>
              </w:rPr>
              <w:t>«</w:t>
            </w:r>
            <w:r>
              <w:rPr>
                <w:rStyle w:val="IndexLink"/>
                <w:rtl w:val="true"/>
              </w:rPr>
              <w:t>الجماعة</w:t>
            </w:r>
            <w:r>
              <w:rPr>
                <w:rStyle w:val="IndexLink"/>
                <w:rtl w:val="true"/>
              </w:rPr>
              <w:t>»</w:t>
              <w:tab/>
            </w:r>
            <w:r>
              <w:rPr>
                <w:rStyle w:val="IndexLink"/>
              </w:rPr>
              <w:t>253</w:t>
            </w:r>
          </w:hyperlink>
        </w:p>
        <w:p>
          <w:pPr>
            <w:pStyle w:val="Contents5"/>
            <w:tabs>
              <w:tab w:val="clear" w:pos="7892"/>
              <w:tab w:val="right" w:pos="9026" w:leader="dot"/>
            </w:tabs>
            <w:rPr/>
          </w:pPr>
          <w:hyperlink w:anchor="__RefHeading___Toc477624_581953129">
            <w:r>
              <w:rPr>
                <w:webHidden/>
                <w:rStyle w:val="IndexLink"/>
                <w:rtl w:val="true"/>
              </w:rPr>
              <w:t>عدم طاعة الخلیفة لا یعتبر ردّة عن الدین</w:t>
            </w:r>
            <w:r>
              <w:rPr>
                <w:rStyle w:val="IndexLink"/>
                <w:rtl w:val="true"/>
              </w:rPr>
              <w:tab/>
            </w:r>
            <w:r>
              <w:rPr>
                <w:rStyle w:val="IndexLink"/>
              </w:rPr>
              <w:t>253</w:t>
            </w:r>
          </w:hyperlink>
        </w:p>
        <w:p>
          <w:pPr>
            <w:pStyle w:val="Contents5"/>
            <w:tabs>
              <w:tab w:val="clear" w:pos="7892"/>
              <w:tab w:val="right" w:pos="9026" w:leader="dot"/>
            </w:tabs>
            <w:rPr/>
          </w:pPr>
          <w:hyperlink w:anchor="__RefHeading___Toc477626_581953129">
            <w:r>
              <w:rPr>
                <w:webHidden/>
                <w:rStyle w:val="IndexLink"/>
                <w:rtl w:val="true"/>
              </w:rPr>
              <w:t>حجّة شقّ عصا المسلمین حجّة واهیة</w:t>
            </w:r>
            <w:r>
              <w:rPr>
                <w:rStyle w:val="IndexLink"/>
                <w:rtl w:val="true"/>
              </w:rPr>
              <w:tab/>
            </w:r>
            <w:r>
              <w:rPr>
                <w:rStyle w:val="IndexLink"/>
              </w:rPr>
              <w:t>254</w:t>
            </w:r>
          </w:hyperlink>
        </w:p>
        <w:p>
          <w:pPr>
            <w:pStyle w:val="Contents5"/>
            <w:tabs>
              <w:tab w:val="clear" w:pos="7892"/>
              <w:tab w:val="right" w:pos="9026" w:leader="dot"/>
            </w:tabs>
            <w:rPr/>
          </w:pPr>
          <w:hyperlink w:anchor="__RefHeading___Toc477628_581953129">
            <w:r>
              <w:rPr>
                <w:webHidden/>
                <w:rStyle w:val="IndexLink"/>
                <w:rtl w:val="true"/>
              </w:rPr>
              <w:t>صعوبة الظروف التی مرّ بها النبی صلی الله علیه و آله فی مواجهة قریش</w:t>
            </w:r>
            <w:r>
              <w:rPr>
                <w:rStyle w:val="IndexLink"/>
                <w:rtl w:val="true"/>
              </w:rPr>
              <w:tab/>
            </w:r>
            <w:r>
              <w:rPr>
                <w:rStyle w:val="IndexLink"/>
              </w:rPr>
              <w:t>254</w:t>
            </w:r>
          </w:hyperlink>
        </w:p>
        <w:p>
          <w:pPr>
            <w:pStyle w:val="Contents5"/>
            <w:tabs>
              <w:tab w:val="clear" w:pos="7892"/>
              <w:tab w:val="right" w:pos="9026" w:leader="dot"/>
            </w:tabs>
            <w:rPr/>
          </w:pPr>
          <w:hyperlink w:anchor="__RefHeading___Toc477630_581953129">
            <w:r>
              <w:rPr>
                <w:webHidden/>
                <w:rStyle w:val="IndexLink"/>
                <w:rtl w:val="true"/>
              </w:rPr>
              <w:t>أسلم بنوا أُمیة تحت ضغط السیف ، ولمّا سنحت لهم الفرصة عاودوا حرب</w:t>
            </w:r>
            <w:r>
              <w:rPr>
                <w:rStyle w:val="IndexLink"/>
                <w:rtl w:val="true"/>
              </w:rPr>
              <w:tab/>
            </w:r>
            <w:r>
              <w:rPr>
                <w:rStyle w:val="IndexLink"/>
              </w:rPr>
              <w:t>255</w:t>
            </w:r>
          </w:hyperlink>
        </w:p>
        <w:p>
          <w:pPr>
            <w:pStyle w:val="Contents5"/>
            <w:tabs>
              <w:tab w:val="clear" w:pos="7892"/>
              <w:tab w:val="right" w:pos="9026" w:leader="dot"/>
            </w:tabs>
            <w:rPr/>
          </w:pPr>
          <w:hyperlink w:anchor="__RefHeading___Toc477632_581953129">
            <w:r>
              <w:rPr>
                <w:webHidden/>
                <w:rStyle w:val="IndexLink"/>
                <w:rtl w:val="true"/>
              </w:rPr>
              <w:t>الحجج التی طرحها أعداء الإمام علی علیه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477634_581953129">
            <w:r>
              <w:rPr>
                <w:webHidden/>
                <w:rStyle w:val="IndexLink"/>
                <w:rtl w:val="true"/>
              </w:rPr>
              <w:t>فقأت عین الفتنة</w:t>
            </w:r>
            <w:r>
              <w:rPr>
                <w:rStyle w:val="IndexLink"/>
                <w:rtl w:val="true"/>
              </w:rPr>
              <w:tab/>
            </w:r>
            <w:r>
              <w:rPr>
                <w:rStyle w:val="IndexLink"/>
              </w:rPr>
              <w:t>256</w:t>
            </w:r>
          </w:hyperlink>
        </w:p>
        <w:p>
          <w:pPr>
            <w:pStyle w:val="Contents5"/>
            <w:tabs>
              <w:tab w:val="clear" w:pos="7892"/>
              <w:tab w:val="right" w:pos="9026" w:leader="dot"/>
            </w:tabs>
            <w:rPr/>
          </w:pPr>
          <w:hyperlink w:anchor="__RefHeading___Toc477636_581953129">
            <w:r>
              <w:rPr>
                <w:webHidden/>
                <w:rStyle w:val="IndexLink"/>
                <w:rtl w:val="true"/>
              </w:rPr>
              <w:t>اتهام شقّ عصا المسلمین لعلی والحسین علیهما 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477638_581953129">
            <w:r>
              <w:rPr>
                <w:webHidden/>
                <w:rStyle w:val="IndexLink"/>
                <w:rtl w:val="true"/>
              </w:rPr>
              <w:t>هل یشقّ عصا الأُمّة من اختاره اللّه للمباهلة دون کبار الصحابة؟</w:t>
            </w:r>
            <w:r>
              <w:rPr>
                <w:rStyle w:val="IndexLink"/>
                <w:rtl w:val="true"/>
              </w:rPr>
              <w:t>!</w:t>
              <w:tab/>
            </w:r>
            <w:r>
              <w:rPr>
                <w:rStyle w:val="IndexLink"/>
              </w:rPr>
              <w:t>257</w:t>
            </w:r>
          </w:hyperlink>
        </w:p>
        <w:p>
          <w:pPr>
            <w:pStyle w:val="Contents5"/>
            <w:tabs>
              <w:tab w:val="clear" w:pos="7892"/>
              <w:tab w:val="right" w:pos="9026" w:leader="dot"/>
            </w:tabs>
            <w:rPr/>
          </w:pPr>
          <w:hyperlink w:anchor="__RefHeading___Toc477640_581953129">
            <w:r>
              <w:rPr>
                <w:webHidden/>
                <w:rStyle w:val="IndexLink"/>
                <w:rtl w:val="true"/>
              </w:rPr>
              <w:t>کربلاء نجحت فی إزالة الشرعیّة عن سلطات بنی أُمیّة</w:t>
            </w:r>
            <w:r>
              <w:rPr>
                <w:rStyle w:val="IndexLink"/>
                <w:rtl w:val="true"/>
              </w:rPr>
              <w:tab/>
            </w:r>
            <w:r>
              <w:rPr>
                <w:rStyle w:val="IndexLink"/>
              </w:rPr>
              <w:t>257</w:t>
            </w:r>
          </w:hyperlink>
        </w:p>
        <w:p>
          <w:pPr>
            <w:pStyle w:val="Contents5"/>
            <w:tabs>
              <w:tab w:val="clear" w:pos="7892"/>
              <w:tab w:val="right" w:pos="9026" w:leader="dot"/>
            </w:tabs>
            <w:rPr/>
          </w:pPr>
          <w:hyperlink w:anchor="__RefHeading___Toc477642_581953129">
            <w:r>
              <w:rPr>
                <w:webHidden/>
                <w:rStyle w:val="IndexLink"/>
                <w:rtl w:val="true"/>
              </w:rPr>
              <w:t>الذین یفرحون لحزن رسول اللّه صلی الله علیه و آله</w:t>
            </w:r>
            <w:r>
              <w:rPr>
                <w:rStyle w:val="IndexLink"/>
                <w:rtl w:val="true"/>
              </w:rPr>
              <w:tab/>
            </w:r>
            <w:r>
              <w:rPr>
                <w:rStyle w:val="IndexLink"/>
              </w:rPr>
              <w:t>258</w:t>
            </w:r>
          </w:hyperlink>
        </w:p>
        <w:p>
          <w:pPr>
            <w:pStyle w:val="Contents2"/>
            <w:tabs>
              <w:tab w:val="clear" w:pos="8743"/>
              <w:tab w:val="right" w:pos="9026" w:leader="dot"/>
            </w:tabs>
            <w:rPr/>
          </w:pPr>
          <w:hyperlink w:anchor="__RefHeading___Toc477644_581953129">
            <w:r>
              <w:rPr>
                <w:webHidden/>
                <w:rStyle w:val="IndexLink"/>
              </w:rPr>
              <w:t>4</w:t>
            </w:r>
            <w:r>
              <w:rPr>
                <w:rStyle w:val="IndexLink"/>
                <w:rtl w:val="true"/>
              </w:rPr>
              <w:t xml:space="preserve">- </w:t>
            </w:r>
            <w:r>
              <w:rPr>
                <w:rStyle w:val="IndexLink"/>
                <w:rtl w:val="true"/>
              </w:rPr>
              <w:t>العدالة الاجتماعیة</w:t>
            </w:r>
            <w:r>
              <w:rPr>
                <w:rStyle w:val="IndexLink"/>
                <w:rtl w:val="true"/>
              </w:rPr>
              <w:tab/>
            </w:r>
            <w:r>
              <w:rPr>
                <w:rStyle w:val="IndexLink"/>
              </w:rPr>
              <w:t>259</w:t>
            </w:r>
          </w:hyperlink>
        </w:p>
        <w:p>
          <w:pPr>
            <w:pStyle w:val="Contents3"/>
            <w:tabs>
              <w:tab w:val="clear" w:pos="8459"/>
              <w:tab w:val="right" w:pos="9026" w:leader="dot"/>
            </w:tabs>
            <w:rPr/>
          </w:pPr>
          <w:hyperlink w:anchor="__RefHeading___Toc477646_58195312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477648_581953129">
            <w:r>
              <w:rPr>
                <w:webHidden/>
                <w:rStyle w:val="IndexLink"/>
                <w:rtl w:val="true"/>
              </w:rPr>
              <w:t>المقدّمة</w:t>
            </w:r>
            <w:r>
              <w:rPr>
                <w:rStyle w:val="IndexLink"/>
                <w:rtl w:val="true"/>
              </w:rPr>
              <w:tab/>
            </w:r>
            <w:r>
              <w:rPr>
                <w:rStyle w:val="IndexLink"/>
              </w:rPr>
              <w:t>260</w:t>
            </w:r>
          </w:hyperlink>
        </w:p>
        <w:p>
          <w:pPr>
            <w:pStyle w:val="Contents3"/>
            <w:tabs>
              <w:tab w:val="clear" w:pos="8459"/>
              <w:tab w:val="right" w:pos="9026" w:leader="dot"/>
            </w:tabs>
            <w:rPr/>
          </w:pPr>
          <w:hyperlink w:anchor="__RefHeading___Toc477650_581953129">
            <w:r>
              <w:rPr>
                <w:webHidden/>
                <w:rStyle w:val="IndexLink"/>
                <w:rtl w:val="true"/>
              </w:rPr>
              <w:t xml:space="preserve">المحاضرة الأُولی </w:t>
            </w:r>
            <w:r>
              <w:rPr>
                <w:rStyle w:val="IndexLink"/>
                <w:rtl w:val="true"/>
              </w:rPr>
              <w:t>:</w:t>
            </w:r>
            <w:r>
              <w:rPr>
                <w:rStyle w:val="IndexLink"/>
                <w:rtl w:val="true"/>
              </w:rPr>
              <w:t>التاریخ بین الروح والبدن</w:t>
            </w:r>
            <w:r>
              <w:rPr>
                <w:rStyle w:val="IndexLink"/>
                <w:rtl w:val="true"/>
              </w:rPr>
              <w:tab/>
            </w:r>
            <w:r>
              <w:rPr>
                <w:rStyle w:val="IndexLink"/>
              </w:rPr>
              <w:t>262</w:t>
            </w:r>
          </w:hyperlink>
        </w:p>
        <w:p>
          <w:pPr>
            <w:pStyle w:val="Contents4"/>
            <w:tabs>
              <w:tab w:val="clear" w:pos="8176"/>
              <w:tab w:val="right" w:pos="9026" w:leader="dot"/>
            </w:tabs>
            <w:rPr/>
          </w:pPr>
          <w:hyperlink w:anchor="__RefHeading___Toc477652_58195312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477654_581953129">
            <w:r>
              <w:rPr>
                <w:webHidden/>
                <w:rStyle w:val="IndexLink"/>
                <w:rtl w:val="true"/>
              </w:rPr>
              <w:t>الإحیاء العاشورائی</w:t>
            </w:r>
            <w:r>
              <w:rPr>
                <w:rStyle w:val="IndexLink"/>
                <w:rtl w:val="true"/>
              </w:rPr>
              <w:tab/>
            </w:r>
            <w:r>
              <w:rPr>
                <w:rStyle w:val="IndexLink"/>
              </w:rPr>
              <w:t>262</w:t>
            </w:r>
          </w:hyperlink>
        </w:p>
        <w:p>
          <w:pPr>
            <w:pStyle w:val="Contents4"/>
            <w:tabs>
              <w:tab w:val="clear" w:pos="8176"/>
              <w:tab w:val="right" w:pos="9026" w:leader="dot"/>
            </w:tabs>
            <w:rPr/>
          </w:pPr>
          <w:hyperlink w:anchor="__RefHeading___Toc477656_581953129">
            <w:r>
              <w:rPr>
                <w:webHidden/>
                <w:rStyle w:val="IndexLink"/>
                <w:rtl w:val="true"/>
              </w:rPr>
              <w:t>تأثیر إحیاء التاریخ فی شخصیة الإنسان وهویّته</w:t>
            </w:r>
            <w:r>
              <w:rPr>
                <w:rStyle w:val="IndexLink"/>
                <w:rtl w:val="true"/>
              </w:rPr>
              <w:tab/>
            </w:r>
            <w:r>
              <w:rPr>
                <w:rStyle w:val="IndexLink"/>
              </w:rPr>
              <w:t>263</w:t>
            </w:r>
          </w:hyperlink>
        </w:p>
        <w:p>
          <w:pPr>
            <w:pStyle w:val="Contents4"/>
            <w:tabs>
              <w:tab w:val="clear" w:pos="8176"/>
              <w:tab w:val="right" w:pos="9026" w:leader="dot"/>
            </w:tabs>
            <w:rPr/>
          </w:pPr>
          <w:hyperlink w:anchor="__RefHeading___Toc477658_581953129">
            <w:r>
              <w:rPr>
                <w:webHidden/>
                <w:rStyle w:val="IndexLink"/>
                <w:rtl w:val="true"/>
              </w:rPr>
              <w:t>الفرق بین طبیعة البدن وطبیعة الروح وأحکامهما</w:t>
            </w:r>
            <w:r>
              <w:rPr>
                <w:rStyle w:val="IndexLink"/>
                <w:rtl w:val="true"/>
              </w:rPr>
              <w:tab/>
            </w:r>
            <w:r>
              <w:rPr>
                <w:rStyle w:val="IndexLink"/>
              </w:rPr>
              <w:t>263</w:t>
            </w:r>
          </w:hyperlink>
        </w:p>
        <w:p>
          <w:pPr>
            <w:pStyle w:val="Contents4"/>
            <w:tabs>
              <w:tab w:val="clear" w:pos="8176"/>
              <w:tab w:val="right" w:pos="9026" w:leader="dot"/>
            </w:tabs>
            <w:rPr/>
          </w:pPr>
          <w:hyperlink w:anchor="__RefHeading___Toc477660_581953129">
            <w:r>
              <w:rPr>
                <w:webHidden/>
                <w:rStyle w:val="IndexLink"/>
                <w:rtl w:val="true"/>
              </w:rPr>
              <w:t>علاقة التاریخ بالبدن والروح</w:t>
            </w:r>
            <w:r>
              <w:rPr>
                <w:rStyle w:val="IndexLink"/>
                <w:rtl w:val="true"/>
              </w:rPr>
              <w:tab/>
            </w:r>
            <w:r>
              <w:rPr>
                <w:rStyle w:val="IndexLink"/>
              </w:rPr>
              <w:t>263</w:t>
            </w:r>
          </w:hyperlink>
        </w:p>
        <w:p>
          <w:pPr>
            <w:pStyle w:val="Contents4"/>
            <w:tabs>
              <w:tab w:val="clear" w:pos="8176"/>
              <w:tab w:val="right" w:pos="9026" w:leader="dot"/>
            </w:tabs>
            <w:rPr/>
          </w:pPr>
          <w:hyperlink w:anchor="__RefHeading___Toc477662_581953129">
            <w:r>
              <w:rPr>
                <w:webHidden/>
                <w:rStyle w:val="IndexLink"/>
                <w:rtl w:val="true"/>
              </w:rPr>
              <w:t>التاریخ بالنسبة للروح شیء حاضر</w:t>
            </w:r>
            <w:r>
              <w:rPr>
                <w:rStyle w:val="IndexLink"/>
                <w:rtl w:val="true"/>
              </w:rPr>
              <w:tab/>
            </w:r>
            <w:r>
              <w:rPr>
                <w:rStyle w:val="IndexLink"/>
              </w:rPr>
              <w:t>264</w:t>
            </w:r>
          </w:hyperlink>
        </w:p>
        <w:p>
          <w:pPr>
            <w:pStyle w:val="Contents4"/>
            <w:tabs>
              <w:tab w:val="clear" w:pos="8176"/>
              <w:tab w:val="right" w:pos="9026" w:leader="dot"/>
            </w:tabs>
            <w:rPr/>
          </w:pPr>
          <w:hyperlink w:anchor="__RefHeading___Toc477664_581953129">
            <w:r>
              <w:rPr>
                <w:webHidden/>
                <w:rStyle w:val="IndexLink"/>
                <w:rtl w:val="true"/>
              </w:rPr>
              <w:t>تکالیف الروح تختلف عن تکالیف البدن</w:t>
            </w:r>
            <w:r>
              <w:rPr>
                <w:rStyle w:val="IndexLink"/>
                <w:rtl w:val="true"/>
              </w:rPr>
              <w:tab/>
            </w:r>
            <w:r>
              <w:rPr>
                <w:rStyle w:val="IndexLink"/>
              </w:rPr>
              <w:t>264</w:t>
            </w:r>
          </w:hyperlink>
        </w:p>
        <w:p>
          <w:pPr>
            <w:pStyle w:val="Contents4"/>
            <w:tabs>
              <w:tab w:val="clear" w:pos="8176"/>
              <w:tab w:val="right" w:pos="9026" w:leader="dot"/>
            </w:tabs>
            <w:rPr/>
          </w:pPr>
          <w:hyperlink w:anchor="__RefHeading___Toc477666_581953129">
            <w:r>
              <w:rPr>
                <w:webHidden/>
                <w:rStyle w:val="IndexLink"/>
                <w:rtl w:val="true"/>
              </w:rPr>
              <w:t>للروح شرف خاص یمیّزها عن باقی المخلوقات</w:t>
            </w:r>
            <w:r>
              <w:rPr>
                <w:rStyle w:val="IndexLink"/>
                <w:rtl w:val="true"/>
              </w:rPr>
              <w:tab/>
            </w:r>
            <w:r>
              <w:rPr>
                <w:rStyle w:val="IndexLink"/>
              </w:rPr>
              <w:t>265</w:t>
            </w:r>
          </w:hyperlink>
        </w:p>
        <w:p>
          <w:pPr>
            <w:pStyle w:val="Contents4"/>
            <w:tabs>
              <w:tab w:val="clear" w:pos="8176"/>
              <w:tab w:val="right" w:pos="9026" w:leader="dot"/>
            </w:tabs>
            <w:rPr/>
          </w:pPr>
          <w:hyperlink w:anchor="__RefHeading___Toc477668_581953129">
            <w:r>
              <w:rPr>
                <w:webHidden/>
                <w:rStyle w:val="IndexLink"/>
                <w:rtl w:val="true"/>
              </w:rPr>
              <w:t>الروح تصاحب البدن</w:t>
            </w:r>
            <w:r>
              <w:rPr>
                <w:rStyle w:val="IndexLink"/>
                <w:rtl w:val="true"/>
              </w:rPr>
              <w:tab/>
            </w:r>
            <w:r>
              <w:rPr>
                <w:rStyle w:val="IndexLink"/>
              </w:rPr>
              <w:t>265</w:t>
            </w:r>
          </w:hyperlink>
        </w:p>
        <w:p>
          <w:pPr>
            <w:pStyle w:val="Contents4"/>
            <w:tabs>
              <w:tab w:val="clear" w:pos="8176"/>
              <w:tab w:val="right" w:pos="9026" w:leader="dot"/>
            </w:tabs>
            <w:rPr/>
          </w:pPr>
          <w:hyperlink w:anchor="__RefHeading___Toc477670_581953129">
            <w:r>
              <w:rPr>
                <w:webHidden/>
                <w:rStyle w:val="IndexLink"/>
                <w:rtl w:val="true"/>
              </w:rPr>
              <w:t>تعمیم أحکام البدن علی الروح خطأ جسیم</w:t>
            </w:r>
            <w:r>
              <w:rPr>
                <w:rStyle w:val="IndexLink"/>
                <w:rtl w:val="true"/>
              </w:rPr>
              <w:tab/>
            </w:r>
            <w:r>
              <w:rPr>
                <w:rStyle w:val="IndexLink"/>
              </w:rPr>
              <w:t>265</w:t>
            </w:r>
          </w:hyperlink>
        </w:p>
        <w:p>
          <w:pPr>
            <w:pStyle w:val="Contents4"/>
            <w:tabs>
              <w:tab w:val="clear" w:pos="8176"/>
              <w:tab w:val="right" w:pos="9026" w:leader="dot"/>
            </w:tabs>
            <w:rPr/>
          </w:pPr>
          <w:hyperlink w:anchor="__RefHeading___Toc477672_581953129">
            <w:r>
              <w:rPr>
                <w:webHidden/>
                <w:rStyle w:val="IndexLink"/>
                <w:rtl w:val="true"/>
              </w:rPr>
              <w:t>جدوی نبش التاریخ</w:t>
            </w:r>
            <w:r>
              <w:rPr>
                <w:rStyle w:val="IndexLink"/>
                <w:rtl w:val="true"/>
              </w:rPr>
              <w:tab/>
            </w:r>
            <w:r>
              <w:rPr>
                <w:rStyle w:val="IndexLink"/>
              </w:rPr>
              <w:t>266</w:t>
            </w:r>
          </w:hyperlink>
        </w:p>
        <w:p>
          <w:pPr>
            <w:pStyle w:val="Contents4"/>
            <w:tabs>
              <w:tab w:val="clear" w:pos="8176"/>
              <w:tab w:val="right" w:pos="9026" w:leader="dot"/>
            </w:tabs>
            <w:rPr/>
          </w:pPr>
          <w:hyperlink w:anchor="__RefHeading___Toc477674_581953129">
            <w:r>
              <w:rPr>
                <w:webHidden/>
                <w:rStyle w:val="IndexLink"/>
                <w:rtl w:val="true"/>
              </w:rPr>
              <w:t>موقف القرآن من الحوادث التاریخیة</w:t>
            </w:r>
            <w:r>
              <w:rPr>
                <w:rStyle w:val="IndexLink"/>
                <w:rtl w:val="true"/>
              </w:rPr>
              <w:tab/>
            </w:r>
            <w:r>
              <w:rPr>
                <w:rStyle w:val="IndexLink"/>
              </w:rPr>
              <w:t>266</w:t>
            </w:r>
          </w:hyperlink>
        </w:p>
        <w:p>
          <w:pPr>
            <w:pStyle w:val="Contents4"/>
            <w:tabs>
              <w:tab w:val="clear" w:pos="8176"/>
              <w:tab w:val="right" w:pos="9026" w:leader="dot"/>
            </w:tabs>
            <w:rPr/>
          </w:pPr>
          <w:hyperlink w:anchor="__RefHeading___Toc477676_581953129">
            <w:r>
              <w:rPr>
                <w:webHidden/>
                <w:rStyle w:val="IndexLink"/>
                <w:rtl w:val="true"/>
              </w:rPr>
              <w:t>القرآن الکریم یخاطب الروح</w:t>
            </w:r>
            <w:r>
              <w:rPr>
                <w:rStyle w:val="IndexLink"/>
                <w:rtl w:val="true"/>
              </w:rPr>
              <w:tab/>
            </w:r>
            <w:r>
              <w:rPr>
                <w:rStyle w:val="IndexLink"/>
              </w:rPr>
              <w:t>267</w:t>
            </w:r>
          </w:hyperlink>
        </w:p>
        <w:p>
          <w:pPr>
            <w:pStyle w:val="Contents4"/>
            <w:tabs>
              <w:tab w:val="clear" w:pos="8176"/>
              <w:tab w:val="right" w:pos="9026" w:leader="dot"/>
            </w:tabs>
            <w:rPr/>
          </w:pPr>
          <w:hyperlink w:anchor="__RefHeading___Toc477678_581953129">
            <w:r>
              <w:rPr>
                <w:webHidden/>
                <w:rStyle w:val="IndexLink"/>
                <w:rtl w:val="true"/>
              </w:rPr>
              <w:t>الحبّ والبغض مسؤولیة کبیرة</w:t>
            </w:r>
            <w:r>
              <w:rPr>
                <w:rStyle w:val="IndexLink"/>
                <w:rtl w:val="true"/>
              </w:rPr>
              <w:tab/>
            </w:r>
            <w:r>
              <w:rPr>
                <w:rStyle w:val="IndexLink"/>
              </w:rPr>
              <w:t>268</w:t>
            </w:r>
          </w:hyperlink>
        </w:p>
        <w:p>
          <w:pPr>
            <w:pStyle w:val="Contents4"/>
            <w:tabs>
              <w:tab w:val="clear" w:pos="8176"/>
              <w:tab w:val="right" w:pos="9026" w:leader="dot"/>
            </w:tabs>
            <w:rPr/>
          </w:pPr>
          <w:hyperlink w:anchor="__RefHeading___Toc477680_581953129">
            <w:r>
              <w:rPr>
                <w:webHidden/>
                <w:rStyle w:val="IndexLink"/>
                <w:rtl w:val="true"/>
              </w:rPr>
              <w:t>الروح هی المسؤولة عن الحبّ والبغض</w:t>
            </w:r>
            <w:r>
              <w:rPr>
                <w:rStyle w:val="IndexLink"/>
                <w:rtl w:val="true"/>
              </w:rPr>
              <w:tab/>
            </w:r>
            <w:r>
              <w:rPr>
                <w:rStyle w:val="IndexLink"/>
              </w:rPr>
              <w:t>268</w:t>
            </w:r>
          </w:hyperlink>
        </w:p>
        <w:p>
          <w:pPr>
            <w:pStyle w:val="Contents4"/>
            <w:tabs>
              <w:tab w:val="clear" w:pos="8176"/>
              <w:tab w:val="right" w:pos="9026" w:leader="dot"/>
            </w:tabs>
            <w:rPr/>
          </w:pPr>
          <w:hyperlink w:anchor="__RefHeading___Toc477682_581953129">
            <w:r>
              <w:rPr>
                <w:webHidden/>
                <w:rStyle w:val="IndexLink"/>
                <w:rtl w:val="true"/>
              </w:rPr>
              <w:t>تشدّد القرآن الکریم وأهل البیت علیهم السلام فی مسألة الحبّ والبغض</w:t>
            </w:r>
            <w:r>
              <w:rPr>
                <w:rStyle w:val="IndexLink"/>
                <w:rtl w:val="true"/>
              </w:rPr>
              <w:tab/>
            </w:r>
            <w:r>
              <w:rPr>
                <w:rStyle w:val="IndexLink"/>
              </w:rPr>
              <w:t>268</w:t>
            </w:r>
          </w:hyperlink>
        </w:p>
        <w:p>
          <w:pPr>
            <w:pStyle w:val="Contents4"/>
            <w:tabs>
              <w:tab w:val="clear" w:pos="8176"/>
              <w:tab w:val="right" w:pos="9026" w:leader="dot"/>
            </w:tabs>
            <w:rPr/>
          </w:pPr>
          <w:hyperlink w:anchor="__RefHeading___Toc477684_581953129">
            <w:r>
              <w:rPr>
                <w:webHidden/>
                <w:rStyle w:val="IndexLink"/>
                <w:rtl w:val="true"/>
              </w:rPr>
              <w:t>الأمر بالمعروف والنهی عن المنکر البدنی والقلبی</w:t>
            </w:r>
            <w:r>
              <w:rPr>
                <w:rStyle w:val="IndexLink"/>
                <w:rtl w:val="true"/>
              </w:rPr>
              <w:tab/>
            </w:r>
            <w:r>
              <w:rPr>
                <w:rStyle w:val="IndexLink"/>
              </w:rPr>
              <w:t>269</w:t>
            </w:r>
          </w:hyperlink>
        </w:p>
        <w:p>
          <w:pPr>
            <w:pStyle w:val="Contents4"/>
            <w:tabs>
              <w:tab w:val="clear" w:pos="8176"/>
              <w:tab w:val="right" w:pos="9026" w:leader="dot"/>
            </w:tabs>
            <w:rPr/>
          </w:pPr>
          <w:hyperlink w:anchor="__RefHeading___Toc477686_581953129">
            <w:r>
              <w:rPr>
                <w:webHidden/>
                <w:rStyle w:val="IndexLink"/>
                <w:rtl w:val="true"/>
              </w:rPr>
              <w:t>تساند من ؟ تتضامن مع منّ</w:t>
            </w:r>
            <w:r>
              <w:rPr>
                <w:rStyle w:val="IndexLink"/>
                <w:rtl w:val="true"/>
              </w:rPr>
              <w:tab/>
            </w:r>
            <w:r>
              <w:rPr>
                <w:rStyle w:val="IndexLink"/>
              </w:rPr>
              <w:t>270</w:t>
            </w:r>
          </w:hyperlink>
        </w:p>
        <w:p>
          <w:pPr>
            <w:pStyle w:val="Contents4"/>
            <w:tabs>
              <w:tab w:val="clear" w:pos="8176"/>
              <w:tab w:val="right" w:pos="9026" w:leader="dot"/>
            </w:tabs>
            <w:rPr/>
          </w:pPr>
          <w:hyperlink w:anchor="__RefHeading___Toc477688_581953129">
            <w:r>
              <w:rPr>
                <w:webHidden/>
                <w:rStyle w:val="IndexLink"/>
                <w:rtl w:val="true"/>
              </w:rPr>
              <w:t>الفائدة من الموقف السلبی تجاه الطغیان التاریخی</w:t>
            </w:r>
            <w:r>
              <w:rPr>
                <w:rStyle w:val="IndexLink"/>
                <w:rtl w:val="true"/>
              </w:rPr>
              <w:tab/>
            </w:r>
            <w:r>
              <w:rPr>
                <w:rStyle w:val="IndexLink"/>
              </w:rPr>
              <w:t>270</w:t>
            </w:r>
          </w:hyperlink>
        </w:p>
        <w:p>
          <w:pPr>
            <w:pStyle w:val="Contents4"/>
            <w:tabs>
              <w:tab w:val="clear" w:pos="8176"/>
              <w:tab w:val="right" w:pos="9026" w:leader="dot"/>
            </w:tabs>
            <w:rPr/>
          </w:pPr>
          <w:hyperlink w:anchor="__RefHeading___Toc477690_581953129">
            <w:r>
              <w:rPr>
                <w:webHidden/>
                <w:rStyle w:val="IndexLink"/>
                <w:rtl w:val="true"/>
              </w:rPr>
              <w:t>خلود الروح الحسینیة</w:t>
            </w:r>
            <w:r>
              <w:rPr>
                <w:rStyle w:val="IndexLink"/>
                <w:rtl w:val="true"/>
              </w:rPr>
              <w:tab/>
            </w:r>
            <w:r>
              <w:rPr>
                <w:rStyle w:val="IndexLink"/>
              </w:rPr>
              <w:t>271</w:t>
            </w:r>
          </w:hyperlink>
        </w:p>
        <w:p>
          <w:pPr>
            <w:pStyle w:val="Contents4"/>
            <w:tabs>
              <w:tab w:val="clear" w:pos="8176"/>
              <w:tab w:val="right" w:pos="9026" w:leader="dot"/>
            </w:tabs>
            <w:rPr/>
          </w:pPr>
          <w:hyperlink w:anchor="__RefHeading___Toc477692_581953129">
            <w:r>
              <w:rPr>
                <w:webHidden/>
                <w:rStyle w:val="IndexLink"/>
                <w:rtl w:val="true"/>
              </w:rPr>
              <w:t>معیاریّة الثورة الحسینیة</w:t>
            </w:r>
            <w:r>
              <w:rPr>
                <w:rStyle w:val="IndexLink"/>
                <w:rtl w:val="true"/>
              </w:rPr>
              <w:tab/>
            </w:r>
            <w:r>
              <w:rPr>
                <w:rStyle w:val="IndexLink"/>
              </w:rPr>
              <w:t>271</w:t>
            </w:r>
          </w:hyperlink>
        </w:p>
        <w:p>
          <w:pPr>
            <w:pStyle w:val="Contents4"/>
            <w:tabs>
              <w:tab w:val="clear" w:pos="8176"/>
              <w:tab w:val="right" w:pos="9026" w:leader="dot"/>
            </w:tabs>
            <w:rPr/>
          </w:pPr>
          <w:hyperlink w:anchor="__RefHeading___Toc477694_581953129">
            <w:r>
              <w:rPr>
                <w:webHidden/>
                <w:rStyle w:val="IndexLink"/>
                <w:rtl w:val="true"/>
              </w:rPr>
              <w:t>النموذج الحسینی لن یتکرر بنفس المستوی</w:t>
            </w:r>
            <w:r>
              <w:rPr>
                <w:rStyle w:val="IndexLink"/>
                <w:rtl w:val="true"/>
              </w:rPr>
              <w:tab/>
            </w:r>
            <w:r>
              <w:rPr>
                <w:rStyle w:val="IndexLink"/>
              </w:rPr>
              <w:t>272</w:t>
            </w:r>
          </w:hyperlink>
        </w:p>
        <w:p>
          <w:pPr>
            <w:pStyle w:val="Contents3"/>
            <w:tabs>
              <w:tab w:val="clear" w:pos="8459"/>
              <w:tab w:val="right" w:pos="9026" w:leader="dot"/>
            </w:tabs>
            <w:rPr/>
          </w:pPr>
          <w:hyperlink w:anchor="__RefHeading___Toc477696_581953129">
            <w:r>
              <w:rPr>
                <w:webHidden/>
                <w:rStyle w:val="IndexLink"/>
                <w:rtl w:val="true"/>
              </w:rPr>
              <w:t>المحاضرة الثانیة مواجهة عناصر القوّة الشیعیة</w:t>
            </w:r>
            <w:r>
              <w:rPr>
                <w:rStyle w:val="IndexLink"/>
                <w:rtl w:val="true"/>
              </w:rPr>
              <w:tab/>
            </w:r>
            <w:r>
              <w:rPr>
                <w:rStyle w:val="IndexLink"/>
              </w:rPr>
              <w:t>273</w:t>
            </w:r>
          </w:hyperlink>
        </w:p>
        <w:p>
          <w:pPr>
            <w:pStyle w:val="Contents4"/>
            <w:tabs>
              <w:tab w:val="clear" w:pos="8176"/>
              <w:tab w:val="right" w:pos="9026" w:leader="dot"/>
            </w:tabs>
            <w:rPr/>
          </w:pPr>
          <w:hyperlink w:anchor="__RefHeading___Toc477698_581953129">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477700_581953129">
            <w:r>
              <w:rPr>
                <w:webHidden/>
                <w:rStyle w:val="IndexLink"/>
                <w:rtl w:val="true"/>
              </w:rPr>
              <w:t>عاشوراء النموذج الأمثل للإصلاح</w:t>
            </w:r>
            <w:r>
              <w:rPr>
                <w:rStyle w:val="IndexLink"/>
                <w:rtl w:val="true"/>
              </w:rPr>
              <w:tab/>
            </w:r>
            <w:r>
              <w:rPr>
                <w:rStyle w:val="IndexLink"/>
              </w:rPr>
              <w:t>273</w:t>
            </w:r>
          </w:hyperlink>
        </w:p>
        <w:p>
          <w:pPr>
            <w:pStyle w:val="Contents4"/>
            <w:tabs>
              <w:tab w:val="clear" w:pos="8176"/>
              <w:tab w:val="right" w:pos="9026" w:leader="dot"/>
            </w:tabs>
            <w:rPr/>
          </w:pPr>
          <w:hyperlink w:anchor="__RefHeading___Toc477702_581953129">
            <w:r>
              <w:rPr>
                <w:webHidden/>
                <w:rStyle w:val="IndexLink"/>
                <w:rtl w:val="true"/>
              </w:rPr>
              <w:t>لابدّ من دراسة التاریخ دراسة موضوعیة</w:t>
            </w:r>
            <w:r>
              <w:rPr>
                <w:rStyle w:val="IndexLink"/>
                <w:rtl w:val="true"/>
              </w:rPr>
              <w:tab/>
            </w:r>
            <w:r>
              <w:rPr>
                <w:rStyle w:val="IndexLink"/>
              </w:rPr>
              <w:t>274</w:t>
            </w:r>
          </w:hyperlink>
        </w:p>
        <w:p>
          <w:pPr>
            <w:pStyle w:val="Contents4"/>
            <w:tabs>
              <w:tab w:val="clear" w:pos="8176"/>
              <w:tab w:val="right" w:pos="9026" w:leader="dot"/>
            </w:tabs>
            <w:rPr/>
          </w:pPr>
          <w:hyperlink w:anchor="__RefHeading___Toc477704_581953129">
            <w:r>
              <w:rPr>
                <w:webHidden/>
                <w:rStyle w:val="IndexLink"/>
                <w:rtl w:val="true"/>
              </w:rPr>
              <w:t>الأعراف تمثّل خطوط حمراء</w:t>
            </w:r>
            <w:r>
              <w:rPr>
                <w:rStyle w:val="IndexLink"/>
                <w:rtl w:val="true"/>
              </w:rPr>
              <w:tab/>
            </w:r>
            <w:r>
              <w:rPr>
                <w:rStyle w:val="IndexLink"/>
              </w:rPr>
              <w:t>274</w:t>
            </w:r>
          </w:hyperlink>
        </w:p>
        <w:p>
          <w:pPr>
            <w:pStyle w:val="Contents4"/>
            <w:tabs>
              <w:tab w:val="clear" w:pos="8176"/>
              <w:tab w:val="right" w:pos="9026" w:leader="dot"/>
            </w:tabs>
            <w:rPr/>
          </w:pPr>
          <w:hyperlink w:anchor="__RefHeading___Toc477706_581953129">
            <w:r>
              <w:rPr>
                <w:webHidden/>
                <w:rStyle w:val="IndexLink"/>
                <w:rtl w:val="true"/>
              </w:rPr>
              <w:t>الجذور التاریخیة لظاهرة الإرهاب</w:t>
            </w:r>
            <w:r>
              <w:rPr>
                <w:rStyle w:val="IndexLink"/>
                <w:rtl w:val="true"/>
              </w:rPr>
              <w:tab/>
            </w:r>
            <w:r>
              <w:rPr>
                <w:rStyle w:val="IndexLink"/>
              </w:rPr>
              <w:t>275</w:t>
            </w:r>
          </w:hyperlink>
        </w:p>
        <w:p>
          <w:pPr>
            <w:pStyle w:val="Contents4"/>
            <w:tabs>
              <w:tab w:val="clear" w:pos="8176"/>
              <w:tab w:val="right" w:pos="9026" w:leader="dot"/>
            </w:tabs>
            <w:rPr/>
          </w:pPr>
          <w:hyperlink w:anchor="__RefHeading___Toc477708_581953129">
            <w:r>
              <w:rPr>
                <w:webHidden/>
                <w:rStyle w:val="IndexLink"/>
                <w:rtl w:val="true"/>
              </w:rPr>
              <w:t>الحسین علیه السلام یواجه الطواغیت فی کلّ العصور</w:t>
            </w:r>
            <w:r>
              <w:rPr>
                <w:rStyle w:val="IndexLink"/>
                <w:rtl w:val="true"/>
              </w:rPr>
              <w:tab/>
            </w:r>
            <w:r>
              <w:rPr>
                <w:rStyle w:val="IndexLink"/>
              </w:rPr>
              <w:t>275</w:t>
            </w:r>
          </w:hyperlink>
        </w:p>
        <w:p>
          <w:pPr>
            <w:pStyle w:val="Contents4"/>
            <w:tabs>
              <w:tab w:val="clear" w:pos="8176"/>
              <w:tab w:val="right" w:pos="9026" w:leader="dot"/>
            </w:tabs>
            <w:rPr/>
          </w:pPr>
          <w:hyperlink w:anchor="__RefHeading___Toc477710_581953129">
            <w:r>
              <w:rPr>
                <w:webHidden/>
                <w:rStyle w:val="IndexLink"/>
                <w:rtl w:val="true"/>
              </w:rPr>
              <w:t>کربلاء سرّ قوّة الشیعة</w:t>
            </w:r>
            <w:r>
              <w:rPr>
                <w:rStyle w:val="IndexLink"/>
                <w:rtl w:val="true"/>
              </w:rPr>
              <w:tab/>
            </w:r>
            <w:r>
              <w:rPr>
                <w:rStyle w:val="IndexLink"/>
              </w:rPr>
              <w:t>275</w:t>
            </w:r>
          </w:hyperlink>
        </w:p>
        <w:p>
          <w:pPr>
            <w:pStyle w:val="Contents4"/>
            <w:tabs>
              <w:tab w:val="clear" w:pos="8176"/>
              <w:tab w:val="right" w:pos="9026" w:leader="dot"/>
            </w:tabs>
            <w:rPr/>
          </w:pPr>
          <w:hyperlink w:anchor="__RefHeading___Toc477712_581953129">
            <w:r>
              <w:rPr>
                <w:webHidden/>
                <w:rStyle w:val="IndexLink"/>
                <w:rtl w:val="true"/>
              </w:rPr>
              <w:t>السید السیستانی وموقفه من الانتخابات</w:t>
            </w:r>
            <w:r>
              <w:rPr>
                <w:rStyle w:val="IndexLink"/>
                <w:rtl w:val="true"/>
              </w:rPr>
              <w:tab/>
            </w:r>
            <w:r>
              <w:rPr>
                <w:rStyle w:val="IndexLink"/>
              </w:rPr>
              <w:t>276</w:t>
            </w:r>
          </w:hyperlink>
        </w:p>
        <w:p>
          <w:pPr>
            <w:pStyle w:val="Contents4"/>
            <w:tabs>
              <w:tab w:val="clear" w:pos="8176"/>
              <w:tab w:val="right" w:pos="9026" w:leader="dot"/>
            </w:tabs>
            <w:rPr/>
          </w:pPr>
          <w:hyperlink w:anchor="__RefHeading___Toc477714_581953129">
            <w:r>
              <w:rPr>
                <w:webHidden/>
                <w:rStyle w:val="IndexLink"/>
                <w:rtl w:val="true"/>
              </w:rPr>
              <w:t>عنصر المرجعیة نقطة قوّة أُخری</w:t>
            </w:r>
            <w:r>
              <w:rPr>
                <w:rStyle w:val="IndexLink"/>
                <w:rtl w:val="true"/>
              </w:rPr>
              <w:tab/>
            </w:r>
            <w:r>
              <w:rPr>
                <w:rStyle w:val="IndexLink"/>
              </w:rPr>
              <w:t>276</w:t>
            </w:r>
          </w:hyperlink>
        </w:p>
        <w:p>
          <w:pPr>
            <w:pStyle w:val="Contents4"/>
            <w:tabs>
              <w:tab w:val="clear" w:pos="8176"/>
              <w:tab w:val="right" w:pos="9026" w:leader="dot"/>
            </w:tabs>
            <w:rPr/>
          </w:pPr>
          <w:hyperlink w:anchor="__RefHeading___Toc477716_581953129">
            <w:r>
              <w:rPr>
                <w:webHidden/>
                <w:rStyle w:val="IndexLink"/>
                <w:rtl w:val="true"/>
              </w:rPr>
              <w:t>خطط منظّمة لإضعاف دور المرجعیة</w:t>
            </w:r>
            <w:r>
              <w:rPr>
                <w:rStyle w:val="IndexLink"/>
                <w:rtl w:val="true"/>
              </w:rPr>
              <w:tab/>
            </w:r>
            <w:r>
              <w:rPr>
                <w:rStyle w:val="IndexLink"/>
              </w:rPr>
              <w:t>277</w:t>
            </w:r>
          </w:hyperlink>
        </w:p>
        <w:p>
          <w:pPr>
            <w:pStyle w:val="Contents3"/>
            <w:tabs>
              <w:tab w:val="clear" w:pos="8459"/>
              <w:tab w:val="right" w:pos="9026" w:leader="dot"/>
            </w:tabs>
            <w:rPr/>
          </w:pPr>
          <w:hyperlink w:anchor="__RefHeading___Toc477718_581953129">
            <w:r>
              <w:rPr>
                <w:webHidden/>
                <w:rStyle w:val="IndexLink"/>
                <w:rtl w:val="true"/>
              </w:rPr>
              <w:t>المحاضرة الثالثة محوریة العدل لا محوریة القانون</w:t>
            </w:r>
            <w:r>
              <w:rPr>
                <w:rStyle w:val="IndexLink"/>
                <w:rtl w:val="true"/>
              </w:rPr>
              <w:tab/>
            </w:r>
            <w:r>
              <w:rPr>
                <w:rStyle w:val="IndexLink"/>
              </w:rPr>
              <w:t>278</w:t>
            </w:r>
          </w:hyperlink>
        </w:p>
        <w:p>
          <w:pPr>
            <w:pStyle w:val="Contents4"/>
            <w:tabs>
              <w:tab w:val="clear" w:pos="8176"/>
              <w:tab w:val="right" w:pos="9026" w:leader="dot"/>
            </w:tabs>
            <w:rPr/>
          </w:pPr>
          <w:hyperlink w:anchor="__RefHeading___Toc477720_581953129">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477722_581953129">
            <w:r>
              <w:rPr>
                <w:webHidden/>
                <w:rStyle w:val="IndexLink"/>
                <w:rtl w:val="true"/>
              </w:rPr>
              <w:t>محوریة العدل فی خطاب سید الشهداء علیه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477724_581953129">
            <w:r>
              <w:rPr>
                <w:webHidden/>
                <w:rStyle w:val="IndexLink"/>
                <w:rtl w:val="true"/>
              </w:rPr>
              <w:t>ترکیز أهل البیت علیهم السلام علی العدل</w:t>
            </w:r>
            <w:r>
              <w:rPr>
                <w:rStyle w:val="IndexLink"/>
                <w:rtl w:val="true"/>
              </w:rPr>
              <w:tab/>
            </w:r>
            <w:r>
              <w:rPr>
                <w:rStyle w:val="IndexLink"/>
              </w:rPr>
              <w:t>279</w:t>
            </w:r>
          </w:hyperlink>
        </w:p>
        <w:p>
          <w:pPr>
            <w:pStyle w:val="Contents4"/>
            <w:tabs>
              <w:tab w:val="clear" w:pos="8176"/>
              <w:tab w:val="right" w:pos="9026" w:leader="dot"/>
            </w:tabs>
            <w:rPr/>
          </w:pPr>
          <w:hyperlink w:anchor="__RefHeading___Toc477726_581953129">
            <w:r>
              <w:rPr>
                <w:webHidden/>
                <w:rStyle w:val="IndexLink"/>
                <w:rtl w:val="true"/>
              </w:rPr>
              <w:t>العدل من أصول الدین عند الشیعة دون غیرهم</w:t>
            </w:r>
            <w:r>
              <w:rPr>
                <w:rStyle w:val="IndexLink"/>
                <w:rtl w:val="true"/>
              </w:rPr>
              <w:tab/>
            </w:r>
            <w:r>
              <w:rPr>
                <w:rStyle w:val="IndexLink"/>
              </w:rPr>
              <w:t>279</w:t>
            </w:r>
          </w:hyperlink>
        </w:p>
        <w:p>
          <w:pPr>
            <w:pStyle w:val="Contents4"/>
            <w:tabs>
              <w:tab w:val="clear" w:pos="8176"/>
              <w:tab w:val="right" w:pos="9026" w:leader="dot"/>
            </w:tabs>
            <w:rPr/>
          </w:pPr>
          <w:hyperlink w:anchor="__RefHeading___Toc477728_581953129">
            <w:r>
              <w:rPr>
                <w:webHidden/>
                <w:rStyle w:val="IndexLink"/>
                <w:rtl w:val="true"/>
              </w:rPr>
              <w:t>البشریة تتّجه نحو العدل بالفطرة</w:t>
            </w:r>
            <w:r>
              <w:rPr>
                <w:rStyle w:val="IndexLink"/>
                <w:rtl w:val="true"/>
              </w:rPr>
              <w:tab/>
            </w:r>
            <w:r>
              <w:rPr>
                <w:rStyle w:val="IndexLink"/>
              </w:rPr>
              <w:t>280</w:t>
            </w:r>
          </w:hyperlink>
        </w:p>
        <w:p>
          <w:pPr>
            <w:pStyle w:val="Contents4"/>
            <w:tabs>
              <w:tab w:val="clear" w:pos="8176"/>
              <w:tab w:val="right" w:pos="9026" w:leader="dot"/>
            </w:tabs>
            <w:rPr/>
          </w:pPr>
          <w:hyperlink w:anchor="__RefHeading___Toc477730_581953129">
            <w:r>
              <w:rPr>
                <w:webHidden/>
                <w:rStyle w:val="IndexLink"/>
                <w:rtl w:val="true"/>
              </w:rPr>
              <w:t>مصادقة الأمم المتحدة علی عهد الإمام علی علیه السلام لمالک الأشتر</w:t>
            </w:r>
            <w:r>
              <w:rPr>
                <w:rStyle w:val="IndexLink"/>
                <w:rtl w:val="true"/>
              </w:rPr>
              <w:tab/>
            </w:r>
            <w:r>
              <w:rPr>
                <w:rStyle w:val="IndexLink"/>
              </w:rPr>
              <w:t>280</w:t>
            </w:r>
          </w:hyperlink>
        </w:p>
        <w:p>
          <w:pPr>
            <w:pStyle w:val="Contents4"/>
            <w:tabs>
              <w:tab w:val="clear" w:pos="8176"/>
              <w:tab w:val="right" w:pos="9026" w:leader="dot"/>
            </w:tabs>
            <w:rPr/>
          </w:pPr>
          <w:hyperlink w:anchor="__RefHeading___Toc477732_581953129">
            <w:r>
              <w:rPr>
                <w:webHidden/>
                <w:rStyle w:val="IndexLink"/>
                <w:rtl w:val="true"/>
              </w:rPr>
              <w:t>تقصیر الشیعة فی نشر فکر أهل البیت علیهم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477734_581953129">
            <w:r>
              <w:rPr>
                <w:webHidden/>
                <w:rStyle w:val="IndexLink"/>
                <w:rtl w:val="true"/>
              </w:rPr>
              <w:t>عداوة القوی الإقطاعیة للعدل</w:t>
            </w:r>
            <w:r>
              <w:rPr>
                <w:rStyle w:val="IndexLink"/>
                <w:rtl w:val="true"/>
              </w:rPr>
              <w:tab/>
            </w:r>
            <w:r>
              <w:rPr>
                <w:rStyle w:val="IndexLink"/>
              </w:rPr>
              <w:t>281</w:t>
            </w:r>
          </w:hyperlink>
        </w:p>
        <w:p>
          <w:pPr>
            <w:pStyle w:val="Contents4"/>
            <w:tabs>
              <w:tab w:val="clear" w:pos="8176"/>
              <w:tab w:val="right" w:pos="9026" w:leader="dot"/>
            </w:tabs>
            <w:rPr/>
          </w:pPr>
          <w:hyperlink w:anchor="__RefHeading___Toc477736_581953129">
            <w:r>
              <w:rPr>
                <w:webHidden/>
                <w:rStyle w:val="IndexLink"/>
                <w:rtl w:val="true"/>
              </w:rPr>
              <w:t>شبهة حاجة الحق إلی تشریع قانون</w:t>
            </w:r>
            <w:r>
              <w:rPr>
                <w:rStyle w:val="IndexLink"/>
                <w:rtl w:val="true"/>
              </w:rPr>
              <w:tab/>
            </w:r>
            <w:r>
              <w:rPr>
                <w:rStyle w:val="IndexLink"/>
              </w:rPr>
              <w:t>281</w:t>
            </w:r>
          </w:hyperlink>
        </w:p>
        <w:p>
          <w:pPr>
            <w:pStyle w:val="Contents4"/>
            <w:tabs>
              <w:tab w:val="clear" w:pos="8176"/>
              <w:tab w:val="right" w:pos="9026" w:leader="dot"/>
            </w:tabs>
            <w:rPr/>
          </w:pPr>
          <w:hyperlink w:anchor="__RefHeading___Toc477738_581953129">
            <w:r>
              <w:rPr>
                <w:webHidden/>
                <w:rStyle w:val="IndexLink"/>
                <w:rtl w:val="true"/>
              </w:rPr>
              <w:t>شبهة أنّ العدالة اعتبار أدبی لیس لها وجود خارجی</w:t>
            </w:r>
            <w:r>
              <w:rPr>
                <w:rStyle w:val="IndexLink"/>
                <w:rtl w:val="true"/>
              </w:rPr>
              <w:tab/>
            </w:r>
            <w:r>
              <w:rPr>
                <w:rStyle w:val="IndexLink"/>
              </w:rPr>
              <w:t>281</w:t>
            </w:r>
          </w:hyperlink>
        </w:p>
        <w:p>
          <w:pPr>
            <w:pStyle w:val="Contents4"/>
            <w:tabs>
              <w:tab w:val="clear" w:pos="8176"/>
              <w:tab w:val="right" w:pos="9026" w:leader="dot"/>
            </w:tabs>
            <w:rPr/>
          </w:pPr>
          <w:hyperlink w:anchor="__RefHeading___Toc477740_581953129">
            <w:r>
              <w:rPr>
                <w:webHidden/>
                <w:rStyle w:val="IndexLink"/>
                <w:rtl w:val="true"/>
              </w:rPr>
              <w:t>هل القانون هو مصدر الخیر دائماً؟</w:t>
            </w:r>
            <w:r>
              <w:rPr>
                <w:rStyle w:val="IndexLink"/>
                <w:rtl w:val="true"/>
              </w:rPr>
              <w:tab/>
            </w:r>
            <w:r>
              <w:rPr>
                <w:rStyle w:val="IndexLink"/>
              </w:rPr>
              <w:t>282</w:t>
            </w:r>
          </w:hyperlink>
        </w:p>
        <w:p>
          <w:pPr>
            <w:pStyle w:val="Contents4"/>
            <w:tabs>
              <w:tab w:val="clear" w:pos="8176"/>
              <w:tab w:val="right" w:pos="9026" w:leader="dot"/>
            </w:tabs>
            <w:rPr/>
          </w:pPr>
          <w:hyperlink w:anchor="__RefHeading___Toc477742_581953129">
            <w:r>
              <w:rPr>
                <w:webHidden/>
                <w:rStyle w:val="IndexLink"/>
                <w:rtl w:val="true"/>
              </w:rPr>
              <w:t>المرجعیة للکمال لا للقانون</w:t>
            </w:r>
            <w:r>
              <w:rPr>
                <w:rStyle w:val="IndexLink"/>
                <w:rtl w:val="true"/>
              </w:rPr>
              <w:tab/>
            </w:r>
            <w:r>
              <w:rPr>
                <w:rStyle w:val="IndexLink"/>
              </w:rPr>
              <w:t>282</w:t>
            </w:r>
          </w:hyperlink>
        </w:p>
        <w:p>
          <w:pPr>
            <w:pStyle w:val="Contents4"/>
            <w:tabs>
              <w:tab w:val="clear" w:pos="8176"/>
              <w:tab w:val="right" w:pos="9026" w:leader="dot"/>
            </w:tabs>
            <w:rPr/>
          </w:pPr>
          <w:hyperlink w:anchor="__RefHeading___Toc477744_581953129">
            <w:r>
              <w:rPr>
                <w:webHidden/>
                <w:rStyle w:val="IndexLink"/>
                <w:rtl w:val="true"/>
              </w:rPr>
              <w:t>الفساد القانونی</w:t>
            </w:r>
            <w:r>
              <w:rPr>
                <w:rStyle w:val="IndexLink"/>
                <w:rtl w:val="true"/>
              </w:rPr>
              <w:tab/>
            </w:r>
            <w:r>
              <w:rPr>
                <w:rStyle w:val="IndexLink"/>
              </w:rPr>
              <w:t>283</w:t>
            </w:r>
          </w:hyperlink>
        </w:p>
        <w:p>
          <w:pPr>
            <w:pStyle w:val="Contents4"/>
            <w:tabs>
              <w:tab w:val="clear" w:pos="8176"/>
              <w:tab w:val="right" w:pos="9026" w:leader="dot"/>
            </w:tabs>
            <w:rPr/>
          </w:pPr>
          <w:hyperlink w:anchor="__RefHeading___Toc477746_581953129">
            <w:r>
              <w:rPr>
                <w:webHidden/>
                <w:rStyle w:val="IndexLink"/>
                <w:rtl w:val="true"/>
              </w:rPr>
              <w:t>الفرق بین القانون العادل والقانون الظالم</w:t>
            </w:r>
            <w:r>
              <w:rPr>
                <w:rStyle w:val="IndexLink"/>
                <w:rtl w:val="true"/>
              </w:rPr>
              <w:tab/>
            </w:r>
            <w:r>
              <w:rPr>
                <w:rStyle w:val="IndexLink"/>
              </w:rPr>
              <w:t>283</w:t>
            </w:r>
          </w:hyperlink>
        </w:p>
        <w:p>
          <w:pPr>
            <w:pStyle w:val="Contents4"/>
            <w:tabs>
              <w:tab w:val="clear" w:pos="8176"/>
              <w:tab w:val="right" w:pos="9026" w:leader="dot"/>
            </w:tabs>
            <w:rPr/>
          </w:pPr>
          <w:hyperlink w:anchor="__RefHeading___Toc477748_581953129">
            <w:r>
              <w:rPr>
                <w:webHidden/>
                <w:rStyle w:val="IndexLink"/>
                <w:rtl w:val="true"/>
              </w:rPr>
              <w:t>حسن العدالة وقبح الظلم هل هو أمر حقیقی أم اعتباری ؟</w:t>
            </w:r>
            <w:r>
              <w:rPr>
                <w:rStyle w:val="IndexLink"/>
                <w:rtl w:val="true"/>
              </w:rPr>
              <w:tab/>
            </w:r>
            <w:r>
              <w:rPr>
                <w:rStyle w:val="IndexLink"/>
              </w:rPr>
              <w:t>284</w:t>
            </w:r>
          </w:hyperlink>
        </w:p>
        <w:p>
          <w:pPr>
            <w:pStyle w:val="Contents4"/>
            <w:tabs>
              <w:tab w:val="clear" w:pos="8176"/>
              <w:tab w:val="right" w:pos="9026" w:leader="dot"/>
            </w:tabs>
            <w:rPr/>
          </w:pPr>
          <w:hyperlink w:anchor="__RefHeading___Toc477750_581953129">
            <w:r>
              <w:rPr>
                <w:webHidden/>
                <w:rStyle w:val="IndexLink"/>
                <w:rtl w:val="true"/>
              </w:rPr>
              <w:t>هل المحرمات والأخلاق تتغیّر بتغیّر البیئة ؟</w:t>
            </w:r>
            <w:r>
              <w:rPr>
                <w:rStyle w:val="IndexLink"/>
                <w:rtl w:val="true"/>
              </w:rPr>
              <w:tab/>
            </w:r>
            <w:r>
              <w:rPr>
                <w:rStyle w:val="IndexLink"/>
              </w:rPr>
              <w:t>284</w:t>
            </w:r>
          </w:hyperlink>
        </w:p>
        <w:p>
          <w:pPr>
            <w:pStyle w:val="Contents4"/>
            <w:tabs>
              <w:tab w:val="clear" w:pos="8176"/>
              <w:tab w:val="right" w:pos="9026" w:leader="dot"/>
            </w:tabs>
            <w:rPr/>
          </w:pPr>
          <w:hyperlink w:anchor="__RefHeading___Toc477752_581953129">
            <w:r>
              <w:rPr>
                <w:webHidden/>
                <w:rStyle w:val="IndexLink"/>
                <w:rtl w:val="true"/>
              </w:rPr>
              <w:t>الشبهة قدیمة حدیثة</w:t>
            </w:r>
            <w:r>
              <w:rPr>
                <w:rStyle w:val="IndexLink"/>
                <w:rtl w:val="true"/>
              </w:rPr>
              <w:tab/>
            </w:r>
            <w:r>
              <w:rPr>
                <w:rStyle w:val="IndexLink"/>
              </w:rPr>
              <w:t>285</w:t>
            </w:r>
          </w:hyperlink>
        </w:p>
        <w:p>
          <w:pPr>
            <w:pStyle w:val="Contents4"/>
            <w:tabs>
              <w:tab w:val="clear" w:pos="8176"/>
              <w:tab w:val="right" w:pos="9026" w:leader="dot"/>
            </w:tabs>
            <w:rPr/>
          </w:pPr>
          <w:hyperlink w:anchor="__RefHeading___Toc477754_581953129">
            <w:r>
              <w:rPr>
                <w:webHidden/>
                <w:rStyle w:val="IndexLink"/>
                <w:rtl w:val="true"/>
              </w:rPr>
              <w:t>شبهة أنّ المدح والذم یمثّلان اعتباراً أدبیاً ولیس وجوداً حقیقیاً</w:t>
            </w:r>
            <w:r>
              <w:rPr>
                <w:rStyle w:val="IndexLink"/>
                <w:rtl w:val="true"/>
              </w:rPr>
              <w:tab/>
            </w:r>
            <w:r>
              <w:rPr>
                <w:rStyle w:val="IndexLink"/>
              </w:rPr>
              <w:t>286</w:t>
            </w:r>
          </w:hyperlink>
        </w:p>
        <w:p>
          <w:pPr>
            <w:pStyle w:val="Contents4"/>
            <w:tabs>
              <w:tab w:val="clear" w:pos="8176"/>
              <w:tab w:val="right" w:pos="9026" w:leader="dot"/>
            </w:tabs>
            <w:rPr/>
          </w:pPr>
          <w:hyperlink w:anchor="__RefHeading___Toc477756_581953129">
            <w:r>
              <w:rPr>
                <w:webHidden/>
                <w:rStyle w:val="IndexLink"/>
                <w:rtl w:val="true"/>
              </w:rPr>
              <w:t>الدول الغربیة تحاول السیطرة علی وسائل الإعلام</w:t>
            </w:r>
            <w:r>
              <w:rPr>
                <w:rStyle w:val="IndexLink"/>
                <w:rtl w:val="true"/>
              </w:rPr>
              <w:tab/>
            </w:r>
            <w:r>
              <w:rPr>
                <w:rStyle w:val="IndexLink"/>
              </w:rPr>
              <w:t>286</w:t>
            </w:r>
          </w:hyperlink>
        </w:p>
        <w:p>
          <w:pPr>
            <w:pStyle w:val="Contents4"/>
            <w:tabs>
              <w:tab w:val="clear" w:pos="8176"/>
              <w:tab w:val="right" w:pos="9026" w:leader="dot"/>
            </w:tabs>
            <w:rPr/>
          </w:pPr>
          <w:hyperlink w:anchor="__RefHeading___Toc477758_581953129">
            <w:r>
              <w:rPr>
                <w:webHidden/>
                <w:rStyle w:val="IndexLink"/>
                <w:rtl w:val="true"/>
              </w:rPr>
              <w:t>الجواب علی هذه الشبهات</w:t>
            </w:r>
            <w:r>
              <w:rPr>
                <w:rStyle w:val="IndexLink"/>
                <w:rtl w:val="true"/>
              </w:rPr>
              <w:tab/>
            </w:r>
            <w:r>
              <w:rPr>
                <w:rStyle w:val="IndexLink"/>
              </w:rPr>
              <w:t>286</w:t>
            </w:r>
          </w:hyperlink>
        </w:p>
        <w:p>
          <w:pPr>
            <w:pStyle w:val="Contents3"/>
            <w:tabs>
              <w:tab w:val="clear" w:pos="8459"/>
              <w:tab w:val="right" w:pos="9026" w:leader="dot"/>
            </w:tabs>
            <w:rPr/>
          </w:pPr>
          <w:hyperlink w:anchor="__RefHeading___Toc477760_581953129">
            <w:r>
              <w:rPr>
                <w:webHidden/>
                <w:rStyle w:val="IndexLink"/>
                <w:rtl w:val="true"/>
              </w:rPr>
              <w:t>المحاضرة الرابعة ضوابط العدل ومنطلقاته</w:t>
            </w:r>
            <w:r>
              <w:rPr>
                <w:rStyle w:val="IndexLink"/>
                <w:rtl w:val="true"/>
              </w:rPr>
              <w:tab/>
            </w:r>
            <w:r>
              <w:rPr>
                <w:rStyle w:val="IndexLink"/>
              </w:rPr>
              <w:t>289</w:t>
            </w:r>
          </w:hyperlink>
        </w:p>
        <w:p>
          <w:pPr>
            <w:pStyle w:val="Contents4"/>
            <w:tabs>
              <w:tab w:val="clear" w:pos="8176"/>
              <w:tab w:val="right" w:pos="9026" w:leader="dot"/>
            </w:tabs>
            <w:rPr/>
          </w:pPr>
          <w:hyperlink w:anchor="__RefHeading___Toc477762_58195312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77764_581953129">
            <w:r>
              <w:rPr>
                <w:webHidden/>
                <w:rStyle w:val="IndexLink"/>
                <w:rtl w:val="true"/>
              </w:rPr>
              <w:t>العدالة فی القرآن الکریم</w:t>
            </w:r>
            <w:r>
              <w:rPr>
                <w:rStyle w:val="IndexLink"/>
                <w:rtl w:val="true"/>
              </w:rPr>
              <w:tab/>
            </w:r>
            <w:r>
              <w:rPr>
                <w:rStyle w:val="IndexLink"/>
              </w:rPr>
              <w:t>289</w:t>
            </w:r>
          </w:hyperlink>
        </w:p>
        <w:p>
          <w:pPr>
            <w:pStyle w:val="Contents4"/>
            <w:tabs>
              <w:tab w:val="clear" w:pos="8176"/>
              <w:tab w:val="right" w:pos="9026" w:leader="dot"/>
            </w:tabs>
            <w:rPr/>
          </w:pPr>
          <w:hyperlink w:anchor="__RefHeading___Toc477766_581953129">
            <w:r>
              <w:rPr>
                <w:webHidden/>
                <w:rStyle w:val="IndexLink"/>
                <w:rtl w:val="true"/>
              </w:rPr>
              <w:t>محوریة العدل أم القانون ؟</w:t>
            </w:r>
            <w:r>
              <w:rPr>
                <w:rStyle w:val="IndexLink"/>
                <w:rtl w:val="true"/>
              </w:rPr>
              <w:tab/>
            </w:r>
            <w:r>
              <w:rPr>
                <w:rStyle w:val="IndexLink"/>
              </w:rPr>
              <w:t>290</w:t>
            </w:r>
          </w:hyperlink>
        </w:p>
        <w:p>
          <w:pPr>
            <w:pStyle w:val="Contents4"/>
            <w:tabs>
              <w:tab w:val="clear" w:pos="8176"/>
              <w:tab w:val="right" w:pos="9026" w:leader="dot"/>
            </w:tabs>
            <w:rPr/>
          </w:pPr>
          <w:hyperlink w:anchor="__RefHeading___Toc477768_581953129">
            <w:r>
              <w:rPr>
                <w:webHidden/>
                <w:rStyle w:val="IndexLink"/>
                <w:rtl w:val="true"/>
              </w:rPr>
              <w:t>اختلاف الأمر الاعتباری عن الأمر التکوینی</w:t>
            </w:r>
            <w:r>
              <w:rPr>
                <w:rStyle w:val="IndexLink"/>
                <w:rtl w:val="true"/>
              </w:rPr>
              <w:tab/>
            </w:r>
            <w:r>
              <w:rPr>
                <w:rStyle w:val="IndexLink"/>
              </w:rPr>
              <w:t>290</w:t>
            </w:r>
          </w:hyperlink>
        </w:p>
        <w:p>
          <w:pPr>
            <w:pStyle w:val="Contents4"/>
            <w:tabs>
              <w:tab w:val="clear" w:pos="8176"/>
              <w:tab w:val="right" w:pos="9026" w:leader="dot"/>
            </w:tabs>
            <w:rPr/>
          </w:pPr>
          <w:hyperlink w:anchor="__RefHeading___Toc477770_581953129">
            <w:r>
              <w:rPr>
                <w:webHidden/>
                <w:rStyle w:val="IndexLink"/>
                <w:rtl w:val="true"/>
              </w:rPr>
              <w:t>جعلوا العدل أمراً اعتباریاً خدمة لمصالحهم</w:t>
            </w:r>
            <w:r>
              <w:rPr>
                <w:rStyle w:val="IndexLink"/>
                <w:rtl w:val="true"/>
              </w:rPr>
              <w:tab/>
            </w:r>
            <w:r>
              <w:rPr>
                <w:rStyle w:val="IndexLink"/>
              </w:rPr>
              <w:t>291</w:t>
            </w:r>
          </w:hyperlink>
        </w:p>
        <w:p>
          <w:pPr>
            <w:pStyle w:val="Contents4"/>
            <w:tabs>
              <w:tab w:val="clear" w:pos="8176"/>
              <w:tab w:val="right" w:pos="9026" w:leader="dot"/>
            </w:tabs>
            <w:rPr/>
          </w:pPr>
          <w:hyperlink w:anchor="__RefHeading___Toc477772_581953129">
            <w:r>
              <w:rPr>
                <w:webHidden/>
                <w:rStyle w:val="IndexLink"/>
                <w:rtl w:val="true"/>
              </w:rPr>
              <w:t>هل کلّ قانون عدل ؟</w:t>
            </w:r>
            <w:r>
              <w:rPr>
                <w:rStyle w:val="IndexLink"/>
                <w:rtl w:val="true"/>
              </w:rPr>
              <w:tab/>
            </w:r>
            <w:r>
              <w:rPr>
                <w:rStyle w:val="IndexLink"/>
              </w:rPr>
              <w:t>291</w:t>
            </w:r>
          </w:hyperlink>
        </w:p>
        <w:p>
          <w:pPr>
            <w:pStyle w:val="Contents4"/>
            <w:tabs>
              <w:tab w:val="clear" w:pos="8176"/>
              <w:tab w:val="right" w:pos="9026" w:leader="dot"/>
            </w:tabs>
            <w:rPr/>
          </w:pPr>
          <w:hyperlink w:anchor="__RefHeading___Toc477774_581953129">
            <w:r>
              <w:rPr>
                <w:webHidden/>
                <w:rStyle w:val="IndexLink"/>
                <w:rtl w:val="true"/>
              </w:rPr>
              <w:t>محوریة العدل فی خطاب سید الشهداء علیه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477776_581953129">
            <w:r>
              <w:rPr>
                <w:webHidden/>
                <w:rStyle w:val="IndexLink"/>
                <w:rtl w:val="true"/>
              </w:rPr>
              <w:t>تسرّب فکرة أنّ العدل أمر أدبی للفقه الإمامی</w:t>
            </w:r>
            <w:r>
              <w:rPr>
                <w:rStyle w:val="IndexLink"/>
                <w:rtl w:val="true"/>
              </w:rPr>
              <w:tab/>
            </w:r>
            <w:r>
              <w:rPr>
                <w:rStyle w:val="IndexLink"/>
              </w:rPr>
              <w:t>292</w:t>
            </w:r>
          </w:hyperlink>
        </w:p>
        <w:p>
          <w:pPr>
            <w:pStyle w:val="Contents4"/>
            <w:tabs>
              <w:tab w:val="clear" w:pos="8176"/>
              <w:tab w:val="right" w:pos="9026" w:leader="dot"/>
            </w:tabs>
            <w:rPr/>
          </w:pPr>
          <w:hyperlink w:anchor="__RefHeading___Toc477778_581953129">
            <w:r>
              <w:rPr>
                <w:webHidden/>
                <w:rStyle w:val="IndexLink"/>
                <w:rtl w:val="true"/>
              </w:rPr>
              <w:t>ابن سینا من الفرقة الإسماعیلیة</w:t>
            </w:r>
            <w:r>
              <w:rPr>
                <w:rStyle w:val="IndexLink"/>
                <w:rtl w:val="true"/>
              </w:rPr>
              <w:tab/>
            </w:r>
            <w:r>
              <w:rPr>
                <w:rStyle w:val="IndexLink"/>
              </w:rPr>
              <w:t>293</w:t>
            </w:r>
          </w:hyperlink>
        </w:p>
        <w:p>
          <w:pPr>
            <w:pStyle w:val="Contents4"/>
            <w:tabs>
              <w:tab w:val="clear" w:pos="8176"/>
              <w:tab w:val="right" w:pos="9026" w:leader="dot"/>
            </w:tabs>
            <w:rPr/>
          </w:pPr>
          <w:hyperlink w:anchor="__RefHeading___Toc477780_581953129">
            <w:r>
              <w:rPr>
                <w:webHidden/>
                <w:rStyle w:val="IndexLink"/>
                <w:rtl w:val="true"/>
              </w:rPr>
              <w:t>تأثیر ابن سینا علی قافلة الفلاسفة من بعده</w:t>
            </w:r>
            <w:r>
              <w:rPr>
                <w:rStyle w:val="IndexLink"/>
                <w:rtl w:val="true"/>
              </w:rPr>
              <w:tab/>
            </w:r>
            <w:r>
              <w:rPr>
                <w:rStyle w:val="IndexLink"/>
              </w:rPr>
              <w:t>293</w:t>
            </w:r>
          </w:hyperlink>
        </w:p>
        <w:p>
          <w:pPr>
            <w:pStyle w:val="Contents4"/>
            <w:tabs>
              <w:tab w:val="clear" w:pos="8176"/>
              <w:tab w:val="right" w:pos="9026" w:leader="dot"/>
            </w:tabs>
            <w:rPr/>
          </w:pPr>
          <w:hyperlink w:anchor="__RefHeading___Toc477782_581953129">
            <w:r>
              <w:rPr>
                <w:webHidden/>
                <w:rStyle w:val="IndexLink"/>
                <w:rtl w:val="true"/>
              </w:rPr>
              <w:t>استقلال المذهب الإمامی عن الأنظمة الحاکمة</w:t>
            </w:r>
            <w:r>
              <w:rPr>
                <w:rStyle w:val="IndexLink"/>
                <w:rtl w:val="true"/>
              </w:rPr>
              <w:tab/>
            </w:r>
            <w:r>
              <w:rPr>
                <w:rStyle w:val="IndexLink"/>
              </w:rPr>
              <w:t>293</w:t>
            </w:r>
          </w:hyperlink>
        </w:p>
        <w:p>
          <w:pPr>
            <w:pStyle w:val="Contents4"/>
            <w:tabs>
              <w:tab w:val="clear" w:pos="8176"/>
              <w:tab w:val="right" w:pos="9026" w:leader="dot"/>
            </w:tabs>
            <w:rPr/>
          </w:pPr>
          <w:hyperlink w:anchor="__RefHeading___Toc477784_581953129">
            <w:r>
              <w:rPr>
                <w:webHidden/>
                <w:rStyle w:val="IndexLink"/>
                <w:rtl w:val="true"/>
              </w:rPr>
              <w:t>رأی الأشعری فی حسن العدل وقبح الظلم</w:t>
            </w:r>
            <w:r>
              <w:rPr>
                <w:rStyle w:val="IndexLink"/>
                <w:rtl w:val="true"/>
              </w:rPr>
              <w:tab/>
            </w:r>
            <w:r>
              <w:rPr>
                <w:rStyle w:val="IndexLink"/>
              </w:rPr>
              <w:t>293</w:t>
            </w:r>
          </w:hyperlink>
        </w:p>
        <w:p>
          <w:pPr>
            <w:pStyle w:val="Contents4"/>
            <w:tabs>
              <w:tab w:val="clear" w:pos="8176"/>
              <w:tab w:val="right" w:pos="9026" w:leader="dot"/>
            </w:tabs>
            <w:rPr/>
          </w:pPr>
          <w:hyperlink w:anchor="__RefHeading___Toc477786_581953129">
            <w:r>
              <w:rPr>
                <w:webHidden/>
                <w:rStyle w:val="IndexLink"/>
                <w:rtl w:val="true"/>
              </w:rPr>
              <w:t xml:space="preserve">الأشاعرة </w:t>
            </w:r>
            <w:r>
              <w:rPr>
                <w:rStyle w:val="IndexLink"/>
                <w:rtl w:val="true"/>
              </w:rPr>
              <w:t xml:space="preserve">: </w:t>
            </w:r>
            <w:r>
              <w:rPr>
                <w:rStyle w:val="IndexLink"/>
                <w:rtl w:val="true"/>
              </w:rPr>
              <w:t>العدل بمعنی المدح التخیّلی الفرضی</w:t>
            </w:r>
            <w:r>
              <w:rPr>
                <w:rStyle w:val="IndexLink"/>
                <w:rtl w:val="true"/>
              </w:rPr>
              <w:tab/>
            </w:r>
            <w:r>
              <w:rPr>
                <w:rStyle w:val="IndexLink"/>
              </w:rPr>
              <w:t>294</w:t>
            </w:r>
          </w:hyperlink>
        </w:p>
        <w:p>
          <w:pPr>
            <w:pStyle w:val="Contents4"/>
            <w:tabs>
              <w:tab w:val="clear" w:pos="8176"/>
              <w:tab w:val="right" w:pos="9026" w:leader="dot"/>
            </w:tabs>
            <w:rPr/>
          </w:pPr>
          <w:hyperlink w:anchor="__RefHeading___Toc477788_581953129">
            <w:r>
              <w:rPr>
                <w:webHidden/>
                <w:rStyle w:val="IndexLink"/>
                <w:rtl w:val="true"/>
              </w:rPr>
              <w:t xml:space="preserve">نسأل الأشاعرة </w:t>
            </w:r>
            <w:r>
              <w:rPr>
                <w:rStyle w:val="IndexLink"/>
                <w:rtl w:val="true"/>
              </w:rPr>
              <w:t xml:space="preserve">: </w:t>
            </w:r>
            <w:r>
              <w:rPr>
                <w:rStyle w:val="IndexLink"/>
                <w:rtl w:val="true"/>
              </w:rPr>
              <w:t>ما هی ضابطة العدل ؟</w:t>
            </w:r>
            <w:r>
              <w:rPr>
                <w:rStyle w:val="IndexLink"/>
                <w:rtl w:val="true"/>
              </w:rPr>
              <w:tab/>
            </w:r>
            <w:r>
              <w:rPr>
                <w:rStyle w:val="IndexLink"/>
              </w:rPr>
              <w:t>294</w:t>
            </w:r>
          </w:hyperlink>
        </w:p>
        <w:p>
          <w:pPr>
            <w:pStyle w:val="Contents4"/>
            <w:tabs>
              <w:tab w:val="clear" w:pos="8176"/>
              <w:tab w:val="right" w:pos="9026" w:leader="dot"/>
            </w:tabs>
            <w:rPr/>
          </w:pPr>
          <w:hyperlink w:anchor="__RefHeading___Toc477790_581953129">
            <w:r>
              <w:rPr>
                <w:webHidden/>
                <w:rStyle w:val="IndexLink"/>
                <w:rtl w:val="true"/>
              </w:rPr>
              <w:t>اللّه تعالی ، والهدف والغایة</w:t>
            </w:r>
            <w:r>
              <w:rPr>
                <w:rStyle w:val="IndexLink"/>
                <w:rtl w:val="true"/>
              </w:rPr>
              <w:tab/>
            </w:r>
            <w:r>
              <w:rPr>
                <w:rStyle w:val="IndexLink"/>
              </w:rPr>
              <w:t>295</w:t>
            </w:r>
          </w:hyperlink>
        </w:p>
        <w:p>
          <w:pPr>
            <w:pStyle w:val="Contents4"/>
            <w:tabs>
              <w:tab w:val="clear" w:pos="8176"/>
              <w:tab w:val="right" w:pos="9026" w:leader="dot"/>
            </w:tabs>
            <w:rPr/>
          </w:pPr>
          <w:hyperlink w:anchor="__RefHeading___Toc477792_581953129">
            <w:r>
              <w:rPr>
                <w:webHidden/>
                <w:rStyle w:val="IndexLink"/>
                <w:rtl w:val="true"/>
              </w:rPr>
              <w:t>العدالة ، وتعذیب البریء ، والإنعام علی المجرم</w:t>
            </w:r>
            <w:r>
              <w:rPr>
                <w:rStyle w:val="IndexLink"/>
                <w:rtl w:val="true"/>
              </w:rPr>
              <w:tab/>
            </w:r>
            <w:r>
              <w:rPr>
                <w:rStyle w:val="IndexLink"/>
              </w:rPr>
              <w:t>295</w:t>
            </w:r>
          </w:hyperlink>
        </w:p>
        <w:p>
          <w:pPr>
            <w:pStyle w:val="Contents4"/>
            <w:tabs>
              <w:tab w:val="clear" w:pos="8176"/>
              <w:tab w:val="right" w:pos="9026" w:leader="dot"/>
            </w:tabs>
            <w:rPr/>
          </w:pPr>
          <w:hyperlink w:anchor="__RefHeading___Toc477794_581953129">
            <w:r>
              <w:rPr>
                <w:webHidden/>
                <w:rStyle w:val="IndexLink"/>
                <w:rtl w:val="true"/>
              </w:rPr>
              <w:t>هل ما یقع تکویناً یوافق إرادة اللّه ؟</w:t>
            </w:r>
            <w:r>
              <w:rPr>
                <w:rStyle w:val="IndexLink"/>
                <w:rtl w:val="true"/>
              </w:rPr>
              <w:tab/>
            </w:r>
            <w:r>
              <w:rPr>
                <w:rStyle w:val="IndexLink"/>
              </w:rPr>
              <w:t>295</w:t>
            </w:r>
          </w:hyperlink>
        </w:p>
        <w:p>
          <w:pPr>
            <w:pStyle w:val="Contents4"/>
            <w:tabs>
              <w:tab w:val="clear" w:pos="8176"/>
              <w:tab w:val="right" w:pos="9026" w:leader="dot"/>
            </w:tabs>
            <w:rPr/>
          </w:pPr>
          <w:hyperlink w:anchor="__RefHeading___Toc477796_581953129">
            <w:r>
              <w:rPr>
                <w:webHidden/>
                <w:rStyle w:val="IndexLink"/>
                <w:rtl w:val="true"/>
              </w:rPr>
              <w:t>خطورة دعم السلطات الظالمة للأفکار المنحرفة</w:t>
            </w:r>
            <w:r>
              <w:rPr>
                <w:rStyle w:val="IndexLink"/>
                <w:rtl w:val="true"/>
              </w:rPr>
              <w:tab/>
            </w:r>
            <w:r>
              <w:rPr>
                <w:rStyle w:val="IndexLink"/>
              </w:rPr>
              <w:t>296</w:t>
            </w:r>
          </w:hyperlink>
        </w:p>
        <w:p>
          <w:pPr>
            <w:pStyle w:val="Contents4"/>
            <w:tabs>
              <w:tab w:val="clear" w:pos="8176"/>
              <w:tab w:val="right" w:pos="9026" w:leader="dot"/>
            </w:tabs>
            <w:rPr/>
          </w:pPr>
          <w:hyperlink w:anchor="__RefHeading___Toc477798_581953129">
            <w:r>
              <w:rPr>
                <w:webHidden/>
                <w:rStyle w:val="IndexLink"/>
                <w:rtl w:val="true"/>
              </w:rPr>
              <w:t>إعداد الأئمة للکوادر الثقافیة لمواجهة الفکر المنحرف</w:t>
            </w:r>
            <w:r>
              <w:rPr>
                <w:rStyle w:val="IndexLink"/>
                <w:rtl w:val="true"/>
              </w:rPr>
              <w:tab/>
            </w:r>
            <w:r>
              <w:rPr>
                <w:rStyle w:val="IndexLink"/>
              </w:rPr>
              <w:t>296</w:t>
            </w:r>
          </w:hyperlink>
        </w:p>
        <w:p>
          <w:pPr>
            <w:pStyle w:val="Contents4"/>
            <w:tabs>
              <w:tab w:val="clear" w:pos="8176"/>
              <w:tab w:val="right" w:pos="9026" w:leader="dot"/>
            </w:tabs>
            <w:rPr/>
          </w:pPr>
          <w:hyperlink w:anchor="__RefHeading___Toc477800_581953129">
            <w:r>
              <w:rPr>
                <w:webHidden/>
                <w:rStyle w:val="IndexLink"/>
                <w:rtl w:val="true"/>
              </w:rPr>
              <w:t>أثر أخلاقیات أهل البیت علیهم السلام علی شیعتهم بعد عدّة قرون</w:t>
            </w:r>
            <w:r>
              <w:rPr>
                <w:rStyle w:val="IndexLink"/>
                <w:rtl w:val="true"/>
              </w:rPr>
              <w:tab/>
            </w:r>
            <w:r>
              <w:rPr>
                <w:rStyle w:val="IndexLink"/>
              </w:rPr>
              <w:t>297</w:t>
            </w:r>
          </w:hyperlink>
        </w:p>
        <w:p>
          <w:pPr>
            <w:pStyle w:val="Contents4"/>
            <w:tabs>
              <w:tab w:val="clear" w:pos="8176"/>
              <w:tab w:val="right" w:pos="9026" w:leader="dot"/>
            </w:tabs>
            <w:rPr/>
          </w:pPr>
          <w:hyperlink w:anchor="__RefHeading___Toc477802_581953129">
            <w:r>
              <w:rPr>
                <w:webHidden/>
                <w:rStyle w:val="IndexLink"/>
                <w:rtl w:val="true"/>
              </w:rPr>
              <w:t>العدل له وجود تکوینی</w:t>
            </w:r>
            <w:r>
              <w:rPr>
                <w:rStyle w:val="IndexLink"/>
                <w:rtl w:val="true"/>
              </w:rPr>
              <w:tab/>
            </w:r>
            <w:r>
              <w:rPr>
                <w:rStyle w:val="IndexLink"/>
              </w:rPr>
              <w:t>297</w:t>
            </w:r>
          </w:hyperlink>
        </w:p>
        <w:p>
          <w:pPr>
            <w:pStyle w:val="Contents4"/>
            <w:tabs>
              <w:tab w:val="clear" w:pos="8176"/>
              <w:tab w:val="right" w:pos="9026" w:leader="dot"/>
            </w:tabs>
            <w:rPr/>
          </w:pPr>
          <w:hyperlink w:anchor="__RefHeading___Toc477804_581953129">
            <w:r>
              <w:rPr>
                <w:webHidden/>
                <w:rStyle w:val="IndexLink"/>
                <w:rtl w:val="true"/>
              </w:rPr>
              <w:t>المدح الصادق یلازم الکمال ، والذم الصادق یلازم النقص</w:t>
            </w:r>
            <w:r>
              <w:rPr>
                <w:rStyle w:val="IndexLink"/>
                <w:rtl w:val="true"/>
              </w:rPr>
              <w:tab/>
            </w:r>
            <w:r>
              <w:rPr>
                <w:rStyle w:val="IndexLink"/>
              </w:rPr>
              <w:t>298</w:t>
            </w:r>
          </w:hyperlink>
        </w:p>
        <w:p>
          <w:pPr>
            <w:pStyle w:val="Contents4"/>
            <w:tabs>
              <w:tab w:val="clear" w:pos="8176"/>
              <w:tab w:val="right" w:pos="9026" w:leader="dot"/>
            </w:tabs>
            <w:rPr/>
          </w:pPr>
          <w:hyperlink w:anchor="__RefHeading___Toc477806_581953129">
            <w:r>
              <w:rPr>
                <w:webHidden/>
                <w:rStyle w:val="IndexLink"/>
                <w:rtl w:val="true"/>
              </w:rPr>
              <w:t>الحقوق الإلهیة قبل سن القانون</w:t>
            </w:r>
            <w:r>
              <w:rPr>
                <w:rStyle w:val="IndexLink"/>
                <w:rtl w:val="true"/>
              </w:rPr>
              <w:tab/>
            </w:r>
            <w:r>
              <w:rPr>
                <w:rStyle w:val="IndexLink"/>
              </w:rPr>
              <w:t>298</w:t>
            </w:r>
          </w:hyperlink>
        </w:p>
        <w:p>
          <w:pPr>
            <w:pStyle w:val="Contents4"/>
            <w:tabs>
              <w:tab w:val="clear" w:pos="8176"/>
              <w:tab w:val="right" w:pos="9026" w:leader="dot"/>
            </w:tabs>
            <w:rPr/>
          </w:pPr>
          <w:hyperlink w:anchor="__RefHeading___Toc477808_581953129">
            <w:r>
              <w:rPr>
                <w:webHidden/>
                <w:rStyle w:val="IndexLink"/>
                <w:rtl w:val="true"/>
              </w:rPr>
              <w:t>لابدّ من نظرة شاملة لحقوق الإنسان</w:t>
            </w:r>
            <w:r>
              <w:rPr>
                <w:rStyle w:val="IndexLink"/>
                <w:rtl w:val="true"/>
              </w:rPr>
              <w:tab/>
            </w:r>
            <w:r>
              <w:rPr>
                <w:rStyle w:val="IndexLink"/>
              </w:rPr>
              <w:t>299</w:t>
            </w:r>
          </w:hyperlink>
        </w:p>
        <w:p>
          <w:pPr>
            <w:pStyle w:val="Contents4"/>
            <w:tabs>
              <w:tab w:val="clear" w:pos="8176"/>
              <w:tab w:val="right" w:pos="9026" w:leader="dot"/>
            </w:tabs>
            <w:rPr/>
          </w:pPr>
          <w:hyperlink w:anchor="__RefHeading___Toc477810_581953129">
            <w:r>
              <w:rPr>
                <w:webHidden/>
                <w:rStyle w:val="IndexLink"/>
                <w:rtl w:val="true"/>
              </w:rPr>
              <w:t>العدل فی تنمیة قوی الإنسان</w:t>
            </w:r>
            <w:r>
              <w:rPr>
                <w:rStyle w:val="IndexLink"/>
                <w:rtl w:val="true"/>
              </w:rPr>
              <w:tab/>
            </w:r>
            <w:r>
              <w:rPr>
                <w:rStyle w:val="IndexLink"/>
              </w:rPr>
              <w:t>299</w:t>
            </w:r>
          </w:hyperlink>
        </w:p>
        <w:p>
          <w:pPr>
            <w:pStyle w:val="Contents4"/>
            <w:tabs>
              <w:tab w:val="clear" w:pos="8176"/>
              <w:tab w:val="right" w:pos="9026" w:leader="dot"/>
            </w:tabs>
            <w:rPr/>
          </w:pPr>
          <w:hyperlink w:anchor="__RefHeading___Toc477812_581953129">
            <w:r>
              <w:rPr>
                <w:webHidden/>
                <w:rStyle w:val="IndexLink"/>
                <w:rtl w:val="true"/>
              </w:rPr>
              <w:t>هل الإنسان مرکز التقنین أم اللّه ؟</w:t>
            </w:r>
            <w:r>
              <w:rPr>
                <w:rStyle w:val="IndexLink"/>
                <w:rtl w:val="true"/>
              </w:rPr>
              <w:tab/>
            </w:r>
            <w:r>
              <w:rPr>
                <w:rStyle w:val="IndexLink"/>
              </w:rPr>
              <w:t>299</w:t>
            </w:r>
          </w:hyperlink>
        </w:p>
        <w:p>
          <w:pPr>
            <w:pStyle w:val="Contents4"/>
            <w:tabs>
              <w:tab w:val="clear" w:pos="8176"/>
              <w:tab w:val="right" w:pos="9026" w:leader="dot"/>
            </w:tabs>
            <w:rPr/>
          </w:pPr>
          <w:hyperlink w:anchor="__RefHeading___Toc477814_581953129">
            <w:r>
              <w:rPr>
                <w:webHidden/>
                <w:rStyle w:val="IndexLink"/>
                <w:rtl w:val="true"/>
              </w:rPr>
              <w:t>إهمال المادیین لروح الإنسان</w:t>
            </w:r>
            <w:r>
              <w:rPr>
                <w:rStyle w:val="IndexLink"/>
                <w:rtl w:val="true"/>
              </w:rPr>
              <w:tab/>
            </w:r>
            <w:r>
              <w:rPr>
                <w:rStyle w:val="IndexLink"/>
              </w:rPr>
              <w:t>300</w:t>
            </w:r>
          </w:hyperlink>
        </w:p>
        <w:p>
          <w:pPr>
            <w:pStyle w:val="Contents4"/>
            <w:tabs>
              <w:tab w:val="clear" w:pos="8176"/>
              <w:tab w:val="right" w:pos="9026" w:leader="dot"/>
            </w:tabs>
            <w:rPr/>
          </w:pPr>
          <w:hyperlink w:anchor="__RefHeading___Toc477816_581953129">
            <w:r>
              <w:rPr>
                <w:webHidden/>
                <w:rStyle w:val="IndexLink"/>
                <w:rtl w:val="true"/>
              </w:rPr>
              <w:t>النظرة غیر المتوازنة للإنسان کارثة</w:t>
            </w:r>
            <w:r>
              <w:rPr>
                <w:rStyle w:val="IndexLink"/>
                <w:rtl w:val="true"/>
              </w:rPr>
              <w:tab/>
            </w:r>
            <w:r>
              <w:rPr>
                <w:rStyle w:val="IndexLink"/>
              </w:rPr>
              <w:t>300</w:t>
            </w:r>
          </w:hyperlink>
        </w:p>
        <w:p>
          <w:pPr>
            <w:pStyle w:val="Contents4"/>
            <w:tabs>
              <w:tab w:val="clear" w:pos="8176"/>
              <w:tab w:val="right" w:pos="9026" w:leader="dot"/>
            </w:tabs>
            <w:rPr/>
          </w:pPr>
          <w:hyperlink w:anchor="__RefHeading___Toc477818_581953129">
            <w:r>
              <w:rPr>
                <w:webHidden/>
                <w:rStyle w:val="IndexLink"/>
                <w:rtl w:val="true"/>
              </w:rPr>
              <w:t>سلبیات جعل الإنسان هو المدار فی التقنین</w:t>
            </w:r>
            <w:r>
              <w:rPr>
                <w:rStyle w:val="IndexLink"/>
                <w:rtl w:val="true"/>
              </w:rPr>
              <w:tab/>
            </w:r>
            <w:r>
              <w:rPr>
                <w:rStyle w:val="IndexLink"/>
              </w:rPr>
              <w:t>300</w:t>
            </w:r>
          </w:hyperlink>
        </w:p>
        <w:p>
          <w:pPr>
            <w:pStyle w:val="Contents4"/>
            <w:tabs>
              <w:tab w:val="clear" w:pos="8176"/>
              <w:tab w:val="right" w:pos="9026" w:leader="dot"/>
            </w:tabs>
            <w:rPr/>
          </w:pPr>
          <w:hyperlink w:anchor="__RefHeading___Toc477820_581953129">
            <w:r>
              <w:rPr>
                <w:webHidden/>
                <w:rStyle w:val="IndexLink"/>
                <w:rtl w:val="true"/>
              </w:rPr>
              <w:t>العدالة الحقوقیة تکوینیة ولیست ولیدة التقنین</w:t>
            </w:r>
            <w:r>
              <w:rPr>
                <w:rStyle w:val="IndexLink"/>
                <w:rtl w:val="true"/>
              </w:rPr>
              <w:tab/>
            </w:r>
            <w:r>
              <w:rPr>
                <w:rStyle w:val="IndexLink"/>
              </w:rPr>
              <w:t>301</w:t>
            </w:r>
          </w:hyperlink>
        </w:p>
        <w:p>
          <w:pPr>
            <w:pStyle w:val="Contents4"/>
            <w:tabs>
              <w:tab w:val="clear" w:pos="8176"/>
              <w:tab w:val="right" w:pos="9026" w:leader="dot"/>
            </w:tabs>
            <w:rPr/>
          </w:pPr>
          <w:hyperlink w:anchor="__RefHeading___Toc477822_581953129">
            <w:r>
              <w:rPr>
                <w:webHidden/>
                <w:rStyle w:val="IndexLink"/>
                <w:rtl w:val="true"/>
              </w:rPr>
              <w:t>اللّه جعل للإنسان المعادلة التی تحقق سعادته</w:t>
            </w:r>
            <w:r>
              <w:rPr>
                <w:rStyle w:val="IndexLink"/>
                <w:rtl w:val="true"/>
              </w:rPr>
              <w:tab/>
            </w:r>
            <w:r>
              <w:rPr>
                <w:rStyle w:val="IndexLink"/>
              </w:rPr>
              <w:t>301</w:t>
            </w:r>
          </w:hyperlink>
        </w:p>
        <w:p>
          <w:pPr>
            <w:pStyle w:val="Contents3"/>
            <w:tabs>
              <w:tab w:val="clear" w:pos="8459"/>
              <w:tab w:val="right" w:pos="9026" w:leader="dot"/>
            </w:tabs>
            <w:rPr/>
          </w:pPr>
          <w:hyperlink w:anchor="__RefHeading___Toc477824_581953129">
            <w:r>
              <w:rPr>
                <w:webHidden/>
                <w:rStyle w:val="IndexLink"/>
                <w:rtl w:val="true"/>
              </w:rPr>
              <w:t>المحاضرة الخامسة العدالة والتوازن ورأی الأکثریة</w:t>
            </w:r>
            <w:r>
              <w:rPr>
                <w:rStyle w:val="IndexLink"/>
                <w:rtl w:val="true"/>
              </w:rPr>
              <w:tab/>
            </w:r>
            <w:r>
              <w:rPr>
                <w:rStyle w:val="IndexLink"/>
              </w:rPr>
              <w:t>303</w:t>
            </w:r>
          </w:hyperlink>
        </w:p>
        <w:p>
          <w:pPr>
            <w:pStyle w:val="Contents4"/>
            <w:tabs>
              <w:tab w:val="clear" w:pos="8176"/>
              <w:tab w:val="right" w:pos="9026" w:leader="dot"/>
            </w:tabs>
            <w:rPr/>
          </w:pPr>
          <w:hyperlink w:anchor="__RefHeading___Toc477826_581953129">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477828_581953129">
            <w:r>
              <w:rPr>
                <w:webHidden/>
                <w:rStyle w:val="IndexLink"/>
                <w:rtl w:val="true"/>
              </w:rPr>
              <w:t>الأرحام تتجاوز الأُسرة إلی العشیرة والقبیلة</w:t>
            </w:r>
            <w:r>
              <w:rPr>
                <w:rStyle w:val="IndexLink"/>
                <w:rtl w:val="true"/>
              </w:rPr>
              <w:tab/>
            </w:r>
            <w:r>
              <w:rPr>
                <w:rStyle w:val="IndexLink"/>
              </w:rPr>
              <w:t>303</w:t>
            </w:r>
          </w:hyperlink>
        </w:p>
        <w:p>
          <w:pPr>
            <w:pStyle w:val="Contents4"/>
            <w:tabs>
              <w:tab w:val="clear" w:pos="8176"/>
              <w:tab w:val="right" w:pos="9026" w:leader="dot"/>
            </w:tabs>
            <w:rPr/>
          </w:pPr>
          <w:hyperlink w:anchor="__RefHeading___Toc477830_581953129">
            <w:r>
              <w:rPr>
                <w:webHidden/>
                <w:rStyle w:val="IndexLink"/>
                <w:rtl w:val="true"/>
              </w:rPr>
              <w:t>صلة الأرحام من أجل التکافل الاجتماعی</w:t>
            </w:r>
            <w:r>
              <w:rPr>
                <w:rStyle w:val="IndexLink"/>
                <w:rtl w:val="true"/>
              </w:rPr>
              <w:tab/>
            </w:r>
            <w:r>
              <w:rPr>
                <w:rStyle w:val="IndexLink"/>
              </w:rPr>
              <w:t>304</w:t>
            </w:r>
          </w:hyperlink>
        </w:p>
        <w:p>
          <w:pPr>
            <w:pStyle w:val="Contents4"/>
            <w:tabs>
              <w:tab w:val="clear" w:pos="8176"/>
              <w:tab w:val="right" w:pos="9026" w:leader="dot"/>
            </w:tabs>
            <w:rPr/>
          </w:pPr>
          <w:hyperlink w:anchor="__RefHeading___Toc477832_581953129">
            <w:r>
              <w:rPr>
                <w:webHidden/>
                <w:rStyle w:val="IndexLink"/>
                <w:rtl w:val="true"/>
              </w:rPr>
              <w:t>التعصّب الإیجابی والتعصّب السلبی</w:t>
            </w:r>
            <w:r>
              <w:rPr>
                <w:rStyle w:val="IndexLink"/>
                <w:rtl w:val="true"/>
              </w:rPr>
              <w:tab/>
            </w:r>
            <w:r>
              <w:rPr>
                <w:rStyle w:val="IndexLink"/>
              </w:rPr>
              <w:t>304</w:t>
            </w:r>
          </w:hyperlink>
        </w:p>
        <w:p>
          <w:pPr>
            <w:pStyle w:val="Contents4"/>
            <w:tabs>
              <w:tab w:val="clear" w:pos="8176"/>
              <w:tab w:val="right" w:pos="9026" w:leader="dot"/>
            </w:tabs>
            <w:rPr/>
          </w:pPr>
          <w:hyperlink w:anchor="__RefHeading___Toc477834_581953129">
            <w:r>
              <w:rPr>
                <w:webHidden/>
                <w:rStyle w:val="IndexLink"/>
                <w:rtl w:val="true"/>
              </w:rPr>
              <w:t>الحسین فی مواجهة الظلم</w:t>
            </w:r>
            <w:r>
              <w:rPr>
                <w:rStyle w:val="IndexLink"/>
                <w:rtl w:val="true"/>
              </w:rPr>
              <w:tab/>
            </w:r>
            <w:r>
              <w:rPr>
                <w:rStyle w:val="IndexLink"/>
              </w:rPr>
              <w:t>305</w:t>
            </w:r>
          </w:hyperlink>
        </w:p>
        <w:p>
          <w:pPr>
            <w:pStyle w:val="Contents4"/>
            <w:tabs>
              <w:tab w:val="clear" w:pos="8176"/>
              <w:tab w:val="right" w:pos="9026" w:leader="dot"/>
            </w:tabs>
            <w:rPr/>
          </w:pPr>
          <w:hyperlink w:anchor="__RefHeading___Toc477836_581953129">
            <w:r>
              <w:rPr>
                <w:webHidden/>
                <w:rStyle w:val="IndexLink"/>
                <w:rtl w:val="true"/>
              </w:rPr>
              <w:t>العدالة والسعادة</w:t>
            </w:r>
            <w:r>
              <w:rPr>
                <w:rStyle w:val="IndexLink"/>
                <w:rtl w:val="true"/>
              </w:rPr>
              <w:tab/>
            </w:r>
            <w:r>
              <w:rPr>
                <w:rStyle w:val="IndexLink"/>
              </w:rPr>
              <w:t>305</w:t>
            </w:r>
          </w:hyperlink>
        </w:p>
        <w:p>
          <w:pPr>
            <w:pStyle w:val="Contents4"/>
            <w:tabs>
              <w:tab w:val="clear" w:pos="8176"/>
              <w:tab w:val="right" w:pos="9026" w:leader="dot"/>
            </w:tabs>
            <w:rPr/>
          </w:pPr>
          <w:hyperlink w:anchor="__RefHeading___Toc477838_581953129">
            <w:r>
              <w:rPr>
                <w:webHidden/>
                <w:rStyle w:val="IndexLink"/>
                <w:rtl w:val="true"/>
              </w:rPr>
              <w:t>الأفعال الإلهیة تنطلق من موازین دقیقة جدّاً</w:t>
            </w:r>
            <w:r>
              <w:rPr>
                <w:rStyle w:val="IndexLink"/>
                <w:rtl w:val="true"/>
              </w:rPr>
              <w:tab/>
            </w:r>
            <w:r>
              <w:rPr>
                <w:rStyle w:val="IndexLink"/>
              </w:rPr>
              <w:t>306</w:t>
            </w:r>
          </w:hyperlink>
        </w:p>
        <w:p>
          <w:pPr>
            <w:pStyle w:val="Contents4"/>
            <w:tabs>
              <w:tab w:val="clear" w:pos="8176"/>
              <w:tab w:val="right" w:pos="9026" w:leader="dot"/>
            </w:tabs>
            <w:rPr/>
          </w:pPr>
          <w:hyperlink w:anchor="__RefHeading___Toc477840_581953129">
            <w:r>
              <w:rPr>
                <w:webHidden/>
                <w:rStyle w:val="IndexLink"/>
                <w:rtl w:val="true"/>
              </w:rPr>
              <w:t>لابدّ من التوازن فی کلّ علاقة</w:t>
            </w:r>
            <w:r>
              <w:rPr>
                <w:rStyle w:val="IndexLink"/>
                <w:rtl w:val="true"/>
              </w:rPr>
              <w:tab/>
            </w:r>
            <w:r>
              <w:rPr>
                <w:rStyle w:val="IndexLink"/>
              </w:rPr>
              <w:t>307</w:t>
            </w:r>
          </w:hyperlink>
        </w:p>
        <w:p>
          <w:pPr>
            <w:pStyle w:val="Contents4"/>
            <w:tabs>
              <w:tab w:val="clear" w:pos="8176"/>
              <w:tab w:val="right" w:pos="9026" w:leader="dot"/>
            </w:tabs>
            <w:rPr/>
          </w:pPr>
          <w:hyperlink w:anchor="__RefHeading___Toc477842_581953129">
            <w:r>
              <w:rPr>
                <w:webHidden/>
                <w:rStyle w:val="IndexLink"/>
                <w:rtl w:val="true"/>
              </w:rPr>
              <w:t>لا ینبغی أن تحکم الأعراف علی العدالة</w:t>
            </w:r>
            <w:r>
              <w:rPr>
                <w:rStyle w:val="IndexLink"/>
                <w:rtl w:val="true"/>
              </w:rPr>
              <w:tab/>
            </w:r>
            <w:r>
              <w:rPr>
                <w:rStyle w:val="IndexLink"/>
              </w:rPr>
              <w:t>307</w:t>
            </w:r>
          </w:hyperlink>
        </w:p>
        <w:p>
          <w:pPr>
            <w:pStyle w:val="Contents4"/>
            <w:tabs>
              <w:tab w:val="clear" w:pos="8176"/>
              <w:tab w:val="right" w:pos="9026" w:leader="dot"/>
            </w:tabs>
            <w:rPr/>
          </w:pPr>
          <w:hyperlink w:anchor="__RefHeading___Toc477844_581953129">
            <w:r>
              <w:rPr>
                <w:webHidden/>
                <w:rStyle w:val="IndexLink"/>
                <w:rtl w:val="true"/>
              </w:rPr>
              <w:t>الأکثریة لیست دائماً حلیفة الصواب</w:t>
            </w:r>
            <w:r>
              <w:rPr>
                <w:rStyle w:val="IndexLink"/>
                <w:rtl w:val="true"/>
              </w:rPr>
              <w:tab/>
            </w:r>
            <w:r>
              <w:rPr>
                <w:rStyle w:val="IndexLink"/>
              </w:rPr>
              <w:t>308</w:t>
            </w:r>
          </w:hyperlink>
        </w:p>
        <w:p>
          <w:pPr>
            <w:pStyle w:val="Contents4"/>
            <w:tabs>
              <w:tab w:val="clear" w:pos="8176"/>
              <w:tab w:val="right" w:pos="9026" w:leader="dot"/>
            </w:tabs>
            <w:rPr/>
          </w:pPr>
          <w:hyperlink w:anchor="__RefHeading___Toc477846_581953129">
            <w:r>
              <w:rPr>
                <w:webHidden/>
                <w:rStyle w:val="IndexLink"/>
                <w:rtl w:val="true"/>
              </w:rPr>
              <w:t>الأعراف قد تخرج عن نطاق الفطرة</w:t>
            </w:r>
            <w:r>
              <w:rPr>
                <w:rStyle w:val="IndexLink"/>
                <w:rtl w:val="true"/>
              </w:rPr>
              <w:tab/>
            </w:r>
            <w:r>
              <w:rPr>
                <w:rStyle w:val="IndexLink"/>
              </w:rPr>
              <w:t>308</w:t>
            </w:r>
          </w:hyperlink>
        </w:p>
        <w:p>
          <w:pPr>
            <w:pStyle w:val="Contents4"/>
            <w:tabs>
              <w:tab w:val="clear" w:pos="8176"/>
              <w:tab w:val="right" w:pos="9026" w:leader="dot"/>
            </w:tabs>
            <w:rPr/>
          </w:pPr>
          <w:hyperlink w:anchor="__RefHeading___Toc477848_581953129">
            <w:r>
              <w:rPr>
                <w:webHidden/>
                <w:rStyle w:val="IndexLink"/>
                <w:rtl w:val="true"/>
              </w:rPr>
              <w:t>الإدراک العقلی للعدالة له حدود</w:t>
            </w:r>
            <w:r>
              <w:rPr>
                <w:rStyle w:val="IndexLink"/>
                <w:rtl w:val="true"/>
              </w:rPr>
              <w:tab/>
            </w:r>
            <w:r>
              <w:rPr>
                <w:rStyle w:val="IndexLink"/>
              </w:rPr>
              <w:t>308</w:t>
            </w:r>
          </w:hyperlink>
        </w:p>
        <w:p>
          <w:pPr>
            <w:pStyle w:val="Contents4"/>
            <w:tabs>
              <w:tab w:val="clear" w:pos="8176"/>
              <w:tab w:val="right" w:pos="9026" w:leader="dot"/>
            </w:tabs>
            <w:rPr/>
          </w:pPr>
          <w:hyperlink w:anchor="__RefHeading___Toc477850_581953129">
            <w:r>
              <w:rPr>
                <w:webHidden/>
                <w:rStyle w:val="IndexLink"/>
                <w:rtl w:val="true"/>
              </w:rPr>
              <w:t>متی نحتاج إلی الاعتبار القانونی فی إدراک العدالة ؟</w:t>
            </w:r>
            <w:r>
              <w:rPr>
                <w:rStyle w:val="IndexLink"/>
                <w:rtl w:val="true"/>
              </w:rPr>
              <w:tab/>
            </w:r>
            <w:r>
              <w:rPr>
                <w:rStyle w:val="IndexLink"/>
              </w:rPr>
              <w:t>309</w:t>
            </w:r>
          </w:hyperlink>
        </w:p>
        <w:p>
          <w:pPr>
            <w:pStyle w:val="Contents4"/>
            <w:tabs>
              <w:tab w:val="clear" w:pos="8176"/>
              <w:tab w:val="right" w:pos="9026" w:leader="dot"/>
            </w:tabs>
            <w:rPr/>
          </w:pPr>
          <w:hyperlink w:anchor="__RefHeading___Toc477852_581953129">
            <w:r>
              <w:rPr>
                <w:webHidden/>
                <w:rStyle w:val="IndexLink"/>
                <w:rtl w:val="true"/>
              </w:rPr>
              <w:t>التقنین الإلهی والتقنین الوضعی</w:t>
            </w:r>
            <w:r>
              <w:rPr>
                <w:rStyle w:val="IndexLink"/>
                <w:rtl w:val="true"/>
              </w:rPr>
              <w:tab/>
            </w:r>
            <w:r>
              <w:rPr>
                <w:rStyle w:val="IndexLink"/>
              </w:rPr>
              <w:t>309</w:t>
            </w:r>
          </w:hyperlink>
        </w:p>
        <w:p>
          <w:pPr>
            <w:pStyle w:val="Contents4"/>
            <w:tabs>
              <w:tab w:val="clear" w:pos="8176"/>
              <w:tab w:val="right" w:pos="9026" w:leader="dot"/>
            </w:tabs>
            <w:rPr/>
          </w:pPr>
          <w:hyperlink w:anchor="__RefHeading___Toc477854_581953129">
            <w:r>
              <w:rPr>
                <w:webHidden/>
                <w:rStyle w:val="IndexLink"/>
                <w:rtl w:val="true"/>
              </w:rPr>
              <w:t>بنیة الحقوق التکوینیة قبل مرحلة التقنین</w:t>
            </w:r>
            <w:r>
              <w:rPr>
                <w:rStyle w:val="IndexLink"/>
                <w:rtl w:val="true"/>
              </w:rPr>
              <w:tab/>
            </w:r>
            <w:r>
              <w:rPr>
                <w:rStyle w:val="IndexLink"/>
              </w:rPr>
              <w:t>309</w:t>
            </w:r>
          </w:hyperlink>
        </w:p>
        <w:p>
          <w:pPr>
            <w:pStyle w:val="Contents4"/>
            <w:tabs>
              <w:tab w:val="clear" w:pos="8176"/>
              <w:tab w:val="right" w:pos="9026" w:leader="dot"/>
            </w:tabs>
            <w:rPr/>
          </w:pPr>
          <w:hyperlink w:anchor="__RefHeading___Toc477856_581953129">
            <w:r>
              <w:rPr>
                <w:webHidden/>
                <w:rStyle w:val="IndexLink"/>
                <w:rtl w:val="true"/>
              </w:rPr>
              <w:t>الرؤیة الإسلامیة للعدالة</w:t>
            </w:r>
            <w:r>
              <w:rPr>
                <w:rStyle w:val="IndexLink"/>
                <w:rtl w:val="true"/>
              </w:rPr>
              <w:tab/>
            </w:r>
            <w:r>
              <w:rPr>
                <w:rStyle w:val="IndexLink"/>
              </w:rPr>
              <w:t>310</w:t>
            </w:r>
          </w:hyperlink>
        </w:p>
        <w:p>
          <w:pPr>
            <w:pStyle w:val="Contents4"/>
            <w:tabs>
              <w:tab w:val="clear" w:pos="8176"/>
              <w:tab w:val="right" w:pos="9026" w:leader="dot"/>
            </w:tabs>
            <w:rPr/>
          </w:pPr>
          <w:hyperlink w:anchor="__RefHeading___Toc477858_581953129">
            <w:r>
              <w:rPr>
                <w:webHidden/>
                <w:rStyle w:val="IndexLink"/>
                <w:rtl w:val="true"/>
              </w:rPr>
              <w:t>الملکیّة الحقیقیة للّه</w:t>
            </w:r>
            <w:r>
              <w:rPr>
                <w:rStyle w:val="IndexLink"/>
                <w:rtl w:val="true"/>
              </w:rPr>
              <w:tab/>
            </w:r>
            <w:r>
              <w:rPr>
                <w:rStyle w:val="IndexLink"/>
              </w:rPr>
              <w:t>310</w:t>
            </w:r>
          </w:hyperlink>
        </w:p>
        <w:p>
          <w:pPr>
            <w:pStyle w:val="Contents4"/>
            <w:tabs>
              <w:tab w:val="clear" w:pos="8176"/>
              <w:tab w:val="right" w:pos="9026" w:leader="dot"/>
            </w:tabs>
            <w:rPr/>
          </w:pPr>
          <w:hyperlink w:anchor="__RefHeading___Toc477860_581953129">
            <w:r>
              <w:rPr>
                <w:webHidden/>
                <w:rStyle w:val="IndexLink"/>
                <w:rtl w:val="true"/>
              </w:rPr>
              <w:t>لا تتحقق العدالة من خلال المدرسة الذاتیة أو الإنسانیة</w:t>
            </w:r>
            <w:r>
              <w:rPr>
                <w:rStyle w:val="IndexLink"/>
                <w:rtl w:val="true"/>
              </w:rPr>
              <w:tab/>
            </w:r>
            <w:r>
              <w:rPr>
                <w:rStyle w:val="IndexLink"/>
              </w:rPr>
              <w:t>311</w:t>
            </w:r>
          </w:hyperlink>
        </w:p>
        <w:p>
          <w:pPr>
            <w:pStyle w:val="Contents4"/>
            <w:tabs>
              <w:tab w:val="clear" w:pos="8176"/>
              <w:tab w:val="right" w:pos="9026" w:leader="dot"/>
            </w:tabs>
            <w:rPr/>
          </w:pPr>
          <w:hyperlink w:anchor="__RefHeading___Toc477862_581953129">
            <w:r>
              <w:rPr>
                <w:webHidden/>
                <w:rStyle w:val="IndexLink"/>
                <w:rtl w:val="true"/>
              </w:rPr>
              <w:t>ملکیّة اللّه وملکیّة الرسول وذی القربی</w:t>
            </w:r>
            <w:r>
              <w:rPr>
                <w:rStyle w:val="IndexLink"/>
                <w:rtl w:val="true"/>
              </w:rPr>
              <w:tab/>
            </w:r>
            <w:r>
              <w:rPr>
                <w:rStyle w:val="IndexLink"/>
              </w:rPr>
              <w:t>311</w:t>
            </w:r>
          </w:hyperlink>
        </w:p>
        <w:p>
          <w:pPr>
            <w:pStyle w:val="Contents4"/>
            <w:tabs>
              <w:tab w:val="clear" w:pos="8176"/>
              <w:tab w:val="right" w:pos="9026" w:leader="dot"/>
            </w:tabs>
            <w:rPr/>
          </w:pPr>
          <w:hyperlink w:anchor="__RefHeading___Toc477864_581953129">
            <w:r>
              <w:rPr>
                <w:webHidden/>
                <w:rStyle w:val="IndexLink"/>
                <w:rtl w:val="true"/>
              </w:rPr>
              <w:t>الحق للّه ثمّ للرسول ثمّ لذی القربی</w:t>
            </w:r>
            <w:r>
              <w:rPr>
                <w:rStyle w:val="IndexLink"/>
                <w:rtl w:val="true"/>
              </w:rPr>
              <w:tab/>
            </w:r>
            <w:r>
              <w:rPr>
                <w:rStyle w:val="IndexLink"/>
              </w:rPr>
              <w:t>312</w:t>
            </w:r>
          </w:hyperlink>
        </w:p>
        <w:p>
          <w:pPr>
            <w:pStyle w:val="Contents4"/>
            <w:tabs>
              <w:tab w:val="clear" w:pos="8176"/>
              <w:tab w:val="right" w:pos="9026" w:leader="dot"/>
            </w:tabs>
            <w:rPr/>
          </w:pPr>
          <w:hyperlink w:anchor="__RefHeading___Toc477866_581953129">
            <w:r>
              <w:rPr>
                <w:webHidden/>
                <w:rStyle w:val="IndexLink"/>
                <w:rtl w:val="true"/>
              </w:rPr>
              <w:t>سیطرة الإقطاع الأموی علی المناصب الحسّاسة</w:t>
            </w:r>
            <w:r>
              <w:rPr>
                <w:rStyle w:val="IndexLink"/>
                <w:rtl w:val="true"/>
              </w:rPr>
              <w:tab/>
            </w:r>
            <w:r>
              <w:rPr>
                <w:rStyle w:val="IndexLink"/>
              </w:rPr>
              <w:t>312</w:t>
            </w:r>
          </w:hyperlink>
        </w:p>
        <w:p>
          <w:pPr>
            <w:pStyle w:val="Contents4"/>
            <w:tabs>
              <w:tab w:val="clear" w:pos="8176"/>
              <w:tab w:val="right" w:pos="9026" w:leader="dot"/>
            </w:tabs>
            <w:rPr/>
          </w:pPr>
          <w:hyperlink w:anchor="__RefHeading___Toc477868_581953129">
            <w:r>
              <w:rPr>
                <w:webHidden/>
                <w:rStyle w:val="IndexLink"/>
                <w:rtl w:val="true"/>
              </w:rPr>
              <w:t>تطبیق العدالة من خلال دور ذوی القربی</w:t>
            </w:r>
            <w:r>
              <w:rPr>
                <w:rStyle w:val="IndexLink"/>
                <w:rtl w:val="true"/>
              </w:rPr>
              <w:tab/>
            </w:r>
            <w:r>
              <w:rPr>
                <w:rStyle w:val="IndexLink"/>
              </w:rPr>
              <w:t>313</w:t>
            </w:r>
          </w:hyperlink>
        </w:p>
        <w:p>
          <w:pPr>
            <w:pStyle w:val="Contents3"/>
            <w:tabs>
              <w:tab w:val="clear" w:pos="8459"/>
              <w:tab w:val="right" w:pos="9026" w:leader="dot"/>
            </w:tabs>
            <w:rPr/>
          </w:pPr>
          <w:hyperlink w:anchor="__RefHeading___Toc477870_581953129">
            <w:r>
              <w:rPr>
                <w:webHidden/>
                <w:rStyle w:val="IndexLink"/>
                <w:rtl w:val="true"/>
              </w:rPr>
              <w:t>المحاضرة السادسة العدالة ودور الخلیفة فی الأرض</w:t>
            </w:r>
            <w:r>
              <w:rPr>
                <w:rStyle w:val="IndexLink"/>
                <w:rtl w:val="true"/>
              </w:rPr>
              <w:tab/>
            </w:r>
            <w:r>
              <w:rPr>
                <w:rStyle w:val="IndexLink"/>
              </w:rPr>
              <w:t>314</w:t>
            </w:r>
          </w:hyperlink>
        </w:p>
        <w:p>
          <w:pPr>
            <w:pStyle w:val="Contents4"/>
            <w:tabs>
              <w:tab w:val="clear" w:pos="8176"/>
              <w:tab w:val="right" w:pos="9026" w:leader="dot"/>
            </w:tabs>
            <w:rPr/>
          </w:pPr>
          <w:hyperlink w:anchor="__RefHeading___Toc477872_581953129">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477874_581953129">
            <w:r>
              <w:rPr>
                <w:webHidden/>
                <w:rStyle w:val="IndexLink"/>
                <w:rtl w:val="true"/>
              </w:rPr>
              <w:t>هدف الحسین علیه السلام من الخروج علی بنی أمیة</w:t>
            </w:r>
            <w:r>
              <w:rPr>
                <w:rStyle w:val="IndexLink"/>
                <w:rtl w:val="true"/>
              </w:rPr>
              <w:tab/>
            </w:r>
            <w:r>
              <w:rPr>
                <w:rStyle w:val="IndexLink"/>
              </w:rPr>
              <w:t>314</w:t>
            </w:r>
          </w:hyperlink>
        </w:p>
        <w:p>
          <w:pPr>
            <w:pStyle w:val="Contents4"/>
            <w:tabs>
              <w:tab w:val="clear" w:pos="8176"/>
              <w:tab w:val="right" w:pos="9026" w:leader="dot"/>
            </w:tabs>
            <w:rPr/>
          </w:pPr>
          <w:hyperlink w:anchor="__RefHeading___Toc477876_581953129">
            <w:r>
              <w:rPr>
                <w:webHidden/>
                <w:rStyle w:val="IndexLink"/>
                <w:rtl w:val="true"/>
              </w:rPr>
              <w:t>هل القدرة هی مصدر الاستحقاق ؟</w:t>
            </w:r>
            <w:r>
              <w:rPr>
                <w:rStyle w:val="IndexLink"/>
                <w:rtl w:val="true"/>
              </w:rPr>
              <w:tab/>
            </w:r>
            <w:r>
              <w:rPr>
                <w:rStyle w:val="IndexLink"/>
              </w:rPr>
              <w:t>315</w:t>
            </w:r>
          </w:hyperlink>
        </w:p>
        <w:p>
          <w:pPr>
            <w:pStyle w:val="Contents4"/>
            <w:tabs>
              <w:tab w:val="clear" w:pos="8176"/>
              <w:tab w:val="right" w:pos="9026" w:leader="dot"/>
            </w:tabs>
            <w:rPr/>
          </w:pPr>
          <w:hyperlink w:anchor="__RefHeading___Toc477878_581953129">
            <w:r>
              <w:rPr>
                <w:webHidden/>
                <w:rStyle w:val="IndexLink"/>
                <w:rtl w:val="true"/>
              </w:rPr>
              <w:t>هل یخضع النظام لرأی الأکثریة ؟</w:t>
            </w:r>
            <w:r>
              <w:rPr>
                <w:rStyle w:val="IndexLink"/>
                <w:rtl w:val="true"/>
              </w:rPr>
              <w:tab/>
            </w:r>
            <w:r>
              <w:rPr>
                <w:rStyle w:val="IndexLink"/>
              </w:rPr>
              <w:t>316</w:t>
            </w:r>
          </w:hyperlink>
        </w:p>
        <w:p>
          <w:pPr>
            <w:pStyle w:val="Contents4"/>
            <w:tabs>
              <w:tab w:val="clear" w:pos="8176"/>
              <w:tab w:val="right" w:pos="9026" w:leader="dot"/>
            </w:tabs>
            <w:rPr/>
          </w:pPr>
          <w:hyperlink w:anchor="__RefHeading___Toc477880_581953129">
            <w:r>
              <w:rPr>
                <w:webHidden/>
                <w:rStyle w:val="IndexLink"/>
                <w:rtl w:val="true"/>
              </w:rPr>
              <w:t>لابدّ من مراجعة الرؤیة الکونیة للمدارس الحقوقیة والسیاسیة</w:t>
            </w:r>
            <w:r>
              <w:rPr>
                <w:rStyle w:val="IndexLink"/>
                <w:rtl w:val="true"/>
              </w:rPr>
              <w:tab/>
            </w:r>
            <w:r>
              <w:rPr>
                <w:rStyle w:val="IndexLink"/>
              </w:rPr>
              <w:t>316</w:t>
            </w:r>
          </w:hyperlink>
        </w:p>
        <w:p>
          <w:pPr>
            <w:pStyle w:val="Contents4"/>
            <w:tabs>
              <w:tab w:val="clear" w:pos="8176"/>
              <w:tab w:val="right" w:pos="9026" w:leader="dot"/>
            </w:tabs>
            <w:rPr/>
          </w:pPr>
          <w:hyperlink w:anchor="__RefHeading___Toc477882_581953129">
            <w:r>
              <w:rPr>
                <w:webHidden/>
                <w:rStyle w:val="IndexLink"/>
                <w:rtl w:val="true"/>
              </w:rPr>
              <w:t>هل یجب إخضاع القانون للأخلاق ؟</w:t>
            </w:r>
            <w:r>
              <w:rPr>
                <w:rStyle w:val="IndexLink"/>
                <w:rtl w:val="true"/>
              </w:rPr>
              <w:tab/>
            </w:r>
            <w:r>
              <w:rPr>
                <w:rStyle w:val="IndexLink"/>
              </w:rPr>
              <w:t>316</w:t>
            </w:r>
          </w:hyperlink>
        </w:p>
        <w:p>
          <w:pPr>
            <w:pStyle w:val="Contents4"/>
            <w:tabs>
              <w:tab w:val="clear" w:pos="8176"/>
              <w:tab w:val="right" w:pos="9026" w:leader="dot"/>
            </w:tabs>
            <w:rPr/>
          </w:pPr>
          <w:hyperlink w:anchor="__RefHeading___Toc477884_581953129">
            <w:r>
              <w:rPr>
                <w:webHidden/>
                <w:rStyle w:val="IndexLink"/>
                <w:rtl w:val="true"/>
              </w:rPr>
              <w:t>هل العدالة أمر حقیقی أم اعتباری ؟</w:t>
            </w:r>
            <w:r>
              <w:rPr>
                <w:rStyle w:val="IndexLink"/>
                <w:rtl w:val="true"/>
              </w:rPr>
              <w:tab/>
            </w:r>
            <w:r>
              <w:rPr>
                <w:rStyle w:val="IndexLink"/>
              </w:rPr>
              <w:t>317</w:t>
            </w:r>
          </w:hyperlink>
        </w:p>
        <w:p>
          <w:pPr>
            <w:pStyle w:val="Contents4"/>
            <w:tabs>
              <w:tab w:val="clear" w:pos="8176"/>
              <w:tab w:val="right" w:pos="9026" w:leader="dot"/>
            </w:tabs>
            <w:rPr/>
          </w:pPr>
          <w:hyperlink w:anchor="__RefHeading___Toc477886_581953129">
            <w:r>
              <w:rPr>
                <w:webHidden/>
                <w:rStyle w:val="IndexLink"/>
                <w:rtl w:val="true"/>
              </w:rPr>
              <w:t>لا محوریّة للعدالة فی المبادیء الغربیة</w:t>
            </w:r>
            <w:r>
              <w:rPr>
                <w:rStyle w:val="IndexLink"/>
                <w:rtl w:val="true"/>
              </w:rPr>
              <w:tab/>
            </w:r>
            <w:r>
              <w:rPr>
                <w:rStyle w:val="IndexLink"/>
              </w:rPr>
              <w:t>317</w:t>
            </w:r>
          </w:hyperlink>
        </w:p>
        <w:p>
          <w:pPr>
            <w:pStyle w:val="Contents4"/>
            <w:tabs>
              <w:tab w:val="clear" w:pos="8176"/>
              <w:tab w:val="right" w:pos="9026" w:leader="dot"/>
            </w:tabs>
            <w:rPr/>
          </w:pPr>
          <w:hyperlink w:anchor="__RefHeading___Toc477888_581953129">
            <w:r>
              <w:rPr>
                <w:webHidden/>
                <w:rStyle w:val="IndexLink"/>
                <w:rtl w:val="true"/>
              </w:rPr>
              <w:t>العبودیة للّه تؤسس للعدالة</w:t>
            </w:r>
            <w:r>
              <w:rPr>
                <w:rStyle w:val="IndexLink"/>
                <w:rtl w:val="true"/>
              </w:rPr>
              <w:tab/>
            </w:r>
            <w:r>
              <w:rPr>
                <w:rStyle w:val="IndexLink"/>
              </w:rPr>
              <w:t>318</w:t>
            </w:r>
          </w:hyperlink>
        </w:p>
        <w:p>
          <w:pPr>
            <w:pStyle w:val="Contents4"/>
            <w:tabs>
              <w:tab w:val="clear" w:pos="8176"/>
              <w:tab w:val="right" w:pos="9026" w:leader="dot"/>
            </w:tabs>
            <w:rPr/>
          </w:pPr>
          <w:hyperlink w:anchor="__RefHeading___Toc477890_581953129">
            <w:r>
              <w:rPr>
                <w:webHidden/>
                <w:rStyle w:val="IndexLink"/>
                <w:rtl w:val="true"/>
              </w:rPr>
              <w:t>مفهوم الفیء</w:t>
            </w:r>
            <w:r>
              <w:rPr>
                <w:rStyle w:val="IndexLink"/>
                <w:rtl w:val="true"/>
              </w:rPr>
              <w:tab/>
            </w:r>
            <w:r>
              <w:rPr>
                <w:rStyle w:val="IndexLink"/>
              </w:rPr>
              <w:t>318</w:t>
            </w:r>
          </w:hyperlink>
        </w:p>
        <w:p>
          <w:pPr>
            <w:pStyle w:val="Contents4"/>
            <w:tabs>
              <w:tab w:val="clear" w:pos="8176"/>
              <w:tab w:val="right" w:pos="9026" w:leader="dot"/>
            </w:tabs>
            <w:rPr/>
          </w:pPr>
          <w:hyperlink w:anchor="__RefHeading___Toc477892_581953129">
            <w:r>
              <w:rPr>
                <w:webHidden/>
                <w:rStyle w:val="IndexLink"/>
                <w:rtl w:val="true"/>
              </w:rPr>
              <w:t>إنّی جاعل فی الأرض خلیفة</w:t>
            </w:r>
            <w:r>
              <w:rPr>
                <w:rStyle w:val="IndexLink"/>
                <w:rtl w:val="true"/>
              </w:rPr>
              <w:tab/>
            </w:r>
            <w:r>
              <w:rPr>
                <w:rStyle w:val="IndexLink"/>
              </w:rPr>
              <w:t>319</w:t>
            </w:r>
          </w:hyperlink>
        </w:p>
        <w:p>
          <w:pPr>
            <w:pStyle w:val="Contents4"/>
            <w:tabs>
              <w:tab w:val="clear" w:pos="8176"/>
              <w:tab w:val="right" w:pos="9026" w:leader="dot"/>
            </w:tabs>
            <w:rPr/>
          </w:pPr>
          <w:hyperlink w:anchor="__RefHeading___Toc477894_581953129">
            <w:r>
              <w:rPr>
                <w:webHidden/>
                <w:rStyle w:val="IndexLink"/>
                <w:rtl w:val="true"/>
              </w:rPr>
              <w:t>الخلیفة هو الشخص المصطفی من اللّه</w:t>
            </w:r>
            <w:r>
              <w:rPr>
                <w:rStyle w:val="IndexLink"/>
                <w:rtl w:val="true"/>
              </w:rPr>
              <w:tab/>
            </w:r>
            <w:r>
              <w:rPr>
                <w:rStyle w:val="IndexLink"/>
              </w:rPr>
              <w:t>319</w:t>
            </w:r>
          </w:hyperlink>
        </w:p>
        <w:p>
          <w:pPr>
            <w:pStyle w:val="Contents4"/>
            <w:tabs>
              <w:tab w:val="clear" w:pos="8176"/>
              <w:tab w:val="right" w:pos="9026" w:leader="dot"/>
            </w:tabs>
            <w:rPr/>
          </w:pPr>
          <w:hyperlink w:anchor="__RefHeading___Toc477896_581953129">
            <w:r>
              <w:rPr>
                <w:webHidden/>
                <w:rStyle w:val="IndexLink"/>
                <w:rtl w:val="true"/>
              </w:rPr>
              <w:t>لابدّ من رجوع الفیء إلی مدبّره الصحیح</w:t>
            </w:r>
            <w:r>
              <w:rPr>
                <w:rStyle w:val="IndexLink"/>
                <w:rtl w:val="true"/>
              </w:rPr>
              <w:tab/>
            </w:r>
            <w:r>
              <w:rPr>
                <w:rStyle w:val="IndexLink"/>
              </w:rPr>
              <w:t>320</w:t>
            </w:r>
          </w:hyperlink>
        </w:p>
        <w:p>
          <w:pPr>
            <w:pStyle w:val="Contents4"/>
            <w:tabs>
              <w:tab w:val="clear" w:pos="8176"/>
              <w:tab w:val="right" w:pos="9026" w:leader="dot"/>
            </w:tabs>
            <w:rPr/>
          </w:pPr>
          <w:hyperlink w:anchor="__RefHeading___Toc477898_581953129">
            <w:r>
              <w:rPr>
                <w:webHidden/>
                <w:rStyle w:val="IndexLink"/>
                <w:rtl w:val="true"/>
              </w:rPr>
              <w:t>مفهوم أهل القری فی القرآن الکریم</w:t>
            </w:r>
            <w:r>
              <w:rPr>
                <w:rStyle w:val="IndexLink"/>
                <w:rtl w:val="true"/>
              </w:rPr>
              <w:tab/>
            </w:r>
            <w:r>
              <w:rPr>
                <w:rStyle w:val="IndexLink"/>
              </w:rPr>
              <w:t>320</w:t>
            </w:r>
          </w:hyperlink>
        </w:p>
        <w:p>
          <w:pPr>
            <w:pStyle w:val="Contents4"/>
            <w:tabs>
              <w:tab w:val="clear" w:pos="8176"/>
              <w:tab w:val="right" w:pos="9026" w:leader="dot"/>
            </w:tabs>
            <w:rPr/>
          </w:pPr>
          <w:hyperlink w:anchor="__RefHeading___Toc477900_581953129">
            <w:r>
              <w:rPr>
                <w:webHidden/>
                <w:rStyle w:val="IndexLink"/>
                <w:rtl w:val="true"/>
              </w:rPr>
              <w:t>الاحتکار ونشر الأمراض الجنسیة من مصادیق الإفساد فی الأرض</w:t>
            </w:r>
            <w:r>
              <w:rPr>
                <w:rStyle w:val="IndexLink"/>
                <w:rtl w:val="true"/>
              </w:rPr>
              <w:tab/>
            </w:r>
            <w:r>
              <w:rPr>
                <w:rStyle w:val="IndexLink"/>
              </w:rPr>
              <w:t>321</w:t>
            </w:r>
          </w:hyperlink>
        </w:p>
        <w:p>
          <w:pPr>
            <w:pStyle w:val="Contents4"/>
            <w:tabs>
              <w:tab w:val="clear" w:pos="8176"/>
              <w:tab w:val="right" w:pos="9026" w:leader="dot"/>
            </w:tabs>
            <w:rPr/>
          </w:pPr>
          <w:hyperlink w:anchor="__RefHeading___Toc477902_581953129">
            <w:r>
              <w:rPr>
                <w:webHidden/>
                <w:rStyle w:val="IndexLink"/>
                <w:rtl w:val="true"/>
              </w:rPr>
              <w:t>خلیفة اللّه ید اللّه ، وعین اللّه ، ووجه اللّه فی الأرض</w:t>
            </w:r>
            <w:r>
              <w:rPr>
                <w:rStyle w:val="IndexLink"/>
                <w:rtl w:val="true"/>
              </w:rPr>
              <w:tab/>
            </w:r>
            <w:r>
              <w:rPr>
                <w:rStyle w:val="IndexLink"/>
              </w:rPr>
              <w:t>321</w:t>
            </w:r>
          </w:hyperlink>
        </w:p>
        <w:p>
          <w:pPr>
            <w:pStyle w:val="Contents4"/>
            <w:tabs>
              <w:tab w:val="clear" w:pos="8176"/>
              <w:tab w:val="right" w:pos="9026" w:leader="dot"/>
            </w:tabs>
            <w:rPr/>
          </w:pPr>
          <w:hyperlink w:anchor="__RefHeading___Toc477904_581953129">
            <w:r>
              <w:rPr>
                <w:webHidden/>
                <w:rStyle w:val="IndexLink"/>
                <w:rtl w:val="true"/>
              </w:rPr>
              <w:t>تساؤلات حول العدالة والسعادة والرفاه</w:t>
            </w:r>
            <w:r>
              <w:rPr>
                <w:rStyle w:val="IndexLink"/>
                <w:rtl w:val="true"/>
              </w:rPr>
              <w:tab/>
            </w:r>
            <w:r>
              <w:rPr>
                <w:rStyle w:val="IndexLink"/>
              </w:rPr>
              <w:t>322</w:t>
            </w:r>
          </w:hyperlink>
        </w:p>
        <w:p>
          <w:pPr>
            <w:pStyle w:val="Contents4"/>
            <w:tabs>
              <w:tab w:val="clear" w:pos="8176"/>
              <w:tab w:val="right" w:pos="9026" w:leader="dot"/>
            </w:tabs>
            <w:rPr/>
          </w:pPr>
          <w:hyperlink w:anchor="__RefHeading___Toc477906_581953129">
            <w:r>
              <w:rPr>
                <w:webHidden/>
                <w:rStyle w:val="IndexLink"/>
                <w:rtl w:val="true"/>
              </w:rPr>
              <w:t>المقصود من</w:t>
            </w:r>
            <w:r>
              <w:rPr>
                <w:rStyle w:val="IndexLink"/>
                <w:rtl w:val="true"/>
              </w:rPr>
              <w:tab/>
            </w:r>
            <w:r>
              <w:rPr>
                <w:rStyle w:val="IndexLink"/>
              </w:rPr>
              <w:t>322</w:t>
            </w:r>
          </w:hyperlink>
        </w:p>
        <w:p>
          <w:pPr>
            <w:pStyle w:val="Contents4"/>
            <w:tabs>
              <w:tab w:val="clear" w:pos="8176"/>
              <w:tab w:val="right" w:pos="9026" w:leader="dot"/>
            </w:tabs>
            <w:rPr/>
          </w:pPr>
          <w:hyperlink w:anchor="__RefHeading___Toc477908_581953129">
            <w:r>
              <w:rPr>
                <w:webHidden/>
                <w:rStyle w:val="IndexLink"/>
                <w:rtl w:val="true"/>
              </w:rPr>
              <w:t xml:space="preserve">الإمام المهدی </w:t>
            </w:r>
            <w:r>
              <w:rPr>
                <w:rStyle w:val="IndexLink"/>
                <w:rtl w:val="true"/>
              </w:rPr>
              <w:t>(</w:t>
            </w:r>
            <w:r>
              <w:rPr>
                <w:rStyle w:val="IndexLink"/>
                <w:rtl w:val="true"/>
              </w:rPr>
              <w:t>عجّل اللّه فرجه</w:t>
            </w:r>
            <w:r>
              <w:rPr>
                <w:rStyle w:val="IndexLink"/>
                <w:rtl w:val="true"/>
              </w:rPr>
              <w:t xml:space="preserve">) </w:t>
            </w:r>
            <w:r>
              <w:rPr>
                <w:rStyle w:val="IndexLink"/>
                <w:rtl w:val="true"/>
              </w:rPr>
              <w:t>یتصدّی لأُمور المسلمین فی غیبته ، ولکن فی</w:t>
            </w:r>
            <w:r>
              <w:rPr>
                <w:rStyle w:val="IndexLink"/>
                <w:rtl w:val="true"/>
              </w:rPr>
              <w:tab/>
            </w:r>
            <w:r>
              <w:rPr>
                <w:rStyle w:val="IndexLink"/>
              </w:rPr>
              <w:t>323</w:t>
            </w:r>
          </w:hyperlink>
        </w:p>
        <w:p>
          <w:pPr>
            <w:pStyle w:val="Contents4"/>
            <w:tabs>
              <w:tab w:val="clear" w:pos="8176"/>
              <w:tab w:val="right" w:pos="9026" w:leader="dot"/>
            </w:tabs>
            <w:rPr/>
          </w:pPr>
          <w:hyperlink w:anchor="__RefHeading___Toc477910_581953129">
            <w:r>
              <w:rPr>
                <w:webHidden/>
                <w:rStyle w:val="IndexLink"/>
                <w:rtl w:val="true"/>
              </w:rPr>
              <w:t>أهمیة الحکم السرّی فی مجریات الأُمور</w:t>
            </w:r>
            <w:r>
              <w:rPr>
                <w:rStyle w:val="IndexLink"/>
                <w:rtl w:val="true"/>
              </w:rPr>
              <w:tab/>
            </w:r>
            <w:r>
              <w:rPr>
                <w:rStyle w:val="IndexLink"/>
              </w:rPr>
              <w:t>323</w:t>
            </w:r>
          </w:hyperlink>
        </w:p>
        <w:p>
          <w:pPr>
            <w:pStyle w:val="Contents3"/>
            <w:tabs>
              <w:tab w:val="clear" w:pos="8459"/>
              <w:tab w:val="right" w:pos="9026" w:leader="dot"/>
            </w:tabs>
            <w:rPr/>
          </w:pPr>
          <w:hyperlink w:anchor="__RefHeading___Toc477912_581953129">
            <w:r>
              <w:rPr>
                <w:webHidden/>
                <w:rStyle w:val="IndexLink"/>
                <w:rtl w:val="true"/>
              </w:rPr>
              <w:t>المحاضرة السابعة مناقشة بعض تعریفات العدالة</w:t>
            </w:r>
            <w:r>
              <w:rPr>
                <w:rStyle w:val="IndexLink"/>
                <w:rtl w:val="true"/>
              </w:rPr>
              <w:tab/>
            </w:r>
            <w:r>
              <w:rPr>
                <w:rStyle w:val="IndexLink"/>
              </w:rPr>
              <w:t>324</w:t>
            </w:r>
          </w:hyperlink>
        </w:p>
        <w:p>
          <w:pPr>
            <w:pStyle w:val="Contents4"/>
            <w:tabs>
              <w:tab w:val="clear" w:pos="8176"/>
              <w:tab w:val="right" w:pos="9026" w:leader="dot"/>
            </w:tabs>
            <w:rPr/>
          </w:pPr>
          <w:hyperlink w:anchor="__RefHeading___Toc477914_581953129">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477916_581953129">
            <w:r>
              <w:rPr>
                <w:webHidden/>
                <w:rStyle w:val="IndexLink"/>
                <w:rtl w:val="true"/>
              </w:rPr>
              <w:t>هل الفارق الطبقی الفاحش ظاهرة طبیعیة ؟</w:t>
            </w:r>
            <w:r>
              <w:rPr>
                <w:rStyle w:val="IndexLink"/>
                <w:rtl w:val="true"/>
              </w:rPr>
              <w:tab/>
            </w:r>
            <w:r>
              <w:rPr>
                <w:rStyle w:val="IndexLink"/>
              </w:rPr>
              <w:t>325</w:t>
            </w:r>
          </w:hyperlink>
        </w:p>
        <w:p>
          <w:pPr>
            <w:pStyle w:val="Contents4"/>
            <w:tabs>
              <w:tab w:val="clear" w:pos="8176"/>
              <w:tab w:val="right" w:pos="9026" w:leader="dot"/>
            </w:tabs>
            <w:rPr/>
          </w:pPr>
          <w:hyperlink w:anchor="__RefHeading___Toc477918_581953129">
            <w:r>
              <w:rPr>
                <w:webHidden/>
                <w:rStyle w:val="IndexLink"/>
                <w:rtl w:val="true"/>
              </w:rPr>
              <w:t>نظرة القرآن الکریم إلی الفوارق فی المخلوقات</w:t>
            </w:r>
            <w:r>
              <w:rPr>
                <w:rStyle w:val="IndexLink"/>
                <w:rtl w:val="true"/>
              </w:rPr>
              <w:tab/>
            </w:r>
            <w:r>
              <w:rPr>
                <w:rStyle w:val="IndexLink"/>
              </w:rPr>
              <w:t>325</w:t>
            </w:r>
          </w:hyperlink>
        </w:p>
        <w:p>
          <w:pPr>
            <w:pStyle w:val="Contents4"/>
            <w:tabs>
              <w:tab w:val="clear" w:pos="8176"/>
              <w:tab w:val="right" w:pos="9026" w:leader="dot"/>
            </w:tabs>
            <w:rPr/>
          </w:pPr>
          <w:hyperlink w:anchor="__RefHeading___Toc477920_581953129">
            <w:r>
              <w:rPr>
                <w:webHidden/>
                <w:rStyle w:val="IndexLink"/>
                <w:rtl w:val="true"/>
              </w:rPr>
              <w:t>لا إفراط ولا تفریط فی الإسلام</w:t>
            </w:r>
            <w:r>
              <w:rPr>
                <w:rStyle w:val="IndexLink"/>
                <w:rtl w:val="true"/>
              </w:rPr>
              <w:tab/>
            </w:r>
            <w:r>
              <w:rPr>
                <w:rStyle w:val="IndexLink"/>
              </w:rPr>
              <w:t>326</w:t>
            </w:r>
          </w:hyperlink>
        </w:p>
        <w:p>
          <w:pPr>
            <w:pStyle w:val="Contents4"/>
            <w:tabs>
              <w:tab w:val="clear" w:pos="8176"/>
              <w:tab w:val="right" w:pos="9026" w:leader="dot"/>
            </w:tabs>
            <w:rPr/>
          </w:pPr>
          <w:hyperlink w:anchor="__RefHeading___Toc477922_581953129">
            <w:r>
              <w:rPr>
                <w:webHidden/>
                <w:rStyle w:val="IndexLink"/>
                <w:rtl w:val="true"/>
              </w:rPr>
              <w:t>الأصول المحرّمة فی الأدیان السماویة</w:t>
            </w:r>
            <w:r>
              <w:rPr>
                <w:rStyle w:val="IndexLink"/>
                <w:rtl w:val="true"/>
              </w:rPr>
              <w:tab/>
            </w:r>
            <w:r>
              <w:rPr>
                <w:rStyle w:val="IndexLink"/>
              </w:rPr>
              <w:t>327</w:t>
            </w:r>
          </w:hyperlink>
        </w:p>
        <w:p>
          <w:pPr>
            <w:pStyle w:val="Contents4"/>
            <w:tabs>
              <w:tab w:val="clear" w:pos="8176"/>
              <w:tab w:val="right" w:pos="9026" w:leader="dot"/>
            </w:tabs>
            <w:rPr/>
          </w:pPr>
          <w:hyperlink w:anchor="__RefHeading___Toc477924_581953129">
            <w:r>
              <w:rPr>
                <w:webHidden/>
                <w:rStyle w:val="IndexLink"/>
                <w:rtl w:val="true"/>
              </w:rPr>
              <w:t>تطبیق العدالة لن یتمّ إلّاعلی ید المعصوم</w:t>
            </w:r>
            <w:r>
              <w:rPr>
                <w:rStyle w:val="IndexLink"/>
                <w:rtl w:val="true"/>
              </w:rPr>
              <w:tab/>
            </w:r>
            <w:r>
              <w:rPr>
                <w:rStyle w:val="IndexLink"/>
              </w:rPr>
              <w:t>328</w:t>
            </w:r>
          </w:hyperlink>
        </w:p>
        <w:p>
          <w:pPr>
            <w:pStyle w:val="Contents4"/>
            <w:tabs>
              <w:tab w:val="clear" w:pos="8176"/>
              <w:tab w:val="right" w:pos="9026" w:leader="dot"/>
            </w:tabs>
            <w:rPr/>
          </w:pPr>
          <w:hyperlink w:anchor="__RefHeading___Toc477926_581953129">
            <w:r>
              <w:rPr>
                <w:webHidden/>
                <w:rStyle w:val="IndexLink"/>
                <w:rtl w:val="true"/>
              </w:rPr>
              <w:t>العدالة والمساواة</w:t>
            </w:r>
            <w:r>
              <w:rPr>
                <w:rStyle w:val="IndexLink"/>
                <w:rtl w:val="true"/>
              </w:rPr>
              <w:tab/>
            </w:r>
            <w:r>
              <w:rPr>
                <w:rStyle w:val="IndexLink"/>
              </w:rPr>
              <w:t>328</w:t>
            </w:r>
          </w:hyperlink>
        </w:p>
        <w:p>
          <w:pPr>
            <w:pStyle w:val="Contents4"/>
            <w:tabs>
              <w:tab w:val="clear" w:pos="8176"/>
              <w:tab w:val="right" w:pos="9026" w:leader="dot"/>
            </w:tabs>
            <w:rPr/>
          </w:pPr>
          <w:hyperlink w:anchor="__RefHeading___Toc477928_581953129">
            <w:r>
              <w:rPr>
                <w:webHidden/>
                <w:rStyle w:val="IndexLink"/>
                <w:rtl w:val="true"/>
              </w:rPr>
              <w:t>المساواة فی إتاحة الفرص للجمیع</w:t>
            </w:r>
            <w:r>
              <w:rPr>
                <w:rStyle w:val="IndexLink"/>
                <w:rtl w:val="true"/>
              </w:rPr>
              <w:tab/>
            </w:r>
            <w:r>
              <w:rPr>
                <w:rStyle w:val="IndexLink"/>
              </w:rPr>
              <w:t>328</w:t>
            </w:r>
          </w:hyperlink>
        </w:p>
        <w:p>
          <w:pPr>
            <w:pStyle w:val="Contents4"/>
            <w:tabs>
              <w:tab w:val="clear" w:pos="8176"/>
              <w:tab w:val="right" w:pos="9026" w:leader="dot"/>
            </w:tabs>
            <w:rPr/>
          </w:pPr>
          <w:hyperlink w:anchor="__RefHeading___Toc477930_581953129">
            <w:r>
              <w:rPr>
                <w:webHidden/>
                <w:rStyle w:val="IndexLink"/>
                <w:rtl w:val="true"/>
              </w:rPr>
              <w:t>العدالة الوسیطة والرفاه</w:t>
            </w:r>
            <w:r>
              <w:rPr>
                <w:rStyle w:val="IndexLink"/>
                <w:rtl w:val="true"/>
              </w:rPr>
              <w:tab/>
            </w:r>
            <w:r>
              <w:rPr>
                <w:rStyle w:val="IndexLink"/>
              </w:rPr>
              <w:t>329</w:t>
            </w:r>
          </w:hyperlink>
        </w:p>
        <w:p>
          <w:pPr>
            <w:pStyle w:val="Contents4"/>
            <w:tabs>
              <w:tab w:val="clear" w:pos="8176"/>
              <w:tab w:val="right" w:pos="9026" w:leader="dot"/>
            </w:tabs>
            <w:rPr/>
          </w:pPr>
          <w:hyperlink w:anchor="__RefHeading___Toc477932_581953129">
            <w:r>
              <w:rPr>
                <w:webHidden/>
                <w:rStyle w:val="IndexLink"/>
                <w:rtl w:val="true"/>
              </w:rPr>
              <w:t>الرسول والولی من بعده یتولّی الملک</w:t>
            </w:r>
            <w:r>
              <w:rPr>
                <w:rStyle w:val="IndexLink"/>
                <w:rtl w:val="true"/>
              </w:rPr>
              <w:tab/>
            </w:r>
            <w:r>
              <w:rPr>
                <w:rStyle w:val="IndexLink"/>
              </w:rPr>
              <w:t>329</w:t>
            </w:r>
          </w:hyperlink>
        </w:p>
        <w:p>
          <w:pPr>
            <w:pStyle w:val="Contents4"/>
            <w:tabs>
              <w:tab w:val="clear" w:pos="8176"/>
              <w:tab w:val="right" w:pos="9026" w:leader="dot"/>
            </w:tabs>
            <w:rPr/>
          </w:pPr>
          <w:hyperlink w:anchor="__RefHeading___Toc477934_581953129">
            <w:r>
              <w:rPr>
                <w:webHidden/>
                <w:rStyle w:val="IndexLink"/>
                <w:rtl w:val="true"/>
              </w:rPr>
              <w:t>الاعتقاد بمالکیة اللّه یستلزم إشاعة الثروات</w:t>
            </w:r>
            <w:r>
              <w:rPr>
                <w:rStyle w:val="IndexLink"/>
                <w:rtl w:val="true"/>
              </w:rPr>
              <w:tab/>
            </w:r>
            <w:r>
              <w:rPr>
                <w:rStyle w:val="IndexLink"/>
              </w:rPr>
              <w:t>329</w:t>
            </w:r>
          </w:hyperlink>
        </w:p>
        <w:p>
          <w:pPr>
            <w:pStyle w:val="Contents4"/>
            <w:tabs>
              <w:tab w:val="clear" w:pos="8176"/>
              <w:tab w:val="right" w:pos="9026" w:leader="dot"/>
            </w:tabs>
            <w:rPr/>
          </w:pPr>
          <w:hyperlink w:anchor="__RefHeading___Toc477936_581953129">
            <w:r>
              <w:rPr>
                <w:webHidden/>
                <w:rStyle w:val="IndexLink"/>
                <w:rtl w:val="true"/>
              </w:rPr>
              <w:t>متی یصح تعریف العدالة بالرفاه والعدالة الاجتماعیة ؟</w:t>
            </w:r>
            <w:r>
              <w:rPr>
                <w:rStyle w:val="IndexLink"/>
                <w:rtl w:val="true"/>
              </w:rPr>
              <w:tab/>
            </w:r>
            <w:r>
              <w:rPr>
                <w:rStyle w:val="IndexLink"/>
              </w:rPr>
              <w:t>330</w:t>
            </w:r>
          </w:hyperlink>
        </w:p>
        <w:p>
          <w:pPr>
            <w:pStyle w:val="Contents4"/>
            <w:tabs>
              <w:tab w:val="clear" w:pos="8176"/>
              <w:tab w:val="right" w:pos="9026" w:leader="dot"/>
            </w:tabs>
            <w:rPr/>
          </w:pPr>
          <w:hyperlink w:anchor="__RefHeading___Toc477938_581953129">
            <w:r>
              <w:rPr>
                <w:webHidden/>
                <w:rStyle w:val="IndexLink"/>
                <w:rtl w:val="true"/>
              </w:rPr>
              <w:t>تعریف العدالة بسیطرة العقل الجمعی</w:t>
            </w:r>
            <w:r>
              <w:rPr>
                <w:rStyle w:val="IndexLink"/>
                <w:rtl w:val="true"/>
              </w:rPr>
              <w:tab/>
            </w:r>
            <w:r>
              <w:rPr>
                <w:rStyle w:val="IndexLink"/>
              </w:rPr>
              <w:t>330</w:t>
            </w:r>
          </w:hyperlink>
        </w:p>
        <w:p>
          <w:pPr>
            <w:pStyle w:val="Contents4"/>
            <w:tabs>
              <w:tab w:val="clear" w:pos="8176"/>
              <w:tab w:val="right" w:pos="9026" w:leader="dot"/>
            </w:tabs>
            <w:rPr/>
          </w:pPr>
          <w:hyperlink w:anchor="__RefHeading___Toc477940_581953129">
            <w:r>
              <w:rPr>
                <w:webHidden/>
                <w:rStyle w:val="IndexLink"/>
                <w:rtl w:val="true"/>
              </w:rPr>
              <w:t>خطر طغیان المیول النفسیة الجمعیة</w:t>
            </w:r>
            <w:r>
              <w:rPr>
                <w:rStyle w:val="IndexLink"/>
                <w:rtl w:val="true"/>
              </w:rPr>
              <w:tab/>
            </w:r>
            <w:r>
              <w:rPr>
                <w:rStyle w:val="IndexLink"/>
              </w:rPr>
              <w:t>331</w:t>
            </w:r>
          </w:hyperlink>
        </w:p>
        <w:p>
          <w:pPr>
            <w:pStyle w:val="Contents4"/>
            <w:tabs>
              <w:tab w:val="clear" w:pos="8176"/>
              <w:tab w:val="right" w:pos="9026" w:leader="dot"/>
            </w:tabs>
            <w:rPr/>
          </w:pPr>
          <w:hyperlink w:anchor="__RefHeading___Toc477942_581953129">
            <w:r>
              <w:rPr>
                <w:webHidden/>
                <w:rStyle w:val="IndexLink"/>
                <w:rtl w:val="true"/>
              </w:rPr>
              <w:t>الشعب الصینی والشعب الیابانی والمیول النفسیة</w:t>
            </w:r>
            <w:r>
              <w:rPr>
                <w:rStyle w:val="IndexLink"/>
                <w:rtl w:val="true"/>
              </w:rPr>
              <w:tab/>
            </w:r>
            <w:r>
              <w:rPr>
                <w:rStyle w:val="IndexLink"/>
              </w:rPr>
              <w:t>331</w:t>
            </w:r>
          </w:hyperlink>
        </w:p>
        <w:p>
          <w:pPr>
            <w:pStyle w:val="Contents4"/>
            <w:tabs>
              <w:tab w:val="clear" w:pos="8176"/>
              <w:tab w:val="right" w:pos="9026" w:leader="dot"/>
            </w:tabs>
            <w:rPr/>
          </w:pPr>
          <w:hyperlink w:anchor="__RefHeading___Toc477944_581953129">
            <w:r>
              <w:rPr>
                <w:webHidden/>
                <w:rStyle w:val="IndexLink"/>
                <w:rtl w:val="true"/>
              </w:rPr>
              <w:t>الشیعة کالعسل</w:t>
            </w:r>
            <w:r>
              <w:rPr>
                <w:rStyle w:val="IndexLink"/>
                <w:rtl w:val="true"/>
              </w:rPr>
              <w:tab/>
            </w:r>
            <w:r>
              <w:rPr>
                <w:rStyle w:val="IndexLink"/>
              </w:rPr>
              <w:t>332</w:t>
            </w:r>
          </w:hyperlink>
        </w:p>
        <w:p>
          <w:pPr>
            <w:pStyle w:val="Contents4"/>
            <w:tabs>
              <w:tab w:val="clear" w:pos="8176"/>
              <w:tab w:val="right" w:pos="9026" w:leader="dot"/>
            </w:tabs>
            <w:rPr/>
          </w:pPr>
          <w:hyperlink w:anchor="__RefHeading___Toc477946_581953129">
            <w:r>
              <w:rPr>
                <w:webHidden/>
                <w:rStyle w:val="IndexLink"/>
                <w:rtl w:val="true"/>
              </w:rPr>
              <w:t>سیطرة العقل الجمعی تفتقر إلی الضمان</w:t>
            </w:r>
            <w:r>
              <w:rPr>
                <w:rStyle w:val="IndexLink"/>
                <w:rtl w:val="true"/>
              </w:rPr>
              <w:tab/>
            </w:r>
            <w:r>
              <w:rPr>
                <w:rStyle w:val="IndexLink"/>
              </w:rPr>
              <w:t>332</w:t>
            </w:r>
          </w:hyperlink>
        </w:p>
        <w:p>
          <w:pPr>
            <w:pStyle w:val="Contents3"/>
            <w:tabs>
              <w:tab w:val="clear" w:pos="8459"/>
              <w:tab w:val="right" w:pos="9026" w:leader="dot"/>
            </w:tabs>
            <w:rPr/>
          </w:pPr>
          <w:hyperlink w:anchor="__RefHeading___Toc477948_581953129">
            <w:r>
              <w:rPr>
                <w:webHidden/>
                <w:rStyle w:val="IndexLink"/>
                <w:rtl w:val="true"/>
              </w:rPr>
              <w:t>المحاضرة الثامنة الأمم المتحدة وعهد الإمام علی علیه السلام لمالک الأشتر</w:t>
            </w:r>
            <w:r>
              <w:rPr>
                <w:rStyle w:val="IndexLink"/>
                <w:rtl w:val="true"/>
              </w:rPr>
              <w:tab/>
            </w:r>
            <w:r>
              <w:rPr>
                <w:rStyle w:val="IndexLink"/>
              </w:rPr>
              <w:t>334</w:t>
            </w:r>
          </w:hyperlink>
        </w:p>
        <w:p>
          <w:pPr>
            <w:pStyle w:val="Contents4"/>
            <w:tabs>
              <w:tab w:val="clear" w:pos="8176"/>
              <w:tab w:val="right" w:pos="9026" w:leader="dot"/>
            </w:tabs>
            <w:rPr/>
          </w:pPr>
          <w:hyperlink w:anchor="__RefHeading___Toc477950_581953129">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477952_581953129">
            <w:r>
              <w:rPr>
                <w:webHidden/>
                <w:rStyle w:val="IndexLink"/>
                <w:rtl w:val="true"/>
              </w:rPr>
              <w:t>الفرق بین العدل والإحسان</w:t>
            </w:r>
            <w:r>
              <w:rPr>
                <w:rStyle w:val="IndexLink"/>
                <w:rtl w:val="true"/>
              </w:rPr>
              <w:tab/>
            </w:r>
            <w:r>
              <w:rPr>
                <w:rStyle w:val="IndexLink"/>
              </w:rPr>
              <w:t>334</w:t>
            </w:r>
          </w:hyperlink>
        </w:p>
        <w:p>
          <w:pPr>
            <w:pStyle w:val="Contents4"/>
            <w:tabs>
              <w:tab w:val="clear" w:pos="8176"/>
              <w:tab w:val="right" w:pos="9026" w:leader="dot"/>
            </w:tabs>
            <w:rPr/>
          </w:pPr>
          <w:hyperlink w:anchor="__RefHeading___Toc477954_581953129">
            <w:r>
              <w:rPr>
                <w:webHidden/>
                <w:rStyle w:val="IndexLink"/>
                <w:rtl w:val="true"/>
              </w:rPr>
              <w:t>الترتیب فی الآیة لیس اعتباطیاً</w:t>
            </w:r>
            <w:r>
              <w:rPr>
                <w:rStyle w:val="IndexLink"/>
                <w:rtl w:val="true"/>
              </w:rPr>
              <w:tab/>
            </w:r>
            <w:r>
              <w:rPr>
                <w:rStyle w:val="IndexLink"/>
              </w:rPr>
              <w:t>335</w:t>
            </w:r>
          </w:hyperlink>
        </w:p>
        <w:p>
          <w:pPr>
            <w:pStyle w:val="Contents4"/>
            <w:tabs>
              <w:tab w:val="clear" w:pos="8176"/>
              <w:tab w:val="right" w:pos="9026" w:leader="dot"/>
            </w:tabs>
            <w:rPr/>
          </w:pPr>
          <w:hyperlink w:anchor="__RefHeading___Toc477956_581953129">
            <w:r>
              <w:rPr>
                <w:webHidden/>
                <w:rStyle w:val="IndexLink"/>
                <w:rtl w:val="true"/>
              </w:rPr>
              <w:t>الفحشاء ظاهرة فردیة والمنکر ظاهرة اجتماعیة</w:t>
            </w:r>
            <w:r>
              <w:rPr>
                <w:rStyle w:val="IndexLink"/>
                <w:rtl w:val="true"/>
              </w:rPr>
              <w:tab/>
            </w:r>
            <w:r>
              <w:rPr>
                <w:rStyle w:val="IndexLink"/>
              </w:rPr>
              <w:t>336</w:t>
            </w:r>
          </w:hyperlink>
        </w:p>
        <w:p>
          <w:pPr>
            <w:pStyle w:val="Contents4"/>
            <w:tabs>
              <w:tab w:val="clear" w:pos="8176"/>
              <w:tab w:val="right" w:pos="9026" w:leader="dot"/>
            </w:tabs>
            <w:rPr/>
          </w:pPr>
          <w:hyperlink w:anchor="__RefHeading___Toc477958_581953129">
            <w:r>
              <w:rPr>
                <w:webHidden/>
                <w:rStyle w:val="IndexLink"/>
                <w:rtl w:val="true"/>
              </w:rPr>
              <w:t>البغی نتیجة انتشار المنکر</w:t>
            </w:r>
            <w:r>
              <w:rPr>
                <w:rStyle w:val="IndexLink"/>
                <w:rtl w:val="true"/>
              </w:rPr>
              <w:tab/>
            </w:r>
            <w:r>
              <w:rPr>
                <w:rStyle w:val="IndexLink"/>
              </w:rPr>
              <w:t>336</w:t>
            </w:r>
          </w:hyperlink>
        </w:p>
        <w:p>
          <w:pPr>
            <w:pStyle w:val="Contents4"/>
            <w:tabs>
              <w:tab w:val="clear" w:pos="8176"/>
              <w:tab w:val="right" w:pos="9026" w:leader="dot"/>
            </w:tabs>
            <w:rPr/>
          </w:pPr>
          <w:hyperlink w:anchor="__RefHeading___Toc477960_581953129">
            <w:r>
              <w:rPr>
                <w:webHidden/>
                <w:rStyle w:val="IndexLink"/>
                <w:rtl w:val="true"/>
              </w:rPr>
              <w:t xml:space="preserve">صفات المجتمع السلیم </w:t>
            </w:r>
            <w:r>
              <w:rPr>
                <w:rStyle w:val="IndexLink"/>
                <w:rtl w:val="true"/>
              </w:rPr>
              <w:t xml:space="preserve">: </w:t>
            </w:r>
            <w:r>
              <w:rPr>
                <w:rStyle w:val="IndexLink"/>
                <w:rtl w:val="true"/>
              </w:rPr>
              <w:t>العدل والإحسان وإیتاء ذی القربی</w:t>
            </w:r>
            <w:r>
              <w:rPr>
                <w:rStyle w:val="IndexLink"/>
                <w:rtl w:val="true"/>
              </w:rPr>
              <w:tab/>
            </w:r>
            <w:r>
              <w:rPr>
                <w:rStyle w:val="IndexLink"/>
              </w:rPr>
              <w:t>336</w:t>
            </w:r>
          </w:hyperlink>
        </w:p>
        <w:p>
          <w:pPr>
            <w:pStyle w:val="Contents4"/>
            <w:tabs>
              <w:tab w:val="clear" w:pos="8176"/>
              <w:tab w:val="right" w:pos="9026" w:leader="dot"/>
            </w:tabs>
            <w:rPr/>
          </w:pPr>
          <w:hyperlink w:anchor="__RefHeading___Toc477962_581953129">
            <w:r>
              <w:rPr>
                <w:webHidden/>
                <w:rStyle w:val="IndexLink"/>
                <w:rtl w:val="true"/>
              </w:rPr>
              <w:t>التمزّق الاجتماعی الغربی أخذ یزحف علی المجتمع المسلم</w:t>
            </w:r>
            <w:r>
              <w:rPr>
                <w:rStyle w:val="IndexLink"/>
                <w:rtl w:val="true"/>
              </w:rPr>
              <w:tab/>
            </w:r>
            <w:r>
              <w:rPr>
                <w:rStyle w:val="IndexLink"/>
              </w:rPr>
              <w:t>337</w:t>
            </w:r>
          </w:hyperlink>
        </w:p>
        <w:p>
          <w:pPr>
            <w:pStyle w:val="Contents4"/>
            <w:tabs>
              <w:tab w:val="clear" w:pos="8176"/>
              <w:tab w:val="right" w:pos="9026" w:leader="dot"/>
            </w:tabs>
            <w:rPr/>
          </w:pPr>
          <w:hyperlink w:anchor="__RefHeading___Toc477964_581953129">
            <w:r>
              <w:rPr>
                <w:webHidden/>
                <w:rStyle w:val="IndexLink"/>
                <w:rtl w:val="true"/>
              </w:rPr>
              <w:t>القانون الذی لا یستند إلی العدل یعطی الصبغة القانونیة للاضطهاد</w:t>
            </w:r>
            <w:r>
              <w:rPr>
                <w:rStyle w:val="IndexLink"/>
                <w:rtl w:val="true"/>
              </w:rPr>
              <w:tab/>
            </w:r>
            <w:r>
              <w:rPr>
                <w:rStyle w:val="IndexLink"/>
              </w:rPr>
              <w:t>337</w:t>
            </w:r>
          </w:hyperlink>
        </w:p>
        <w:p>
          <w:pPr>
            <w:pStyle w:val="Contents4"/>
            <w:tabs>
              <w:tab w:val="clear" w:pos="8176"/>
              <w:tab w:val="right" w:pos="9026" w:leader="dot"/>
            </w:tabs>
            <w:rPr/>
          </w:pPr>
          <w:hyperlink w:anchor="__RefHeading___Toc477966_581953129">
            <w:r>
              <w:rPr>
                <w:webHidden/>
                <w:rStyle w:val="IndexLink"/>
                <w:rtl w:val="true"/>
              </w:rPr>
              <w:t>عهد الإمام علی علیه السلام لمالک الأشتر لا یتناول مباحث التشریع العامّة</w:t>
            </w:r>
            <w:r>
              <w:rPr>
                <w:rStyle w:val="IndexLink"/>
                <w:rtl w:val="true"/>
              </w:rPr>
              <w:tab/>
            </w:r>
            <w:r>
              <w:rPr>
                <w:rStyle w:val="IndexLink"/>
              </w:rPr>
              <w:t>337</w:t>
            </w:r>
          </w:hyperlink>
        </w:p>
        <w:p>
          <w:pPr>
            <w:pStyle w:val="Contents4"/>
            <w:tabs>
              <w:tab w:val="clear" w:pos="8176"/>
              <w:tab w:val="right" w:pos="9026" w:leader="dot"/>
            </w:tabs>
            <w:rPr/>
          </w:pPr>
          <w:hyperlink w:anchor="__RefHeading___Toc477968_581953129">
            <w:r>
              <w:rPr>
                <w:webHidden/>
                <w:rStyle w:val="IndexLink"/>
                <w:rtl w:val="true"/>
              </w:rPr>
              <w:t>نبذة عن رواة عهد الإمام علی علیه السلام لمالک الأشتر</w:t>
            </w:r>
            <w:r>
              <w:rPr>
                <w:rStyle w:val="IndexLink"/>
                <w:rtl w:val="true"/>
              </w:rPr>
              <w:tab/>
            </w:r>
            <w:r>
              <w:rPr>
                <w:rStyle w:val="IndexLink"/>
              </w:rPr>
              <w:t>338</w:t>
            </w:r>
          </w:hyperlink>
        </w:p>
        <w:p>
          <w:pPr>
            <w:pStyle w:val="Contents4"/>
            <w:tabs>
              <w:tab w:val="clear" w:pos="8176"/>
              <w:tab w:val="right" w:pos="9026" w:leader="dot"/>
            </w:tabs>
            <w:rPr/>
          </w:pPr>
          <w:hyperlink w:anchor="__RefHeading___Toc477970_581953129">
            <w:r>
              <w:rPr>
                <w:webHidden/>
                <w:rStyle w:val="IndexLink"/>
                <w:rtl w:val="true"/>
              </w:rPr>
              <w:t>کوفی عنان وعهد الإمام علی علیه السلام لمالک الأشتر</w:t>
            </w:r>
            <w:r>
              <w:rPr>
                <w:rStyle w:val="IndexLink"/>
                <w:rtl w:val="true"/>
              </w:rPr>
              <w:tab/>
            </w:r>
            <w:r>
              <w:rPr>
                <w:rStyle w:val="IndexLink"/>
              </w:rPr>
              <w:t>339</w:t>
            </w:r>
          </w:hyperlink>
        </w:p>
        <w:p>
          <w:pPr>
            <w:pStyle w:val="Contents4"/>
            <w:tabs>
              <w:tab w:val="clear" w:pos="8176"/>
              <w:tab w:val="right" w:pos="9026" w:leader="dot"/>
            </w:tabs>
            <w:rPr/>
          </w:pPr>
          <w:hyperlink w:anchor="__RefHeading___Toc477972_581953129">
            <w:r>
              <w:rPr>
                <w:webHidden/>
                <w:rStyle w:val="IndexLink"/>
                <w:rtl w:val="true"/>
              </w:rPr>
              <w:t>کوفی عنان یدعو لدراسة عهد الإمام علی علیه السلام لمالک الأشتر</w:t>
            </w:r>
            <w:r>
              <w:rPr>
                <w:rStyle w:val="IndexLink"/>
                <w:rtl w:val="true"/>
              </w:rPr>
              <w:tab/>
            </w:r>
            <w:r>
              <w:rPr>
                <w:rStyle w:val="IndexLink"/>
              </w:rPr>
              <w:t>340</w:t>
            </w:r>
          </w:hyperlink>
        </w:p>
        <w:p>
          <w:pPr>
            <w:pStyle w:val="Contents4"/>
            <w:tabs>
              <w:tab w:val="clear" w:pos="8176"/>
              <w:tab w:val="right" w:pos="9026" w:leader="dot"/>
            </w:tabs>
            <w:rPr/>
          </w:pPr>
          <w:hyperlink w:anchor="__RefHeading___Toc477974_581953129">
            <w:r>
              <w:rPr>
                <w:webHidden/>
                <w:rStyle w:val="IndexLink"/>
                <w:rtl w:val="true"/>
              </w:rPr>
              <w:t>البابا یبدی إعجابه بالصحیفة السجادیة</w:t>
            </w:r>
            <w:r>
              <w:rPr>
                <w:rStyle w:val="IndexLink"/>
                <w:rtl w:val="true"/>
              </w:rPr>
              <w:tab/>
            </w:r>
            <w:r>
              <w:rPr>
                <w:rStyle w:val="IndexLink"/>
              </w:rPr>
              <w:t>340</w:t>
            </w:r>
          </w:hyperlink>
        </w:p>
        <w:p>
          <w:pPr>
            <w:pStyle w:val="Contents4"/>
            <w:tabs>
              <w:tab w:val="clear" w:pos="8176"/>
              <w:tab w:val="right" w:pos="9026" w:leader="dot"/>
            </w:tabs>
            <w:rPr/>
          </w:pPr>
          <w:hyperlink w:anchor="__RefHeading___Toc477976_581953129">
            <w:r>
              <w:rPr>
                <w:webHidden/>
                <w:rStyle w:val="IndexLink"/>
                <w:rtl w:val="true"/>
              </w:rPr>
              <w:t>وقس آخر یبدی إعجابه بها أیضاً</w:t>
            </w:r>
            <w:r>
              <w:rPr>
                <w:rStyle w:val="IndexLink"/>
                <w:rtl w:val="true"/>
              </w:rPr>
              <w:tab/>
            </w:r>
            <w:r>
              <w:rPr>
                <w:rStyle w:val="IndexLink"/>
              </w:rPr>
              <w:t>341</w:t>
            </w:r>
          </w:hyperlink>
        </w:p>
        <w:p>
          <w:pPr>
            <w:pStyle w:val="Contents4"/>
            <w:tabs>
              <w:tab w:val="clear" w:pos="8176"/>
              <w:tab w:val="right" w:pos="9026" w:leader="dot"/>
            </w:tabs>
            <w:rPr/>
          </w:pPr>
          <w:hyperlink w:anchor="__RefHeading___Toc477978_581953129">
            <w:r>
              <w:rPr>
                <w:webHidden/>
                <w:rStyle w:val="IndexLink"/>
                <w:rtl w:val="true"/>
              </w:rPr>
              <w:t>واجبنا نشر ثقافة أهل البیت علیهم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477980_581953129">
            <w:r>
              <w:rPr>
                <w:webHidden/>
                <w:rStyle w:val="IndexLink"/>
                <w:rtl w:val="true"/>
              </w:rPr>
              <w:t>ما یوجد فی عهد الإمام علی علیه السلام ولا یوجد فی أدبیات العدالة الدولیة</w:t>
            </w:r>
            <w:r>
              <w:rPr>
                <w:rStyle w:val="IndexLink"/>
                <w:rtl w:val="true"/>
              </w:rPr>
              <w:tab/>
            </w:r>
            <w:r>
              <w:rPr>
                <w:rStyle w:val="IndexLink"/>
              </w:rPr>
              <w:t>342</w:t>
            </w:r>
          </w:hyperlink>
        </w:p>
        <w:p>
          <w:pPr>
            <w:pStyle w:val="Contents4"/>
            <w:tabs>
              <w:tab w:val="clear" w:pos="8176"/>
              <w:tab w:val="right" w:pos="9026" w:leader="dot"/>
            </w:tabs>
            <w:rPr/>
          </w:pPr>
          <w:hyperlink w:anchor="__RefHeading___Toc477982_581953129">
            <w:r>
              <w:rPr>
                <w:webHidden/>
                <w:rStyle w:val="IndexLink"/>
                <w:rtl w:val="true"/>
              </w:rPr>
              <w:t>الفرق بین فقه النظام والتشریعات العامّة</w:t>
            </w:r>
            <w:r>
              <w:rPr>
                <w:rStyle w:val="IndexLink"/>
                <w:rtl w:val="true"/>
              </w:rPr>
              <w:tab/>
            </w:r>
            <w:r>
              <w:rPr>
                <w:rStyle w:val="IndexLink"/>
              </w:rPr>
              <w:t>342</w:t>
            </w:r>
          </w:hyperlink>
        </w:p>
        <w:p>
          <w:pPr>
            <w:pStyle w:val="Contents4"/>
            <w:tabs>
              <w:tab w:val="clear" w:pos="8176"/>
              <w:tab w:val="right" w:pos="9026" w:leader="dot"/>
            </w:tabs>
            <w:rPr/>
          </w:pPr>
          <w:hyperlink w:anchor="__RefHeading___Toc477984_581953129">
            <w:r>
              <w:rPr>
                <w:webHidden/>
                <w:rStyle w:val="IndexLink"/>
                <w:rtl w:val="true"/>
              </w:rPr>
              <w:t>یجب أن لا تصطدم القوانین مع بعضها البعض</w:t>
            </w:r>
            <w:r>
              <w:rPr>
                <w:rStyle w:val="IndexLink"/>
                <w:rtl w:val="true"/>
              </w:rPr>
              <w:tab/>
            </w:r>
            <w:r>
              <w:rPr>
                <w:rStyle w:val="IndexLink"/>
              </w:rPr>
              <w:t>343</w:t>
            </w:r>
          </w:hyperlink>
        </w:p>
        <w:p>
          <w:pPr>
            <w:pStyle w:val="Contents4"/>
            <w:tabs>
              <w:tab w:val="clear" w:pos="8176"/>
              <w:tab w:val="right" w:pos="9026" w:leader="dot"/>
            </w:tabs>
            <w:rPr/>
          </w:pPr>
          <w:hyperlink w:anchor="__RefHeading___Toc477986_581953129">
            <w:r>
              <w:rPr>
                <w:webHidden/>
                <w:rStyle w:val="IndexLink"/>
                <w:rtl w:val="true"/>
              </w:rPr>
              <w:t>البشریة عاجزة عن تسجیل مؤاخذة فی قانون علی علیه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477988_581953129">
            <w:r>
              <w:rPr>
                <w:webHidden/>
                <w:rStyle w:val="IndexLink"/>
                <w:rtl w:val="true"/>
              </w:rPr>
              <w:t xml:space="preserve">المحاضرة التاسعة الإمام المهدی </w:t>
            </w:r>
            <w:r>
              <w:rPr>
                <w:rStyle w:val="IndexLink"/>
                <w:rtl w:val="true"/>
              </w:rPr>
              <w:t>(</w:t>
            </w:r>
            <w:r>
              <w:rPr>
                <w:rStyle w:val="IndexLink"/>
                <w:rtl w:val="true"/>
              </w:rPr>
              <w:t>عجّل اللّه فرجه الشریف</w:t>
            </w:r>
            <w:r>
              <w:rPr>
                <w:rStyle w:val="IndexLink"/>
                <w:rtl w:val="true"/>
              </w:rPr>
              <w:t xml:space="preserve">) </w:t>
            </w:r>
            <w:r>
              <w:rPr>
                <w:rStyle w:val="IndexLink"/>
                <w:rtl w:val="true"/>
              </w:rPr>
              <w:t>وفقه التشریعات</w:t>
            </w:r>
            <w:r>
              <w:rPr>
                <w:rStyle w:val="IndexLink"/>
                <w:rtl w:val="true"/>
              </w:rPr>
              <w:tab/>
            </w:r>
            <w:r>
              <w:rPr>
                <w:rStyle w:val="IndexLink"/>
              </w:rPr>
              <w:t>345</w:t>
            </w:r>
          </w:hyperlink>
        </w:p>
        <w:p>
          <w:pPr>
            <w:pStyle w:val="Contents4"/>
            <w:tabs>
              <w:tab w:val="clear" w:pos="8176"/>
              <w:tab w:val="right" w:pos="9026" w:leader="dot"/>
            </w:tabs>
            <w:rPr/>
          </w:pPr>
          <w:hyperlink w:anchor="__RefHeading___Toc477990_581953129">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477992_581953129">
            <w:r>
              <w:rPr>
                <w:webHidden/>
                <w:rStyle w:val="IndexLink"/>
                <w:rtl w:val="true"/>
              </w:rPr>
              <w:t>الفرق بین الفقه النظمی وفقه التشریعات</w:t>
            </w:r>
            <w:r>
              <w:rPr>
                <w:rStyle w:val="IndexLink"/>
                <w:rtl w:val="true"/>
              </w:rPr>
              <w:tab/>
            </w:r>
            <w:r>
              <w:rPr>
                <w:rStyle w:val="IndexLink"/>
              </w:rPr>
              <w:t>345</w:t>
            </w:r>
          </w:hyperlink>
        </w:p>
        <w:p>
          <w:pPr>
            <w:pStyle w:val="Contents4"/>
            <w:tabs>
              <w:tab w:val="clear" w:pos="8176"/>
              <w:tab w:val="right" w:pos="9026" w:leader="dot"/>
            </w:tabs>
            <w:rPr/>
          </w:pPr>
          <w:hyperlink w:anchor="__RefHeading___Toc477994_581953129">
            <w:r>
              <w:rPr>
                <w:webHidden/>
                <w:rStyle w:val="IndexLink"/>
                <w:rtl w:val="true"/>
              </w:rPr>
              <w:t>مهمّة الفقه النظمی الملائمة بین الثابت والمتغیّر</w:t>
            </w:r>
            <w:r>
              <w:rPr>
                <w:rStyle w:val="IndexLink"/>
                <w:rtl w:val="true"/>
              </w:rPr>
              <w:tab/>
            </w:r>
            <w:r>
              <w:rPr>
                <w:rStyle w:val="IndexLink"/>
              </w:rPr>
              <w:t>346</w:t>
            </w:r>
          </w:hyperlink>
        </w:p>
        <w:p>
          <w:pPr>
            <w:pStyle w:val="Contents4"/>
            <w:tabs>
              <w:tab w:val="clear" w:pos="8176"/>
              <w:tab w:val="right" w:pos="9026" w:leader="dot"/>
            </w:tabs>
            <w:rPr/>
          </w:pPr>
          <w:hyperlink w:anchor="__RefHeading___Toc477996_581953129">
            <w:r>
              <w:rPr>
                <w:webHidden/>
                <w:rStyle w:val="IndexLink"/>
                <w:rtl w:val="true"/>
              </w:rPr>
              <w:t>لابدّ من تحدیث القوانین</w:t>
            </w:r>
            <w:r>
              <w:rPr>
                <w:rStyle w:val="IndexLink"/>
                <w:rtl w:val="true"/>
              </w:rPr>
              <w:tab/>
            </w:r>
            <w:r>
              <w:rPr>
                <w:rStyle w:val="IndexLink"/>
              </w:rPr>
              <w:t>347</w:t>
            </w:r>
          </w:hyperlink>
        </w:p>
        <w:p>
          <w:pPr>
            <w:pStyle w:val="Contents4"/>
            <w:tabs>
              <w:tab w:val="clear" w:pos="8176"/>
              <w:tab w:val="right" w:pos="9026" w:leader="dot"/>
            </w:tabs>
            <w:rPr/>
          </w:pPr>
          <w:hyperlink w:anchor="__RefHeading___Toc477998_581953129">
            <w:r>
              <w:rPr>
                <w:webHidden/>
                <w:rStyle w:val="IndexLink"/>
                <w:rtl w:val="true"/>
              </w:rPr>
              <w:t>الکثرة المبالغ فیها لمنظومات النظم سلبیة</w:t>
            </w:r>
            <w:r>
              <w:rPr>
                <w:rStyle w:val="IndexLink"/>
                <w:rtl w:val="true"/>
              </w:rPr>
              <w:tab/>
            </w:r>
            <w:r>
              <w:rPr>
                <w:rStyle w:val="IndexLink"/>
              </w:rPr>
              <w:t>347</w:t>
            </w:r>
          </w:hyperlink>
        </w:p>
        <w:p>
          <w:pPr>
            <w:pStyle w:val="Contents4"/>
            <w:tabs>
              <w:tab w:val="clear" w:pos="8176"/>
              <w:tab w:val="right" w:pos="9026" w:leader="dot"/>
            </w:tabs>
            <w:rPr/>
          </w:pPr>
          <w:hyperlink w:anchor="__RefHeading___Toc478000_581953129">
            <w:r>
              <w:rPr>
                <w:webHidden/>
                <w:rStyle w:val="IndexLink"/>
                <w:rtl w:val="true"/>
              </w:rPr>
              <w:t>الإرباک الإداری فی مواجهة درجات الحرارة المرتفعة</w:t>
            </w:r>
            <w:r>
              <w:rPr>
                <w:rStyle w:val="IndexLink"/>
                <w:rtl w:val="true"/>
              </w:rPr>
              <w:tab/>
            </w:r>
            <w:r>
              <w:rPr>
                <w:rStyle w:val="IndexLink"/>
              </w:rPr>
              <w:t>348</w:t>
            </w:r>
          </w:hyperlink>
        </w:p>
        <w:p>
          <w:pPr>
            <w:pStyle w:val="Contents4"/>
            <w:tabs>
              <w:tab w:val="clear" w:pos="8176"/>
              <w:tab w:val="right" w:pos="9026" w:leader="dot"/>
            </w:tabs>
            <w:rPr/>
          </w:pPr>
          <w:hyperlink w:anchor="__RefHeading___Toc478002_581953129">
            <w:r>
              <w:rPr>
                <w:webHidden/>
                <w:rStyle w:val="IndexLink"/>
                <w:rtl w:val="true"/>
              </w:rPr>
              <w:t>الإمامة تعنی الإدارة والتدبیر</w:t>
            </w:r>
            <w:r>
              <w:rPr>
                <w:rStyle w:val="IndexLink"/>
                <w:rtl w:val="true"/>
              </w:rPr>
              <w:tab/>
            </w:r>
            <w:r>
              <w:rPr>
                <w:rStyle w:val="IndexLink"/>
              </w:rPr>
              <w:t>348</w:t>
            </w:r>
          </w:hyperlink>
        </w:p>
        <w:p>
          <w:pPr>
            <w:pStyle w:val="Contents4"/>
            <w:tabs>
              <w:tab w:val="clear" w:pos="8176"/>
              <w:tab w:val="right" w:pos="9026" w:leader="dot"/>
            </w:tabs>
            <w:rPr/>
          </w:pPr>
          <w:hyperlink w:anchor="__RefHeading___Toc478004_581953129">
            <w:r>
              <w:rPr>
                <w:webHidden/>
                <w:rStyle w:val="IndexLink"/>
                <w:rtl w:val="true"/>
              </w:rPr>
              <w:t>إعجاز علمی فی عهد الإمام علی علیه السلام لمالک الأشتر</w:t>
            </w:r>
            <w:r>
              <w:rPr>
                <w:rStyle w:val="IndexLink"/>
                <w:rtl w:val="true"/>
              </w:rPr>
              <w:tab/>
            </w:r>
            <w:r>
              <w:rPr>
                <w:rStyle w:val="IndexLink"/>
              </w:rPr>
              <w:t>348</w:t>
            </w:r>
          </w:hyperlink>
        </w:p>
        <w:p>
          <w:pPr>
            <w:pStyle w:val="Contents4"/>
            <w:tabs>
              <w:tab w:val="clear" w:pos="8176"/>
              <w:tab w:val="right" w:pos="9026" w:leader="dot"/>
            </w:tabs>
            <w:rPr/>
          </w:pPr>
          <w:hyperlink w:anchor="__RefHeading___Toc478006_581953129">
            <w:r>
              <w:rPr>
                <w:webHidden/>
                <w:rStyle w:val="IndexLink"/>
                <w:rtl w:val="true"/>
              </w:rPr>
              <w:t>السقوط الخلقی یکلّف الدولة کثیراً من الطاقات والأموال</w:t>
            </w:r>
            <w:r>
              <w:rPr>
                <w:rStyle w:val="IndexLink"/>
                <w:rtl w:val="true"/>
              </w:rPr>
              <w:tab/>
            </w:r>
            <w:r>
              <w:rPr>
                <w:rStyle w:val="IndexLink"/>
              </w:rPr>
              <w:t>349</w:t>
            </w:r>
          </w:hyperlink>
        </w:p>
        <w:p>
          <w:pPr>
            <w:pStyle w:val="Contents4"/>
            <w:tabs>
              <w:tab w:val="clear" w:pos="8176"/>
              <w:tab w:val="right" w:pos="9026" w:leader="dot"/>
            </w:tabs>
            <w:rPr/>
          </w:pPr>
          <w:hyperlink w:anchor="__RefHeading___Toc478008_581953129">
            <w:r>
              <w:rPr>
                <w:webHidden/>
                <w:rStyle w:val="IndexLink"/>
                <w:rtl w:val="true"/>
              </w:rPr>
              <w:t>ملف لیلة القدر فی القرآن الکریم</w:t>
            </w:r>
            <w:r>
              <w:rPr>
                <w:rStyle w:val="IndexLink"/>
                <w:rtl w:val="true"/>
              </w:rPr>
              <w:tab/>
            </w:r>
            <w:r>
              <w:rPr>
                <w:rStyle w:val="IndexLink"/>
              </w:rPr>
              <w:t>349</w:t>
            </w:r>
          </w:hyperlink>
        </w:p>
        <w:p>
          <w:pPr>
            <w:pStyle w:val="Contents4"/>
            <w:tabs>
              <w:tab w:val="clear" w:pos="8176"/>
              <w:tab w:val="right" w:pos="9026" w:leader="dot"/>
            </w:tabs>
            <w:rPr/>
          </w:pPr>
          <w:hyperlink w:anchor="__RefHeading___Toc478010_581953129">
            <w:r>
              <w:rPr>
                <w:webHidden/>
                <w:rStyle w:val="IndexLink"/>
                <w:rtl w:val="true"/>
              </w:rPr>
              <w:t xml:space="preserve">معلومات ضخمة تنزل علی المهدی من آل محمّد </w:t>
            </w:r>
            <w:r>
              <w:rPr>
                <w:rStyle w:val="IndexLink"/>
                <w:rtl w:val="true"/>
              </w:rPr>
              <w:t>(</w:t>
            </w:r>
            <w:r>
              <w:rPr>
                <w:rStyle w:val="IndexLink"/>
                <w:rtl w:val="true"/>
              </w:rPr>
              <w:t>عجّل اللّه فرجه الشریف</w:t>
            </w:r>
            <w:r>
              <w:rPr>
                <w:rStyle w:val="IndexLink"/>
                <w:rtl w:val="true"/>
              </w:rPr>
              <w:t>)</w:t>
              <w:tab/>
            </w:r>
            <w:r>
              <w:rPr>
                <w:rStyle w:val="IndexLink"/>
              </w:rPr>
              <w:t>349</w:t>
            </w:r>
          </w:hyperlink>
        </w:p>
        <w:p>
          <w:pPr>
            <w:pStyle w:val="Contents4"/>
            <w:tabs>
              <w:tab w:val="clear" w:pos="8176"/>
              <w:tab w:val="right" w:pos="9026" w:leader="dot"/>
            </w:tabs>
            <w:rPr/>
          </w:pPr>
          <w:hyperlink w:anchor="__RefHeading___Toc478012_581953129">
            <w:r>
              <w:rPr>
                <w:webHidden/>
                <w:rStyle w:val="IndexLink"/>
                <w:rtl w:val="true"/>
              </w:rPr>
              <w:t>الإدارة هی الشغل الشاغل للبشریة</w:t>
            </w:r>
            <w:r>
              <w:rPr>
                <w:rStyle w:val="IndexLink"/>
                <w:rtl w:val="true"/>
              </w:rPr>
              <w:tab/>
            </w:r>
            <w:r>
              <w:rPr>
                <w:rStyle w:val="IndexLink"/>
              </w:rPr>
              <w:t>350</w:t>
            </w:r>
          </w:hyperlink>
        </w:p>
        <w:p>
          <w:pPr>
            <w:pStyle w:val="Contents4"/>
            <w:tabs>
              <w:tab w:val="clear" w:pos="8176"/>
              <w:tab w:val="right" w:pos="9026" w:leader="dot"/>
            </w:tabs>
            <w:rPr/>
          </w:pPr>
          <w:hyperlink w:anchor="__RefHeading___Toc478014_581953129">
            <w:r>
              <w:rPr>
                <w:webHidden/>
                <w:rStyle w:val="IndexLink"/>
                <w:rtl w:val="true"/>
              </w:rPr>
              <w:t>القوّة الإداریة تکمن فی الخفاء والسرّیة</w:t>
            </w:r>
            <w:r>
              <w:rPr>
                <w:rStyle w:val="IndexLink"/>
                <w:rtl w:val="true"/>
              </w:rPr>
              <w:tab/>
            </w:r>
            <w:r>
              <w:rPr>
                <w:rStyle w:val="IndexLink"/>
              </w:rPr>
              <w:t>350</w:t>
            </w:r>
          </w:hyperlink>
        </w:p>
        <w:p>
          <w:pPr>
            <w:pStyle w:val="Contents4"/>
            <w:tabs>
              <w:tab w:val="clear" w:pos="8176"/>
              <w:tab w:val="right" w:pos="9026" w:leader="dot"/>
            </w:tabs>
            <w:rPr/>
          </w:pPr>
          <w:hyperlink w:anchor="__RefHeading___Toc478016_581953129">
            <w:r>
              <w:rPr>
                <w:webHidden/>
                <w:rStyle w:val="IndexLink"/>
                <w:rtl w:val="true"/>
              </w:rPr>
              <w:t>الإمامة هی الشغل الشاغل لمدرسة أهل البیت علیهم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478018_581953129">
            <w:r>
              <w:rPr>
                <w:webHidden/>
                <w:rStyle w:val="IndexLink"/>
                <w:rtl w:val="true"/>
              </w:rPr>
              <w:t>الإمام هو المدبّر الکفؤ</w:t>
            </w:r>
            <w:r>
              <w:rPr>
                <w:rStyle w:val="IndexLink"/>
                <w:rtl w:val="true"/>
              </w:rPr>
              <w:tab/>
            </w:r>
            <w:r>
              <w:rPr>
                <w:rStyle w:val="IndexLink"/>
              </w:rPr>
              <w:t>351</w:t>
            </w:r>
          </w:hyperlink>
        </w:p>
        <w:p>
          <w:pPr>
            <w:pStyle w:val="Contents4"/>
            <w:tabs>
              <w:tab w:val="clear" w:pos="8176"/>
              <w:tab w:val="right" w:pos="9026" w:leader="dot"/>
            </w:tabs>
            <w:rPr/>
          </w:pPr>
          <w:hyperlink w:anchor="__RefHeading___Toc478020_581953129">
            <w:r>
              <w:rPr>
                <w:webHidden/>
                <w:rStyle w:val="IndexLink"/>
                <w:rtl w:val="true"/>
              </w:rPr>
              <w:t xml:space="preserve">الإمام المهدی </w:t>
            </w:r>
            <w:r>
              <w:rPr>
                <w:rStyle w:val="IndexLink"/>
                <w:rtl w:val="true"/>
              </w:rPr>
              <w:t>(</w:t>
            </w:r>
            <w:r>
              <w:rPr>
                <w:rStyle w:val="IndexLink"/>
                <w:rtl w:val="true"/>
              </w:rPr>
              <w:t>عجّل اللّه فرجه الشریف</w:t>
            </w:r>
            <w:r>
              <w:rPr>
                <w:rStyle w:val="IndexLink"/>
                <w:rtl w:val="true"/>
              </w:rPr>
              <w:t xml:space="preserve">) </w:t>
            </w:r>
            <w:r>
              <w:rPr>
                <w:rStyle w:val="IndexLink"/>
                <w:rtl w:val="true"/>
              </w:rPr>
              <w:t>یتصدّی للأمر فی غیبته</w:t>
            </w:r>
            <w:r>
              <w:rPr>
                <w:rStyle w:val="IndexLink"/>
                <w:rtl w:val="true"/>
              </w:rPr>
              <w:tab/>
            </w:r>
            <w:r>
              <w:rPr>
                <w:rStyle w:val="IndexLink"/>
              </w:rPr>
              <w:t>352</w:t>
            </w:r>
          </w:hyperlink>
        </w:p>
        <w:p>
          <w:pPr>
            <w:pStyle w:val="Contents4"/>
            <w:tabs>
              <w:tab w:val="clear" w:pos="8176"/>
              <w:tab w:val="right" w:pos="9026" w:leader="dot"/>
            </w:tabs>
            <w:rPr/>
          </w:pPr>
          <w:hyperlink w:anchor="__RefHeading___Toc478022_581953129">
            <w:r>
              <w:rPr>
                <w:webHidden/>
                <w:rStyle w:val="IndexLink"/>
                <w:rtl w:val="true"/>
              </w:rPr>
              <w:t>الإمام الحجّة یدیر الأُمور فی الخفاء</w:t>
            </w:r>
            <w:r>
              <w:rPr>
                <w:rStyle w:val="IndexLink"/>
                <w:rtl w:val="true"/>
              </w:rPr>
              <w:tab/>
            </w:r>
            <w:r>
              <w:rPr>
                <w:rStyle w:val="IndexLink"/>
              </w:rPr>
              <w:t>353</w:t>
            </w:r>
          </w:hyperlink>
        </w:p>
        <w:p>
          <w:pPr>
            <w:pStyle w:val="Contents4"/>
            <w:tabs>
              <w:tab w:val="clear" w:pos="8176"/>
              <w:tab w:val="right" w:pos="9026" w:leader="dot"/>
            </w:tabs>
            <w:rPr/>
          </w:pPr>
          <w:hyperlink w:anchor="__RefHeading___Toc478024_581953129">
            <w:r>
              <w:rPr>
                <w:webHidden/>
                <w:rStyle w:val="IndexLink"/>
                <w:rtl w:val="true"/>
              </w:rPr>
              <w:t>الخضر لیس نبیاً ولا رسولاً</w:t>
            </w:r>
            <w:r>
              <w:rPr>
                <w:rStyle w:val="IndexLink"/>
                <w:rtl w:val="true"/>
              </w:rPr>
              <w:tab/>
            </w:r>
            <w:r>
              <w:rPr>
                <w:rStyle w:val="IndexLink"/>
              </w:rPr>
              <w:t>353</w:t>
            </w:r>
          </w:hyperlink>
        </w:p>
        <w:p>
          <w:pPr>
            <w:pStyle w:val="Contents4"/>
            <w:tabs>
              <w:tab w:val="clear" w:pos="8176"/>
              <w:tab w:val="right" w:pos="9026" w:leader="dot"/>
            </w:tabs>
            <w:rPr/>
          </w:pPr>
          <w:hyperlink w:anchor="__RefHeading___Toc478026_581953129">
            <w:r>
              <w:rPr>
                <w:webHidden/>
                <w:rStyle w:val="IndexLink"/>
                <w:rtl w:val="true"/>
              </w:rPr>
              <w:t>الخلفاء الاثنا عشر</w:t>
            </w:r>
            <w:r>
              <w:rPr>
                <w:rStyle w:val="IndexLink"/>
                <w:rtl w:val="true"/>
              </w:rPr>
              <w:tab/>
            </w:r>
            <w:r>
              <w:rPr>
                <w:rStyle w:val="IndexLink"/>
              </w:rPr>
              <w:t>354</w:t>
            </w:r>
          </w:hyperlink>
        </w:p>
        <w:p>
          <w:pPr>
            <w:pStyle w:val="Contents4"/>
            <w:tabs>
              <w:tab w:val="clear" w:pos="8176"/>
              <w:tab w:val="right" w:pos="9026" w:leader="dot"/>
            </w:tabs>
            <w:rPr/>
          </w:pPr>
          <w:hyperlink w:anchor="__RefHeading___Toc478028_581953129">
            <w:r>
              <w:rPr>
                <w:webHidden/>
                <w:rStyle w:val="IndexLink"/>
                <w:rtl w:val="true"/>
              </w:rPr>
              <w:t>معنی الکتاب المبین فی القرآن الکریم</w:t>
            </w:r>
            <w:r>
              <w:rPr>
                <w:rStyle w:val="IndexLink"/>
                <w:rtl w:val="true"/>
              </w:rPr>
              <w:tab/>
            </w:r>
            <w:r>
              <w:rPr>
                <w:rStyle w:val="IndexLink"/>
              </w:rPr>
              <w:t>354</w:t>
            </w:r>
          </w:hyperlink>
        </w:p>
        <w:p>
          <w:pPr>
            <w:pStyle w:val="Contents4"/>
            <w:tabs>
              <w:tab w:val="clear" w:pos="8176"/>
              <w:tab w:val="right" w:pos="9026" w:leader="dot"/>
            </w:tabs>
            <w:rPr/>
          </w:pPr>
          <w:hyperlink w:anchor="__RefHeading___Toc478030_581953129">
            <w:r>
              <w:rPr>
                <w:webHidden/>
                <w:rStyle w:val="IndexLink"/>
                <w:rtl w:val="true"/>
              </w:rPr>
              <w:t xml:space="preserve">لیلة القدر برهان علی تصدّی المهدی </w:t>
            </w:r>
            <w:r>
              <w:rPr>
                <w:rStyle w:val="IndexLink"/>
                <w:rtl w:val="true"/>
              </w:rPr>
              <w:t>(</w:t>
            </w:r>
            <w:r>
              <w:rPr>
                <w:rStyle w:val="IndexLink"/>
                <w:rtl w:val="true"/>
              </w:rPr>
              <w:t>عجّل اللّه فرجه الشریف</w:t>
            </w:r>
            <w:r>
              <w:rPr>
                <w:rStyle w:val="IndexLink"/>
                <w:rtl w:val="true"/>
              </w:rPr>
              <w:t>)</w:t>
              <w:tab/>
            </w:r>
            <w:r>
              <w:rPr>
                <w:rStyle w:val="IndexLink"/>
              </w:rPr>
              <w:t>355</w:t>
            </w:r>
          </w:hyperlink>
        </w:p>
        <w:p>
          <w:pPr>
            <w:pStyle w:val="Contents4"/>
            <w:tabs>
              <w:tab w:val="clear" w:pos="8176"/>
              <w:tab w:val="right" w:pos="9026" w:leader="dot"/>
            </w:tabs>
            <w:rPr/>
          </w:pPr>
          <w:hyperlink w:anchor="__RefHeading___Toc478032_581953129">
            <w:r>
              <w:rPr>
                <w:webHidden/>
                <w:rStyle w:val="IndexLink"/>
                <w:rtl w:val="true"/>
              </w:rPr>
              <w:t>معنی أُولی الأمر فی القرآن الکریم</w:t>
            </w:r>
            <w:r>
              <w:rPr>
                <w:rStyle w:val="IndexLink"/>
                <w:rtl w:val="true"/>
              </w:rPr>
              <w:tab/>
            </w:r>
            <w:r>
              <w:rPr>
                <w:rStyle w:val="IndexLink"/>
              </w:rPr>
              <w:t>356</w:t>
            </w:r>
          </w:hyperlink>
        </w:p>
        <w:p>
          <w:pPr>
            <w:pStyle w:val="Contents4"/>
            <w:tabs>
              <w:tab w:val="clear" w:pos="8176"/>
              <w:tab w:val="right" w:pos="9026" w:leader="dot"/>
            </w:tabs>
            <w:rPr/>
          </w:pPr>
          <w:hyperlink w:anchor="__RefHeading___Toc478034_581953129">
            <w:r>
              <w:rPr>
                <w:webHidden/>
                <w:rStyle w:val="IndexLink"/>
                <w:rtl w:val="true"/>
              </w:rPr>
              <w:t>الخلیفة لیس من الضروری أن یکون نبیاً أو رسولاً</w:t>
            </w:r>
            <w:r>
              <w:rPr>
                <w:rStyle w:val="IndexLink"/>
                <w:rtl w:val="true"/>
              </w:rPr>
              <w:tab/>
            </w:r>
            <w:r>
              <w:rPr>
                <w:rStyle w:val="IndexLink"/>
              </w:rPr>
              <w:t>356</w:t>
            </w:r>
          </w:hyperlink>
        </w:p>
        <w:p>
          <w:pPr>
            <w:pStyle w:val="Contents3"/>
            <w:tabs>
              <w:tab w:val="clear" w:pos="8459"/>
              <w:tab w:val="right" w:pos="9026" w:leader="dot"/>
            </w:tabs>
            <w:rPr/>
          </w:pPr>
          <w:hyperlink w:anchor="__RefHeading___Toc478036_581953129">
            <w:r>
              <w:rPr>
                <w:webHidden/>
                <w:rStyle w:val="IndexLink"/>
                <w:rtl w:val="true"/>
              </w:rPr>
              <w:t>المحاضرة العاشرة المحاور القانونیة فی عهد الإمام علی علیه السلام لمالک الأشتر</w:t>
            </w:r>
            <w:r>
              <w:rPr>
                <w:rStyle w:val="IndexLink"/>
                <w:rtl w:val="true"/>
              </w:rPr>
              <w:tab/>
            </w:r>
            <w:r>
              <w:rPr>
                <w:rStyle w:val="IndexLink"/>
              </w:rPr>
              <w:t>358</w:t>
            </w:r>
          </w:hyperlink>
        </w:p>
        <w:p>
          <w:pPr>
            <w:pStyle w:val="Contents4"/>
            <w:tabs>
              <w:tab w:val="clear" w:pos="8176"/>
              <w:tab w:val="right" w:pos="9026" w:leader="dot"/>
            </w:tabs>
            <w:rPr/>
          </w:pPr>
          <w:hyperlink w:anchor="__RefHeading___Toc478038_581953129">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478040_581953129">
            <w:r>
              <w:rPr>
                <w:webHidden/>
                <w:rStyle w:val="IndexLink"/>
                <w:rtl w:val="true"/>
              </w:rPr>
              <w:t>هل القرآن الکریم تبیان لکلّ شیء؟</w:t>
            </w:r>
            <w:r>
              <w:rPr>
                <w:rStyle w:val="IndexLink"/>
                <w:rtl w:val="true"/>
              </w:rPr>
              <w:tab/>
            </w:r>
            <w:r>
              <w:rPr>
                <w:rStyle w:val="IndexLink"/>
              </w:rPr>
              <w:t>358</w:t>
            </w:r>
          </w:hyperlink>
        </w:p>
        <w:p>
          <w:pPr>
            <w:pStyle w:val="Contents4"/>
            <w:tabs>
              <w:tab w:val="clear" w:pos="8176"/>
              <w:tab w:val="right" w:pos="9026" w:leader="dot"/>
            </w:tabs>
            <w:rPr/>
          </w:pPr>
          <w:hyperlink w:anchor="__RefHeading___Toc478042_581953129">
            <w:r>
              <w:rPr>
                <w:webHidden/>
                <w:rStyle w:val="IndexLink"/>
                <w:rtl w:val="true"/>
              </w:rPr>
              <w:t>الرازی ، الشهید المذکور فی الآیة لابدّ أن یکون معصوماً</w:t>
            </w:r>
            <w:r>
              <w:rPr>
                <w:rStyle w:val="IndexLink"/>
                <w:rtl w:val="true"/>
              </w:rPr>
              <w:tab/>
            </w:r>
            <w:r>
              <w:rPr>
                <w:rStyle w:val="IndexLink"/>
              </w:rPr>
              <w:t>360</w:t>
            </w:r>
          </w:hyperlink>
        </w:p>
        <w:p>
          <w:pPr>
            <w:pStyle w:val="Contents4"/>
            <w:tabs>
              <w:tab w:val="clear" w:pos="8176"/>
              <w:tab w:val="right" w:pos="9026" w:leader="dot"/>
            </w:tabs>
            <w:rPr/>
          </w:pPr>
          <w:hyperlink w:anchor="__RefHeading___Toc478044_581953129">
            <w:r>
              <w:rPr>
                <w:webHidden/>
                <w:rStyle w:val="IndexLink"/>
                <w:rtl w:val="true"/>
              </w:rPr>
              <w:t>الرسول صلی الله علیه و آله هو شاهد علی الشهداء</w:t>
            </w:r>
            <w:r>
              <w:rPr>
                <w:rStyle w:val="IndexLink"/>
                <w:rtl w:val="true"/>
              </w:rPr>
              <w:tab/>
            </w:r>
            <w:r>
              <w:rPr>
                <w:rStyle w:val="IndexLink"/>
              </w:rPr>
              <w:t>361</w:t>
            </w:r>
          </w:hyperlink>
        </w:p>
        <w:p>
          <w:pPr>
            <w:pStyle w:val="Contents4"/>
            <w:tabs>
              <w:tab w:val="clear" w:pos="8176"/>
              <w:tab w:val="right" w:pos="9026" w:leader="dot"/>
            </w:tabs>
            <w:rPr/>
          </w:pPr>
          <w:hyperlink w:anchor="__RefHeading___Toc478046_581953129">
            <w:r>
              <w:rPr>
                <w:webHidden/>
                <w:rStyle w:val="IndexLink"/>
                <w:rtl w:val="true"/>
              </w:rPr>
              <w:t>أوصاف فی القرآن الکریم لا تنطبق إلّاعلی أهل البیت علیهم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478048_581953129">
            <w:r>
              <w:rPr>
                <w:webHidden/>
                <w:rStyle w:val="IndexLink"/>
                <w:rtl w:val="true"/>
              </w:rPr>
              <w:t>القرآن الکریم وحدیث الثقلین</w:t>
            </w:r>
            <w:r>
              <w:rPr>
                <w:rStyle w:val="IndexLink"/>
                <w:rtl w:val="true"/>
              </w:rPr>
              <w:tab/>
            </w:r>
            <w:r>
              <w:rPr>
                <w:rStyle w:val="IndexLink"/>
              </w:rPr>
              <w:t>362</w:t>
            </w:r>
          </w:hyperlink>
        </w:p>
        <w:p>
          <w:pPr>
            <w:pStyle w:val="Contents4"/>
            <w:tabs>
              <w:tab w:val="clear" w:pos="8176"/>
              <w:tab w:val="right" w:pos="9026" w:leader="dot"/>
            </w:tabs>
            <w:rPr/>
          </w:pPr>
          <w:hyperlink w:anchor="__RefHeading___Toc478050_581953129">
            <w:r>
              <w:rPr>
                <w:webHidden/>
                <w:rStyle w:val="IndexLink"/>
                <w:rtl w:val="true"/>
              </w:rPr>
              <w:t>عهد الإمام علی علیه السلام لمالک الأشتر أحد نماذج العدل</w:t>
            </w:r>
            <w:r>
              <w:rPr>
                <w:rStyle w:val="IndexLink"/>
                <w:rtl w:val="true"/>
              </w:rPr>
              <w:tab/>
            </w:r>
            <w:r>
              <w:rPr>
                <w:rStyle w:val="IndexLink"/>
              </w:rPr>
              <w:t>363</w:t>
            </w:r>
          </w:hyperlink>
        </w:p>
        <w:p>
          <w:pPr>
            <w:pStyle w:val="Contents4"/>
            <w:tabs>
              <w:tab w:val="clear" w:pos="8176"/>
              <w:tab w:val="right" w:pos="9026" w:leader="dot"/>
            </w:tabs>
            <w:rPr/>
          </w:pPr>
          <w:hyperlink w:anchor="__RefHeading___Toc478052_581953129">
            <w:r>
              <w:rPr>
                <w:webHidden/>
                <w:rStyle w:val="IndexLink"/>
                <w:rtl w:val="true"/>
              </w:rPr>
              <w:t>الأمم المتحدة تدعو لنموذج الإمام علی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478054_581953129">
            <w:r>
              <w:rPr>
                <w:webHidden/>
                <w:rStyle w:val="IndexLink"/>
                <w:rtl w:val="true"/>
              </w:rPr>
              <w:t>المحاور التی أشارت إلیها الأمم المتحدة</w:t>
            </w:r>
            <w:r>
              <w:rPr>
                <w:rStyle w:val="IndexLink"/>
                <w:rtl w:val="true"/>
              </w:rPr>
              <w:tab/>
            </w:r>
            <w:r>
              <w:rPr>
                <w:rStyle w:val="IndexLink"/>
              </w:rPr>
              <w:t>364</w:t>
            </w:r>
          </w:hyperlink>
        </w:p>
        <w:p>
          <w:pPr>
            <w:pStyle w:val="Contents4"/>
            <w:tabs>
              <w:tab w:val="clear" w:pos="8176"/>
              <w:tab w:val="right" w:pos="9026" w:leader="dot"/>
            </w:tabs>
            <w:rPr/>
          </w:pPr>
          <w:hyperlink w:anchor="__RefHeading___Toc478056_581953129">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478058_581953129">
            <w:r>
              <w:rPr>
                <w:webHidden/>
                <w:rStyle w:val="IndexLink"/>
                <w:rtl w:val="true"/>
              </w:rPr>
              <w:t xml:space="preserve">المحور الأوّل </w:t>
            </w:r>
            <w:r>
              <w:rPr>
                <w:rStyle w:val="IndexLink"/>
                <w:rtl w:val="true"/>
              </w:rPr>
              <w:t xml:space="preserve">: </w:t>
            </w:r>
            <w:r>
              <w:rPr>
                <w:rStyle w:val="IndexLink"/>
                <w:rtl w:val="true"/>
              </w:rPr>
              <w:t>أهمیة الطبقة العامّة فی المجتمع</w:t>
            </w:r>
            <w:r>
              <w:rPr>
                <w:rStyle w:val="IndexLink"/>
                <w:rtl w:val="true"/>
              </w:rPr>
              <w:tab/>
            </w:r>
            <w:r>
              <w:rPr>
                <w:rStyle w:val="IndexLink"/>
              </w:rPr>
              <w:t>366</w:t>
            </w:r>
          </w:hyperlink>
        </w:p>
        <w:p>
          <w:pPr>
            <w:pStyle w:val="Contents4"/>
            <w:tabs>
              <w:tab w:val="clear" w:pos="8176"/>
              <w:tab w:val="right" w:pos="9026" w:leader="dot"/>
            </w:tabs>
            <w:rPr/>
          </w:pPr>
          <w:hyperlink w:anchor="__RefHeading___Toc478060_581953129">
            <w:r>
              <w:rPr>
                <w:webHidden/>
                <w:rStyle w:val="IndexLink"/>
                <w:rtl w:val="true"/>
              </w:rPr>
              <w:t xml:space="preserve">المحور الثانی </w:t>
            </w:r>
            <w:r>
              <w:rPr>
                <w:rStyle w:val="IndexLink"/>
                <w:rtl w:val="true"/>
              </w:rPr>
              <w:t xml:space="preserve">: </w:t>
            </w:r>
            <w:r>
              <w:rPr>
                <w:rStyle w:val="IndexLink"/>
                <w:rtl w:val="true"/>
              </w:rPr>
              <w:t>ظهور مودّة الرعیة</w:t>
            </w:r>
            <w:r>
              <w:rPr>
                <w:rStyle w:val="IndexLink"/>
                <w:rtl w:val="true"/>
              </w:rPr>
              <w:tab/>
            </w:r>
            <w:r>
              <w:rPr>
                <w:rStyle w:val="IndexLink"/>
              </w:rPr>
              <w:t>368</w:t>
            </w:r>
          </w:hyperlink>
        </w:p>
        <w:p>
          <w:pPr>
            <w:pStyle w:val="Contents4"/>
            <w:tabs>
              <w:tab w:val="clear" w:pos="8176"/>
              <w:tab w:val="right" w:pos="9026" w:leader="dot"/>
            </w:tabs>
            <w:rPr/>
          </w:pPr>
          <w:hyperlink w:anchor="__RefHeading___Toc478062_581953129">
            <w:r>
              <w:rPr>
                <w:webHidden/>
                <w:rStyle w:val="IndexLink"/>
                <w:rtl w:val="true"/>
              </w:rPr>
              <w:t xml:space="preserve">المحور الثالث </w:t>
            </w:r>
            <w:r>
              <w:rPr>
                <w:rStyle w:val="IndexLink"/>
                <w:rtl w:val="true"/>
              </w:rPr>
              <w:t xml:space="preserve">: </w:t>
            </w:r>
            <w:r>
              <w:rPr>
                <w:rStyle w:val="IndexLink"/>
                <w:rtl w:val="true"/>
              </w:rPr>
              <w:t>الشفافیة بین الحاکم والرعیة ، وخطر احتجاب الحاکم</w:t>
            </w:r>
            <w:r>
              <w:rPr>
                <w:rStyle w:val="IndexLink"/>
                <w:rtl w:val="true"/>
              </w:rPr>
              <w:tab/>
            </w:r>
            <w:r>
              <w:rPr>
                <w:rStyle w:val="IndexLink"/>
              </w:rPr>
              <w:t>368</w:t>
            </w:r>
          </w:hyperlink>
        </w:p>
        <w:p>
          <w:pPr>
            <w:pStyle w:val="Contents4"/>
            <w:tabs>
              <w:tab w:val="clear" w:pos="8176"/>
              <w:tab w:val="right" w:pos="9026" w:leader="dot"/>
            </w:tabs>
            <w:rPr/>
          </w:pPr>
          <w:hyperlink w:anchor="__RefHeading___Toc478064_581953129">
            <w:r>
              <w:rPr>
                <w:webHidden/>
                <w:rStyle w:val="IndexLink"/>
                <w:rtl w:val="true"/>
              </w:rPr>
              <w:t xml:space="preserve">المحور الرابع </w:t>
            </w:r>
            <w:r>
              <w:rPr>
                <w:rStyle w:val="IndexLink"/>
                <w:rtl w:val="true"/>
              </w:rPr>
              <w:t xml:space="preserve">: </w:t>
            </w:r>
            <w:r>
              <w:rPr>
                <w:rStyle w:val="IndexLink"/>
                <w:rtl w:val="true"/>
              </w:rPr>
              <w:t>ضمانة السلم الدولی والوفاء بالعهد</w:t>
            </w:r>
            <w:r>
              <w:rPr>
                <w:rStyle w:val="IndexLink"/>
                <w:rtl w:val="true"/>
              </w:rPr>
              <w:tab/>
            </w:r>
            <w:r>
              <w:rPr>
                <w:rStyle w:val="IndexLink"/>
              </w:rPr>
              <w:t>369</w:t>
            </w:r>
          </w:hyperlink>
        </w:p>
        <w:p>
          <w:pPr>
            <w:pStyle w:val="Contents4"/>
            <w:tabs>
              <w:tab w:val="clear" w:pos="8176"/>
              <w:tab w:val="right" w:pos="9026" w:leader="dot"/>
            </w:tabs>
            <w:rPr/>
          </w:pPr>
          <w:hyperlink w:anchor="__RefHeading___Toc478066_581953129">
            <w:r>
              <w:rPr>
                <w:webHidden/>
                <w:rStyle w:val="IndexLink"/>
                <w:rtl w:val="true"/>
              </w:rPr>
              <w:t>الأقلام المأجورة</w:t>
            </w:r>
            <w:r>
              <w:rPr>
                <w:rStyle w:val="IndexLink"/>
                <w:rtl w:val="true"/>
              </w:rPr>
              <w:tab/>
            </w:r>
            <w:r>
              <w:rPr>
                <w:rStyle w:val="IndexLink"/>
              </w:rPr>
              <w:t>371</w:t>
            </w:r>
          </w:hyperlink>
        </w:p>
        <w:p>
          <w:pPr>
            <w:pStyle w:val="Contents4"/>
            <w:tabs>
              <w:tab w:val="clear" w:pos="8176"/>
              <w:tab w:val="right" w:pos="9026" w:leader="dot"/>
            </w:tabs>
            <w:rPr/>
          </w:pPr>
          <w:hyperlink w:anchor="__RefHeading___Toc478068_581953129">
            <w:r>
              <w:rPr>
                <w:webHidden/>
                <w:rStyle w:val="IndexLink"/>
                <w:rtl w:val="true"/>
              </w:rPr>
              <w:t>حذار من الأقلام المغرضة</w:t>
            </w:r>
            <w:r>
              <w:rPr>
                <w:rStyle w:val="IndexLink"/>
                <w:rtl w:val="true"/>
              </w:rPr>
              <w:tab/>
            </w:r>
            <w:r>
              <w:rPr>
                <w:rStyle w:val="IndexLink"/>
              </w:rPr>
              <w:t>371</w:t>
            </w:r>
          </w:hyperlink>
        </w:p>
        <w:p>
          <w:pPr>
            <w:pStyle w:val="Contents2"/>
            <w:tabs>
              <w:tab w:val="clear" w:pos="8743"/>
              <w:tab w:val="right" w:pos="9026" w:leader="dot"/>
            </w:tabs>
            <w:rPr/>
          </w:pPr>
          <w:hyperlink w:anchor="__RefHeading___Toc478070_581953129">
            <w:r>
              <w:rPr>
                <w:webHidden/>
                <w:rStyle w:val="IndexLink"/>
                <w:rtl w:val="true"/>
              </w:rPr>
              <w:t>المصادر</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1_55101"/>
      <w:bookmarkStart w:id="1" w:name="pg5261_55101"/>
      <w:bookmarkEnd w:id="1"/>
    </w:p>
    <w:p>
      <w:pPr>
        <w:pStyle w:val="Heading2"/>
        <w:numPr>
          <w:ilvl w:val="1"/>
          <w:numId w:val="1"/>
        </w:numPr>
        <w:rPr/>
      </w:pPr>
      <w:bookmarkStart w:id="2" w:name="pg5261_55101"/>
      <w:bookmarkStart w:id="3" w:name="__RefHeading___Toc47694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عابدینی، 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معاصره فی‌الساحه‌الدولیه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اثارات العلمانیه‌الغربیه حول‌الاسلام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محمد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مرکزالابحاث‌العقائدیه،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فی‌الفکر‌الاسلامی‌المعاصر فی ضوء مدرسه اهل‌البیت علیهم‌السلام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۱۱۴۸۵۲۷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694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بحوث معاصره فی‌الساحه‌الدولیه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اثارات العلمانیه‌الغربیه حول‌الاسلام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السند</w:t>
      </w:r>
      <w:bookmarkStart w:id="7" w:name="pg5261_55107"/>
    </w:p>
    <w:p>
      <w:pPr>
        <w:pStyle w:val="Heading2"/>
        <w:numPr>
          <w:ilvl w:val="1"/>
          <w:numId w:val="1"/>
        </w:numPr>
        <w:rPr/>
      </w:pPr>
      <w:bookmarkStart w:id="8" w:name="__RefHeading___Toc476946_581953129"/>
      <w:bookmarkStart w:id="9" w:name="_Toc3"/>
      <w:bookmarkEnd w:id="7"/>
      <w:bookmarkEnd w:id="8"/>
      <w:r>
        <w:rPr>
          <w:rtl w:val="true"/>
        </w:rPr>
        <w:t>مقدمّة المرکز</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یلاحظ أنّ العقود الأخیرة من حیاتنا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سنة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فی أُروبا تیارات ثقافیّة متنوّعة، یَسِمها طابع التمرّد والتشکیک والتحوّل من تیار إلی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أنّ ما یُطلق علیه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 التفکیکی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یظلّ هو التیار الأشدّ حضوراً فی السنوات المعاصرة، بالرغم من انحساره نسبیاً، وظهور تیارات أُخری،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سواها من التیارات الیساریة الجدیدة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التیار المذکور مع بعض أجنحته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 الاستجابة والتلقّی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یتمیّز عن سواه بکونه ینطلق من خلفیة فلسفیة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المعرفة والکینونة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إنّه أُطلق علی العصر الذی شهد هذا التیار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انطلاقته من فرنسا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الذی ینفرد بإحداث الموضات الجدیدة فی الصعید الثقافی بعامّة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واکب هذه الفلسفة التشکیکیّة تطویر الدراسات اللغویة التی بدأت مع العقد الثالث من القرن العشرین ، حیث استثمر التیار التفکیکی أو التشکیکی معطیات هذه التیارات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ووظّفها لصالح تفکیکیّته أو تشکیکیّته، وذلک</w:t>
      </w:r>
    </w:p>
    <w:p>
      <w:pPr>
        <w:pStyle w:val="BookText"/>
        <w:rPr/>
      </w:pPr>
      <w:r>
        <w:rPr>
          <w:rFonts w:ascii="IRNazanin" w:hAnsi="IRNazanin" w:eastAsia="IRNazanin"/>
          <w:color w:val="111111"/>
          <w:sz w:val="28"/>
          <w:sz w:val="28"/>
          <w:szCs w:val="28"/>
          <w:rtl w:val="true"/>
          <w:lang w:bidi="fa-IR"/>
        </w:rPr>
        <w:t xml:space="preserve">بأن 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الأخیر وجعلها غائبة، لیشیر بذلک إلی عدم وجود مرکز معرفی ثابت بقدر ما یخضع الأمر لقراءات استمراریّة لا نهائیة، أی جعل استخلاص الدلالة المعرفیة لا نهایة أو لا ثبات لها، وهو أمر یتساوق ویتناغم مع الفلسفة التشکیکیّة التی لا تجنح إلی یقینٍ معرفی أو المعرفة الیقینیّة، ومن ثمّ یظلّ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ثبات ولا استقرار لمفهوماتها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حینما ینسحب هذا التشکیک علی الظواهر جمیعاً ، فإنّ النتیجة تظلّ تشکیکاً بکلّ شیء، وفی مقدّمة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التشکیک أساساً بما وراء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وإرسالات السماء، وکلّ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تعبیر الموضة المشار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کان المناخ الأُوربی یسمح بولادة أمثلة هذه التیارات ،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الیأس الذی طبع مجتمعات الغرب من حضارتها المادیة الصرفة، خصوصاً بعد الحرب العالمیة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المناخ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الترف الفکری أو التخمة الثقافیة، بحیث تقتاده إلی تولید جدید للفکر حتّی لو لم تسمح به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أخذنا بنظر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أهم الأسباب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عزلة المجتع الأُروبی عن السماء ومبادئها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فإنّ ولادة التیارات التفکیکیّة والتشکیکیّة والمتمرّدة والفوضویة وبالإضافة إلی عودة بعض التیارات المنتسبة إلی الیسار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جمیعاً تفسّر لنا ولادة التیارات المذکورة فی مجتمع أُوربی له أرضیّته الخاصّة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إلّاأنّ من المؤسف کثیراً أن نجد انعکاسات التیارات المذکورة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مقدّمتها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المجتمعان العربی والإسلامی، حیث هرع أفراد کثیرون</w:t>
      </w:r>
    </w:p>
    <w:p>
      <w:pPr>
        <w:pStyle w:val="BookText"/>
        <w:rPr/>
      </w:pPr>
      <w:r>
        <w:rPr>
          <w:rFonts w:ascii="IRNazanin" w:hAnsi="IRNazanin" w:eastAsia="IRNazanin"/>
          <w:color w:val="111111"/>
          <w:sz w:val="28"/>
          <w:sz w:val="28"/>
          <w:szCs w:val="28"/>
          <w:rtl w:val="true"/>
          <w:lang w:bidi="fa-IR"/>
        </w:rPr>
        <w:t xml:space="preserve">إلی معانقة هذه التیارات المتعاقبة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المتداخلة والمتضادة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علی المناخ العربی والإسلامی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نزعة 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تطبّع علیها هؤلاء الأفراد تفسّر لنا تبنّیهم الفکر الغربی، وتخلّیهم عن قیم الوحی ومبادئ الإسلام العلیا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الأسی الأشدّ مرارة أن نلحظ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بدورهم ، قد بهرَتهم زینة الحیاة المنعزلة عن السماء فی المناخ الأُوربی، فهرعوا بدورهم إلی محاورة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وبدأوا ینشرون دراساتهم التفکیکیّة والتشکیکیّة حول مختلف ضروب المعرفة، وفی مقدّمتها التعامل مع النصّ القرآنی الکریم، بدءاً بالوحی، وانتهاءً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ما تلقّوه من التیار الأُوربی الذی أطلق العنان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السلطة للقارئ یعبث ما یشاء بدوال النصّ، حافراً ومنقبّاً ومهدّماً، تقلیداً لأسیاده المنعزلین عن السماء ومبادئها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أضفنا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تقدّم ،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سنواتنا المعاصرة، وما تستهدفه من السیطرة علی الإیدیولوجیات جمیعاً؛ حینئذٍ نجد أنّ الضرورة الإسلامیة تفرض علینا أن نتّجه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ضرورة فی حیاتنا المعاصرة، ومن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الانحرافات المذکورة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بصفة أنّ التزامنا بمبادئ الدین، وإدرکنا لمهمّة خلافة الإنسان، أی إدراکنا للوظیفة التی أوکلها اللّه تعالی إلینا، وهی 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أولئک جمیعاً تفرض علینا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نتعامل مع الظواهر وفقاً لما یفرضه القانون العقلی ویتلاءم مع التصوّر الإسلامی حیالها، وفی مقدمة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القیام بمهمّة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یتّفق مع مبادئنا،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الانحرافات التی طبعت سلوک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المنشطرین بین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إسلامی یستعین حتّی بالمبادئ المنتسبة إلی الإلحاد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ضوء الحقائق المتقدمة، وتلبیة للتوجیهات الصادرة من سماحة المرجع الدینی الأعلی آیة اللّه العظمی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التصدّی لأفکار العلمانیة وردّ شبهاتها، قرّر مرکزنا أن یضطلع بالمهمّة المشار إلیها، داعیاً الأقلام الإسلامیة الراصدة لما یجری فی الساحة بأن یجعلوا من أولویات اهتماماتهم کتابة البحوث المناسبة للموضوع، أی المتسقة مع مشکلات حیاتنا المعاصرة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فقد باشرنا بإصدار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 الفکر الإسلامی المعاصر فی ضوء مدرسة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فصدر الکتاب الأوّل من هذه السلسلة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الدیمقراطیة علی ضوء نظریة الإمامة والشوری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محمّد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وصدر الکتاب الثانی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أوضاع المرأة المسلمة ودورها الاجتماعی فی منظور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الأُستاذ الشیخ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الإصدار الثالث من هذه السلسلة، وهو للعلّامة الشیخ محمّد السند ، وهو عبارة عن مجموعة محاضرات ألقاها المولّف فی مدینة المنامة البحرانیة، فی أیام شهر محرّم الحرام خلال أربع سنوات ابتداءً بسنة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السیّد هاشم الموسوی باختصار هذه المحاضرات ونقلها من الأشرطة المسجلة ، فجزاه اللّه خیر الجزاء</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المرکز بمراجعة هذه الأوراق وتصحیحها واستخراج کلّ ما یحتاج إلی استخراج ، وطبعها فی مجلّد واحد تعمیماً للفائدة، وهی تحتوی علی أربع 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إثارات العلمانیّة الغربیّة حول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الحسینیّة ومفهوم الإرهاب والسلام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ومفهوم العولمة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نتقدّم بجزیل شکرنا وتقدیرنا لکافّة الإخوة الأعزاء الذین ساهموا فی إخراج هذا الکتاب ، ونخصّ بالذکر فضیلة الشیخ عبد اللّه الخزرجی الذی قام بمراجعته وتصحیح واستخراج ما یحتاج إلی استخراج، فللّه درهم وعلیه أجرهم ، والحمد للّه ربّ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IRNazanin" w:hAnsi="IRNazanin" w:eastAsia="IRNazanin"/>
          <w:color w:val="111111"/>
          <w:sz w:val="28"/>
          <w:sz w:val="28"/>
          <w:szCs w:val="28"/>
          <w:rtl w:val="true"/>
          <w:lang w:bidi="fa-IR"/>
        </w:rPr>
        <w:t>مرکز الأبحاث العقائدیة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Muhammad</w:t>
      </w:r>
    </w:p>
    <w:p>
      <w:pPr>
        <w:pStyle w:val="BookText"/>
        <w:rPr/>
      </w:pPr>
      <w:r>
        <w:rPr>
          <w:rFonts w:eastAsia="Times New Roman" w:cs="Times New Roman" w:ascii="Times New Roman" w:hAnsi="Times New Roman"/>
          <w:color w:val="111111"/>
          <w:sz w:val="28"/>
          <w:szCs w:val="28"/>
          <w:lang w:val="en-US" w:bidi="en-US"/>
        </w:rPr>
        <w:t>aqaed .com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Site aqaed .com/ Mohammad</w:t>
      </w:r>
      <w:bookmarkStart w:id="10" w:name="pg5261_55113"/>
    </w:p>
    <w:p>
      <w:pPr>
        <w:pStyle w:val="Heading2"/>
        <w:numPr>
          <w:ilvl w:val="1"/>
          <w:numId w:val="1"/>
        </w:numPr>
        <w:rPr/>
      </w:pPr>
      <w:bookmarkStart w:id="11" w:name="__RefHeading___Toc476948_581953129"/>
      <w:bookmarkStart w:id="12" w:name="_Toc4"/>
      <w:bookmarkEnd w:id="10"/>
      <w:bookmarkEnd w:id="11"/>
      <w:r>
        <w:rPr/>
        <w:t>1</w:t>
      </w:r>
      <w:r>
        <w:rPr>
          <w:rtl w:val="true"/>
        </w:rPr>
        <w:t xml:space="preserve">- </w:t>
      </w:r>
      <w:r>
        <w:rPr>
          <w:rtl w:val="true"/>
        </w:rPr>
        <w:t>إثارات العلمانیة الغربیة حول الإسلام</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76950_581953129"/>
      <w:bookmarkStart w:id="14" w:name="_Toc5"/>
      <w:bookmarkEnd w:id="13"/>
      <w:r>
        <w:rPr>
          <w:rtl w:val="true"/>
        </w:rPr>
        <w:t>اشارة</w:t>
      </w:r>
      <w:bookmarkStart w:id="15" w:name="pg5261_55115"/>
      <w:bookmarkEnd w:id="14"/>
    </w:p>
    <w:p>
      <w:pPr>
        <w:pStyle w:val="Heading3"/>
        <w:numPr>
          <w:ilvl w:val="2"/>
          <w:numId w:val="1"/>
        </w:numPr>
        <w:rPr/>
      </w:pPr>
      <w:bookmarkStart w:id="16" w:name="__RefHeading___Toc476952_581953129"/>
      <w:bookmarkStart w:id="17" w:name="_Toc6"/>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محمّد وآله الطیّبین الطاهرین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کلّفنی وشرّفنی سماحة العلّامة الشیخ محمّد السند بتقریر البحوث التی ألقاها فی مأتم السّماکین فی المنامة فی موسم عاشوراء ، فابتدأت بما ألقاه من محاضرات یردّ فیها علی إثارات العلمانیین الغربیین من خلال أشهر وأبرز مدارسهم الفکریة وهی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المدرسة الفلسفیة التی تتبنّی فصل الدین عن الحیاة ، ومدرسة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المدرسة المنطقیة التی تتبنّی تعدّد الإدراک، والمدرسة الهرمونطیقیة وهی المدرسة الأدبیة التی تتبنّی نظریة تعدّد القراءات الأدبیة ، وقد قضیت أوقاتاً جمیلة کنت أتلذّذ فیها بمتعة العلم والاستدلال وأنا أستمع لأشرطة الکاسیت التی تحتوی تلک المحاضرات وأستنیر بکلامه الذی اعتمد فیه سماحته علی آراء مدرسة أهل البیت علیهم السلام ، حیث کانت ردوده مستمدّة من الفکر الذی ینتمی إلی هذه المدرسة الطاهرة، وأسأل اللّه العلی القدیر أن یوفّقنی لکتابة وتدوین باقی محاضراته ، ونسأل اللّه أن یجعل ذلک فی میزان حسناته، وأن یجمعنا وإیّاه مع محمّد وآل محمّد فی دار کرامته إنّه سمیعٌ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سید حسن الموسوی</w:t>
      </w:r>
    </w:p>
    <w:p>
      <w:pPr>
        <w:pStyle w:val="BookText"/>
        <w:rPr/>
      </w:pPr>
      <w:r>
        <w:rPr>
          <w:rFonts w:ascii="IRNazanin" w:hAnsi="IRNazanin" w:eastAsia="IRNazanin"/>
          <w:color w:val="111111"/>
          <w:sz w:val="28"/>
          <w:sz w:val="28"/>
          <w:szCs w:val="28"/>
          <w:rtl w:val="true"/>
          <w:lang w:bidi="fa-IR"/>
        </w:rPr>
        <w:t xml:space="preserve">التاسع من جمادی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bookmarkStart w:id="18" w:name="pg5261_55117"/>
    </w:p>
    <w:p>
      <w:pPr>
        <w:pStyle w:val="Heading3"/>
        <w:numPr>
          <w:ilvl w:val="2"/>
          <w:numId w:val="1"/>
        </w:numPr>
        <w:rPr/>
      </w:pPr>
      <w:bookmarkStart w:id="19" w:name="__RefHeading___Toc476954_581953129"/>
      <w:bookmarkStart w:id="20" w:name="_Toc7"/>
      <w:bookmarkEnd w:id="18"/>
      <w:bookmarkEnd w:id="19"/>
      <w:r>
        <w:rPr>
          <w:rtl w:val="true"/>
        </w:rPr>
        <w:t xml:space="preserve">المحاضرة الأولی </w:t>
      </w:r>
      <w:r>
        <w:rPr>
          <w:rtl w:val="true"/>
        </w:rPr>
        <w:t>:</w:t>
      </w:r>
      <w:r>
        <w:rPr>
          <w:rtl w:val="true"/>
        </w:rPr>
        <w:t>الفرق بین الشریعة والدین</w:t>
      </w:r>
      <w:bookmarkEnd w:id="20"/>
    </w:p>
    <w:p>
      <w:pPr>
        <w:pStyle w:val="Heading4"/>
        <w:numPr>
          <w:ilvl w:val="3"/>
          <w:numId w:val="1"/>
        </w:numPr>
        <w:rPr/>
      </w:pPr>
      <w:bookmarkStart w:id="21" w:name="__RefHeading___Toc476956_581953129"/>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الدین الخالد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الشائع فی استخدام مصطلح الدین کمرادف لمصطلح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یقع فی الشرائع، ولا یقع فی 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الدین والشریعة، وقضیة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المودّة ، وإلحاق الإمامة بأصول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الآیات وغیرها تثبّت أبدیّة الدین الإسلامی ، وأنّه الدین السماوی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مطلق یشمل کل الأُمم التی تأتی بعد النبی محمّد صلی الله علیه و آله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bookmarkStart w:id="23" w:name="pg5261_55118"/>
    </w:p>
    <w:p>
      <w:pPr>
        <w:pStyle w:val="BookText"/>
        <w:rPr/>
      </w:pPr>
      <w:bookmarkEnd w:id="23"/>
      <w:r>
        <w:rPr>
          <w:rFonts w:ascii="Amiri" w:hAnsi="Amiri" w:eastAsia="Amiri" w:cs="Amiri"/>
          <w:color w:val="111111"/>
          <w:sz w:val="28"/>
          <w:sz w:val="28"/>
          <w:szCs w:val="28"/>
          <w:rtl w:val="true"/>
          <w:lang w:bidi="ar-SA"/>
        </w:rPr>
        <w:t>وَ کانَ اللّهُ بِکُلِّ شَیْ‌ءٍ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الآیة مطلقة وعامّة سواءً کان ذلک قبل محمّد صلی الله علیه و آله و سلم أو بعده أیضاً</w:t>
      </w:r>
      <w:r>
        <w:rPr>
          <w:rFonts w:eastAsia="IRNazanin" w:cs="IRNazanin"/>
          <w:color w:val="111111"/>
          <w:sz w:val="28"/>
          <w:szCs w:val="28"/>
          <w:rtl w:val="true"/>
          <w:lang w:bidi="fa-IR"/>
        </w:rPr>
        <w:t>.</w:t>
      </w:r>
    </w:p>
    <w:p>
      <w:pPr>
        <w:pStyle w:val="Heading4"/>
        <w:numPr>
          <w:ilvl w:val="3"/>
          <w:numId w:val="1"/>
        </w:numPr>
        <w:rPr/>
      </w:pPr>
      <w:bookmarkStart w:id="24" w:name="__RefHeading___Toc476958_581953129"/>
      <w:bookmarkStart w:id="25" w:name="_Toc9"/>
      <w:bookmarkEnd w:id="24"/>
      <w:r>
        <w:rPr>
          <w:rtl w:val="true"/>
        </w:rPr>
        <w:t>الدین الإسلامی خالد</w:t>
      </w:r>
      <w:bookmarkEnd w:id="25"/>
    </w:p>
    <w:p>
      <w:pPr>
        <w:pStyle w:val="BookText"/>
        <w:rPr/>
      </w:pPr>
      <w:r>
        <w:rPr>
          <w:rFonts w:ascii="IRNazanin" w:hAnsi="IRNazanin" w:eastAsia="IRNazanin"/>
          <w:color w:val="111111"/>
          <w:sz w:val="28"/>
          <w:sz w:val="28"/>
          <w:szCs w:val="28"/>
          <w:rtl w:val="true"/>
          <w:lang w:bidi="fa-IR"/>
        </w:rPr>
        <w:t>هذا البحث، وهو بحث خلود الدین الإسلامی إلی یوم القیامة، هو بحثٌ أدیانیٌ، أو بحثٌ أیدیولوجی بالتعبیر اللاتینی،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عقائدی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محل جدل واسع ، وصخب علمی کبیر بین الأدیان والثقافات الشرقیة والغربیة والتیارات الفکریة المختلفة سواءً کانت تلک التیارات اجتماعیة أو حقوقیة أو قانونیة ، ومن هذه التیارات تیار العلمانیین من المسلمین أو المتعلمنین من المسلمین أو العلمانیین من الغرب ، ومن المعلوم أنّ للعلمانیین أمواجاً مختلفةً، وأنَّ هذه الأمواج لیست علی وتیرةٍ واحدة، والآیات التی ذکرناها تثبّت خلود الإسلام وعالمیته</w:t>
      </w:r>
      <w:r>
        <w:rPr>
          <w:rFonts w:eastAsia="IRNazanin" w:cs="IRNazanin"/>
          <w:color w:val="111111"/>
          <w:sz w:val="28"/>
          <w:szCs w:val="28"/>
          <w:rtl w:val="true"/>
          <w:lang w:bidi="fa-IR"/>
        </w:rPr>
        <w:t>.</w:t>
      </w:r>
    </w:p>
    <w:p>
      <w:pPr>
        <w:pStyle w:val="Heading4"/>
        <w:numPr>
          <w:ilvl w:val="3"/>
          <w:numId w:val="1"/>
        </w:numPr>
        <w:rPr/>
      </w:pPr>
      <w:bookmarkStart w:id="26" w:name="__RefHeading___Toc476960_581953129"/>
      <w:bookmarkStart w:id="27" w:name="_Toc10"/>
      <w:bookmarkEnd w:id="26"/>
      <w:r>
        <w:rPr>
          <w:rtl w:val="true"/>
        </w:rPr>
        <w:t>المجتمعات العلمانیة لم تُطلّق الدین طلاقاً مؤبّداً</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نرید أن نشیر إلیه هنا أنّ المجتمع الغربی أو مجتمع جنوب شرق أسیا کالیابان ، وهی مجتمعات تعتمد علی المؤسسات المدنیة ، ویعبّر عنها بالمجتمع</w:t>
      </w:r>
      <w:bookmarkStart w:id="28" w:name="pg5261_55119"/>
    </w:p>
    <w:p>
      <w:pPr>
        <w:pStyle w:val="BookText"/>
        <w:rPr/>
      </w:pPr>
      <w:bookmarkEnd w:id="28"/>
      <w:r>
        <w:rPr>
          <w:rFonts w:ascii="IRNazanin" w:hAnsi="IRNazanin" w:eastAsia="IRNazanin"/>
          <w:color w:val="111111"/>
          <w:sz w:val="28"/>
          <w:sz w:val="28"/>
          <w:szCs w:val="28"/>
          <w:rtl w:val="true"/>
          <w:lang w:bidi="fa-IR"/>
        </w:rPr>
        <w:t xml:space="preserve">المدنی ، أنَّ هذه المجتمعات وإن کانت علمانیة إلّاأنّها لم تُطلّق الدین طلاقاً مؤبّداً ، وأنّهم 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موروثهم الحضاری الثقافی الدینی کلٌّ بحسب دینه سواءً کانوا فی الیابان أو فی الهند أو فی أوروبا المسیحیة ؛ وذلک لأنّ طبیعة المجتمعات البشریة تجعل منها مخزناً تختزن فیه الموروثات الحضاریة ، ومن المستحیل أن یبدأ مجتمعٌ بشریٌ من الصفر، بل لا بدَّ أن یرث من الأُمم السابقة ما یرث، فنحن نلاحظ أنّ العلمانیین الغربیین أسماؤهم أسماء مسیحیة ، وتکون عندهم إلی جانب القوانین المدنیة قوانین کنائسیة ، وکذلک أُصول التقنین الغربی متأثّرة بالتقنین المسیحی ، فإذاً هؤلاء العلمانیون الغربیون لم یطلّقوا الدین طلاقاً مؤبّداً ، ولکنّهم حاولوا أن یمزجوا بین الموروث القدیم وما ابتکروه من قوانین ، وممّا یدلّل علی کلامنا هذا هو أنَّ الرئیس الأمریکی السابق جورج بوش الأب عندما شنّ حرب الخلیج الثانیة کان یستنجد بالکنیسة واسم الرب وما شابه ذلک ، وکذلک استخدم جورج بوش الابن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الصلیبیة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الهجوم علی نیویورک وواشنطن ، وهذا ما نشاهده عند الیابانیین أصحاب الدیانة البوذیّة ، حیث إنّهم لم یطلّقوا دیانتهم طلاقاً مؤبّداً </w:t>
      </w:r>
      <w:r>
        <w:rPr>
          <w:rFonts w:eastAsia="IRNazanin" w:cs="IRNazanin"/>
          <w:color w:val="111111"/>
          <w:sz w:val="28"/>
          <w:szCs w:val="28"/>
          <w:rtl w:val="true"/>
          <w:lang w:bidi="fa-IR"/>
        </w:rPr>
        <w:t>.</w:t>
      </w:r>
    </w:p>
    <w:p>
      <w:pPr>
        <w:pStyle w:val="Heading4"/>
        <w:numPr>
          <w:ilvl w:val="3"/>
          <w:numId w:val="1"/>
        </w:numPr>
        <w:rPr/>
      </w:pPr>
      <w:bookmarkStart w:id="29" w:name="__RefHeading___Toc476962_581953129"/>
      <w:bookmarkStart w:id="30" w:name="_Toc11"/>
      <w:bookmarkEnd w:id="29"/>
      <w:r>
        <w:rPr>
          <w:rtl w:val="true"/>
        </w:rPr>
        <w:t>الدین واحد والشرائع متعدّدة</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الأخطاء الشائعة فی الصحافة والإعلام وبین عامّة الناس هو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فنسمع عن حوار الأدیان ، والبحث عن أوجه الاختلاف أو التلاقی بین هذه الأدیان ، وهذا ما یتعارض مع المفهوم القرآنی والمفاهیم التی جاءت بها الأحادیث الشریفة ، حیث إنّ المفهوم القرآنی یؤکّد علی أنّ الدین واحد ولیس متعدّد ، فتکون النتیجة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خاطیء ؛ لأنّه یتعارض مع الطرح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ینبغی التفریق بین مصطلحات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والشریعة والملّة والمنهاج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القرآن الکریم ، ولابدَّ من تعریف هذه المصطلحات قبل الخوض فی البحوث المقبلة ؛ لأنَّ الکثیر من الناس یستخدم الدین کمصطلح مرادف للشریعة ، وهذا من الاستخدام اللغوی والدینی الخاطیء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مجموعة من أُصول اعتقادیة ، وأُصول معارف کونیة ، ویضمّ الیه أرکان الفروع ، ویضمّ إلی الفروع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تختلف عن الدین ؛ لأنّ الإسلام اسم للدین ولیس للشریعة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الشریعة المحمّدیة صلی الله علیه و آله ، کما توجد شریعة موسویة ، وشریعة عیسویة ، وشریعة نوحیة ، وشریعة إبراهیمیة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والشریعة لغةً هی الضفّة الجانبیة المتفرّعة من رافد النهر ، وهذا ما یحدّثنا به أرباب المقاتل عندما یتحدّثون عن العباس حین استقی الماء من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والشرعة والشریعة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مشرعة الماء وهی مورد الشاربة التی یشرعها الناس فیشربون منها ویستقون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هی منطقة الدین ، أُصول الاعتقاد وأُصول المعارف هی التی تمثّل دائرة الدین ، أمّا الدائرة التی هی أکثر تشعّباً وأکثر ترامیاً وأکثر بُعداً عن المرکز هی دائرة الشریعة ، وتشتمل علی تفاصیل الأحکام والقوانین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یستخدم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دیناً ومنهاجاً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 الدین واحد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فدین نوح وإبراهیم وموسی عیسی ومحمّد هو دین واحد ، وأصحاب الشرائع هم</w:t>
      </w:r>
      <w:bookmarkStart w:id="31" w:name="pg5261_55121"/>
    </w:p>
    <w:p>
      <w:pPr>
        <w:pStyle w:val="BookText"/>
        <w:rPr/>
      </w:pPr>
      <w:bookmarkEnd w:id="31"/>
      <w:r>
        <w:rPr>
          <w:rFonts w:ascii="IRNazanin" w:hAnsi="IRNazanin" w:eastAsia="IRNazanin"/>
          <w:color w:val="111111"/>
          <w:sz w:val="28"/>
          <w:sz w:val="28"/>
          <w:szCs w:val="28"/>
          <w:rtl w:val="true"/>
          <w:lang w:bidi="fa-IR"/>
        </w:rPr>
        <w:t>الأنبیاء أولوا العزم ، وهذا ما ورد عن المعصومین حیث وصفوهم بأنّهم أصحاب شرائع ، ولیس أصحاب أدیان متعددة ، بل بُعثوا بدین واحد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476964_581953129"/>
      <w:bookmarkStart w:id="33" w:name="_Toc12"/>
      <w:bookmarkEnd w:id="32"/>
      <w:r>
        <w:rPr>
          <w:rtl w:val="true"/>
        </w:rPr>
        <w:t>النسخ یقع فی الشرائع ، ولا یقع فی العقائد</w:t>
      </w:r>
      <w:bookmarkEnd w:id="33"/>
    </w:p>
    <w:p>
      <w:pPr>
        <w:pStyle w:val="BookText"/>
        <w:rPr/>
      </w:pPr>
      <w:r>
        <w:rPr>
          <w:rFonts w:ascii="IRNazanin" w:hAnsi="IRNazanin" w:eastAsia="IRNazanin"/>
          <w:color w:val="111111"/>
          <w:sz w:val="28"/>
          <w:sz w:val="28"/>
          <w:szCs w:val="28"/>
          <w:rtl w:val="true"/>
          <w:lang w:bidi="fa-IR"/>
        </w:rPr>
        <w:t>هل یعقل أن یأتی آدم علیه السلام بدین وعقائد حقّة ، ثمّ تکون هذه العقائد مؤقّتة بزمن معیّن ، فیأتی نوح علیه السلام وینسخ العقائد التی أتی بها آدم ، ثمّ یأتی إبراهیم وینسخ العقائد التی أتی بها نوح علیه السلام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أمر لا یعقل ؛ لأنّ الدین عبارة عن رؤی کونیة ، وإذا کانت هذه الرؤی الکونیة صادقة فهی غیر قابلة للتبدیل والتغییر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نسخ التوحید أو المعاد أو النبوة ، وإنّما یقع النسخ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حتّی أرکان الفروع هی من الدین ولا یقع علیها النسخ ، فأصل وجوب الصلاة والزکاة ثابتة فی شریعة کلّ نبی ، قال تعالی علی لسان عیسی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الحجّ فکلّ الأنبیاء حجّوا بیت اللّه الحرام ، وکذلک الجهاد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یختلف شکل الصلاة أو الصیام ، ولکن أصل وجوبها ثابت فی کلّ الشرائع ، وهذا ینطبق علی المحرّمات وتحریم الفواحش کالزنا والخمر ، فأصل تحریم الفواحش ثابت فی کلّ الشرائع وإن اختلفت سعة وضیقاً ، حتّی أُصول أحکام الأسرة والزوجیة والتعاقد التجاری وتحریم الربا ؛ ولذلک فإنّ اللّه تعالی یندّد بالمجتمع الیهودی ؛ لأنّه یتعامل بالربا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أَخْذِهِمُ الرِّبَوا وَ قَدْ نُهُوا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وتحریم الربا یدخل ضمن أرکان أُصول التشریع ، وهذه الأرکان تدخل ضمن إطار الدین ولیس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فصاحب الشریعة اللاحقة لا یُکذّب دین صاحب الشریعة السابقة ، بل یُصدّقه فی منطقة دائرة الدین من حیث إنّ الدین واحد لا یتعدّد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ومفهوم هذه الآیة لا یقتصر علی أنّ الدین بعد محمّد صلی الله علیه و آله هو دین الإسلام ، بل مفهومها یشمل کلّ الأزمان من لدن آدم إلی یوم القیامة، فالدین عند اللّه الإسلام منذ بدء الخلیقة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فالدین لا یقبل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تزداد معارف نبی عن نبی آخر ، وأکملها وأوسعها وأعمقها ما بعث بها النبی الخاتم صلی الله علیه و آله لمنزلته من القرب الإلهی حیث إنّ الإحاطة التی زوّد بها صلی الله علیه و آله ، والرؤی الکونیة التی یمتلکها أوسع ممّن سبقه من الأنبیاء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4" w:name="pg5261_55123"/>
    </w:p>
    <w:p>
      <w:pPr>
        <w:pStyle w:val="BookText"/>
        <w:rPr/>
      </w:pPr>
      <w:bookmarkEnd w:id="34"/>
      <w:r>
        <w:rPr>
          <w:rFonts w:ascii="IRNazanin" w:hAnsi="IRNazanin" w:eastAsia="IRNazanin"/>
          <w:color w:val="111111"/>
          <w:sz w:val="28"/>
          <w:sz w:val="28"/>
          <w:szCs w:val="28"/>
          <w:rtl w:val="true"/>
          <w:lang w:bidi="fa-IR"/>
        </w:rPr>
        <w:t xml:space="preserve">فالقرآن الکریم مهیمن علی ما سبقه من کتب ؛ لأنّ فیه من المعارف الجمّة مالم یتعرّف علیه من خلال الشرائع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الدین فی حالة تبلور وتجلّی أکثر من قبل السماء إلی البشریة، هذا صحیح ومقبول ، أمّا أن نقول بوجود النسخ فی الدین فهذا مستحیل ؛ لأنّه متعلّق بالعقائد کما مرّ ، ولا یقع النسخ إلّافی الشرائع ، وذلک حسب الظروف والبیئات</w:t>
      </w:r>
      <w:r>
        <w:rPr>
          <w:rFonts w:eastAsia="IRNazanin" w:cs="IRNazanin"/>
          <w:color w:val="111111"/>
          <w:sz w:val="28"/>
          <w:szCs w:val="28"/>
          <w:rtl w:val="true"/>
          <w:lang w:bidi="fa-IR"/>
        </w:rPr>
        <w:t>.</w:t>
      </w:r>
    </w:p>
    <w:p>
      <w:pPr>
        <w:pStyle w:val="Heading4"/>
        <w:numPr>
          <w:ilvl w:val="3"/>
          <w:numId w:val="1"/>
        </w:numPr>
        <w:rPr/>
      </w:pPr>
      <w:bookmarkStart w:id="35" w:name="__RefHeading___Toc476966_581953129"/>
      <w:bookmarkStart w:id="36" w:name="_Toc13"/>
      <w:bookmarkEnd w:id="35"/>
      <w:r>
        <w:rPr>
          <w:rtl w:val="true"/>
        </w:rPr>
        <w:t>آیات قرآنیة تدلّ علی أنَّ الدین واحد</w:t>
      </w:r>
      <w:bookmarkEnd w:id="3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 علی لسان إبراهیم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 علی لسان السحرة بعد أن تابوا وواجهوا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علی لسان یوسف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w:t>
      </w:r>
      <w:bookmarkStart w:id="37" w:name="pg5261_55124"/>
    </w:p>
    <w:p>
      <w:pPr>
        <w:pStyle w:val="BookText"/>
        <w:rPr/>
      </w:pPr>
      <w:bookmarkEnd w:id="37"/>
      <w:r>
        <w:rPr>
          <w:rFonts w:ascii="Amiri" w:hAnsi="Amiri" w:eastAsia="Amiri" w:cs="Amiri"/>
          <w:color w:val="111111"/>
          <w:sz w:val="28"/>
          <w:sz w:val="28"/>
          <w:szCs w:val="28"/>
          <w:rtl w:val="true"/>
          <w:lang w:bidi="ar-SA"/>
        </w:rPr>
        <w:t xml:space="preserve">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الدین عند اللّه الإسلام بصورة مطلقة عند کلّ الأنبیاء ، کما هو واضح فی الآیات المتقدّمة</w:t>
      </w:r>
      <w:r>
        <w:rPr>
          <w:rFonts w:eastAsia="IRNazanin" w:cs="IRNazanin"/>
          <w:color w:val="111111"/>
          <w:sz w:val="28"/>
          <w:szCs w:val="28"/>
          <w:rtl w:val="true"/>
          <w:lang w:bidi="fa-IR"/>
        </w:rPr>
        <w:t>.</w:t>
      </w:r>
    </w:p>
    <w:p>
      <w:pPr>
        <w:pStyle w:val="Heading4"/>
        <w:numPr>
          <w:ilvl w:val="3"/>
          <w:numId w:val="1"/>
        </w:numPr>
        <w:rPr/>
      </w:pPr>
      <w:bookmarkStart w:id="38" w:name="__RefHeading___Toc476968_581953129"/>
      <w:bookmarkStart w:id="39" w:name="_Toc14"/>
      <w:bookmarkEnd w:id="38"/>
      <w:r>
        <w:rPr>
          <w:rtl w:val="true"/>
        </w:rPr>
        <w:t>الشریعة والدین وقضیة الغدیر</w:t>
      </w:r>
      <w:bookmarkEnd w:id="39"/>
    </w:p>
    <w:p>
      <w:pPr>
        <w:pStyle w:val="BookText"/>
        <w:rPr/>
      </w:pPr>
      <w:r>
        <w:rPr>
          <w:rFonts w:ascii="IRNazanin" w:hAnsi="IRNazanin" w:eastAsia="IRNazanin"/>
          <w:color w:val="111111"/>
          <w:sz w:val="28"/>
          <w:sz w:val="28"/>
          <w:szCs w:val="28"/>
          <w:rtl w:val="true"/>
          <w:lang w:bidi="fa-IR"/>
        </w:rPr>
        <w:t xml:space="preserve">نشیر إلی هذه القضیة وإن لم تکن من صلب الموضوع إلّاأنّها ثمرة من ثمار التفریق بین الشریعة والدین ، وجدیرٌ بنا أن نجنی هذه الثمرة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وبناءً علی ما ذکرنا من الفرق بین الدین والشریعة یتّضح أنّ هذه الآیة النازلة فی قضیة الغدیر وفی ولایة علی علیه السلام ، تجعل قضیة الإمامة وتنصیب علی علیه السلام تحت مظلّة الدین ولیس تحت مظلّة الشریعة ، وهذا یدلّل علی أنّ الإمامة من أُصول الدین ولیس من فروع الدین ، وأنّ إمامة علی علیه السلام کانت من صلب الدین الذی بعث به الأنبیاء ؛ لأنّهم جمیعاً بعثوا بدین الإسلام ، کما أثبتنا من خلال الآیات السابقة ومن خلال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الدین عند اللّه الإسلام بصورة مطلقة عند کلّ الأنبیاء ، کما هو واضح فی الآیات المتقدّمة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هو عند کلّ الأنبیاء السابقین ولیس عند النبی محمّد صلی الله علیه و آله لوحده کما مرّ سابقاً</w:t>
      </w:r>
      <w:r>
        <w:rPr>
          <w:rFonts w:eastAsia="IRNazanin" w:cs="IRNazanin"/>
          <w:color w:val="111111"/>
          <w:sz w:val="28"/>
          <w:szCs w:val="28"/>
          <w:rtl w:val="true"/>
          <w:lang w:bidi="fa-IR"/>
        </w:rPr>
        <w:t>.</w:t>
      </w:r>
      <w:bookmarkStart w:id="40" w:name="pg5261_55125"/>
    </w:p>
    <w:p>
      <w:pPr>
        <w:pStyle w:val="BookText"/>
        <w:rPr/>
      </w:pPr>
      <w:bookmarkEnd w:id="40"/>
      <w:r>
        <w:rPr>
          <w:rFonts w:ascii="IRNazanin" w:hAnsi="IRNazanin" w:eastAsia="IRNazanin"/>
          <w:color w:val="111111"/>
          <w:sz w:val="28"/>
          <w:sz w:val="28"/>
          <w:szCs w:val="28"/>
          <w:rtl w:val="true"/>
          <w:lang w:bidi="fa-IR"/>
        </w:rPr>
        <w:t>إذاً تکون النتیجة أنّ ولایة علی علیه السلام من صلب الدین الذی بعث به کلّ الأنبیاء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ونستنتج أیضاً أنّ الدین من دون ولایة علی علیه السلام غیر مرضی عند اللّه ؛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غیر المعقول أبداً أن یبعث الأنبیاء بدین غیر مرضی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جاءت الروایات الکثیرة التی تؤکّد أنَّ ولایة علی علیه السلام قد بعث بها الأنبیاء السابقین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وولایة علی لم‌تر الوجود فی یوم الغدیر ، وإنّما هی موجودة قبل ذلک ، وإنّما أظهرت وأبرزت فی ذلک الیوم ، کما أنّ التوحید موجود قبل محمّد صلی الله علیه و آله ، ولکن أظهر وأبرز ببعثته صلی الله علیه و آله ، فکذلک کانت قضیة 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الآیة أیضاً تدلّ علی أنّ الإمامة رکن رکین من الدین ولیست قضیة ثانویة فی الشریعة ؛ لأنّ عدم التبلیغ بإمامة علی علیه السلام تساوی عدم تبلیغ الرسالة بأکملها کما تنصّ الآیة</w:t>
      </w:r>
      <w:r>
        <w:rPr>
          <w:rFonts w:eastAsia="IRNazanin" w:cs="IRNazanin"/>
          <w:color w:val="111111"/>
          <w:sz w:val="28"/>
          <w:szCs w:val="28"/>
          <w:rtl w:val="true"/>
          <w:lang w:bidi="fa-IR"/>
        </w:rPr>
        <w:t>.</w:t>
      </w:r>
    </w:p>
    <w:p>
      <w:pPr>
        <w:pStyle w:val="Heading4"/>
        <w:numPr>
          <w:ilvl w:val="3"/>
          <w:numId w:val="1"/>
        </w:numPr>
        <w:rPr/>
      </w:pPr>
      <w:bookmarkStart w:id="41" w:name="__RefHeading___Toc476970_581953129"/>
      <w:bookmarkStart w:id="42" w:name="_Toc15"/>
      <w:bookmarkEnd w:id="41"/>
      <w:r>
        <w:rPr>
          <w:rtl w:val="true"/>
        </w:rPr>
        <w:t>آیة المودّة وقضیة الإمامة</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إلی الإسلام علی رأی بعض المفسّرین</w:t>
      </w:r>
      <w:r>
        <w:rPr>
          <w:rStyle w:val="FootnoteAnchor"/>
          <w:rtl w:val="true"/>
        </w:rPr>
        <w:footnoteReference w:id="5"/>
      </w:r>
      <w:r>
        <w:rPr>
          <w:rFonts w:ascii="IRNazanin" w:hAnsi="IRNazanin" w:eastAsia="IRNazanin"/>
          <w:color w:val="111111"/>
          <w:sz w:val="28"/>
          <w:sz w:val="28"/>
          <w:szCs w:val="28"/>
          <w:rtl w:val="true"/>
          <w:lang w:bidi="fa-IR"/>
        </w:rPr>
        <w:t>أو راجع إلی الجهد والمعاناة التی عاناها النبی صلی الله علیه و آله فی تبلیغ الرسالة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مودّة أهل البیت علیهم السلام جعلت أجراً للرسالة ، والأجرُ هو العدل أو المعاوضة ، فیکون عندنا عوض ومعوّض ، وینبغی أن تتوفّر المساواة بینهما ، فلیس من الصحیح أن تشتری جوهرةٌ ثمینةٌ بثمن بخس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مودّة أهل البیت علیهم السلام فی کفّة والکفّة الأُخری فیها الإسلام أو معاناة الرسالة التی قیمتها بلحاظ نفس الدین، إذاً نستنتج من الآیة بأنّ المودّة لأهل البیت علیهم السلام لیست من الشریعة ، بل هی رکن رکین من أصول الدین ؛ لأنّ أجر الرسالة لیس من المناسب إدراجه فی الشریعة ، واللّه هوالذی أعطی هذا المقام لأهل البیت علیهم السلام ، وعندئذٍ لا محلّ لاتهام الشیعة بالغلو فی أهل البیت علیهم السلام ؛ لأنّ اللّه هو الذی وضعهم فی هذا الموضع الرفیع ، واللّه ینهی عن الغلو ، فإذا وضعهم اللّه فی الموضع الرفیع فإنّ هذا الموضع لیس من الغلو فی شیء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المودّة مخصوصة بالمعصومین الأربعة عشر ، ولا تشمل جمیع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یترشّح منها الاحترام لهم والتقدیر </w:t>
      </w:r>
      <w:r>
        <w:rPr>
          <w:rFonts w:eastAsia="IRNazanin" w:cs="IRNazanin"/>
          <w:color w:val="111111"/>
          <w:sz w:val="28"/>
          <w:szCs w:val="28"/>
          <w:rtl w:val="true"/>
          <w:lang w:bidi="fa-IR"/>
        </w:rPr>
        <w:t>.</w:t>
      </w:r>
      <w:bookmarkStart w:id="43" w:name="pg5261_55127"/>
    </w:p>
    <w:p>
      <w:pPr>
        <w:pStyle w:val="Heading3"/>
        <w:numPr>
          <w:ilvl w:val="2"/>
          <w:numId w:val="1"/>
        </w:numPr>
        <w:rPr/>
      </w:pPr>
      <w:bookmarkStart w:id="44" w:name="__RefHeading___Toc476972_581953129"/>
      <w:bookmarkStart w:id="45" w:name="_Toc16"/>
      <w:bookmarkEnd w:id="43"/>
      <w:bookmarkEnd w:id="44"/>
      <w:r>
        <w:rPr>
          <w:rtl w:val="true"/>
        </w:rPr>
        <w:t>المحاضرة الثانیة المدارس الغربیة الحدیثة التی واجهت الکنیسة وتحکّم رجال الدین المسیحیین</w:t>
      </w:r>
      <w:bookmarkEnd w:id="45"/>
    </w:p>
    <w:p>
      <w:pPr>
        <w:pStyle w:val="Heading4"/>
        <w:numPr>
          <w:ilvl w:val="3"/>
          <w:numId w:val="1"/>
        </w:numPr>
        <w:rPr/>
      </w:pPr>
      <w:bookmarkStart w:id="46" w:name="__RefHeading___Toc476974_581953129"/>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الأجواء التی نشأت فیها العلمانیة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العلمانیة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السکولارزم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الدین عن الحیاة السیاسیة والاجتماعیة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فلسفیة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البلوری ألسم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تعدد الإدراک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منطقیة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الهرمونطیقیة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القراءات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أدبیة </w:t>
      </w:r>
      <w:r>
        <w:rPr>
          <w:rFonts w:eastAsia="IRNazanin" w:cs="IRNazanin"/>
          <w:color w:val="111111"/>
          <w:sz w:val="28"/>
          <w:szCs w:val="28"/>
          <w:rtl w:val="true"/>
          <w:lang w:bidi="fa-IR"/>
        </w:rPr>
        <w:t>» .</w:t>
      </w:r>
    </w:p>
    <w:p>
      <w:pPr>
        <w:pStyle w:val="Heading4"/>
        <w:numPr>
          <w:ilvl w:val="3"/>
          <w:numId w:val="1"/>
        </w:numPr>
        <w:rPr/>
      </w:pPr>
      <w:bookmarkStart w:id="48" w:name="__RefHeading___Toc476976_581953129"/>
      <w:bookmarkStart w:id="49" w:name="_Toc18"/>
      <w:bookmarkEnd w:id="48"/>
      <w:r>
        <w:rPr>
          <w:rtl w:val="true"/>
        </w:rPr>
        <w:t>الأجواء التی نشأت فیها العلمانیة</w:t>
      </w:r>
      <w:bookmarkEnd w:id="49"/>
    </w:p>
    <w:p>
      <w:pPr>
        <w:pStyle w:val="BookText"/>
        <w:rPr/>
      </w:pPr>
      <w:r>
        <w:rPr>
          <w:rFonts w:ascii="IRNazanin" w:hAnsi="IRNazanin" w:eastAsia="IRNazanin"/>
          <w:color w:val="111111"/>
          <w:sz w:val="28"/>
          <w:sz w:val="28"/>
          <w:szCs w:val="28"/>
          <w:rtl w:val="true"/>
          <w:lang w:bidi="fa-IR"/>
        </w:rPr>
        <w:t xml:space="preserve">فی البدایة نستعرض لمحة تاریخیة عن علاقة أوروبا بالمسیحیة والعلمانیة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أوروبا الغربیة فی الدین المسیحی فی القرن الثانی الهجری ،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المیلادی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مؤسف ، ووجه الأسف لیس الانتقال من الوثنیّة إلی المسیحیة ، وإنّما وجه الأسف هو أنَّ الدین الإسلامی وهو فی ریعان شبابه فاتته فرصة إدخال هؤلاء القوم فی الإسلام ، وکانت النتیجة أن احتضن المسیحیون المبشّرون الذین انطلقوا من الروم أو الیونان إلی أوروبا الغربیة لدعوتهم إلی الدین المسیحی ،</w:t>
      </w:r>
    </w:p>
    <w:p>
      <w:pPr>
        <w:pStyle w:val="BookText"/>
        <w:rPr/>
      </w:pPr>
      <w:r>
        <w:rPr>
          <w:rFonts w:ascii="IRNazanin" w:hAnsi="IRNazanin" w:eastAsia="IRNazanin"/>
          <w:color w:val="111111"/>
          <w:sz w:val="28"/>
          <w:sz w:val="28"/>
          <w:szCs w:val="28"/>
          <w:rtl w:val="true"/>
          <w:lang w:bidi="fa-IR"/>
        </w:rPr>
        <w:t xml:space="preserve">واستمر الدین المسیحی بقوّة فی تلک البلدان إلی أن وصل إلی القرن الثامن عشر المیلادی ، وفی هذه الفترة بدأت تعلو الصیحات الثوریة علی غطرسة الملوک والنظم السیاسیة الغربیة التی کانت تحرق الطبقات الفقیرة بنار الفقر وسطوة الاضطهاد ، وفی هذا الجو ظهرت التیارات المعادیة لهذه الأنظمة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وتحالف الملوک ورجال الکنیسة ، فرجال الکنیسة یعطون الملوک الشرعیة فیما یعملون ، والملوک یدعمون رجال الکنیسة بنفوذهم ، وأمام هذا التحالف بدأت قوی إصلاحیة تعتمد علی مواجهة الملوک وتحطیم شرعیة الکنیسة المتحکّمة فی المجتمع آنذاک ، فبدأت عملیات تنظیر عدیدة ، وإن لم تنتج عن انفصال أبدی للدین کما قلنا سابقاً ، إلّاأنّها کانت تستهدف الحدّ من هیمنة الدین المسیحی علی المجتمع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 حدوث الانفصال الأبدی هو أنّ سرّ الخلقة مرتبطة بالجانب الروحی والغیبی ، وأنّ الدین حتّی وإن حُرّف یکون قابلاً للتأثیر فی المساحة غیر المحرّفة منه ، حتّی الدیانات الهندیة قد یکون بعضها لها أُصول سماویة ؛ لأنّ الأنبیاء کانوا منتشرین فی بقاع العالم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بعض أصول البوذیة تتوافق مع الدیانات السماویة الأُخری، وهذا ینطبق علی بعض الدیانات الموجودة فی شرق آسیا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الأجواء تبلورت ثلاث مدارس فکریة تأثّر بها المتّفقون والجامعیّون المسلمون ، ونتج عن هذه المدارس ما نسمّیه بالعلمانیة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والعلمانیون الغربیون یتنبّؤون بسقوط الدین الإسلامی ، کما سقطت المسیحیة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نقول لهم إنّ المسیحیة لم تسقط ، وإنّما سقط التحالف بین رجال الکنیسة</w:t>
      </w:r>
      <w:bookmarkStart w:id="50" w:name="pg5261_55129"/>
    </w:p>
    <w:p>
      <w:pPr>
        <w:pStyle w:val="BookText"/>
        <w:rPr/>
      </w:pPr>
      <w:bookmarkEnd w:id="50"/>
      <w:r>
        <w:rPr>
          <w:rFonts w:ascii="IRNazanin" w:hAnsi="IRNazanin" w:eastAsia="IRNazanin"/>
          <w:color w:val="111111"/>
          <w:sz w:val="28"/>
          <w:sz w:val="28"/>
          <w:szCs w:val="28"/>
          <w:rtl w:val="true"/>
          <w:lang w:bidi="fa-IR"/>
        </w:rPr>
        <w:t>الذین کانوا یبحثون عن مصالحهم الدنیویة والطبقات الإقطاعیة متمثّلة فی ملوک الظلم والاضطهاد</w:t>
      </w:r>
      <w:r>
        <w:rPr>
          <w:rFonts w:eastAsia="IRNazanin" w:cs="IRNazanin"/>
          <w:color w:val="111111"/>
          <w:sz w:val="28"/>
          <w:szCs w:val="28"/>
          <w:rtl w:val="true"/>
          <w:lang w:bidi="fa-IR"/>
        </w:rPr>
        <w:t>.</w:t>
      </w:r>
    </w:p>
    <w:p>
      <w:pPr>
        <w:pStyle w:val="Heading4"/>
        <w:numPr>
          <w:ilvl w:val="3"/>
          <w:numId w:val="1"/>
        </w:numPr>
        <w:rPr/>
      </w:pPr>
      <w:bookmarkStart w:id="51" w:name="__RefHeading___Toc476978_581953129"/>
      <w:bookmarkStart w:id="52" w:name="_Toc19"/>
      <w:bookmarkEnd w:id="51"/>
      <w:r>
        <w:rPr>
          <w:rtl w:val="true"/>
        </w:rPr>
        <w:t>المدرسة الأولی</w:t>
      </w:r>
      <w:r>
        <w:rPr>
          <w:rtl w:val="true"/>
        </w:rPr>
        <w:t xml:space="preserve">: </w:t>
      </w:r>
      <w:r>
        <w:rPr>
          <w:rtl w:val="true"/>
        </w:rPr>
        <w:t xml:space="preserve">العلمانیة </w:t>
      </w:r>
      <w:r>
        <w:rPr>
          <w:rtl w:val="true"/>
        </w:rPr>
        <w:t>«</w:t>
      </w:r>
      <w:r>
        <w:rPr>
          <w:rtl w:val="true"/>
        </w:rPr>
        <w:t>السکولارزم</w:t>
      </w:r>
      <w:r>
        <w:rPr>
          <w:rtl w:val="true"/>
        </w:rPr>
        <w:t xml:space="preserve">» </w:t>
      </w:r>
      <w:r>
        <w:rPr>
          <w:rtl w:val="true"/>
        </w:rPr>
        <w:t>فصل الدین عن السیاسة والمجتمع</w:t>
      </w:r>
      <w:bookmarkEnd w:id="52"/>
    </w:p>
    <w:p>
      <w:pPr>
        <w:pStyle w:val="BookText"/>
        <w:rPr/>
      </w:pPr>
      <w:r>
        <w:rPr>
          <w:rFonts w:ascii="IRNazanin" w:hAnsi="IRNazanin" w:eastAsia="IRNazanin"/>
          <w:color w:val="111111"/>
          <w:sz w:val="28"/>
          <w:sz w:val="28"/>
          <w:szCs w:val="28"/>
          <w:rtl w:val="true"/>
          <w:lang w:bidi="fa-IR"/>
        </w:rPr>
        <w:t>وهی مدرسة فلسفیة أیدیولوجیة تبنّاها مجموعة من فلاسفة القانون والحقوق والسیاسة ، ولهذه المدرسة عدّة اتجاهات ، ولکنّها تعتمد أساساً علی نظریة فصل الدین عن النظام السیاسی والاجتماعی ، وأنّ الدین عبارة عن طقوس عبادیة وریاضات روحیة ، هدفها إشباع الظمأ الروحی عند الإنسان ، فالروح لها برنامجها الخاص ، والدین معترفٌ به بهذا المقدار فی هذه المدرسة ، سواءً أکان هذا الدین دینٌ سماویٌ حقیقی أم کان دین خرافی زائف ، وهذه النظریة لا یعنیها حقّانیة الدین أو بطلان إلّاأنّها تری أنّه ضروری لإشباع حاجات الإنسان الروحیة ، وکلمة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باللاتینیة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هذه النظریّة تفصل الدین عن باقی الأُمور السیاسیّة والاجتماعیّة والنظام المالی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ولازالت هذه النظریة لها تأثیرات فکریة إلی یومنا هذا بالرغم من مرور قرنین من الزمان علیها ، والنظام الغربی الحالی ینتمی إلی هذه المدرسة </w:t>
      </w:r>
      <w:r>
        <w:rPr>
          <w:rFonts w:eastAsia="IRNazanin" w:cs="IRNazanin"/>
          <w:color w:val="111111"/>
          <w:sz w:val="28"/>
          <w:szCs w:val="28"/>
          <w:rtl w:val="true"/>
          <w:lang w:bidi="fa-IR"/>
        </w:rPr>
        <w:t>.</w:t>
      </w:r>
    </w:p>
    <w:p>
      <w:pPr>
        <w:pStyle w:val="Heading4"/>
        <w:numPr>
          <w:ilvl w:val="3"/>
          <w:numId w:val="1"/>
        </w:numPr>
        <w:rPr/>
      </w:pPr>
      <w:bookmarkStart w:id="53" w:name="__RefHeading___Toc476980_581953129"/>
      <w:bookmarkStart w:id="54" w:name="_Toc20"/>
      <w:bookmarkEnd w:id="53"/>
      <w:r>
        <w:rPr>
          <w:rtl w:val="true"/>
        </w:rPr>
        <w:t>المدرسة الثانیة</w:t>
      </w:r>
      <w:r>
        <w:rPr>
          <w:rtl w:val="true"/>
        </w:rPr>
        <w:t xml:space="preserve">: </w:t>
      </w:r>
      <w:r>
        <w:rPr>
          <w:rtl w:val="true"/>
        </w:rPr>
        <w:t xml:space="preserve">نظریة التعددیة </w:t>
      </w:r>
      <w:r>
        <w:rPr>
          <w:rtl w:val="true"/>
        </w:rPr>
        <w:t>«</w:t>
      </w:r>
      <w:r>
        <w:rPr>
          <w:rtl w:val="true"/>
        </w:rPr>
        <w:t>البلوری ألسم</w:t>
      </w:r>
      <w:r>
        <w:rPr>
          <w:rtl w:val="true"/>
        </w:rPr>
        <w:t>»</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مدرسة منطقیة ولیست مدرسة فلسفیة ، وتعتمد علی منهج الإدراک وکیفیة استقاء المعلومات ، والمناهج المنطقیة القدیمة والحدیثة ، والغربیة والشرقیة ، والمادیة وغیر المادیة ، جمیعها تهتمّ بکیفیة الإدراک ونظم المعلومات والاستنتاج من تلک المعلومات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تعتمد هذه النظریة علی أساسین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لا یستطیع أن یحیط بالحقیقة بمفرده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وإن قدر علی إدراک بعض الحقیقة ، ولکن لا یستطیع إدراکها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العلماء جمیعاً یبحثون عن الحقیقة ، سواءً کانوا من العلماء الذین یؤمنون بالغیب أو کانوا من العلماء المادیین ؛ لأنّهم یؤمنون بالعلوم التجریبیة بحثاً عن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القائلون بهذه النظریة یقولون بما أنّک لا تستطیع أن تدرک الحقیقة بمفردک ، وأنّک إذا أدرکت بعضها لا تدرکها کلّها ، إذاً فالآخرین أیضاً یمتلکون سهماً من الحقیقة ، فالحقیقة أشبه ما تکون بالشرکة المساهمة بعض أسهمها عندک والأسهم الأُخری عند الآخرین ، ومن هنا لا یحق لک أن تخطّیء الآخرین ، وتفنّد آراءهم من منطلق تعدّد الإدراک ونسبیة إدراک الحق أو الحقیقة ، فکل رأی من 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فی دائرة الاحتمال ، وهناک من تأثّر بهذه النظریة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الأدیان حق ، وکلّها توصل إلی اللّه تعالی ، بحجّة أنّ الإسلام أو نبی الإسلام لا یملک کلّ الحقیقة ، ومن هنا قبلوا بتعدّد الأدیان ، وأنّها کلّها حق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النظریة تکون مفیدة إذا وضعت لها شروط ، وقیّدت بقیود معیّنة ، أمّا ترکها علی إطلاقها فذو نتائج سلبیة مهلکة ، وعلی سبیل المثال فسح المجال أمام الشذوذ الجنسی بعنوان الحریة ، وتعدّد الآراء ، فتکون النتیجة أنّک لا تستطیع أن تمنع هذه الحالة ؛ لأنّک لا تملک الحقیقة ، وإذا عرفت شیئاً منها فإنّک لن تحیط بها کلّها وهذه النظریة تجتاح الکثیر من المباحث ، فهناک من یؤمن بالاستنساخ للفرد البشری رغم مضارّه الجمّة بالحجّة نفسها ، والجدیر بالذکر أنَّ لکلّ نظریة عدّة اتجاهات ولها منظورها وآراؤها وفرقها ، ولکن نحن نرکّز علی الفکرة الرئیسیة</w:t>
      </w:r>
      <w:bookmarkStart w:id="55" w:name="pg5261_55131"/>
    </w:p>
    <w:p>
      <w:pPr>
        <w:pStyle w:val="BookText"/>
        <w:rPr/>
      </w:pPr>
      <w:bookmarkEnd w:id="55"/>
      <w:r>
        <w:rPr>
          <w:rFonts w:ascii="IRNazanin" w:hAnsi="IRNazanin" w:eastAsia="IRNazanin"/>
          <w:color w:val="111111"/>
          <w:sz w:val="28"/>
          <w:sz w:val="28"/>
          <w:szCs w:val="28"/>
          <w:rtl w:val="true"/>
          <w:lang w:bidi="fa-IR"/>
        </w:rPr>
        <w:t>لکلّ مدرسة من هذه المدارس</w:t>
      </w:r>
      <w:r>
        <w:rPr>
          <w:rFonts w:eastAsia="IRNazanin" w:cs="IRNazanin"/>
          <w:color w:val="111111"/>
          <w:sz w:val="28"/>
          <w:szCs w:val="28"/>
          <w:rtl w:val="true"/>
          <w:lang w:bidi="fa-IR"/>
        </w:rPr>
        <w:t>.</w:t>
      </w:r>
    </w:p>
    <w:p>
      <w:pPr>
        <w:pStyle w:val="Heading4"/>
        <w:numPr>
          <w:ilvl w:val="3"/>
          <w:numId w:val="1"/>
        </w:numPr>
        <w:rPr/>
      </w:pPr>
      <w:bookmarkStart w:id="56" w:name="__RefHeading___Toc476982_581953129"/>
      <w:bookmarkStart w:id="57" w:name="_Toc21"/>
      <w:bookmarkEnd w:id="56"/>
      <w:r>
        <w:rPr>
          <w:rtl w:val="true"/>
        </w:rPr>
        <w:t>المدرسة الثالثة</w:t>
      </w:r>
      <w:r>
        <w:rPr>
          <w:rtl w:val="true"/>
        </w:rPr>
        <w:t xml:space="preserve">: </w:t>
      </w:r>
      <w:r>
        <w:rPr>
          <w:rtl w:val="true"/>
        </w:rPr>
        <w:t>المدرسة الهرمونطیقیة</w:t>
      </w:r>
      <w:bookmarkEnd w:id="57"/>
    </w:p>
    <w:p>
      <w:pPr>
        <w:pStyle w:val="BookText"/>
        <w:rPr/>
      </w:pPr>
      <w:r>
        <w:rPr>
          <w:rFonts w:ascii="IRNazanin" w:hAnsi="IRNazanin" w:eastAsia="IRNazanin"/>
          <w:color w:val="111111"/>
          <w:sz w:val="28"/>
          <w:sz w:val="28"/>
          <w:szCs w:val="28"/>
          <w:rtl w:val="true"/>
          <w:lang w:bidi="fa-IR"/>
        </w:rPr>
        <w:t>وهی مدرسة أدبیة تختلف عن مدرسة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الفلسفیة والتعددیة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المنطقیة ، وهذه المدرسة تعنی بالعلوم النقلیة وکیفیة قراءة وفهم النص ، سواءً کانت نصوص سماویة کالتوراة والإنجیل والقرآن ، أو کان نصاً بشریاً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روّاد هذه المدرسة فلاسفة من آلمان متخصّصون فی الألسنیات وعلوم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المستوی السیاسی هناک تأثیر کبیر فی مجریات الأحداث جرّاء التأثّر بهذه النظریة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أصدرت منظمة الأمم المتحدة بیاناً تدعم فیه العرب والمسلمین ، ثمّ أتی بعض المتخصّصین الیهود ، وحاولوا قراءة النص قراءةً تدعم مصالحهم معتمدین علی تعدّد القراءات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هذه المدرسة ومدرسة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المدرسة الهرمونطیقیة تعتمد علی تعدّد القراءات للنص ، بینما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تعتمد علی تعدّد الإدراک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والمدرسة الهرمونطیقیة ترفض القراءة الفردیة للنص ، وهی تتعامل مع النص کما تتعامل مع اللغز الذی له العدید من الحلول ، فتسمح بقراءة النص من القراءات المتعددة ، وتقبل کلّ هذه القراءات ، ونقصد من القراءات هنا الدلالات والاستظهارات والاستنباطات والأفهام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ترفض هذه المدرسة رفضک لأیّ رأی من الآراء ، فربما فهمت أنت شیئاً معیّناً من قراءتک ، وتکون لصاحب الرأی قراءة مختلفة عن قراءتک یستطیع</w:t>
      </w:r>
      <w:bookmarkStart w:id="58" w:name="pg5261_55132"/>
    </w:p>
    <w:p>
      <w:pPr>
        <w:pStyle w:val="BookText"/>
        <w:rPr/>
      </w:pPr>
      <w:bookmarkEnd w:id="58"/>
      <w:r>
        <w:rPr>
          <w:rFonts w:ascii="IRNazanin" w:hAnsi="IRNazanin" w:eastAsia="IRNazanin"/>
          <w:color w:val="111111"/>
          <w:sz w:val="28"/>
          <w:sz w:val="28"/>
          <w:szCs w:val="28"/>
          <w:rtl w:val="true"/>
          <w:lang w:bidi="fa-IR"/>
        </w:rPr>
        <w:t xml:space="preserve">من خلافها أن یبرّر ما تنتقده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النظریة ثمارٌ إیجابیة ومهمّة جدّاً وإن لم تکن جمیع هذه الثمار إیجابیة إلّا أنّ بعضها مفید ونافع ، وهذه النظریة معترف بها فی المحافل الأکادیمیة والبحوث الجامعیة والعلوم الإنسانیة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هو ولید ذهن القاریء والسامع ولیس ولید ذهن المتکلّم والکاتب ، وبناءً علی هذا فمن حق الإنسان أن یُعدِّد القراءات للنص الواحد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التوراة والإنجیل والقرآن أو قراءة قانون معیّن أو قراءة الدستور نجد فی کلّ هذه الأُمور جدلاً سیاسیاً وقانونیاً محتدماً فی تفسیر النص بین الأحزاب والمجموعات فی البلد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الدول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منها یدّعی الوصل بلیلی ، ویجرّ النار إلی قرصه ، ویدّعی أنّه علی حق ، ویفسّر النص ، ویقرأه حسب ما یتطابق مع مصالحه ومشتهیاته </w:t>
      </w:r>
      <w:r>
        <w:rPr>
          <w:rFonts w:eastAsia="IRNazanin" w:cs="IRNazanin"/>
          <w:color w:val="111111"/>
          <w:sz w:val="28"/>
          <w:szCs w:val="28"/>
          <w:rtl w:val="true"/>
          <w:lang w:bidi="fa-IR"/>
        </w:rPr>
        <w:t>.</w:t>
      </w:r>
    </w:p>
    <w:p>
      <w:pPr>
        <w:pStyle w:val="Heading4"/>
        <w:numPr>
          <w:ilvl w:val="3"/>
          <w:numId w:val="1"/>
        </w:numPr>
        <w:rPr/>
      </w:pPr>
      <w:bookmarkStart w:id="59" w:name="__RefHeading___Toc476984_581953129"/>
      <w:bookmarkStart w:id="60" w:name="_Toc22"/>
      <w:bookmarkEnd w:id="59"/>
      <w:r>
        <w:rPr>
          <w:rtl w:val="true"/>
        </w:rPr>
        <w:t>الأثر الإیجابی للمدرسة الهرمونطیقیة علی النقد الأدبی</w:t>
      </w:r>
      <w:bookmarkEnd w:id="60"/>
    </w:p>
    <w:p>
      <w:pPr>
        <w:pStyle w:val="BookText"/>
        <w:rPr/>
      </w:pPr>
      <w:r>
        <w:rPr>
          <w:rFonts w:ascii="IRNazanin" w:hAnsi="IRNazanin" w:eastAsia="IRNazanin"/>
          <w:color w:val="111111"/>
          <w:sz w:val="28"/>
          <w:sz w:val="28"/>
          <w:szCs w:val="28"/>
          <w:rtl w:val="true"/>
          <w:lang w:bidi="fa-IR"/>
        </w:rPr>
        <w:t xml:space="preserve">وظیفة الناقد الأدبی هی تحلیل النص الأدبی بتوسّط علوم اللغة ، وطبعاً لا یقتصر علی المفردات ، وإنّما یشمل النحو والصرف والبلاغة والاشتقاق اللغوی وغیرها ، سواءً کان هذا النقد فی اللغة العربیة أم غیرها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ویستطیع الناقد الأدبی أن یستخرج من قصیدة شعریة أو نص نثری فی زمان 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الجاهلی 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 الجغرافیة التی کان الشاعر یعیش فیها ، والجو النفسی والمحیط الاجتماعی والنظام السیاسی والعادات والتقالید فی ذلک المجتمع ، والنظام الأُسری فیه والحقائق التاریخیة وغیرها ، ومن هذا العمل یستطیع الناقد الأدبی أن یخدم علوماً عدیدة ، ویقدّم لها معلومات مفیدة فی هذا المجال ، کلّ هذا یتمّ من خلال التحلیل الأدبی الذی یقوم به الناقد ، ووظیفة هذا</w:t>
      </w:r>
    </w:p>
    <w:p>
      <w:pPr>
        <w:pStyle w:val="BookText"/>
        <w:rPr/>
      </w:pPr>
      <w:r>
        <w:rPr>
          <w:rFonts w:ascii="IRNazanin" w:hAnsi="IRNazanin" w:eastAsia="IRNazanin"/>
          <w:color w:val="111111"/>
          <w:sz w:val="28"/>
          <w:sz w:val="28"/>
          <w:szCs w:val="28"/>
          <w:rtl w:val="true"/>
          <w:lang w:bidi="fa-IR"/>
        </w:rPr>
        <w:t xml:space="preserve">الناقد شبیهة بعمل عالم الآثار الذی یستطیع من خلال القطعة الأثریة أن یحدّد الزمان الذی تنتمی إلیه هذه القطعة من خلال الأدلة والبراهین التاریخیة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إیجابیات هذه النظریة ، ولا یعنی کلامنا هذا أنّ هذه النظریة خالیة من السلبیات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هناک بعض السلبیات التی سنذکرها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وتعدّد القراءات شبیهٌ بالتأویل الذی یقول به أتباع مدرسة أهل البیت علیهم السلام وإن کان مرفوضاً من قبل المدارس الإسلامیة الأُخری ، فالتأویل هو نوع من تعدّد القراءات ، وهو أمرٌ إیجابیٌ إذا کان خاضعاً لضوابط وقوانین تحکمه ، أمّا إذا کان بشکلٍ عشوائی وغیر مستند إلی البراهین والأدلة ، وکان بشکل سائب ، یکون بلا شک أمراً سلبیاً مضرّاً بفهم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فتعدّد القراءات هو تجاوز القشور فی النص ، والغوص فی أعماق النص کی یستخرج منه المعانی المکنونة فی بواطنه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البعض یرمی مذهب أهل البیت علیهم السلام أنّه مذهبٌ باطنی وغنوصی ؛ لأنَّ هؤلاء یرفضون فکرة التأویل جملة وتفصیلاً ، وهذا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طالب هؤلاء بإیجاد أُسس وموازین لهذا التأویل لاتّفقنا معهم ، وهؤلاء یقرّون بجدارة المدرسة الهرمونطیقیة ، ولکنّهم حین یأتون إلی التأویل یرفضونه مع أنَّ الأمرین یحملان نفس المعنی ؛ ولهذا فهم یناقضون أنفسهم بأنفسهم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والتأویل مثبت فی القرآن الکریم ، قال تعالی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الغریب أنّ البعض ینفی التأویل بصورة کلیة ، وهذا یتناقض مع الحدیث القائل بأنّ القرآن ظاهره أنیق وباطنه عمیق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ورفض التأویل بهذه الطریقة هو تحجیم للنص القرآنی ، حیث تکون القراءة مقتصرة علی الظاهر والقشور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فالقرآن یصرّح بأنّ له حقیقة مکنونة ، ولا یَمَسُّهُ إِلاَّ الْمُطَهَّرُونَ ، ولم یقل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المتطهّرون ،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المطهّرون ، وهم الذین طهّرهم اللّه تعالی ، حیث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فدرجات القرآن لیست واحدة ،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مجید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مجدٍ وعظمة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درجات غیبیة فی لوح محفوظ عن أن یناله الإنس والجن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 متکلّماً عن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من المعقول أن تحلّل القصیدة تحلیلاً عمیقاً ، وأن تقف عند قشور القرآن بحجّة رفض التأویل؟</w:t>
      </w:r>
      <w:r>
        <w:rPr>
          <w:rFonts w:eastAsia="IRNazanin" w:cs="IRNazanin"/>
          <w:color w:val="111111"/>
          <w:sz w:val="28"/>
          <w:szCs w:val="28"/>
          <w:rtl w:val="true"/>
          <w:lang w:bidi="fa-IR"/>
        </w:rPr>
        <w:t>!</w:t>
      </w:r>
      <w:bookmarkStart w:id="61" w:name="pg5261_55135"/>
    </w:p>
    <w:p>
      <w:pPr>
        <w:pStyle w:val="Heading3"/>
        <w:numPr>
          <w:ilvl w:val="2"/>
          <w:numId w:val="1"/>
        </w:numPr>
        <w:rPr/>
      </w:pPr>
      <w:bookmarkStart w:id="62" w:name="__RefHeading___Toc476986_581953129"/>
      <w:bookmarkStart w:id="63" w:name="_Toc23"/>
      <w:bookmarkEnd w:id="61"/>
      <w:bookmarkEnd w:id="62"/>
      <w:r>
        <w:rPr>
          <w:rtl w:val="true"/>
        </w:rPr>
        <w:t>المحاضرة الثالثة إثارات العلمانیین الغربیین حول الإسلام</w:t>
      </w:r>
      <w:bookmarkEnd w:id="63"/>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النبوة نوع من النبوغ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النبی لا یملک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توقف النبوة تعنی نضوج البشریة واستغناؤها عن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البدایة نودّ أن نذکر أنّ الدین الإسلامی أقوی من هذه الإثارات والإشکالات ، وأنّه لا یزداد إلّاقوّة ونصاعة وثباتاً بعد هذه الریاح التی تهب علیه من هنا أو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ینظر إلی الدین علی أنّه أسطورة لیس إلّا، والبعض یرتاح إلی الدین ، لیس إیماناً منه بأنّه منزل من عند اللّه ، ولکن لأنّ الدین یحارب الجریمة ، وینظّم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النظریات والمدارس التی ذکرناها حاول الغربیون أن یوجّهوا العدید من الإشکالات علی الدین الإسلامی ، وعلی مذهب أهل البیت علیهم السلام ؛ لأنّه المذهب الأکثر تمسّکاً بالحجج المنطقیة ، وتطابق العلوم الدینیة مع العقل والمنطق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وسنطرح الإثارات ونردّ علیها حسب مذهب أهل البیت علیهم السلام ، وأمّا حسب باقی المذاهب الإسلامیة فالرّد علیها ممتنع ، بل إنّهم یتبنّون نفس المبانی التی یثیرها</w:t>
      </w:r>
    </w:p>
    <w:p>
      <w:pPr>
        <w:pStyle w:val="BookText"/>
        <w:rPr/>
      </w:pPr>
      <w:r>
        <w:rPr>
          <w:rFonts w:ascii="IRNazanin" w:hAnsi="IRNazanin" w:eastAsia="IRNazanin"/>
          <w:color w:val="111111"/>
          <w:sz w:val="28"/>
          <w:sz w:val="28"/>
          <w:szCs w:val="28"/>
          <w:rtl w:val="true"/>
          <w:lang w:bidi="fa-IR"/>
        </w:rPr>
        <w:t xml:space="preserve">العلمانیون الغربیون ، ویکررها العلمانیون من المسلمین والعرب ؛ لأنّ هؤلاء یطرحون ما یطرحه الغربیون ، وترجع أساساً إلی المدارس التی ذکرناها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الإثارات المطروحة هی أنّ الباری سبحانه وتعالی ذاتٌ أزلیة غیر محدودة فی اعتقاد الموحّدین الذین یعتقدون بالألوهیة ، فذات الباری غیر متتاهیة ، ولا یشک أحدٌ فی ذلک من أصحاب الدیانات السماویة ، بل وحتّی المشرکین یعدّون من الملل الإلهیة ؛ لأنّهم یقولون بوجود الإله ، وهم لم یبنوا فکرهم علی الوثنیة إلّالأنّهم یقرّبونهم إلی اللّه زلفی ، وأمّا الملحدون الذین یؤمنون بالمادة فکلّ البشر یذعنون بفطرتهم أنَّ هناک حقیقة غیر متناهیة فی الوجود وإن اختلفوا فی تسمیتها ، والإثارة المطروحة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للنبی صلی الله علیه و آله الإحاطة بکلّ الحقائق ، وهو مخلوق ولا یحیط بالحقائق کلّها ، وأنّنا إذا سلّمنا بکلّ ما قاله محمّد صلی الله علیه و آله فإنّ العقل البشری سیصیبه الجمود وتتعطّل عجلة الفکر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یعبّرون عن النبوة بأنّها نوعٌ من التجربة البشریة شبیهة بریاضة المرتاضین والمتصوّفة ، وأنّ النبوة نوعٌ من أنواع النبوغ البشری ، إذاً فمصدر عظمة الأنبیاء هو العقل أو الروح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والمذاهب الإسلامیة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مذهب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بأنّ النبی علومه محدودة فی إطار التشریع ، وهذا ما یرویه مسلم بأنّ النبی صلی الله علیه و آله مرّ بقوم یلقّحون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تفعلوا 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 شیصاً فمرّ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لنخلکم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کذا وکذا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بأمر دنیاکم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یقولون فی مواضع عدیدة بأنّ النبی اجتهد فأخطأ</w:t>
      </w:r>
      <w:r>
        <w:rPr>
          <w:rStyle w:val="FootnoteAnchor"/>
          <w:rtl w:val="true"/>
        </w:rPr>
        <w:footnoteReference w:id="7"/>
      </w:r>
      <w:r>
        <w:rPr>
          <w:rFonts w:ascii="IRNazanin" w:hAnsi="IRNazanin" w:eastAsia="IRNazanin"/>
          <w:color w:val="111111"/>
          <w:sz w:val="28"/>
          <w:sz w:val="28"/>
          <w:szCs w:val="28"/>
          <w:rtl w:val="true"/>
          <w:lang w:bidi="fa-IR"/>
        </w:rPr>
        <w:t>، وفی کتب أصول الفقه عندهم یذکرون موارد اجتهاد النبی ثم تخطئته</w:t>
      </w:r>
      <w:r>
        <w:rPr>
          <w:rStyle w:val="FootnoteAnchor"/>
          <w:rtl w:val="true"/>
        </w:rPr>
        <w:footnoteReference w:id="8"/>
      </w:r>
      <w:r>
        <w:rPr>
          <w:rFonts w:ascii="IRNazanin" w:hAnsi="IRNazanin" w:eastAsia="IRNazanin"/>
          <w:color w:val="111111"/>
          <w:sz w:val="28"/>
          <w:sz w:val="28"/>
          <w:szCs w:val="28"/>
          <w:rtl w:val="true"/>
          <w:lang w:bidi="fa-IR"/>
        </w:rPr>
        <w:t>، ویذکرون أنّ القرآن نزل موافقاً لرأی الصحابة ومخطئاً لرأی النبی صلی الله علیه و آله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حوّلنا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بأمر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ینسبونها إلی النبی صلی الله علیه و آله و سلم إلی التعبیر اللاتینی لأصبحت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الدین عن الحیاة العامة ، أو کما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للّه‌للّه‌وما لقیصر لقیصر ، إذاً هذا الطرح موجود فی المذاهب الإسلامیة الأخری غیر مذهب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ونستطیع أن نقول أنّ المذاهب الإسلامیة الأخری تمثّل العلمانیة القدیمة فی محتواها وفی معناها ، وهذه لیست مجرد روایات مذکورة ، وإنّما هم یتبنّونها ویبنون علیها آثار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ذیل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یرون أنّ النبی قد تسلط الشیطان علی قلبه وروحه ، ثم حکی آیات لیست من عند اللّه ، وتسمی هذه القضیة قضیة الغرانیق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اللّات والعُزّی ومناة الثالثة الأُخری وإنهنّ من الغرانیق العلا وإنّ شفاعتهم لترتجی</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قریش قد</w:t>
      </w:r>
    </w:p>
    <w:p>
      <w:pPr>
        <w:pStyle w:val="BookText"/>
        <w:rPr/>
      </w:pPr>
      <w:r>
        <w:rPr>
          <w:rFonts w:ascii="IRNazanin" w:hAnsi="IRNazanin" w:eastAsia="IRNazanin"/>
          <w:color w:val="111111"/>
          <w:sz w:val="28"/>
          <w:sz w:val="28"/>
          <w:szCs w:val="28"/>
          <w:rtl w:val="true"/>
          <w:lang w:bidi="fa-IR"/>
        </w:rPr>
        <w:t xml:space="preserve">استبشرت بمداهنة الرسول لها ، فنزل جبرئیل وسدّد النبی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الآیات آیات شیطانیة ولیست آیات رحمانیة ، القضیة لیست مذکورة فی کتب الحدیث فحسب ، بل توجد فی کتب الأصول والتفسیر والکلام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 فی کتاب البخاری لا یذکر لفظ الغرانیق ، وإنّما یذکر أنّ الشیطان یلقی فی قراءة النبی صلی الله علیه و آله</w:t>
      </w:r>
      <w:r>
        <w:rPr>
          <w:rStyle w:val="FootnoteAnchor"/>
          <w:rtl w:val="true"/>
        </w:rPr>
        <w:footnoteReference w:id="11"/>
      </w:r>
      <w:r>
        <w:rPr>
          <w:rFonts w:ascii="IRNazanin" w:hAnsi="IRNazanin" w:eastAsia="IRNazanin"/>
          <w:color w:val="111111"/>
          <w:sz w:val="28"/>
          <w:sz w:val="28"/>
          <w:szCs w:val="28"/>
          <w:rtl w:val="true"/>
          <w:lang w:bidi="fa-IR"/>
        </w:rPr>
        <w:t>، وإن اختلف النص إلّاأنّ المعنی واحد ، والإیمان بهذه الأُمور فی حق النبی ، یعنی فیما یعنی الإیمان بالبلو ری ألسم وتعدّد الإدراک ، وأنّ کلام النبی صلی الله علیه و آله ، قد یصیب وقد یخطیء ، وأنّ النبی لا یدرک کلّ الحقیقة ، ولیس له أن یفنّد رأی الآخرین ، وهذا ینتج منه عدم صحة القول بخلود الشریعة الإسلامیة ، وکیف تخلد وهی لا تمتلک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یظهر لنا مصطلح عقلنة الخطاب الدینی ، وهناک من یطرح نفس الطرح حتّی من وسطنا الداخلی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یحق للعقل أن ینتقد بعض خطوات الأنبیاء من باب البلوری السم أو تعدّد الإدراک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یفسّرون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النَّبِیِّینَ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نبی بعدی</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 أنَّ إرسال الرسل إلی الأُمم السابقة إنّما حدث بسبب عدم تأهّل تلک الأُمم ، وأنّها لم تبلغ سن الرشد ، فلذلک احتاجت إلی نبی یرشدها ، أمّا الأُمم من بعد محمّد صلی الله علیه و آله فهی قد بلغت سن الرشد ، ولا تحتاج إلی قیمومة ووصایة السماء ، وهی قادرة بواسطة الحوار والمجتمع المدنی والدیمقراطیة والتجارب العملیة والانفتاح والحریة علی الاستغناء عن السماء وشریعتها ، فیکون خاتم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الشریعة لا تعالج الأُمور المعاشیة والمتعلّقة بالحیاة العامة ، فأین قوانین النظم العسکریة والمصارف والبنوک والاقتصاد والإدارة وغیرها؟ وهذا الإشکال وقعت فیه المذاهب الإسلامیة الأُخری وإن هم أنکروا علی العلمانیین الغربیین والعلمانیین المسلمین ، بل کفّروهم أو حکموا بضلالهم ، ولکنّهم یتبنّون نفس المعنی وإن اختلف اللفظ ، فهم یتخبّطون فی فهم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أقرّوا أنّ القرآن لیس تبیاناً لکل شیءٍ من أُمور الدنیا ، فبعضهم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لیس فیه تبیان لکل شیء من الدین والدنیا ، وإنّما فقط من الدین ، مع أنّ بعض المفسّرین کالمفسّر الطنطاوی له تفسیر یبیّن فیه المعجزات العلمیة العدیدة التی ذکرها القرآن ثمّ أثبتها العلم بعد عدّة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فیه کل شیء من الدین اصطدموا بأنّ القرآن لیس فیه کل شیءٍ من الدین ، فیقول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متوسّلاً فی الخروج من هذه المشکلة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السنّة النبویة داخلة فی هذا النطاق ؛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فتکون السنة النبویة داخلة فی تبیان لکل شیء المذکور فی الآیة الکریمة ، وعندما رأوا أنّ السنة لیس فیها تبیان لکل شیء ضمّوا لهما الإجماع باعتبار مصدراً من مصادر التشریع ، وأنّه حجّة ، ولکن هذا لم یحل المشکلة ، ثم ضمّوا القیاس والظن والرأی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فإنّهم وقعوا فی مشکلة أنّ القرآن والسنة لیس فیهما تبیان لکل أُمور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ففتحوا باب العقول والتجارب البشریة ، وهذا عین ما یدعو إلیه العلمانیون ، وهم کفّروا نصر حامد أبو زید ، ونحن لسنا بصدد تصحیح مسلکه ،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طرحه هو تتبنّونه أنتم وإن اختلف اللفظ ، وحکمت</w:t>
      </w:r>
    </w:p>
    <w:p>
      <w:pPr>
        <w:pStyle w:val="BookText"/>
        <w:rPr/>
      </w:pPr>
      <w:r>
        <w:rPr>
          <w:rFonts w:ascii="IRNazanin" w:hAnsi="IRNazanin" w:eastAsia="IRNazanin"/>
          <w:color w:val="111111"/>
          <w:sz w:val="28"/>
          <w:sz w:val="28"/>
          <w:szCs w:val="28"/>
          <w:rtl w:val="true"/>
          <w:lang w:bidi="fa-IR"/>
        </w:rPr>
        <w:t xml:space="preserve">المحکمة الشرعیة ببینونة زوجته منه ، وهو یعیش الآن فی الغرب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نقاط لابدّ من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وجود الحقیقة ، ولابدّ من وجود الحقیقة سواءً کانت هذه الحقیقة هی حقیقة الحقائق ومحقّق الحقائق وموجد الحقائق ومقرّر الحقائق والمثبت للحقائق ، وهو اللّه سبحانه وتعالی علی مبنی الموحّدین أو حتّی علی مبنی المادیین الذین یؤمنون بأنّ المادة لها حقیقة أو الذی ولّد المادة له حقیقة وإلّا لو لم تکن للمادة حقیقة فلِمَ هذه البحوث العلمیة الکثیرة ، هل هی بحث وراء سراب أو بحث وراء حقائق؟ طبعاً بحث وراء الحقائق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البحث العلمی یجب أن یبحث عن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السیر البشری فی العلوم التجریبیة وإن ازدادت وتیرته بصورة مضاعفة إلّاأنّه لن یقف عند حدّ من الحدود وعند درجة من الدرجات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البشر لن یصلوا إلی الکمال العلمی بحسب الواقع والحقیقة ، بل إنّ البشریة ستظلّ تبحث وتبحث عن الحقیقة ، وهذا دلیل علی النقص والعجز البشری فی بلوغ الکمال ، والحاجة إلی اللّه جلّ جلاله ؛ لأنّه هو المحیط بکلّ الحقائق ومطلق الوجودات ، ویعلم بکلّ القوانین والمعادلات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النقطتین السابقتین نستطیع أن نردّ بأنّ البشریة لم تصل إلی مرحلة النضج البشری ، وعدم الوصول هذا یدلّ علی الجهل البشری ، واللّه یعلم إلی أیّ درجة سیکون الفارق بیننا وبین الأجیال القادمة فی التقدّم العلمی وأسالیب المعیشة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البشر لم یصلوا إلی سنّ الرشد ، ولم یستغنوا عن وصایة السماء ؛ لأنّهم لا یزالون یعیشون المحدودیة فی التفکیر ، ولا یستغنون عن العالم المطلق الذی یحیط بالأدوار الزمنیة والعوالم المختلفة وأُصول الخلقة البشریة والموجودات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الأُخری وأسرارها وکیفیة ارتباطها وتأثیرها علی بعضها وتأثیرها علی الإنسان ، والبشریة لن تصل فی یوم من الأیام إلی اکتشاف کلّ أسرار الکون ، ومن هنا تأتی ضرورة النبوة ؛ لأنّ البشریة غیر کاملة ، ومن هنا تحتاج إلی حبل متصل بین الأرض والسماء الذی یحیط بکلّ الأُمور </w:t>
      </w:r>
      <w:r>
        <w:rPr>
          <w:rFonts w:eastAsia="IRNazanin" w:cs="IRNazanin"/>
          <w:color w:val="111111"/>
          <w:sz w:val="28"/>
          <w:szCs w:val="28"/>
          <w:rtl w:val="true"/>
          <w:lang w:bidi="fa-IR"/>
        </w:rPr>
        <w:t>.</w:t>
      </w:r>
      <w:bookmarkStart w:id="64" w:name="pg5261_55143"/>
    </w:p>
    <w:p>
      <w:pPr>
        <w:pStyle w:val="Heading3"/>
        <w:numPr>
          <w:ilvl w:val="2"/>
          <w:numId w:val="1"/>
        </w:numPr>
        <w:rPr/>
      </w:pPr>
      <w:bookmarkStart w:id="65" w:name="__RefHeading___Toc476988_581953129"/>
      <w:bookmarkStart w:id="66" w:name="_Toc24"/>
      <w:bookmarkEnd w:id="64"/>
      <w:bookmarkEnd w:id="65"/>
      <w:r>
        <w:rPr>
          <w:rtl w:val="true"/>
        </w:rPr>
        <w:t xml:space="preserve">المحاضرة الرابعة مناقشة آراء مدرسة التعدّدیة </w:t>
      </w:r>
      <w:r>
        <w:rPr>
          <w:rtl w:val="true"/>
        </w:rPr>
        <w:t>«</w:t>
      </w:r>
      <w:r>
        <w:rPr>
          <w:rtl w:val="true"/>
        </w:rPr>
        <w:t>البلوری ألسم</w:t>
      </w:r>
      <w:r>
        <w:rPr>
          <w:rtl w:val="true"/>
        </w:rPr>
        <w:t>»</w:t>
      </w:r>
      <w:bookmarkEnd w:id="66"/>
    </w:p>
    <w:p>
      <w:pPr>
        <w:pStyle w:val="Heading4"/>
        <w:numPr>
          <w:ilvl w:val="3"/>
          <w:numId w:val="1"/>
        </w:numPr>
        <w:rPr/>
      </w:pPr>
      <w:bookmarkStart w:id="67" w:name="__RefHeading___Toc476990_581953129"/>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نتّفق مع التعدّدیة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نختلف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وجود ضوابط وأدوات فی قبول الآخر أو رفضه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سبق البلوری ألسم فی التعدّدیة وقبول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الکتاب تبیاناً لکلّ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المدارس الثلاث التی تکلّمنا عنها کلّها تنطلق من قناعات تصبّ فی ضرورة أبدیة الدین الإسلامی والشریعة المحمّدیة من حیث لا تشعر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سنبداً بمناقشة المدارس الثلاث ، وأوّل مدرسة سنناقشها هی المدرسة المنطقیة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لها من بریق وجاذبیة فی الأوساط الثقافیة ، وهذه المدرسة التی تعتمد فی طرحها علی أنّ الإنسان لا یدرک الحق لوحده ، بل یشارکه الآخرون فی معرفة الحقیقة ، وأنّ الإنسان وإن أدرک شیئاً من الحقیقة إلّا أنّه لا یدرک الحقیقة بشکل یجعله یحیط بها إحاطة کاملة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اللّه تعالی هو المحیط بالحقیقة بشکل کامل فذلک لأنّه هو المطلق اللامتناهی ، أمّا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رسول حتّی لوکان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مخلوق ومتناهی ، وهو لا یمتلک الحقیقة لوحده ، ولا یمتلکها بشکل مطلق</w:t>
      </w:r>
      <w:r>
        <w:rPr>
          <w:rFonts w:eastAsia="IRNazanin" w:cs="IRNazanin"/>
          <w:color w:val="111111"/>
          <w:sz w:val="28"/>
          <w:szCs w:val="28"/>
          <w:rtl w:val="true"/>
          <w:lang w:bidi="fa-IR"/>
        </w:rPr>
        <w:t>.</w:t>
      </w:r>
      <w:bookmarkStart w:id="69" w:name="pg5261_55144"/>
    </w:p>
    <w:p>
      <w:pPr>
        <w:pStyle w:val="BookText"/>
        <w:rPr/>
      </w:pPr>
      <w:bookmarkEnd w:id="69"/>
      <w:r>
        <w:rPr>
          <w:rFonts w:ascii="IRNazanin" w:hAnsi="IRNazanin" w:eastAsia="IRNazanin"/>
          <w:color w:val="111111"/>
          <w:sz w:val="28"/>
          <w:sz w:val="28"/>
          <w:szCs w:val="28"/>
          <w:rtl w:val="true"/>
          <w:lang w:bidi="fa-IR"/>
        </w:rPr>
        <w:t xml:space="preserve">وما تعیشه البشریة من تطوّر فی السیر العلمی ناتج من قصورها وحاجتها إلی الکمال المطلق وهو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النظریة هی تطویر لنظریة آینشتین النسبیة ، وأنّ الحق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یطرحون طرحاً فکریاً یتبنّی الرأی القائل بأنّه لا یحق لأحد تخطئة غیره ؛ لأنّ الحق منتشر ومتوزّع ، ولا یحتکره أحد أو جهة معیّنة </w:t>
      </w:r>
      <w:r>
        <w:rPr>
          <w:rFonts w:eastAsia="IRNazanin" w:cs="IRNazanin"/>
          <w:color w:val="111111"/>
          <w:sz w:val="28"/>
          <w:szCs w:val="28"/>
          <w:rtl w:val="true"/>
          <w:lang w:bidi="fa-IR"/>
        </w:rPr>
        <w:t>.</w:t>
      </w:r>
    </w:p>
    <w:p>
      <w:pPr>
        <w:pStyle w:val="Heading4"/>
        <w:numPr>
          <w:ilvl w:val="3"/>
          <w:numId w:val="1"/>
        </w:numPr>
        <w:rPr/>
      </w:pPr>
      <w:bookmarkStart w:id="70" w:name="__RefHeading___Toc476992_581953129"/>
      <w:bookmarkStart w:id="71" w:name="_Toc26"/>
      <w:bookmarkEnd w:id="70"/>
      <w:r>
        <w:rPr>
          <w:rtl w:val="true"/>
        </w:rPr>
        <w:t>الرّد علی هذه الشبهة</w:t>
      </w:r>
      <w:bookmarkEnd w:id="71"/>
    </w:p>
    <w:p>
      <w:pPr>
        <w:pStyle w:val="BookText"/>
        <w:rPr/>
      </w:pPr>
      <w:r>
        <w:rPr>
          <w:rFonts w:ascii="Amiri" w:hAnsi="Amiri" w:eastAsia="Amiri" w:cs="Amiri"/>
          <w:color w:val="111111"/>
          <w:sz w:val="28"/>
          <w:sz w:val="28"/>
          <w:szCs w:val="28"/>
          <w:rtl w:val="true"/>
          <w:lang w:bidi="ar-SA"/>
        </w:rPr>
        <w:t xml:space="preserve">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الحقیقة متفرّقة ، وأنّه لا یحق لأحد أن یدّعی أنّه یمتلک الحقیقة لوحده ویحیط بها إحاطة کاملة ، وأنتم بهذا تمیلون إلی جمع الحقائق من کلّ الأطراف ، وأنّکم ترفضون أن تتوقعوا فی جزءٍ من الحقیقة عند هذا الشخص أو ذاک ، وعند هذه الجهة أو تلک ، وأنّ الإنسان بطبیعته یسیر نحو الکمال المطلق ، والبحث عن الحقیقة والکمال المطلق هو اللّه تعالی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فکلّ اسم من أسماء اللّه یمثّل کمالاً من الکمالات الإلهیة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والمنطلق الذی عند القوم هو أنّه إذا ادّعی شخص أنّ الحقیقة کلّ الحقیقة عنده ، والصحیح أنّ عنده بعضها وبعضها الآخر عند الآخرین ، فستکون النتیجة أنّه سیلغی وینفی جزء الحقیقة عند الآخرین ، وبهذه الطریقة ستضیع الحقیقة أو سیضیع جزؤها الذی عند الآخرین ، وهم فی حذرٍ شدید من ضیاع بعض الحقیقة عند هذا الطرف أو ذاک ، وأنّه ینبغی علی الإنسان أن یبحث عن الحقیقة عند کلّ الأطراف ؛ لکلی یحصل علی صورتها الکاملة ، إذاً هم یتّجهون للبحث عن الحقیقة بصورة کاملة من حیث یشعرون أو لا یشعرون ، ونحن نتّفق معهم فی أنّنا یجب أن</w:t>
      </w:r>
    </w:p>
    <w:p>
      <w:pPr>
        <w:pStyle w:val="BookText"/>
        <w:rPr/>
      </w:pPr>
      <w:r>
        <w:rPr>
          <w:rFonts w:ascii="IRNazanin" w:hAnsi="IRNazanin" w:eastAsia="IRNazanin"/>
          <w:color w:val="111111"/>
          <w:sz w:val="28"/>
          <w:sz w:val="28"/>
          <w:szCs w:val="28"/>
          <w:rtl w:val="true"/>
          <w:lang w:bidi="fa-IR"/>
        </w:rPr>
        <w:t xml:space="preserve">نبحث عن الحقیقة بصورة 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أتباع الطرح الإلهی المقابل للطرح المادی 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الحقیقة التی یمتلکها هذا الشخص أو ذاک ، وهذه الفئة أو تلک ، غیر کافیة للوصول إلی الحقیقة بشکل کامل ، والنتیجة هی أنّنا لابدّ لنا من طریقة تجمع لنا الحقیقة بقدر ما یستطیع الإنسان أن یدرکها ، لا الحقیقة المطلقة والعلم المطلق الذی یمتلکه اللّه تعالی ؛ لأنّ ذلک مختص به تبارک وتعالی ، وبالتالی فإذا أردنا أن نحافظ علی الحقیقة یجب أن لا نبعّضها وأن لا نوزّعها فی هذا الطرف وذاک ؛ کی نحتفظ بها ، ولا تضیع بین هذه الأطراف ، وأنّه لابدّ من صیغة عقلیة ذهنیة فکریة تضمن لنا حفظ الحقیقة من الضیاع عندما تقسّم عند عدّة أشخاص أو فئات ، وأنّ الطرح الذی یطرحونه من توزّع الحقیقة عند الفئات أو الأشخاص لا یؤمّن لنا الوصول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 یا باسط الیدین بالعطیّة ، یا صاحب المواهب السنیّة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 وصاحب المواهب السنیّة هو صاحب الحقیقة المطلقة التی تفیض الکمالات علی الإنسان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ضمن ما یطرحه العلمانیون الغربیون ، وتبعهم العلمانیون من العرب والمسلمین هو عدم نفی وإلغاء الطرف الآخر باعتبار أنّه یمتلک جزءاً من الحقیقة ، ولکنّنا 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مدی نعترف بالآخر ، هل نصحّح آراءه بشکل مطلق؟ أم نصحّحها بشکل نسبی؟ وعندما نصحّحها بشکل نسبی ، ما هی النسبة التی نصحّحها بها ، هل هی نسبة التسعین فی المئة أم العشرة فی المئة؟ ثم ماذا نفعل عندما تکون آراء الآخر آراء سراب ولیست آراء صواب ، هل نعترف بها بحجّة عدم إلغاء</w:t>
      </w:r>
    </w:p>
    <w:p>
      <w:pPr>
        <w:pStyle w:val="BookText"/>
        <w:rPr/>
      </w:pPr>
      <w:r>
        <w:rPr>
          <w:rFonts w:ascii="IRNazanin" w:hAnsi="IRNazanin" w:eastAsia="IRNazanin"/>
          <w:color w:val="111111"/>
          <w:sz w:val="28"/>
          <w:sz w:val="28"/>
          <w:szCs w:val="28"/>
          <w:rtl w:val="true"/>
          <w:lang w:bidi="fa-IR"/>
        </w:rPr>
        <w:t xml:space="preserve">الآخر؟ إذاً فنحن بحاجة إلی وضع ضوابط وأدوات للاعتراف بالآخر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إنّنی لا أستطیع أن أدّعی امتلاک الحقیقة باعتباری إنسان عادی غیر معصوم ، والقرآن الکریم والمذهب الإمامی یدعو إلی العقل الجماعی ،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العاقل أن یضیف إلی رأیه رأی العقلاء، ویضمّ إلی علمه علوم الحکماء</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 هذا صحیح لوجود لفظ حق علی العاقل أن یضیف إلی رأیه رأی العقلاء الناس ، والحدیث لم یقل أعقل الناس من جمع أهواء الناس إلی هواه ، ولم یقل أعقل الناس من جمع سفاهات الناس إلی سفاهته ، ولذلک من المفید أن نضیف إلی علمنا علم الغربیین من حیث التکنلوجیا والتقنیات الحدیثة والدراسات العلمیة والتعدّدیة السیاسیة ، ولکن ینبغی علینا أن نترک ما یعتبر من التخلّف فی المجتمعات الغربیة من الانحلال الخلقی والتفسّخ والرقص والمجون التی تضجّ منها أوروبا والهند والیابان مع کونهم غیر مسلمین إلّاأنّهم یخشون علی أنفسهم من شراسة الجنس والإغراء والتحلّل والمجون الذی تصدره أمریکا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والعقل الجماعی الذی تکلّمنا عنه هو الشوری فی المفهوم الإسلامی ، العقل الجماعی ولیس الإرادة الجماعیة ، ونحن نحترم التعدّدیة فی هذا الإطار ، وهی جیّدة ومفیدة ، ولکن المهم هو انتقاء الفکر الصحیح عند الآخر ، لا قبوله بشکل مطلق بحجّة قبول الآخر والتعدّدیة ، وإذا لم یکن فیه شیء صحیح لا نقبل منه شیء ، وإذا کان یحتوی علی نسبة ضئیلة من الصحة لا نقبل غیر هذه النسبة الضئیلة ، ونرفض الفکر الخاطیء منها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الأخطاء الشائعة فی هذا الزمان اقتحام الحوار من قبل أشخاص لا یعلمون من التخصّص الذی یدور حوله الحوار شیئاً ، فلیس من المعقول أن یدیر</w:t>
      </w:r>
    </w:p>
    <w:p>
      <w:pPr>
        <w:pStyle w:val="BookText"/>
        <w:rPr/>
      </w:pPr>
      <w:r>
        <w:rPr>
          <w:rFonts w:ascii="IRNazanin" w:hAnsi="IRNazanin" w:eastAsia="IRNazanin"/>
          <w:color w:val="111111"/>
          <w:sz w:val="28"/>
          <w:sz w:val="28"/>
          <w:szCs w:val="28"/>
          <w:rtl w:val="true"/>
          <w:lang w:bidi="fa-IR"/>
        </w:rPr>
        <w:t xml:space="preserve">الحوار الطبی مهندس میکانیکی ، وینصب هذا المهندس المیکانیکی نفسه حکماً علی ذلک الحوار الطبی ، وهو لا یعرف من الطب حتّی أبجدیّاته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أنّه من المهم أن لا یستبدّ الإنسان برأیه ، وأنّ من استبدّ برأیه هلک</w:t>
      </w:r>
      <w:r>
        <w:rPr>
          <w:rStyle w:val="FootnoteAnchor"/>
          <w:rtl w:val="true"/>
        </w:rPr>
        <w:footnoteReference w:id="16"/>
      </w:r>
      <w:r>
        <w:rPr>
          <w:rFonts w:ascii="IRNazanin" w:hAnsi="IRNazanin" w:eastAsia="IRNazanin"/>
          <w:color w:val="111111"/>
          <w:sz w:val="28"/>
          <w:sz w:val="28"/>
          <w:szCs w:val="28"/>
          <w:rtl w:val="true"/>
          <w:lang w:bidi="fa-IR"/>
        </w:rPr>
        <w:t>، وهذه هی ثقافة الإسلام التی سبق بها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هذه الثقافة قد شوّهتها وجود الحکومات الظالمة المستبدّة التی کانت تحکم باسم الإسلام من حیث المظهر والشکل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والسعی للحصول علی تمام الحقیقة یدعونا إلی الانفتاح علی الآخرین ، وأنّ البحث عن الحقیقة یحتاج إلی سلسلة من تجارب البشر حتّی یصلون إلی الحقیقة ، ونحن نعتقد أنّ اللّه قد بعث محمّداً صلی الله علیه و آله قبل أربعة عشر قرناً ، وقد جعله سیّد البشریة من حیث الروح والأخلاق والعقل، وقد أعطاه اللّه مالم یعط غیره ، فقال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ویتجلّی لطف اللّه بمحمّد صلی الله علیه و آله و سلم فی سورة الشرح والضحی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قد أعطی محمّداً صلی الله علیه و آله و سلم قواعد العلوم ، وقد زقّة العلم زقّاً ، واللّه تعالی یحیط بالحقیقة بصورة غیر قابلة للخطأ إطلاقاً ، وبکم وکیف لا یصل إلیه البشر فی سیرهم العلمی القائم علی التجربة فی العلوم السیاسیة والإنسانیة والحقوقیة وغیرها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یعلم ما خلق من الذرّة إلی المجرّة ، وهو اللطیف الخبیر الذی لا یخفی علیه شیء ، وهذا لیس ادّعاءً منّا لکی نرفع من شأن محمّد صلی الله علیه و آله ، بل هذا هو ما أخبر به اللّه تعالی حیث قال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هذه الآیة لا یقتصر الأمر علی التشریع فی الکرة الأرضیة ، بل یتجاوز إلی الغائبة فی السماء والأرض ، حیث توجد فی الکتاب المبین وهو القرآن ولکن لیس القرآن النازل ، بل هو القرآن فی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وسنورد معنی الکتاب المبین بصورة مقتضبة ، حیث 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والتنزیل تخفیف ، کما لو قلنا سننزّل هذا المطلب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سنخفّفه ، لأنّ حقیقة الکتاب المبین لا تستوعبه الدنیا ، أُصول المطالب الموجودة فی الکتاب المبین موجودة فی القرآن الکریم المقدّس العظیم ، والکتاب المبین هو حقیقة القرآن وعلومه الغیبیة بنص سورة الدخان ، ونستدل بها ولیس بالرویات ؛ لکی لا تبقی حجّة لمن</w:t>
      </w:r>
    </w:p>
    <w:p>
      <w:pPr>
        <w:pStyle w:val="BookText"/>
        <w:rPr/>
      </w:pPr>
      <w:r>
        <w:rPr>
          <w:rFonts w:ascii="IRNazanin" w:hAnsi="IRNazanin" w:eastAsia="IRNazanin"/>
          <w:color w:val="111111"/>
          <w:sz w:val="28"/>
          <w:sz w:val="28"/>
          <w:szCs w:val="28"/>
          <w:rtl w:val="true"/>
          <w:lang w:bidi="fa-IR"/>
        </w:rPr>
        <w:t>یتّهمنا بالباطنیة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مُخَفّفاً یتحمّله الوجود الأرضی ، وإلّا فإنّه فی حقیقته لیس عربیاً ولا فارسیاً ولا إنجلیزیاً ، وهذا ما نستفیده من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فی الآیة ، وإنّما هو وجود تکوینی وحقیقة من الحقائق ، وأمّا ما هی هذه الحقیقة فهذه بحث آخر لسنا فی صدد الخوض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یقول هل أنتم مرتابون بهذه الحقیقة ولا تصدّقونها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القرآن الذی هو تنزیل ونزول ، والنزول هو مقابل الصعود کما هو معروف فی اللغة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الکریم ینبئنا أنّ کثیراً من المغیّبات والحقائق موجودة فی الکتاب المبین،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هذا ادّعاءٌ کبیر ، ومن یستطع فی هذا العصر أن یثبت هذا الادّعاء أنّ القرآن فیه کلّ شیء؟</w:t>
      </w:r>
    </w:p>
    <w:p>
      <w:pPr>
        <w:pStyle w:val="BookText"/>
        <w:rPr/>
      </w:pPr>
      <w:r>
        <w:rPr>
          <w:rFonts w:ascii="IRNazanin" w:hAnsi="IRNazanin" w:eastAsia="IRNazanin"/>
          <w:color w:val="111111"/>
          <w:sz w:val="28"/>
          <w:sz w:val="28"/>
          <w:szCs w:val="28"/>
          <w:rtl w:val="true"/>
          <w:lang w:bidi="fa-IR"/>
        </w:rPr>
        <w:t>باللّه علیکم لولم یکن للقرآن قریناً آخر وهم أهل البیت علیهم السلام ، کیف یمکننا أن نثبت هذه الحقیقة أمام الأُمم الأخری؟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بنو أمیة وبنو العباس أن یُحرجوا أهل البیت علیهم السلام ، کیف یمکننا أن</w:t>
      </w:r>
    </w:p>
    <w:p>
      <w:pPr>
        <w:pStyle w:val="BookText"/>
        <w:rPr/>
      </w:pPr>
      <w:r>
        <w:rPr>
          <w:rFonts w:ascii="IRNazanin" w:hAnsi="IRNazanin" w:eastAsia="IRNazanin"/>
          <w:color w:val="111111"/>
          <w:sz w:val="28"/>
          <w:sz w:val="28"/>
          <w:szCs w:val="28"/>
          <w:rtl w:val="true"/>
          <w:lang w:bidi="fa-IR"/>
        </w:rPr>
        <w:t>نثبت هذه الحقیقة أمام الأُمم الأخری؟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بنو أمیة وبنو العباس أن یُحرجوا أهل البیت علیهم السلام ، فکانوا یأتون بالعلماء لکی یناقشوا أهل البیت ، وبالتالی ینتصرون علیهم فتقلّ منزلة أهل البیت علیهم السلام عند الجماهیر ، ولکنّهم فشلوا فی هذا الأمر ، وانتصر أهل البیت علیهم السلام علی جمیع المستویات العلمیة بما فیها الطب ، والتاریخ یشهد للإمام الصادق والإمام الرضا ، والمقام العالی للإمام الرضا علیه السلام هو الذی جعل المأمون ینجذب إلی الإمام الرضا ویجعله ولی العهد ، ولو قرأنا کتاب المجروحین لابن حبان وهو من علماء العامة فی ترجمة علی بن موسی الرضا علیه السلام لرأیناه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أبیه العجائب</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وهذا المقام العالی لأهل البیت علیهم السلام جعلهم القرین الآخر للکتاب </w:t>
      </w:r>
      <w:r>
        <w:rPr>
          <w:rFonts w:eastAsia="IRNazanin" w:cs="IRNazanin"/>
          <w:color w:val="111111"/>
          <w:sz w:val="28"/>
          <w:szCs w:val="28"/>
          <w:rtl w:val="true"/>
          <w:lang w:bidi="fa-IR"/>
        </w:rPr>
        <w:t>.</w:t>
      </w:r>
      <w:bookmarkStart w:id="72" w:name="pg5261_55151"/>
    </w:p>
    <w:p>
      <w:pPr>
        <w:pStyle w:val="Heading3"/>
        <w:numPr>
          <w:ilvl w:val="2"/>
          <w:numId w:val="1"/>
        </w:numPr>
        <w:rPr/>
      </w:pPr>
      <w:bookmarkStart w:id="73" w:name="__RefHeading___Toc476994_581953129"/>
      <w:bookmarkStart w:id="74" w:name="_Toc27"/>
      <w:bookmarkEnd w:id="72"/>
      <w:bookmarkEnd w:id="73"/>
      <w:r>
        <w:rPr>
          <w:rtl w:val="true"/>
        </w:rPr>
        <w:t xml:space="preserve">المحاضرة الخامسة مناقشة مدرسة العلمانیة </w:t>
      </w:r>
      <w:r>
        <w:rPr>
          <w:rtl w:val="true"/>
        </w:rPr>
        <w:t>«</w:t>
      </w:r>
      <w:r>
        <w:rPr>
          <w:rtl w:val="true"/>
        </w:rPr>
        <w:t>السکولارزم</w:t>
      </w:r>
      <w:r>
        <w:rPr>
          <w:rtl w:val="true"/>
        </w:rPr>
        <w:t>»</w:t>
      </w:r>
      <w:bookmarkEnd w:id="74"/>
    </w:p>
    <w:p>
      <w:pPr>
        <w:pStyle w:val="Heading4"/>
        <w:numPr>
          <w:ilvl w:val="3"/>
          <w:numId w:val="1"/>
        </w:numPr>
        <w:rPr/>
      </w:pPr>
      <w:bookmarkStart w:id="75" w:name="__RefHeading___Toc476996_581953129"/>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الذی طرأ علی المجتمعات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یبقی الدین ثابتاً مع التطوّر العلمی والعملی الهائل؟</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نسبة الثابت والمتغیّر فی حیاة الإنسان؟</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الباحث العلمی یبحث عن القوانین الثابتة ولیست المتغیّرة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الحدیث السابق إنّنا لا نرفض مدرسة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مطلق ، وأشرنا إلی الجوانب الإیجابیة ، وذکرنا أنّنا نستنتج من آراء هذه المدرسة استنتاجات تصبّ فی ضرورة النبوّة والرسالة ووصایة السماء ، ولیست هی ضدّ هذه المفاهیم کما یتراءی للمطلّع علیها من أوّل وهلة ، وسنشیر إلی تطبیقات هذه المدرسة فی المجال السیاسی فیما بعد إن شاء اللّه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الیوم سنناقش مدرسة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أقدم المدارس الثلاث ، ولازالت تتطوّر وتتبلور بصیاغات فکریة جدیدة وإضافات علمیة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إثارات هذه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کنّا لسنا فی مقام استقصاء هذه الإثارات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یرتکز علی الجانب المتغیّر فی النظام الاجتماعی أو الاقتصادی أو</w:t>
      </w:r>
    </w:p>
    <w:p>
      <w:pPr>
        <w:pStyle w:val="BookText"/>
        <w:rPr/>
      </w:pPr>
      <w:r>
        <w:rPr>
          <w:rFonts w:ascii="IRNazanin" w:hAnsi="IRNazanin" w:eastAsia="IRNazanin"/>
          <w:color w:val="111111"/>
          <w:sz w:val="28"/>
          <w:sz w:val="28"/>
          <w:szCs w:val="28"/>
          <w:rtl w:val="true"/>
          <w:lang w:bidi="fa-IR"/>
        </w:rPr>
        <w:t xml:space="preserve">العسکری أو السیاسی أو المالی أو الإداری فی حیاة البشر ، هذا بالإضافة إلی نظام الأُسرة والفرد ، وطبیعة المعیشة وتطوّرها من السکن فی الکهف ثم الصحراء ثم الغابات ثم الأودیة ثم القریة ثم المدینة ، فلو قارنّا معیشتنا فی هذا الزمان مع من عاشوا قبل خمسین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عمّن عاشوا 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أنّ طبیعة الأُسرة تختلف من حیث المتطلّبات والتعقیدات الحضاریة ، وأنّ طبیعة المشارکة بین الزوج والزوجة اختلفت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الزمان الماضی لم یکن المال هو الوسیط الاقتصادی ، وإنّما کان عن طریق المقایضة والمبادلة بین بضاعة وأُخری فی فترة من فترات الزمن ، وکان فی فترة من الفترات البضاعة السائدة هی النقد ،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الذی یکون فیه الشای هو البضاعة السائدة یکون الشای هو النقد فی ذلک المجتمع ، ثم تحوّلت هذه الحالة إلی وضعیة النقد المالی الذی بدأ بالنحاس ثم بالفضة والذهب ثم النقد الورقی ، والآن تحوّل النقد الورقی إلی النقد الاعتباری بالشیکات والحوالات وبطاقات الائتمان أو الفیزاکارد کما تسمّی ، والنقد الورقی آخدٌ فی الاضمحلال شیئاً فشیئاً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الجانب السیاسی الذی بدأ بصورة قبلیة بسیطة ثم تطوّر إلی نظام الدیوان والکتّاب والشرطة والجیش العسکری التقلیدی بأسلحته التقلیدیة ، ولکن هناک فرق شاسع بین هذه الحالة وحالة الحکومات فی زماننا المعاصر ، وتشکیل الوزارات والانتخابات والتطوّر الإلکترونی الذی دخل کلّ المجالات ، وأدوات النظام کذلک فلم یکن فی الماضی الفصل بین السلطات الثلاث التشریعیة والقضائیة والتنفیذیة ، ولم تکن القوانین فی الأزمنة الغابرة علی ما هی علیه فی هذا الزمان من التشریعات الثابتة أو الدستور أو التشریعات المتغیّرة أو مصوّبات المجالس النیابیة وغیرها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والقوی التشریعیة تضاهی القوّة الفکریة عند الإنسان ، والقوی العسکریة</w:t>
      </w:r>
      <w:bookmarkStart w:id="77" w:name="pg5261_55153"/>
    </w:p>
    <w:p>
      <w:pPr>
        <w:pStyle w:val="BookText"/>
        <w:rPr/>
      </w:pPr>
      <w:bookmarkEnd w:id="77"/>
      <w:r>
        <w:rPr>
          <w:rFonts w:ascii="IRNazanin" w:hAnsi="IRNazanin" w:eastAsia="IRNazanin"/>
          <w:color w:val="111111"/>
          <w:sz w:val="28"/>
          <w:sz w:val="28"/>
          <w:szCs w:val="28"/>
          <w:rtl w:val="true"/>
          <w:lang w:bidi="fa-IR"/>
        </w:rPr>
        <w:t xml:space="preserve">تضاهی القوّة الغضبیة الرادعة عند الإنسان ، ووزارات التربیة والتعلیم تضاهی الإدراک عند الإنسان ، فأصبح جهاز الدولة کإنسان کبیر متطوّر وأعمال الصرافة التی تطوّرت حتّی أصبح البنک بحدّ ذاته کدولة مستقلة ، وهذا ما ینطبق علی التطوّر الزراعی والصناعی وغیرهما </w:t>
      </w:r>
      <w:r>
        <w:rPr>
          <w:rFonts w:eastAsia="IRNazanin" w:cs="IRNazanin"/>
          <w:color w:val="111111"/>
          <w:sz w:val="28"/>
          <w:szCs w:val="28"/>
          <w:rtl w:val="true"/>
          <w:lang w:bidi="fa-IR"/>
        </w:rPr>
        <w:t>.</w:t>
      </w:r>
    </w:p>
    <w:p>
      <w:pPr>
        <w:pStyle w:val="Heading4"/>
        <w:numPr>
          <w:ilvl w:val="3"/>
          <w:numId w:val="1"/>
        </w:numPr>
        <w:rPr/>
      </w:pPr>
      <w:bookmarkStart w:id="78" w:name="__RefHeading___Toc476998_581953129"/>
      <w:bookmarkStart w:id="79" w:name="_Toc29"/>
      <w:bookmarkEnd w:id="78"/>
      <w:r>
        <w:rPr>
          <w:rtl w:val="true"/>
        </w:rPr>
        <w:t>الشبهة التی یطرحونها</w:t>
      </w:r>
      <w:bookmarkEnd w:id="79"/>
    </w:p>
    <w:p>
      <w:pPr>
        <w:pStyle w:val="BookText"/>
        <w:rPr/>
      </w:pPr>
      <w:r>
        <w:rPr>
          <w:rFonts w:ascii="IRNazanin" w:hAnsi="IRNazanin" w:eastAsia="IRNazanin"/>
          <w:color w:val="111111"/>
          <w:sz w:val="28"/>
          <w:sz w:val="28"/>
          <w:szCs w:val="28"/>
          <w:rtl w:val="true"/>
          <w:lang w:bidi="fa-IR"/>
        </w:rPr>
        <w:t>کیف یبقی الدین ثابتاً مع کلّ هذا التطوّر الذی جری علی البشریة؟ ولو لاحظنا نسخ شریعة موسی بشریعة عیسی جاء فی فترة لم تکن فیها قفزة تطوّریة فی نظم الحیاة ، وهکذا بالنسبة لنوح وإبراهیم ومحمّد صلی الله علیه و آله ، وإنّما حدثت القفزات والتطوّرات الهائلة فی العصور المتأخرة والأزمنة المعاصرة ، فکیف یبقی الدین ثابتاً مع هذا التطوّر العلمی؟</w:t>
      </w:r>
    </w:p>
    <w:p>
      <w:pPr>
        <w:pStyle w:val="BookText"/>
        <w:rPr/>
      </w:pPr>
      <w:r>
        <w:rPr>
          <w:rFonts w:ascii="IRNazanin" w:hAnsi="IRNazanin" w:eastAsia="IRNazanin"/>
          <w:color w:val="111111"/>
          <w:sz w:val="28"/>
          <w:sz w:val="28"/>
          <w:szCs w:val="28"/>
          <w:rtl w:val="true"/>
          <w:lang w:bidi="fa-IR"/>
        </w:rPr>
        <w:t>فمن باب أولی أن یحدث النسخ فی الزمان الحاضر لحدوث التطوّر الهائل فإنّ المجتمع لم یعد مجتمع قبائل وعشائر ، بل تحوّل النظام إلی وطن وجنسیة ومواطنة وبطاقة سکّانیة وجواز وإثبات هویة وغیرها</w:t>
      </w:r>
    </w:p>
    <w:p>
      <w:pPr>
        <w:pStyle w:val="BookText"/>
        <w:rPr/>
      </w:pPr>
      <w:r>
        <w:rPr>
          <w:rFonts w:ascii="IRNazanin" w:hAnsi="IRNazanin" w:eastAsia="IRNazanin"/>
          <w:color w:val="111111"/>
          <w:sz w:val="28"/>
          <w:sz w:val="28"/>
          <w:szCs w:val="28"/>
          <w:rtl w:val="true"/>
          <w:lang w:bidi="fa-IR"/>
        </w:rPr>
        <w:t xml:space="preserve">وأنا أطرح هذه الإثارات بکلّ صراحة ؛ لأنّ دیننا دین خالد ، ویستطیع أن یستوعب کلّ الأُمور ، عنده قابلیة الردّ علی کلّ الإشکالات ، بل إنّه یمتلک قدرة تلبیة العطش البشری ، ونحن لا نعیش فی ذلک الزمان الذی ینغلق فیه کلّ قوم علی أنفسهم ، وإنّما نحن فی زمان أصبح فیه العقل البشری کلّه علی طاولة واحدة ، ولا یمکن إخفاء أیّ شیء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إشکالاتهم أنّ النبی قد بعث فی مجتمع یغلب علیه البداوة ، ولم یکن فی مجتمع حضاری کالفرس والروم ، وهذا الأمر یدلّ علی عظمة محمّد صلی الله علیه و آله الذی استطاع أن یحوّل هذا المجتمع البدوی إلی مجتمع یحکم العالم ویسیطر علیه ،</w:t>
      </w:r>
      <w:bookmarkStart w:id="80" w:name="pg5261_55154"/>
    </w:p>
    <w:p>
      <w:pPr>
        <w:pStyle w:val="BookText"/>
        <w:rPr/>
      </w:pPr>
      <w:bookmarkEnd w:id="80"/>
      <w:r>
        <w:rPr>
          <w:rFonts w:ascii="IRNazanin" w:hAnsi="IRNazanin" w:eastAsia="IRNazanin"/>
          <w:color w:val="111111"/>
          <w:sz w:val="28"/>
          <w:sz w:val="28"/>
          <w:szCs w:val="28"/>
          <w:rtl w:val="true"/>
          <w:lang w:bidi="fa-IR"/>
        </w:rPr>
        <w:t>وهذا محلّ إعجاب الباحثین والعلماء ، فهم یقولون مع هذا الإعجاب والانبهار بالدور الذی قام به محمّد صلی الله علیه و آله إلّاأنّ المجتمع الذی کان یعیش فیه کان مجتمعاً بدویاً ، ولا یمکن أن نبقی علی أحکامه فی ظلّ التطوّر العصری الهائل ، فلا یمکن الاعتماد علی البیّنة والشاهد کما یطرحه الفقه الإسلامی ؛ لأنّ ملف القضاء فی الزمان المعاصر قائم علی التحقیقات والاستخبارات القضائیة ، وفی باب المرور یأتی المختصّون فی هذا الاختصاص لیفصلوا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مدرسة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فلسفیة ، وهی لا تناقش قدرة النبی محمّد صلی الله علیه و آله الفردیة کما هو الحال فی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تناقش مسألة المنهج والقانون والدین ، وهم یناقشون البحوث المختلفة فی البحوث القضائیة والأُسریة والمصرفیة ، وفی بحوث الدیات والقصاص والحدود ، فهم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یعترضون علی قطع الید والجلد وغیرها من العقوبات الإسلامیة ، ویعتبرونها غیر مناسبة للعصر الحاضر ، وینبغی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التفکیر فی أسالیب رادعة أُخری لمحاربة الجرائم والجنایات ، وأنّ العقاب الإسلامی قد أکل الدهر علیه وشرب ، ولا یناسب النظام النفسی والسیکولوجی والاجتماعی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والمدرسة الإمامیة حاولت عبر عقود عدیدة ، ورجالاتها فی الحقل العلمی ناقشوا هذه القضایا فی جوّ علمی هادیء بعید عن التعصّب </w:t>
      </w:r>
      <w:r>
        <w:rPr>
          <w:rFonts w:eastAsia="IRNazanin" w:cs="IRNazanin"/>
          <w:color w:val="111111"/>
          <w:sz w:val="28"/>
          <w:szCs w:val="28"/>
          <w:rtl w:val="true"/>
          <w:lang w:bidi="fa-IR"/>
        </w:rPr>
        <w:t>.</w:t>
      </w:r>
    </w:p>
    <w:p>
      <w:pPr>
        <w:pStyle w:val="Heading4"/>
        <w:numPr>
          <w:ilvl w:val="3"/>
          <w:numId w:val="1"/>
        </w:numPr>
        <w:rPr/>
      </w:pPr>
      <w:bookmarkStart w:id="81" w:name="__RefHeading___Toc477000_581953129"/>
      <w:bookmarkStart w:id="82" w:name="_Toc30"/>
      <w:bookmarkEnd w:id="81"/>
      <w:r>
        <w:rPr>
          <w:rtl w:val="true"/>
        </w:rPr>
        <w:t xml:space="preserve">الجواب الأوّل </w:t>
      </w:r>
      <w:r>
        <w:rPr>
          <w:rtl w:val="true"/>
        </w:rPr>
        <w:t>:</w:t>
      </w:r>
      <w:bookmarkEnd w:id="82"/>
    </w:p>
    <w:p>
      <w:pPr>
        <w:pStyle w:val="BookText"/>
        <w:rPr/>
      </w:pPr>
      <w:r>
        <w:rPr>
          <w:rFonts w:ascii="IRNazanin" w:hAnsi="IRNazanin" w:eastAsia="IRNazanin"/>
          <w:color w:val="111111"/>
          <w:sz w:val="28"/>
          <w:sz w:val="28"/>
          <w:szCs w:val="28"/>
          <w:rtl w:val="true"/>
          <w:lang w:bidi="fa-IR"/>
        </w:rPr>
        <w:t>أوّل ما یثار علی هذه التساؤلات هو ، هل کلّ ما هو فی البیئة التی تحیط بالإنسان بکلّ أنواعها وأشکالها متغیّرة أم ثابتة؟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نطرح هذا التساؤل ؛ لأنّ مدرسة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تفصل</w:t>
      </w:r>
    </w:p>
    <w:p>
      <w:pPr>
        <w:pStyle w:val="BookText"/>
        <w:rPr/>
      </w:pPr>
      <w:r>
        <w:rPr>
          <w:rFonts w:ascii="IRNazanin" w:hAnsi="IRNazanin" w:eastAsia="IRNazanin"/>
          <w:color w:val="111111"/>
          <w:sz w:val="28"/>
          <w:sz w:val="28"/>
          <w:szCs w:val="28"/>
          <w:rtl w:val="true"/>
          <w:lang w:bidi="fa-IR"/>
        </w:rPr>
        <w:t xml:space="preserve">الدین عن الحیاة بکلّ أطیافها بحجّة أنّ البیئة تتغیّر دون أن تراعی أنّ هناک ثوابت إلی جانب المتغیّرات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نطرح سؤالاً آخر ، وهو ما هی نسبة الثابت والمتغیّر فی حیاة الإنسان ؟</w:t>
      </w:r>
    </w:p>
    <w:p>
      <w:pPr>
        <w:pStyle w:val="BookText"/>
        <w:rPr/>
      </w:pPr>
      <w:r>
        <w:rPr>
          <w:rFonts w:ascii="IRNazanin" w:hAnsi="IRNazanin" w:eastAsia="IRNazanin"/>
          <w:color w:val="111111"/>
          <w:sz w:val="28"/>
          <w:sz w:val="28"/>
          <w:szCs w:val="28"/>
          <w:rtl w:val="true"/>
          <w:lang w:bidi="fa-IR"/>
        </w:rPr>
        <w:t>الإنسان منذ آدم وحتّی زماننا هذا هو الإنسان لم یتغیّر من الناحیة الخلقة والبدنیة والنفسیة والفسلجیّة ، فالجهاز الهضمی والعصبی ، والدورة الدمویة والأعضاء البدنیة وغیرها هذه کلّها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الحاجات الإنسانیة لم تتغیّر ، فالإنسان فی زمن آدم لدیه حاجات جنسیة ، ویحتاج إلی نظام الزواج ، والإنسان فی زماننا هذا کذلک ، وهو فی ذلک الزمان یحتاج إلی الرعی والزراعة من أجل تأمین الجانب الغذائی ، وفی زماننا هذا کذلک ، والبیئة والصیف والشتاء والحرارة والبرودة ، والقوی الشهویة والغضبیة والإحساسات والعواطف والقوی الروحیة کلّ هذه الأُمور ثابتة ولیست 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صاحب عواطف وأحاسیس ، ولا یمکن تهمیش هذا الجانب المهم فی حیاة الإنسان ، کما تنطلق بعض الدعوات التی تدعو لذلک ، فالإنسان یحبّ ویکره ، وینقبض وینبسط ، ویحزن ویفرح ، وهذا هو الجانب الحیوی فی الإنسان ، ولا یمکن أن نفرض الجانب الفکری ، والجانب التربوی یعتمد علی الجانب العاطفی والوجدانی بدرجة کبیرة ، ولا یمکن بحال من الأحوال الاستغناء عنه ، ولا یمکن إخضاعه للفکر بصورة 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ذکرنا فی المحاضرات الأُولی أنّ الدین هو الدین لا یتغیّر بین نبی وآخر ، وأنّ الذی یتغیّر هو أحکام الشریعة ، فالتوحید الذی یحتاج الیه الإنسان فی الغابة والکهف هو التوحید الذی یحتاج إلیه الإنسان فی عصر المعلومات وغزو الفضاء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التشریع الإسلامی یعالج الجوانب الثابتة فی حیاة الإنسان ، کما أنّ التشریع یحارب الرذیلة ، والرذیلة وإن تطوّرت فی أسالیبها وأشکالها إلّاأنّها هی الرذیلة</w:t>
      </w:r>
      <w:bookmarkStart w:id="83" w:name="pg5261_55156"/>
    </w:p>
    <w:p>
      <w:pPr>
        <w:pStyle w:val="BookText"/>
        <w:rPr/>
      </w:pPr>
      <w:bookmarkEnd w:id="83"/>
      <w:r>
        <w:rPr>
          <w:rFonts w:ascii="IRNazanin" w:hAnsi="IRNazanin" w:eastAsia="IRNazanin"/>
          <w:color w:val="111111"/>
          <w:sz w:val="28"/>
          <w:sz w:val="28"/>
          <w:szCs w:val="28"/>
          <w:rtl w:val="true"/>
          <w:lang w:bidi="fa-IR"/>
        </w:rPr>
        <w:t xml:space="preserve">التی یجب أن نحاربها ونجتثّها من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نردّ علی نظریة مّا لا یعنی أنّنا ننسف النظریة التی نردّ علیها ردّاً نسفیاً ینسفها من الأساس ، وقد تکون فیها جوانب إیجابیة ، ونحن نرحّب بالنوازع الفطریة التی أصابها بعض الانحراف ، ونحاول أن نهذّب الانحراف فیها ، وأن نرجعها إلی أُصولها الفطریة النقیّة ، وأهل البیت علیهم السلام قد علّمونا أن ننفتح علی جمیع الآراء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نری أنّ الإمام الصادق علیه السلام یناقش عبد الکریم بن أبی العوجاء وغیره من المنحرفین فکریاً</w:t>
      </w:r>
      <w:r>
        <w:rPr>
          <w:rStyle w:val="FootnoteAnchor"/>
          <w:rtl w:val="true"/>
        </w:rPr>
        <w:footnoteReference w:id="18"/>
      </w:r>
      <w:r>
        <w:rPr>
          <w:rFonts w:ascii="IRNazanin" w:hAnsi="IRNazanin" w:eastAsia="IRNazanin"/>
          <w:color w:val="111111"/>
          <w:sz w:val="28"/>
          <w:sz w:val="28"/>
          <w:szCs w:val="28"/>
          <w:rtl w:val="true"/>
          <w:lang w:bidi="fa-IR"/>
        </w:rPr>
        <w:t>، أمّا بقیة أئمة المذاهب الأُخری لو دخل علیهم داخل وأثار إثارات وإشکالات غامضة فإنّهم یطردونه ویتّهمونه بالزندقة ، کما ینقل أبو نعیم الإصفهانی فی ترجمة مالک</w:t>
      </w:r>
      <w:r>
        <w:rPr>
          <w:rStyle w:val="FootnoteAnchor"/>
          <w:rtl w:val="true"/>
        </w:rPr>
        <w:footnoteReference w:id="19"/>
      </w:r>
      <w:r>
        <w:rPr>
          <w:rFonts w:ascii="IRNazanin" w:hAnsi="IRNazanin" w:eastAsia="IRNazanin"/>
          <w:color w:val="111111"/>
          <w:sz w:val="28"/>
          <w:sz w:val="28"/>
          <w:szCs w:val="28"/>
          <w:rtl w:val="true"/>
          <w:lang w:bidi="fa-IR"/>
        </w:rPr>
        <w:t xml:space="preserve">بینما الإمام الصادق علیه السلام کان لا یستعمل معهم هذا الأُسلوب ، وهذه الإثارات قد تفتح ذهن الإنسان علی حقّانیة الدین </w:t>
      </w:r>
      <w:r>
        <w:rPr>
          <w:rFonts w:eastAsia="IRNazanin" w:cs="IRNazanin"/>
          <w:color w:val="111111"/>
          <w:sz w:val="28"/>
          <w:szCs w:val="28"/>
          <w:rtl w:val="true"/>
          <w:lang w:bidi="fa-IR"/>
        </w:rPr>
        <w:t>.</w:t>
      </w:r>
    </w:p>
    <w:p>
      <w:pPr>
        <w:pStyle w:val="Heading4"/>
        <w:numPr>
          <w:ilvl w:val="3"/>
          <w:numId w:val="1"/>
        </w:numPr>
        <w:rPr/>
      </w:pPr>
      <w:bookmarkStart w:id="84" w:name="__RefHeading___Toc477002_581953129"/>
      <w:bookmarkStart w:id="85" w:name="_Toc31"/>
      <w:bookmarkEnd w:id="84"/>
      <w:r>
        <w:rPr>
          <w:rtl w:val="true"/>
        </w:rPr>
        <w:t xml:space="preserve">الجواب الثانی </w:t>
      </w:r>
      <w:r>
        <w:rPr>
          <w:rtl w:val="true"/>
        </w:rPr>
        <w:t>:</w:t>
      </w:r>
      <w:bookmarkEnd w:id="85"/>
    </w:p>
    <w:p>
      <w:pPr>
        <w:pStyle w:val="BookText"/>
        <w:rPr/>
      </w:pPr>
      <w:r>
        <w:rPr>
          <w:rFonts w:ascii="IRNazanin" w:hAnsi="IRNazanin" w:eastAsia="IRNazanin"/>
          <w:color w:val="111111"/>
          <w:sz w:val="28"/>
          <w:sz w:val="28"/>
          <w:szCs w:val="28"/>
          <w:rtl w:val="true"/>
          <w:lang w:bidi="fa-IR"/>
        </w:rPr>
        <w:t xml:space="preserve">الباحث العلمی فی شتّی حقول المعرفة یبحث عن الحقائق والمعادلات الثابتة ، ولیست النتائج المتغیّرة ، فالفیزیائی عندما یبحث عن قانون لحساب السرعة فی مجال معیّن ، هل یبحث عن قانون یتبدّل أم قانون ثابت؟ طبعاً قانون ثابت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ننکر وجود الجانب المتغیّر ، 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 فی شتّی المجالات لا یستطیع أن یتنکّر للجانب الثابت فی حیاة الإنسان ، وهذه الجوانب الثابتة هی المهیمنة علی کلّ المتغیّرات</w:t>
      </w:r>
      <w:bookmarkStart w:id="86" w:name="pg5261_55157"/>
    </w:p>
    <w:p>
      <w:pPr>
        <w:pStyle w:val="Heading3"/>
        <w:numPr>
          <w:ilvl w:val="2"/>
          <w:numId w:val="1"/>
        </w:numPr>
        <w:rPr/>
      </w:pPr>
      <w:bookmarkStart w:id="87" w:name="__RefHeading___Toc477004_581953129"/>
      <w:bookmarkStart w:id="88" w:name="_Toc32"/>
      <w:bookmarkEnd w:id="86"/>
      <w:bookmarkEnd w:id="87"/>
      <w:r>
        <w:rPr>
          <w:rtl w:val="true"/>
        </w:rPr>
        <w:t>المحاضرة السادسة الإمام هو الذی یطبّق الشریعة علی المتغیّرات</w:t>
      </w:r>
      <w:bookmarkEnd w:id="88"/>
    </w:p>
    <w:p>
      <w:pPr>
        <w:pStyle w:val="Heading4"/>
        <w:numPr>
          <w:ilvl w:val="3"/>
          <w:numId w:val="1"/>
        </w:numPr>
        <w:rPr/>
      </w:pPr>
      <w:bookmarkStart w:id="89" w:name="__RefHeading___Toc477006_581953129"/>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مجهولات فی علم ما لا یعدّ نقصاً فی العلم ، وإنّما یعدّ نقصاً فی من یستنبط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الذی یعرف تأویل الکتاب وتفاصیل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مقابل الظهور ، ولیس الغیبة مقابل 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یدار من قبل الأجهزة السریة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الضروری أن یکون الشخص المؤثّر ظاهراً ومعلنا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أهّل محمّداً صلی الله علیه و آله و سلم أن یحمل رسالة تحتوی علی أُصول التشریع ، وهی أُصول کلیة وقواعد عامّة کشف عنها التشریع الإسلامی بواسطة محمّد صلی الله علیه و آله ، واللّه هوالذی یعلم ما خلق وهو اللطیف الخبیر ، أمّا المتغیّرات فهی موجودة ، وقد تطوّرات بشکل أکبر ممّا هی علیه من تطوّر بین الرسالات السابقة التی نسخت بعضها ، وهی رسالات عیسی وموسی وإبراهیم ونوح ، وأنّ منطقة الثبات فی الدین هی منطقة أُصول الدین وأرکان الفروع ، أمّا التفاصیل التشریعیة والعبادیة والنظام السیاسی والقضائی فخاضعة إلی التغییر ، والأُصول التشریعیة جامعة وثابتة </w:t>
      </w:r>
      <w:r>
        <w:rPr>
          <w:rFonts w:eastAsia="IRNazanin" w:cs="IRNazanin"/>
          <w:color w:val="111111"/>
          <w:sz w:val="28"/>
          <w:szCs w:val="28"/>
          <w:rtl w:val="true"/>
          <w:lang w:bidi="fa-IR"/>
        </w:rPr>
        <w:t>.</w:t>
      </w:r>
      <w:bookmarkStart w:id="91" w:name="pg5261_55158"/>
    </w:p>
    <w:p>
      <w:pPr>
        <w:pStyle w:val="Heading4"/>
        <w:numPr>
          <w:ilvl w:val="3"/>
          <w:numId w:val="1"/>
        </w:numPr>
        <w:rPr/>
      </w:pPr>
      <w:bookmarkStart w:id="92" w:name="__RefHeading___Toc477008_581953129"/>
      <w:bookmarkStart w:id="93" w:name="_Toc34"/>
      <w:bookmarkEnd w:id="91"/>
      <w:bookmarkEnd w:id="92"/>
      <w:r>
        <w:rPr>
          <w:rtl w:val="true"/>
        </w:rPr>
        <w:t>مجهولات العلوم وحلولها</w:t>
      </w:r>
      <w:bookmarkEnd w:id="93"/>
    </w:p>
    <w:p>
      <w:pPr>
        <w:pStyle w:val="BookText"/>
        <w:rPr/>
      </w:pPr>
      <w:r>
        <w:rPr>
          <w:rFonts w:ascii="IRNazanin" w:hAnsi="IRNazanin" w:eastAsia="IRNazanin"/>
          <w:color w:val="111111"/>
          <w:sz w:val="28"/>
          <w:sz w:val="28"/>
          <w:szCs w:val="28"/>
          <w:rtl w:val="true"/>
          <w:lang w:bidi="fa-IR"/>
        </w:rPr>
        <w:t xml:space="preserve">ولکن هنا یطرح إشکال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سلامة وإتقان استنباط القضایا التفصیلیة من الأُصول والقواعد الکلیة بنحو یرتبط بدقّة بالشریعة الإسلامیّة؟</w:t>
      </w:r>
    </w:p>
    <w:p>
      <w:pPr>
        <w:pStyle w:val="BookText"/>
        <w:rPr/>
      </w:pPr>
      <w:r>
        <w:rPr>
          <w:rFonts w:ascii="IRNazanin" w:hAnsi="IRNazanin" w:eastAsia="IRNazanin"/>
          <w:color w:val="111111"/>
          <w:sz w:val="28"/>
          <w:sz w:val="28"/>
          <w:szCs w:val="28"/>
          <w:rtl w:val="true"/>
          <w:lang w:bidi="fa-IR"/>
        </w:rPr>
        <w:t xml:space="preserve">وعلی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الریاضیات والهندسة والجبر والحساب ، والتی تعدّ من العلوم البدیهیة تقریباً إلّاأنّ المجهولات الهندسیة والجبریة والریاضیة والمیکانیکیة إلی الآن لم یستطع علماء الریاضیات أن یجدوا حلولاً لها ، مع أنّ حلولها توجد فی الأُسس الأولیة لعلم الریاضیات من عملیات الطرح والجمع والضرب والقسمة ، وعلم الریاضیات علم معصوم ، وإذا حدث خطأ ما فالخطأ فی الشخص الذی استعمل الریاضیات بصورة خاطئة لا فی علم الریاضیات نفسه ، وقد استمعت للعدید من المقابلات مع نجوم علوم الریاضیات ، وقد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الریاضیات الموجود بصورته الحالیة یرجع إلی تسع معادلات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 معادلات إلّاأنّ العقل البشری لا یستطیع استیعاب الأُسس التی قامت علیها هذه المعادلات ، ولا یعرف ما وراءها ، وقد أکّد لی أحد حاملی شهادة الدکتوراه هذه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لو استطعنا معرفة الأسرار التی تقف وراء هذه المعادلات لاستطعنا أن نکتشف العدید من الأسرار المذهلة فی الکون ، وهذا العجز البشری فی معرفة هذه الأسرار لا یعنی عجز علم الریاضیات فی نفسه ، وإنّما النقص فی من یستنبط هذه النتائج من هذا العلم ، وهذا لا یقتصر علی علم الریاضیات ، وإنّما ینطبق علی باقی العلوم </w:t>
      </w:r>
      <w:r>
        <w:rPr>
          <w:rFonts w:eastAsia="IRNazanin" w:cs="IRNazanin"/>
          <w:color w:val="111111"/>
          <w:sz w:val="28"/>
          <w:szCs w:val="28"/>
          <w:rtl w:val="true"/>
          <w:lang w:bidi="fa-IR"/>
        </w:rPr>
        <w:t>.</w:t>
      </w:r>
    </w:p>
    <w:p>
      <w:pPr>
        <w:pStyle w:val="Heading4"/>
        <w:numPr>
          <w:ilvl w:val="3"/>
          <w:numId w:val="1"/>
        </w:numPr>
        <w:rPr/>
      </w:pPr>
      <w:bookmarkStart w:id="94" w:name="__RefHeading___Toc477010_581953129"/>
      <w:bookmarkStart w:id="95" w:name="_Toc35"/>
      <w:bookmarkEnd w:id="94"/>
      <w:r>
        <w:rPr>
          <w:rtl w:val="true"/>
        </w:rPr>
        <w:t>الإمام عنده علم تأویل الکتاب</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یستطیع من بعد محمّد صلی الله علیه و آله أن یحفظ شریعة محمّد صلی الله علیه و آله التی تغطّی کلّ</w:t>
      </w:r>
    </w:p>
    <w:p>
      <w:pPr>
        <w:pStyle w:val="BookText"/>
        <w:rPr/>
      </w:pPr>
      <w:r>
        <w:rPr>
          <w:rFonts w:ascii="IRNazanin" w:hAnsi="IRNazanin" w:eastAsia="IRNazanin"/>
          <w:color w:val="111111"/>
          <w:sz w:val="28"/>
          <w:sz w:val="28"/>
          <w:szCs w:val="28"/>
          <w:rtl w:val="true"/>
          <w:lang w:bidi="fa-IR"/>
        </w:rPr>
        <w:t xml:space="preserve">المتغیّرات؟ وهذا السؤال لا یجد جواباً إلّاعند مدرسة أهل البیت علیهم السلام ، بحیث تعتقد أنّ الإمام عند علم الکتاب کلّه ، ومن هنا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المقام یعدل مقام أُولی العزم من الأنبیاء السابقین علیهم السلام ، وإن کنت لست فی مقام إثبات هذا الأمر إلّاأنّها إشارة معترضة؛ لأنّ الذی یحیط بأُسس شریعة وأُصول عامّة تغطّی المتغیّرات لملایین البشر حتّی یوم القیامة ، هوالذی یستطیع الإحاطة بعلم الکتاب کلّه ، وهذا علمه یزید علی علم الأنبیاء السابقین ، والفترة التی کانت فیها شرائع الأنبیاء السابقین شرائع محدودة بفترة معیّنة قد تطول أو تقصر ، وکلّها نسخت بشریعة النبی ، فالذی یقوم مقام النبی فی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تغطیة حاجیات البشر من خلال المتغیّرات التی تطرأ علی البشر ، فهو الحافظ للشریعة ، کما یعرّفه الإمامیة بهذا التعریف باعتباره القادر علی تغطیة الشریعة للمتغیّرات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التأویل لا یعلمه إلّااللّه والراسخون فی العلم ، وللتأویل معان عدیدة ، منها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الأُسس علی المتغیّرات ، کما حدث بین موسی علیه السلام والخضر فی قضیة السفینة والغلام والجدار التی یذکرها القرآن فی سورة الکهف ، بحیث یکون الانطباق بین الشریعة والمتغیّرات انطباقاً یقینیاً یؤثّر فی مستقبل القضیة ، فبقاء الجدار وعدمه ، وبقاء الغلام وعدمه ، وخرق السفینة وعدمها ، یترتب علیه أُمور عدیدة ونتائج مختلفة ، ولو بقی هذا الغلام لانقطع نسل سبعین نبیاً ، کما ورد فی بعض الروایات التی یرویها الفریقان</w:t>
      </w:r>
      <w:r>
        <w:rPr>
          <w:rStyle w:val="FootnoteAnchor"/>
          <w:rtl w:val="true"/>
        </w:rPr>
        <w:footnoteReference w:id="20"/>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سیحدث منعطف خطیر فی حیاة البشریة لو قدّر لهذا الغلام أن یبقی </w:t>
      </w:r>
      <w:r>
        <w:rPr>
          <w:rFonts w:eastAsia="IRNazanin" w:cs="IRNazanin"/>
          <w:color w:val="111111"/>
          <w:sz w:val="28"/>
          <w:szCs w:val="28"/>
          <w:rtl w:val="true"/>
          <w:lang w:bidi="fa-IR"/>
        </w:rPr>
        <w:t>.</w:t>
      </w:r>
      <w:bookmarkStart w:id="96" w:name="pg5261_55160"/>
    </w:p>
    <w:p>
      <w:pPr>
        <w:pStyle w:val="Heading4"/>
        <w:numPr>
          <w:ilvl w:val="3"/>
          <w:numId w:val="1"/>
        </w:numPr>
        <w:rPr/>
      </w:pPr>
      <w:bookmarkStart w:id="97" w:name="__RefHeading___Toc477012_581953129"/>
      <w:bookmarkStart w:id="98" w:name="_Toc36"/>
      <w:bookmarkEnd w:id="96"/>
      <w:bookmarkEnd w:id="97"/>
      <w:r>
        <w:rPr>
          <w:rtl w:val="true"/>
        </w:rPr>
        <w:t>أین یوجد الإمام المهدی ؟</w:t>
      </w:r>
      <w:bookmarkEnd w:id="98"/>
    </w:p>
    <w:p>
      <w:pPr>
        <w:pStyle w:val="BookText"/>
        <w:rPr/>
      </w:pPr>
      <w:r>
        <w:rPr>
          <w:rFonts w:ascii="IRNazanin" w:hAnsi="IRNazanin" w:eastAsia="IRNazanin"/>
          <w:color w:val="111111"/>
          <w:sz w:val="28"/>
          <w:sz w:val="28"/>
          <w:szCs w:val="28"/>
          <w:rtl w:val="true"/>
          <w:lang w:bidi="fa-IR"/>
        </w:rPr>
        <w:t>المشکّکون فی وجود المهدی یطرحون إشکالاً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أین یوجد المهدی ، وما هی نشاطاته؟</w:t>
      </w:r>
    </w:p>
    <w:p>
      <w:pPr>
        <w:pStyle w:val="BookText"/>
        <w:rPr/>
      </w:pPr>
      <w:r>
        <w:rPr>
          <w:rFonts w:ascii="IRNazanin" w:hAnsi="IRNazanin" w:eastAsia="IRNazanin"/>
          <w:color w:val="111111"/>
          <w:sz w:val="28"/>
          <w:sz w:val="28"/>
          <w:szCs w:val="28"/>
          <w:rtl w:val="true"/>
          <w:lang w:bidi="fa-IR"/>
        </w:rPr>
        <w:t>النشاط المهم فی الدولة هو النشاط السری والاستخباری ، والقوّة تکمن فی الخفاء ولیس الغیاب عن میدان العمل الذی یعنی تلاشی التأثیر والفاعلیة</w:t>
      </w:r>
      <w:r>
        <w:rPr>
          <w:rFonts w:eastAsia="IRNazanin" w:cs="IRNazanin"/>
          <w:color w:val="111111"/>
          <w:sz w:val="28"/>
          <w:szCs w:val="28"/>
          <w:rtl w:val="true"/>
          <w:lang w:bidi="fa-IR"/>
        </w:rPr>
        <w:t>.</w:t>
      </w:r>
    </w:p>
    <w:p>
      <w:pPr>
        <w:pStyle w:val="Heading4"/>
        <w:numPr>
          <w:ilvl w:val="3"/>
          <w:numId w:val="1"/>
        </w:numPr>
        <w:rPr/>
      </w:pPr>
      <w:bookmarkStart w:id="99" w:name="__RefHeading___Toc477014_581953129"/>
      <w:bookmarkStart w:id="100" w:name="_Toc37"/>
      <w:bookmarkEnd w:id="99"/>
      <w:r>
        <w:rPr>
          <w:rtl w:val="true"/>
        </w:rPr>
        <w:t>الغیبة مقابل الظهور ، ولیس مقابل الحضور</w:t>
      </w:r>
      <w:bookmarkEnd w:id="100"/>
    </w:p>
    <w:p>
      <w:pPr>
        <w:pStyle w:val="BookText"/>
        <w:rPr/>
      </w:pPr>
      <w:r>
        <w:rPr>
          <w:rFonts w:ascii="IRNazanin" w:hAnsi="IRNazanin" w:eastAsia="IRNazanin"/>
          <w:color w:val="111111"/>
          <w:sz w:val="28"/>
          <w:sz w:val="28"/>
          <w:szCs w:val="28"/>
          <w:rtl w:val="true"/>
          <w:lang w:bidi="fa-IR"/>
        </w:rPr>
        <w:t xml:space="preserve">هناک غیبة مقابل الظهور ، وهناک غیبة مقابل الحضور ، وغیبة الإمام المهدی هی من نوع الغیبة مقابل الظهور ولیس الغیبة مقابل الحضور ؛ لأنّ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ونحن نعبّر عن عصره بعصر الظهور ، ونتکلّم عن علامات الظهور ، ولا نعبّر عنه بعصر الحضور ، وعلامات الحضور ، وعصر الظهور هو العصر الذی تنکشف فیه هویة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للملأ ، والإمام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ونشط </w:t>
      </w:r>
      <w:r>
        <w:rPr>
          <w:rFonts w:eastAsia="IRNazanin" w:cs="IRNazanin"/>
          <w:color w:val="111111"/>
          <w:sz w:val="28"/>
          <w:szCs w:val="28"/>
          <w:rtl w:val="true"/>
          <w:lang w:bidi="fa-IR"/>
        </w:rPr>
        <w:t>.</w:t>
      </w:r>
    </w:p>
    <w:p>
      <w:pPr>
        <w:pStyle w:val="Heading4"/>
        <w:numPr>
          <w:ilvl w:val="3"/>
          <w:numId w:val="1"/>
        </w:numPr>
        <w:rPr/>
      </w:pPr>
      <w:bookmarkStart w:id="101" w:name="__RefHeading___Toc477016_581953129"/>
      <w:bookmarkStart w:id="102" w:name="_Toc38"/>
      <w:bookmarkEnd w:id="101"/>
      <w:r>
        <w:rPr>
          <w:rtl w:val="true"/>
        </w:rPr>
        <w:t>اختلاف أنماط الحکومات ، وأهمیة الأجهزة السریة</w:t>
      </w:r>
      <w:bookmarkEnd w:id="102"/>
    </w:p>
    <w:p>
      <w:pPr>
        <w:pStyle w:val="BookText"/>
        <w:rPr/>
      </w:pPr>
      <w:r>
        <w:rPr>
          <w:rFonts w:ascii="IRNazanin" w:hAnsi="IRNazanin" w:eastAsia="IRNazanin"/>
          <w:color w:val="111111"/>
          <w:sz w:val="28"/>
          <w:sz w:val="28"/>
          <w:szCs w:val="28"/>
          <w:rtl w:val="true"/>
          <w:lang w:bidi="fa-IR"/>
        </w:rPr>
        <w:t xml:space="preserve">الآن أنماط الحکومة تختلف حتّی القبیلة هی نمط من أنماط الحکومة ، والعشیرة والطائفة التی تمتلک مواردها الخاصة وقوانینها الخاصة وقدراتها الخاصة وروافدها الثقافیة الخاصة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المجتمع مجموعة قوی کلّ قوّة لها إمکانیاتها الخاصة ، ولذلک الأدبیات السیاسیة التی تحلّل المرجعیة الشیعیة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حکومة ، ولکن حکومة شبه رسمیة أو نصف رسمیة ، حیث إنّ المرجعیة الشیعیة لها وزارة ثقافة تتصدّی للغزو الثقافی والوضع الفکری المنحرف وتنشر الوعی ، ووزارة دفاع تتمثّل فی فتاوی الجهاد ، ووزارة مالیة تتمثّل فی جمع الضرائب والأخماس وغیرها ، وهذه</w:t>
      </w:r>
    </w:p>
    <w:p>
      <w:pPr>
        <w:pStyle w:val="BookText"/>
        <w:rPr/>
      </w:pPr>
      <w:r>
        <w:rPr>
          <w:rFonts w:ascii="IRNazanin" w:hAnsi="IRNazanin" w:eastAsia="IRNazanin"/>
          <w:color w:val="111111"/>
          <w:sz w:val="28"/>
          <w:sz w:val="28"/>
          <w:szCs w:val="28"/>
          <w:rtl w:val="true"/>
          <w:lang w:bidi="fa-IR"/>
        </w:rPr>
        <w:t xml:space="preserve">الوزارات لیست وزارات لها مبانی ، وإنّما هی وزارات لها نفوذ اجتماعی ، والحکومات لیست هی الحکومات الرسمیة فقط ، وإنّما الحکومات هی القوی التی تمتلک النفوذ الاجتماعی سواءً کانت رسمیة أو غیر رسمیة ، وهناک أجهزة تدیر العالم فی زماننا هذا فی الحقل المالی ، وحقل التسلّح العسکری والمصرف والإعلام ، هذه کلّها أجهزة سریة تدیر العالم ، ولا نعرف من یقف وراءها ، فلیس معنی النفوذ والنشاط أن یکون هذا النشاط معلناً ومن یقف وراءه معلناً ، ولا یوجد رابط بین القدرة علی الحکم وبین إعلان الحاکم ، بل حتّی الحکومات المعلنة تقف وراءها أجهزة سریة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وموجود ونشط فی مختلف القضایا ، ولو تأمّلنا فی هذه الآیة من سورة 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لوجدنا أنّ هذه القصّة تشیر إلی مجموعة من العباد الذین آتاهم اللّه رحمة من عنده وعلماً لدنّیاً یقومون بأدوار خفیّة علی طبق البرنامج والأوامر الإلهیة فی إدارة المجتمعات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الإمام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یده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کصاحب سلیمان ، أو کصاحب موسی</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علم التأویل لم یقتنع موسی علیه السلام بما فعله الخضر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تَأْوِیلُ ما لَمْ تَسْطِعْ عَلَیْهِ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عرف التأویل اقتنع ورضی بما فعله الخضر علی ضوء أُسس شریعته التی تغطّی هذه المتغیّرات ، والنبی موسی لم یکن عنده هذا</w:t>
      </w:r>
    </w:p>
    <w:p>
      <w:pPr>
        <w:pStyle w:val="BookText"/>
        <w:rPr/>
      </w:pPr>
      <w:r>
        <w:rPr>
          <w:rFonts w:ascii="IRNazanin" w:hAnsi="IRNazanin" w:eastAsia="IRNazanin"/>
          <w:color w:val="111111"/>
          <w:sz w:val="28"/>
          <w:sz w:val="28"/>
          <w:szCs w:val="28"/>
          <w:rtl w:val="true"/>
          <w:lang w:bidi="fa-IR"/>
        </w:rPr>
        <w:t xml:space="preserve">التأویل ، مع أنّه کان من أنبیاء أُولی العزم بنص سورة الکهف ، بل کان عند غیره ، واللّه تعالی لم یصف الخضر بأنّه نبی من الأنبیاء أو رسول من الرسل ، وإنّما وصفه بأنّه عبد من عباد اللّه ، وقال تعالی آتیناه علماً لدنّیاً حینما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والعلم اللدنّی هو السبب المتصل بین الأرض والسماء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أقاتل علی التنزیل ، وعلی یقاتل علی التأویل</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والعلم الذی عند الإمام علی علیه السلام هو من عند رسول اللّه صلی الله علیه و آله ، وهو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 آله ألف باب یفتح کلّ باب ألف باب</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سورة الکهف تثبت بأنّ الإنسان الذی یمتلک العلم اللدنّی یستطیع أن یغطّی‌کلّ المتغیّرات حتّی ولولم یکن نبیاً ، فهو باعتباره یمتلک العلم اللدنّی من عند اللّه فهو لا یخطیء ، وهو یستطیع أن یربط بین هذه الحلقة فی هذا الزمن بحلقات أُخری فی أزمنة قادمة ، وهذا عمل جبّار ، فلا یستطیع أحدنا أن یخطّط لعمل اجتماعی لخمسین سنة قادمة ، مع معرفة کلّ العوائق والسلبیات التی ستعترضه فی هذا المجال ، فجمیع التخطیط البشری یتبیّن فشله أو فشل أجزاء منه بنسب مختلفة بسبب قصور الفکر البشری عن استیعاب کلّ الجوانب ، فبعد إتمام المشروع تتبیّن النواقص التی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هو صاحب العلم اللدنّی ، وهذا العلم اللدنّی یؤهّله أن یخبر عن اللّه ، ولکن لیس بمعنی أن یکون نبیاً أو یکون صاحب شریعة جدیدة ، وهذا تماماً ما حدث للخضر الذی حاور موسی بنفس الأُسس الشرعیة فی شریعته هو ، فسورة الکهف تخبرنا عن مقام إلهی تحتاج إلیه البشریة ، وهذا المقام یستوجب الاطلاع</w:t>
      </w:r>
      <w:bookmarkStart w:id="103" w:name="pg5261_55163"/>
    </w:p>
    <w:p>
      <w:pPr>
        <w:pStyle w:val="BookText"/>
        <w:rPr/>
      </w:pPr>
      <w:bookmarkEnd w:id="103"/>
      <w:r>
        <w:rPr>
          <w:rFonts w:ascii="Amiri" w:hAnsi="Amiri" w:eastAsia="Amiri" w:cs="Amiri"/>
          <w:color w:val="111111"/>
          <w:sz w:val="28"/>
          <w:sz w:val="28"/>
          <w:szCs w:val="28"/>
          <w:rtl w:val="true"/>
          <w:lang w:bidi="ar-SA"/>
        </w:rPr>
        <w:t>علی إرادة اللّه ، کما ورد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تأمّلنا فی الآیة لوجدنا أنّ الخضر مطّلع علی إرادة اللّه من خلال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القول لا یعنی أنّ الخضر قد أتی بشریعة جدیدة من عند اللّه ، وإنّما هو تطبیق للشریعة بأُسسها العامّة التی تغطّی کلّ المتغیّرات</w:t>
      </w:r>
    </w:p>
    <w:p>
      <w:pPr>
        <w:pStyle w:val="Heading4"/>
        <w:numPr>
          <w:ilvl w:val="3"/>
          <w:numId w:val="1"/>
        </w:numPr>
        <w:rPr/>
      </w:pPr>
      <w:bookmarkStart w:id="104" w:name="__RefHeading___Toc477018_581953129"/>
      <w:bookmarkStart w:id="105" w:name="_Toc39"/>
      <w:bookmarkEnd w:id="104"/>
      <w:r>
        <w:rPr>
          <w:rtl w:val="true"/>
        </w:rPr>
        <w:t>المتغیّرات کثیرة ، ولکن الشریعة تغطّیها</w:t>
      </w:r>
      <w:bookmarkEnd w:id="105"/>
    </w:p>
    <w:p>
      <w:pPr>
        <w:pStyle w:val="BookText"/>
        <w:rPr/>
      </w:pPr>
      <w:r>
        <w:rPr>
          <w:rFonts w:ascii="IRNazanin" w:hAnsi="IRNazanin" w:eastAsia="IRNazanin"/>
          <w:color w:val="111111"/>
          <w:sz w:val="28"/>
          <w:sz w:val="28"/>
          <w:szCs w:val="28"/>
          <w:rtl w:val="true"/>
          <w:lang w:bidi="fa-IR"/>
        </w:rPr>
        <w:t>إذاً نحن نتّفق مع مدرسة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المتغیّرات کثیرة وکبیرة ، ولکن الأُسس الدینیة قادرة علی التغطیة والاستیعاب لکلّ هذه المتغیّرات ، کما أنّ الأُسس العامّة للریاضیات تغطّی جمیع المجهولات الریاضیة</w:t>
      </w:r>
      <w:r>
        <w:rPr>
          <w:rFonts w:eastAsia="IRNazanin" w:cs="IRNazanin"/>
          <w:color w:val="111111"/>
          <w:sz w:val="28"/>
          <w:szCs w:val="28"/>
          <w:rtl w:val="true"/>
          <w:lang w:bidi="fa-IR"/>
        </w:rPr>
        <w:t>.</w:t>
      </w:r>
    </w:p>
    <w:p>
      <w:pPr>
        <w:pStyle w:val="Heading4"/>
        <w:numPr>
          <w:ilvl w:val="3"/>
          <w:numId w:val="1"/>
        </w:numPr>
        <w:rPr/>
      </w:pPr>
      <w:bookmarkStart w:id="106" w:name="__RefHeading___Toc477020_581953129"/>
      <w:bookmarkStart w:id="107" w:name="_Toc40"/>
      <w:bookmarkEnd w:id="106"/>
      <w:r>
        <w:rPr>
          <w:rtl w:val="true"/>
        </w:rPr>
        <w:t>لا یمکن الاکتفاء بظاهر اللفظ القرآنی</w:t>
      </w:r>
      <w:bookmarkEnd w:id="1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یدّعی أنّ الشریعة مقتصرة علی ظواهر القرآن یجنی علی الشریعة ، والقرآن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تبیان لکل شیء</w:t>
      </w:r>
      <w:r>
        <w:rPr>
          <w:rStyle w:val="FootnoteAnchor"/>
          <w:rtl w:val="true"/>
        </w:rPr>
        <w:footnoteReference w:id="24"/>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الراسخین فی العلم یعلمون تأویل القرآن</w:t>
      </w:r>
      <w:r>
        <w:rPr>
          <w:rStyle w:val="FootnoteAnchor"/>
          <w:rtl w:val="true"/>
        </w:rPr>
        <w:footnoteReference w:id="25"/>
      </w:r>
      <w:r>
        <w:rPr>
          <w:rFonts w:ascii="IRNazanin" w:hAnsi="IRNazanin" w:eastAsia="IRNazanin"/>
          <w:color w:val="111111"/>
          <w:sz w:val="28"/>
          <w:sz w:val="28"/>
          <w:szCs w:val="28"/>
          <w:rtl w:val="true"/>
          <w:lang w:bidi="fa-IR"/>
        </w:rPr>
        <w:t>، والآیات المحکمات والمتشابهات هی فی القرآن المنزل وفی ظواهر القرآن ، أمّا الکتاب المبین فی لوح محفوظ فی کتاب مکنون</w:t>
      </w:r>
      <w:r>
        <w:rPr>
          <w:rStyle w:val="FootnoteAnchor"/>
          <w:rtl w:val="true"/>
        </w:rPr>
        <w:footnoteReference w:id="26"/>
      </w:r>
      <w:r>
        <w:rPr>
          <w:rFonts w:ascii="IRNazanin" w:hAnsi="IRNazanin" w:eastAsia="IRNazanin"/>
          <w:color w:val="111111"/>
          <w:sz w:val="28"/>
          <w:sz w:val="28"/>
          <w:szCs w:val="28"/>
          <w:rtl w:val="true"/>
          <w:lang w:bidi="fa-IR"/>
        </w:rPr>
        <w:t xml:space="preserve">فی عوالم الغیب ذلک موجود فیه کلّ شیء وهو تبیان لکل شیء ، أمّا ظواهر القرآن فهی لیست تبیاناً لکلّ شیء فی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العلوم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فکیف نجمع</w:t>
      </w:r>
      <w:bookmarkStart w:id="108" w:name="pg5261_55164"/>
    </w:p>
    <w:p>
      <w:pPr>
        <w:pStyle w:val="BookText"/>
        <w:rPr/>
      </w:pPr>
      <w:bookmarkEnd w:id="108"/>
      <w:r>
        <w:rPr>
          <w:rFonts w:ascii="Amiri" w:hAnsi="Amiri" w:eastAsia="Amiri" w:cs="Amiri"/>
          <w:color w:val="111111"/>
          <w:sz w:val="28"/>
          <w:sz w:val="28"/>
          <w:szCs w:val="28"/>
          <w:rtl w:val="true"/>
          <w:lang w:bidi="ar-SA"/>
        </w:rPr>
        <w:t>بین وجود المحکمات والمتشابهات وبین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الآیات البیّنات فی صدور الذین أوتوا العلم ،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یمکن أن یوجد کتاب فی الریاضیات یحتوی علی حلّ جمیع المجهولات الریاضیة؟ طبعاً لا یوجد </w:t>
      </w:r>
      <w:r>
        <w:rPr>
          <w:rFonts w:eastAsia="IRNazanin" w:cs="IRNazanin"/>
          <w:color w:val="111111"/>
          <w:sz w:val="28"/>
          <w:szCs w:val="28"/>
          <w:rtl w:val="true"/>
          <w:lang w:bidi="fa-IR"/>
        </w:rPr>
        <w:t>.</w:t>
      </w:r>
    </w:p>
    <w:p>
      <w:pPr>
        <w:pStyle w:val="Heading4"/>
        <w:numPr>
          <w:ilvl w:val="3"/>
          <w:numId w:val="1"/>
        </w:numPr>
        <w:rPr/>
      </w:pPr>
      <w:bookmarkStart w:id="109" w:name="__RefHeading___Toc477022_581953129"/>
      <w:bookmarkStart w:id="110" w:name="_Toc41"/>
      <w:bookmarkEnd w:id="109"/>
      <w:r>
        <w:rPr>
          <w:rtl w:val="true"/>
        </w:rPr>
        <w:t>العالمون بالتأویل، وأصحاب العلم اللدنّی موجودون فی أُمّة محمّد، وهم الأئمة علیهم السلام</w:t>
      </w:r>
      <w:bookmarkEnd w:id="110"/>
    </w:p>
    <w:p>
      <w:pPr>
        <w:pStyle w:val="BookText"/>
        <w:rPr/>
      </w:pPr>
      <w:r>
        <w:rPr>
          <w:rFonts w:ascii="IRNazanin" w:hAnsi="IRNazanin" w:eastAsia="IRNazanin"/>
          <w:color w:val="111111"/>
          <w:sz w:val="28"/>
          <w:sz w:val="28"/>
          <w:szCs w:val="28"/>
          <w:rtl w:val="true"/>
          <w:lang w:bidi="fa-IR"/>
        </w:rPr>
        <w:t>إذا کان القرآن یحدّثنا عن وجود التأویل عند الذین أوتوا العلم اللدنّی فی زمن موسی ، فهل هذا الموقع شاغر فی أُمّة محمّة صلی الله علیه و آله أم أنّ هناک من لدیه العلم اللدنّی فی أُمّة محمّة صلی الله علیه و آله ؟</w:t>
      </w:r>
    </w:p>
    <w:p>
      <w:pPr>
        <w:pStyle w:val="BookText"/>
        <w:rPr/>
      </w:pPr>
      <w:r>
        <w:rPr>
          <w:rFonts w:ascii="IRNazanin" w:hAnsi="IRNazanin" w:eastAsia="IRNazanin"/>
          <w:color w:val="111111"/>
          <w:sz w:val="28"/>
          <w:sz w:val="28"/>
          <w:szCs w:val="28"/>
          <w:rtl w:val="true"/>
          <w:lang w:bidi="fa-IR"/>
        </w:rPr>
        <w:t xml:space="preserve">إذا کانت شریعة محمّد صلی الله علیه و آله سیدة الشرائع ، وهی الشریعة الخالدة ، فلا بدّ من وجود هذا الموقع ، وینبغی الإشارة إلی أنّ المسلمین مجمعون علی الخضر ، 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لمّا کان فی سابق علمه أن یقدِّر من عمر القائم علیه السلام فی أیّام غیبته ما یقدّره ، وعلم ما یکون من إنکار عباده بمقدار ذلک العمر فی الطول، طوّل عمر العبد الصالح من غیر سبب أوجب ذلک ألا لعلة الاستدلال به علی عمر القائم علیه السلام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هذه الأُمّة یوجد راسخون فی العلم یعلمون التأویل ، والکتاب کلّه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الآیات</w:t>
      </w:r>
    </w:p>
    <w:p>
      <w:pPr>
        <w:pStyle w:val="BookText"/>
        <w:rPr/>
      </w:pPr>
      <w:r>
        <w:rPr>
          <w:rFonts w:ascii="IRNazanin" w:hAnsi="IRNazanin" w:eastAsia="IRNazanin"/>
          <w:color w:val="111111"/>
          <w:sz w:val="28"/>
          <w:sz w:val="28"/>
          <w:szCs w:val="28"/>
          <w:rtl w:val="true"/>
          <w:lang w:bidi="fa-IR"/>
        </w:rPr>
        <w:t xml:space="preserve">عندهم کلّها بیّنة لیس بعضها محکم والآخر متشابه فی صدور أولئک الذین أوتوا العلم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فمدرسة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تشعر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وجود من یحیط بالمتغیّرات فی الشریعة ، وهذا ما تجیب علیه المدرسة الإمامیة التی تعتقد بوجود الأئمة علیهم السلام بعد رسول اللّه صلی الله علیه و آله ، وتعطیهم منصب الإحاطة بالشریعة والمتغیّرات التی توجد حلولها فی هذه الشریعة ، وفی عصر الغیبة تعتقد بوجود صاحب الزمان عجّل اللّه فرجه ، وتعتقد باستحقاقه لهذا المقام </w:t>
      </w:r>
      <w:r>
        <w:rPr>
          <w:rFonts w:eastAsia="IRNazanin" w:cs="IRNazanin"/>
          <w:color w:val="111111"/>
          <w:sz w:val="28"/>
          <w:szCs w:val="28"/>
          <w:rtl w:val="true"/>
          <w:lang w:bidi="fa-IR"/>
        </w:rPr>
        <w:t>.</w:t>
      </w:r>
      <w:bookmarkStart w:id="111" w:name="pg5261_55167"/>
    </w:p>
    <w:p>
      <w:pPr>
        <w:pStyle w:val="Heading3"/>
        <w:numPr>
          <w:ilvl w:val="2"/>
          <w:numId w:val="1"/>
        </w:numPr>
        <w:rPr/>
      </w:pPr>
      <w:bookmarkStart w:id="112" w:name="__RefHeading___Toc477024_581953129"/>
      <w:bookmarkStart w:id="113" w:name="_Toc42"/>
      <w:bookmarkEnd w:id="111"/>
      <w:bookmarkEnd w:id="112"/>
      <w:r>
        <w:rPr>
          <w:rtl w:val="true"/>
        </w:rPr>
        <w:t>المحاضرة السابعة مناقشة مدرسة الهرمونطیقیة</w:t>
      </w:r>
      <w:bookmarkEnd w:id="113"/>
    </w:p>
    <w:p>
      <w:pPr>
        <w:pStyle w:val="Heading4"/>
        <w:numPr>
          <w:ilvl w:val="3"/>
          <w:numId w:val="1"/>
        </w:numPr>
        <w:rPr/>
      </w:pPr>
      <w:bookmarkStart w:id="114" w:name="__RefHeading___Toc477026_581953129"/>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النقد الأدبی وظهور تعدّد القراءات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علم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النص الدینی یوازی التعمّق فی التحلیل الأدبی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علیهم السلام هم الذین ینطبق علیهم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 بشکل إجمالی مناقشة المدرستین العلمانیة والتعددیة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السکولارزم والبلوری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واستعراض بعض أفکارهما والردّ علیها بصورة سریعة ، وحیث إنّنی قد عرضت بعض الإشکالات التی طرحوها فمن اللازم أن أردّ علیها </w:t>
      </w:r>
      <w:r>
        <w:rPr>
          <w:rFonts w:eastAsia="IRNazanin" w:cs="IRNazanin"/>
          <w:color w:val="111111"/>
          <w:sz w:val="28"/>
          <w:szCs w:val="28"/>
          <w:rtl w:val="true"/>
          <w:lang w:bidi="fa-IR"/>
        </w:rPr>
        <w:t>.</w:t>
      </w:r>
    </w:p>
    <w:p>
      <w:pPr>
        <w:pStyle w:val="Heading4"/>
        <w:numPr>
          <w:ilvl w:val="3"/>
          <w:numId w:val="1"/>
        </w:numPr>
        <w:rPr/>
      </w:pPr>
      <w:bookmarkStart w:id="116" w:name="__RefHeading___Toc477028_581953129"/>
      <w:bookmarkStart w:id="117" w:name="_Toc44"/>
      <w:bookmarkEnd w:id="116"/>
      <w:r>
        <w:rPr>
          <w:rtl w:val="true"/>
        </w:rPr>
        <w:t xml:space="preserve">إشکالٌ </w:t>
      </w:r>
      <w:r>
        <w:rPr>
          <w:rtl w:val="true"/>
        </w:rPr>
        <w:t xml:space="preserve">: </w:t>
      </w:r>
      <w:r>
        <w:rPr>
          <w:rtl w:val="true"/>
        </w:rPr>
        <w:t>إنّ القضاء الإسلامی یعتمد علی البیّنة والحلف ، مع أنّ القضاء تجاوز بتطوّر هذه المرحلة</w:t>
      </w:r>
      <w:bookmarkEnd w:id="1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الإسلامی لا یعتمد علی البیّنة والحلف کحلّ منحصر ، وإنّما یعتمد الحلف والبیّنة إذا لم یکن هناک طریق لعلم القاضی ، أمّا إذا أمکن القاضی أن یعلم عن طریق البراهین والأدلة والتحقیق القضائی ، فإنّه یحکم به ، فإذا لم یتوفّر</w:t>
      </w:r>
      <w:bookmarkStart w:id="118" w:name="pg5261_55168"/>
    </w:p>
    <w:p>
      <w:pPr>
        <w:pStyle w:val="BookText"/>
        <w:rPr/>
      </w:pPr>
      <w:bookmarkEnd w:id="118"/>
      <w:r>
        <w:rPr>
          <w:rFonts w:ascii="IRNazanin" w:hAnsi="IRNazanin" w:eastAsia="IRNazanin"/>
          <w:color w:val="111111"/>
          <w:sz w:val="28"/>
          <w:sz w:val="28"/>
          <w:szCs w:val="28"/>
          <w:rtl w:val="true"/>
          <w:lang w:bidi="fa-IR"/>
        </w:rPr>
        <w:t>أی من هذه الأدلة والبراهین ، فحینئذٍ یعتمد القاضی علی الشهود والحلف ، وهذا لا یقتصر علی القضاء الإسلامی ، بل هو العرف القانونی عند غیر المسلمین ، فإذا انسدّت الأبواب فی التحقیقات القانونیة والقضائیة تصل النوبة حینئذٍ للحف ، فکلّ بلد یحلف بالرمز المقدّس الذی یعتقد به سواءً کان هذا الرمز دینیاً عند من یؤمنون بالدین أو رمزاً وطنیاً مقدّساً عند من یؤمنون به ، ولو راجعنا قضاء أمیر المؤمنین علی علیه السلام لوجدناه یبحث ویحقّق عن أسباب النزاع والأدلة والبراهین القضائیة التی توصله إلی الحقیقة ، بل إنّ أکثر قضاء أمیر المؤمنین علیه السلام کان بهذه الطریقة ، ولیس بالاعتماد علی الحلف والشهود ، والذین أثاروا هذا الإشکال لم یطّلعوا علی القضاء الإسلامی بصورة عمیقة</w:t>
      </w:r>
      <w:r>
        <w:rPr>
          <w:rFonts w:eastAsia="IRNazanin" w:cs="IRNazanin"/>
          <w:color w:val="111111"/>
          <w:sz w:val="28"/>
          <w:szCs w:val="28"/>
          <w:rtl w:val="true"/>
          <w:lang w:bidi="fa-IR"/>
        </w:rPr>
        <w:t>.</w:t>
      </w:r>
    </w:p>
    <w:p>
      <w:pPr>
        <w:pStyle w:val="Heading4"/>
        <w:numPr>
          <w:ilvl w:val="3"/>
          <w:numId w:val="1"/>
        </w:numPr>
        <w:rPr/>
      </w:pPr>
      <w:bookmarkStart w:id="119" w:name="__RefHeading___Toc477030_581953129"/>
      <w:bookmarkStart w:id="120" w:name="_Toc45"/>
      <w:bookmarkEnd w:id="119"/>
      <w:r>
        <w:rPr>
          <w:rtl w:val="true"/>
        </w:rPr>
        <w:t>الإشکال الثانی</w:t>
      </w:r>
      <w:r>
        <w:rPr>
          <w:rtl w:val="true"/>
        </w:rPr>
        <w:t xml:space="preserve">: </w:t>
      </w:r>
      <w:r>
        <w:rPr>
          <w:rtl w:val="true"/>
        </w:rPr>
        <w:t>لماذا تطالب القبیلة والعصبة بدفع الدیة ؟</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الإسلامی یدعو للمحافظة علی الأُسرة وعلی وشائج القربی ، بل هو یحافظ علی لحمة السبب بالإضافة إلی لحمة النسب ، فنحن نلاحظ أنّ بعض الأشخاص عندما یخرج من بلده إلی بیئة أُخری بعیدة عن الرقابة الاجتماعیة ینحرف سلوکه ، بینما کان محافظاً علی سلوکه عندما کان یعیش فی البیئة المحافظة ، ولذلک من المفید الحفاظ علی الأعراف التی لا تتعارض مع الدین ، ولذلک لم یقطع النبی أوصال شبکة القبائل الموجودة فی ذلک الزمان مع أنّ الإسلام قد عانی من هذه القبائل ، ووجّهت له ضربات قاسیة ، کما حدث ذلک فی معرکة الأحزاب حینما تحزّبت القبائل لمواجهة النبی صلی الله علیه و آله ودین الإسلام ، مع ذلک حافظ النبی علی بناء القبیلة لما فیه من إیجابیات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نوع من النظام الاجتماعی الذی یحفظ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الانتماء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حالة الانفلات والخروج عن الرقابة الاجتماعیة </w:t>
      </w:r>
      <w:r>
        <w:rPr>
          <w:rFonts w:eastAsia="IRNazanin" w:cs="IRNazanin"/>
          <w:color w:val="111111"/>
          <w:sz w:val="28"/>
          <w:szCs w:val="28"/>
          <w:rtl w:val="true"/>
          <w:lang w:bidi="fa-IR"/>
        </w:rPr>
        <w:t>.</w:t>
      </w:r>
      <w:bookmarkStart w:id="121" w:name="pg5261_55169"/>
    </w:p>
    <w:p>
      <w:pPr>
        <w:pStyle w:val="Heading4"/>
        <w:numPr>
          <w:ilvl w:val="3"/>
          <w:numId w:val="1"/>
        </w:numPr>
        <w:rPr/>
      </w:pPr>
      <w:bookmarkStart w:id="122" w:name="__RefHeading___Toc477032_581953129"/>
      <w:bookmarkStart w:id="123" w:name="_Toc46"/>
      <w:bookmarkEnd w:id="121"/>
      <w:bookmarkEnd w:id="122"/>
      <w:r>
        <w:rPr>
          <w:rtl w:val="true"/>
        </w:rPr>
        <w:t xml:space="preserve">المدرسة الهرمونطیقیة </w:t>
      </w:r>
      <w:r>
        <w:rPr>
          <w:rtl w:val="true"/>
        </w:rPr>
        <w:t>«</w:t>
      </w:r>
      <w:r>
        <w:rPr>
          <w:rtl w:val="true"/>
        </w:rPr>
        <w:t>قراءة النص</w:t>
      </w:r>
      <w:r>
        <w:rPr>
          <w:rtl w:val="true"/>
        </w:rPr>
        <w:t>»</w:t>
      </w:r>
      <w:bookmarkEnd w:id="123"/>
    </w:p>
    <w:p>
      <w:pPr>
        <w:pStyle w:val="BookText"/>
        <w:rPr/>
      </w:pPr>
      <w:r>
        <w:rPr>
          <w:rFonts w:ascii="IRNazanin" w:hAnsi="IRNazanin" w:eastAsia="IRNazanin"/>
          <w:color w:val="111111"/>
          <w:sz w:val="28"/>
          <w:sz w:val="28"/>
          <w:szCs w:val="28"/>
          <w:rtl w:val="true"/>
          <w:lang w:bidi="fa-IR"/>
        </w:rPr>
        <w:t>هذه المدرسة تحمل فی طیّاتها فکرة التعدّدیة التی تحمله البلوری ألسم ، وهی مدرسة الألسنیات التی تهتم بقراءة النص ، فالنقد الأدبی أخذ یتوسّع بصورة کبیرة ، وعلوم اللغة آخذة فی التوسّع فی کلّ اللغات ، بشکل علوم متعدّدة ،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اللغة العربیة مقتصرة علی علم المفردات اللغویة وعلم النحو والصرف ثم البلاغة، ومن الجدیر بالذکر أنّ مؤسس علم النحو هو أمیر المؤمنین علی علیه السلام ، کما ذکر السید حسن الصدر فی کتابه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أمّا الآن فعلوم اللغة قد توسّعت فأصبحت تضمّ فقه اللغة والاشتقاق وهو علم غیر علم الصرف والنحو والنقد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البلاغة لیس مقتصراً علی علم اللغة العربیة وهو موجود فی اللغات الأُخری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الإنجلیزیة ، مع أنّ الإنجلیزیة تنتمی إلی أُسرة لغویة تختلف عن الأُسرة اللغویة التی تنتمی إلیها اللغة العربیة ، والمعانی فی اللغات واحدة ، وإنّما الألفاظ مختلفة ، 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الإنجلزیة جمیعها تدل علی حقیقة واحدة لهذا السائل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کیفیة الترکیب والدلالة فهی مشترکة بین اللغات ، فالجملة الإسمیة یمکن أن تکون فی کلّ لغة من اللغات ، وهکذا الجملة الفعلیة والفعل والفاعل</w:t>
      </w:r>
      <w:r>
        <w:rPr>
          <w:rFonts w:eastAsia="IRNazanin" w:cs="IRNazanin"/>
          <w:color w:val="111111"/>
          <w:sz w:val="28"/>
          <w:szCs w:val="28"/>
          <w:rtl w:val="true"/>
          <w:lang w:bidi="fa-IR"/>
        </w:rPr>
        <w:t>...</w:t>
      </w:r>
    </w:p>
    <w:p>
      <w:pPr>
        <w:pStyle w:val="Heading4"/>
        <w:numPr>
          <w:ilvl w:val="3"/>
          <w:numId w:val="1"/>
        </w:numPr>
        <w:rPr/>
      </w:pPr>
      <w:bookmarkStart w:id="124" w:name="__RefHeading___Toc477034_581953129"/>
      <w:bookmarkStart w:id="125" w:name="_Toc47"/>
      <w:bookmarkEnd w:id="124"/>
      <w:r>
        <w:rPr>
          <w:rtl w:val="true"/>
        </w:rPr>
        <w:t>نشأة النقد الأدبی</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النقد الأدبی لا یقتصر علی لغة معیّنة ، بل هو یشمل کلّ اللغات ، وقد کان فی بدایاته یعتمد علی تفسیر المفردات وبعض التراکیب اللغویة ، ثم أخذ النقد الأدبی بدراسة النص دراسة شاملة تحلّل کلّ حیثیات النص الأدبی ، ودراسة البیئات</w:t>
      </w:r>
      <w:bookmarkStart w:id="126" w:name="pg5261_55170"/>
    </w:p>
    <w:p>
      <w:pPr>
        <w:pStyle w:val="BookText"/>
        <w:rPr/>
      </w:pPr>
      <w:bookmarkEnd w:id="126"/>
      <w:r>
        <w:rPr>
          <w:rFonts w:ascii="IRNazanin" w:hAnsi="IRNazanin" w:eastAsia="IRNazanin"/>
          <w:color w:val="111111"/>
          <w:sz w:val="28"/>
          <w:sz w:val="28"/>
          <w:szCs w:val="28"/>
          <w:rtl w:val="true"/>
          <w:lang w:bidi="fa-IR"/>
        </w:rPr>
        <w:t xml:space="preserve">المحیطة بقائل النص ، ومن هذا المنطلق استطاع النقد الأدبی أن یخدم العلوم الأُخری بصورة واسعة ، واستطاع النقد الأدبی أن یکشف بعض جوانب اللاشعور عند کاتب أو قائل النص ، وهذا التحلیل الأدبی شبیهٌ بالتحقیقات الجنائیة التی تحاول أن تستفید بکلّ ما یحیط بالجریمة من أجواء ، کذلک المحلّل الادبی یحاول أن یستفید بکلّ ما یحیط بالنص من أجواء </w:t>
      </w:r>
      <w:r>
        <w:rPr>
          <w:rFonts w:eastAsia="IRNazanin" w:cs="IRNazanin"/>
          <w:color w:val="111111"/>
          <w:sz w:val="28"/>
          <w:szCs w:val="28"/>
          <w:rtl w:val="true"/>
          <w:lang w:bidi="fa-IR"/>
        </w:rPr>
        <w:t>.</w:t>
      </w:r>
    </w:p>
    <w:p>
      <w:pPr>
        <w:pStyle w:val="Heading4"/>
        <w:numPr>
          <w:ilvl w:val="3"/>
          <w:numId w:val="1"/>
        </w:numPr>
        <w:rPr/>
      </w:pPr>
      <w:bookmarkStart w:id="127" w:name="__RefHeading___Toc477036_581953129"/>
      <w:bookmarkStart w:id="128" w:name="_Toc48"/>
      <w:bookmarkEnd w:id="127"/>
      <w:r>
        <w:rPr>
          <w:rtl w:val="true"/>
        </w:rPr>
        <w:t>التعمّق فی النص الأدبی یوازی التأویل فی النص الدینی</w:t>
      </w:r>
      <w:bookmarkEnd w:id="128"/>
    </w:p>
    <w:p>
      <w:pPr>
        <w:pStyle w:val="BookText"/>
        <w:rPr/>
      </w:pPr>
      <w:r>
        <w:rPr>
          <w:rFonts w:ascii="IRNazanin" w:hAnsi="IRNazanin" w:eastAsia="IRNazanin"/>
          <w:color w:val="111111"/>
          <w:sz w:val="28"/>
          <w:sz w:val="28"/>
          <w:szCs w:val="28"/>
          <w:rtl w:val="true"/>
          <w:lang w:bidi="fa-IR"/>
        </w:rPr>
        <w:t xml:space="preserve">وهذا النقد الأدبی الذی یعتمد علی أُسس وأدلة فی الاستنتاجات یوازی تأویل النص الدینی ، ونری أنَّ الجمیع یحترم النقد الأدبی حتّی أولئک الذین یتّهمون التشیّع بالباطنیة والغنوصیة والخرافات والأساطیر یحترمون هذا النقد الأدبی العمیق ، ونحن فتحنا باب التأویل الذی یعتمد علی الموازین الصحیحة لا التأویل القائم علی التخرّ صات والکذب </w:t>
      </w:r>
      <w:r>
        <w:rPr>
          <w:rFonts w:eastAsia="IRNazanin" w:cs="IRNazanin"/>
          <w:color w:val="111111"/>
          <w:sz w:val="28"/>
          <w:szCs w:val="28"/>
          <w:rtl w:val="true"/>
          <w:lang w:bidi="fa-IR"/>
        </w:rPr>
        <w:t>.</w:t>
      </w:r>
    </w:p>
    <w:p>
      <w:pPr>
        <w:pStyle w:val="Heading4"/>
        <w:numPr>
          <w:ilvl w:val="3"/>
          <w:numId w:val="1"/>
        </w:numPr>
        <w:rPr/>
      </w:pPr>
      <w:bookmarkStart w:id="129" w:name="__RefHeading___Toc477038_581953129"/>
      <w:bookmarkStart w:id="130" w:name="_Toc49"/>
      <w:bookmarkEnd w:id="129"/>
      <w:r>
        <w:rPr>
          <w:rtl w:val="true"/>
        </w:rPr>
        <w:t>تطوّر علم الفقه</w:t>
      </w:r>
      <w:bookmarkEnd w:id="13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نلاحظ أنّ الفقه بدأ بصورة بدائیة فبدأ بصورة بسیطة ، ثم ظهرت محاولات فی تبویب الفقه ، ثم استخرج العلماء القواعد الشرعیة ، ثم أبواب التضارب أو التعارض وعلاجها فی النص الدینی ، وتوسّعت الأبواب الفقهیة والتحلیلات الاستدلالیة ، فلم یعد الأمر مقتصراً علی الفقه ، بل تعدّاه إلی أُصول الفقه والقواعد الفقهیة ، فکلّ هذه الأُمور تبحث فی قراءة النص الدینی ، فکم هو الفارق بین الفقه فی عصوره الأُولی وما علیه الفقه فی زماننا هذا ، فلو قارنّا بین کتاب فقهی من القرن الرابع وکتاب منهاج الصالحین للسید الخوئی رحمه الله أو تحریر الوسیلة للإمام الخمینی رحمه الله نجد أنّ البون واسع حتّی نمط الاستدلال بین العلماء المعاصرین وبین العلماء المتقدّمین یوجد فیه اختلاف کبیر ، فسیر الفتاوی وآراء الفقهاء فی تحلیل</w:t>
      </w:r>
      <w:bookmarkStart w:id="131" w:name="pg5261_55171"/>
    </w:p>
    <w:p>
      <w:pPr>
        <w:pStyle w:val="BookText"/>
        <w:rPr/>
      </w:pPr>
      <w:bookmarkEnd w:id="131"/>
      <w:r>
        <w:rPr>
          <w:rFonts w:ascii="IRNazanin" w:hAnsi="IRNazanin" w:eastAsia="IRNazanin"/>
          <w:color w:val="111111"/>
          <w:sz w:val="28"/>
          <w:sz w:val="28"/>
          <w:szCs w:val="28"/>
          <w:rtl w:val="true"/>
          <w:lang w:bidi="fa-IR"/>
        </w:rPr>
        <w:t xml:space="preserve">القوانین کان بنمط والآن بنمط آخر ، فکان الشهید الأوّل والشیخ جعفر کاشف الغطاء وغیرهما یحاولون قراءة النص الدینی والاستفادة ممّا وراء النص الدینی بعد الاستفادة من النص نفسه ، وما ذکرناه فی الفقه أیضاً ینطبق علی العقائد والمعارف ، ولازالت جهود الاجتهاد متواصلة </w:t>
      </w:r>
      <w:r>
        <w:rPr>
          <w:rFonts w:eastAsia="IRNazanin" w:cs="IRNazanin"/>
          <w:color w:val="111111"/>
          <w:sz w:val="28"/>
          <w:szCs w:val="28"/>
          <w:rtl w:val="true"/>
          <w:lang w:bidi="fa-IR"/>
        </w:rPr>
        <w:t>.</w:t>
      </w:r>
    </w:p>
    <w:p>
      <w:pPr>
        <w:pStyle w:val="Heading4"/>
        <w:numPr>
          <w:ilvl w:val="3"/>
          <w:numId w:val="1"/>
        </w:numPr>
        <w:rPr/>
      </w:pPr>
      <w:bookmarkStart w:id="132" w:name="__RefHeading___Toc477040_581953129"/>
      <w:bookmarkStart w:id="133" w:name="_Toc50"/>
      <w:bookmarkEnd w:id="132"/>
      <w:r>
        <w:rPr>
          <w:rtl w:val="true"/>
        </w:rPr>
        <w:t>القبول بالتعدّد لیس مطلقاً</w:t>
      </w:r>
      <w:bookmarkEnd w:id="133"/>
    </w:p>
    <w:p>
      <w:pPr>
        <w:pStyle w:val="BookText"/>
        <w:rPr/>
      </w:pPr>
      <w:r>
        <w:rPr>
          <w:rFonts w:ascii="IRNazanin" w:hAnsi="IRNazanin" w:eastAsia="IRNazanin"/>
          <w:color w:val="111111"/>
          <w:sz w:val="28"/>
          <w:sz w:val="28"/>
          <w:szCs w:val="28"/>
          <w:rtl w:val="true"/>
          <w:lang w:bidi="fa-IR"/>
        </w:rPr>
        <w:t xml:space="preserve">المدرسة الهرمونطیقیة تقول بتعدّد القراءات فلیس لک أن تلغی قراءة من القراءات التی تفهم النص بصورة معیّنة ، وهی تدعو إلی فتح الباب علی مصراعیة أمام الاجتهاد فی فهم النص ، ونحن نقبل بعض ما تطرحه هذه المدرسة ، کما أشرنا فی المدرستین السابقتین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قبول هذا التعدّد یفرض علینا أن نشکّک بما قد توصّلنا إلیه من حقائق علی أُسس علمیة وعقلیة فإنّنا نرفض قبول القراءة الأُخری ، وهذا ما أثرناه مع مدرسة التعددیة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البلوری ألسم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قلناه من أنّنا نبحث عن الحق المتوزّع عند هذا الطرف أو ذاک فی تلک المدرسة ، نقوله أیضاً فی الردّ علی هذه المدرسة بحیث إنّنا نرید أن نجمع الحقیقة ونحصل علیها کاملة ، وهی فی عقیدتنا توجد کاملة عند المعصوم الذی یستطیع قراءة النصوص الدینیة بشکل صحیح ، وهو الذی یمتلک الحقیقة عندما وضعه اللّه فی هذا المنصب ، حتّی الفقیه والمرجع مهما وصل إلی درجة عالیة فإنّه یبقی دون درجة المعصوم فی عقیدتنا ؛ لأنّ المعصوم له قنواته الخاصة التی لا یمتلکها غیره ولذلک فقد أخطأ من یعتقد أن الشیعة عندما فتحوا باب الاجتهاد فهم تنازلوا عن شرط العصمة والإمامة ، والصحیح أنّ دور الفقیه یأتی بعد وجود المعصوم ، ودور الفقیه ضروری ، وقد نص علیه القرآن الکریم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فالفقیه ینهل من الأُسس التی وضعها النبی صلی الله علیه و آله وأهل بیته علیهم السلام ، وهم الذین عبَّر اللّه عنهم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التعبیر لا یشیر إلی طلب العلم العادی عند العلماء ، وإنّما یشیر إلی العلم اللدنّی الذی عند أهل البیت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فالترتب عند الإمامیة یکون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ثم الأوصیاء ثم العلماء ، وهذا ما أشارت إلیه هذه الآیة من سورة المائدة ، فالنبیّون هم الأنبیاء ، والربّانیّون هم الأوصیاء ، والأحبار هم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جمیع المجهولات الریاضیة یمکن حلّها بالأُسس الریاضیة الصحیحة ، وعدم حلّ بعض المسائل من قبل بعض الأشخاص لا یعنی عدم وجود الحلّ فی الأُسس ، فکذا الکلام ینطبق علی تغطیة الشریعة لکلّ المتغیّرات، ولذلک عندما یظهر صاحب الزمان ، وهوالذی یمتلک علم تأویل الکتاب وفهم الشریعة بصورة مطلقة ، فهو الذی لدیه کنوز العلوم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القران الکریم یثبت أنّ الدین کمل وتمّت النعمة ورضی الرب به ، ولکن من یستطیع فهم النص الدینی بأعمق معانیة ، ویستخرج منه کلّ الحلول لکلّ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تذهب إلیه مدرسة أهل البیت علیهم السلام لیس من الخرافة ، کما یتّهمنا البعض ، بل هو الحقیقة بعینها ، ویظهر الإمام الذی یستطیع أن یسدّ کلّ الثغرات العلمیة التی لازالت کثیرة رغم الجهود الجبّارة التی یبذلها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والمدارس التی ذکرناها کلّها تشیر بصورة أو بأُخری إلی ضرورة العلم الجمعی والإحاطة بالحقیقة ، وهذا هو هدف البشریة والتی ستصل إلیه بواسطة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سورة الفاتحة التی نقرأها صباحاً ومساءً فیقول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تعالی أنعم علیهم بنعمة خاصة وهم أهل البیت علیهم السلام الذین طهّرهم دون غیرهم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هناک عائلة أو أُسرة أعطاها اللّه ما أعطی آل محمّد صلی الله علیه و آله من الفضل والشرف ، وهذا لیس توارث قیصری أو توارث کسروی ، وإنّما هو توارث اصطفائی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فهذه الذریة مؤهّلة لأن ترتبط باللّه ، وهذه الذریة واصطفاؤها ذکرها القرآن ، فلِمَ یستنکر علینا أن نؤمن بأنّ اللّه اصطفی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إنّ الذین أنعم اللّه علیهم دون غیرهم هم أهل البیت علیهم السلام ، وهم علیهم السلام الذین ینطبق علیهم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الْمَغْضُوبِ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الوصف ینطبق علی أهل البیت علیهم السلام ، وحتّی بعض الصحابة الکبار من البدریین الذین قاتلوا مع الرسول فی بدر نزل فیهم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فلولا أنّ اللّه قد أخذ علی نفسه أن لا یعذّب المسلمین ورسول اللّه فیهم لعذّبهم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کان هذا حال البدریین فما حال سائر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والذین کانوا مع رسول صلی الله علیه و آله فی معرکة أُحد لامهم وغضب علیهم ثمّ عفا عنهم لوجود الرسول صلی الله علیه و آله و سلم بینهم ، أمّا أهل البیت علیهم السلام فلم یغضبوا اللّه تعالی ، وهذه هی العصمة العملیة ، وهذا ما تثبته سورة الفاتحة لأهل البیت علیهم السلام ، ولیس کما یتّهموننا بأنّ أفکارنا أتی بها عبد اللّه بن سبأ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نهتدی بهداة قد یضلّون عن الحق ، ویخرجون من الإیمان إلی الفسق ولو فی بعض الأُمور ، وهؤلاء هم الذین لا تنطبق علیهم العصمة ، وأمّا المعصومون فهم منزّهون عن الخطأ وینطبق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الْمَغْضُوبِ عَلَیْهِمْ وَ لاَ الضّالِّینَ </w:t>
      </w:r>
      <w:r>
        <w:rPr>
          <w:rFonts w:eastAsia="Amiri" w:cs="Amiri" w:ascii="Amiri" w:hAnsi="Amiri"/>
          <w:color w:val="111111"/>
          <w:sz w:val="28"/>
          <w:szCs w:val="28"/>
          <w:rtl w:val="true"/>
          <w:lang w:bidi="ar-SA"/>
        </w:rPr>
        <w:t>» .</w:t>
      </w:r>
      <w:bookmarkStart w:id="134" w:name="pg5261_55177"/>
    </w:p>
    <w:p>
      <w:pPr>
        <w:pStyle w:val="Heading2"/>
        <w:numPr>
          <w:ilvl w:val="1"/>
          <w:numId w:val="1"/>
        </w:numPr>
        <w:rPr/>
      </w:pPr>
      <w:bookmarkStart w:id="135" w:name="__RefHeading___Toc477042_581953129"/>
      <w:bookmarkStart w:id="136" w:name="_Toc51"/>
      <w:bookmarkEnd w:id="134"/>
      <w:bookmarkEnd w:id="135"/>
      <w:r>
        <w:rPr/>
        <w:t>2</w:t>
      </w:r>
      <w:r>
        <w:rPr>
          <w:rtl w:val="true"/>
        </w:rPr>
        <w:t xml:space="preserve">- </w:t>
      </w:r>
      <w:r>
        <w:rPr>
          <w:rtl w:val="true"/>
        </w:rPr>
        <w:t>النهضة الحسینیة ومفهوم الإرهاب والسلام</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477044_581953129"/>
      <w:bookmarkStart w:id="138" w:name="_Toc52"/>
      <w:bookmarkEnd w:id="137"/>
      <w:r>
        <w:rPr>
          <w:rtl w:val="true"/>
        </w:rPr>
        <w:t>اشارة</w:t>
      </w:r>
      <w:bookmarkStart w:id="139" w:name="pg5261_55179"/>
      <w:bookmarkEnd w:id="138"/>
    </w:p>
    <w:p>
      <w:pPr>
        <w:pStyle w:val="Heading3"/>
        <w:numPr>
          <w:ilvl w:val="2"/>
          <w:numId w:val="1"/>
        </w:numPr>
        <w:rPr/>
      </w:pPr>
      <w:bookmarkStart w:id="140" w:name="__RefHeading___Toc477046_581953129"/>
      <w:bookmarkStart w:id="141" w:name="_Toc53"/>
      <w:bookmarkEnd w:id="139"/>
      <w:bookmarkEnd w:id="140"/>
      <w:r>
        <w:rPr>
          <w:rtl w:val="true"/>
        </w:rPr>
        <w:t>المقدّمة</w:t>
      </w:r>
      <w:bookmarkEnd w:id="1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بین یدیک عزیزی القاریء مجموعة من المحاضرات المکتوبة ، التی ألقاها سماحة العلّامة الشیخ محمّد السند فی مأتم السمّاکین فی المنامة فی شهر محرم الحرام عام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 الحسینیة ومفهوم الإرهاب 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عالج سماحته هذا الملف الساخن ، وبیّن أهداف الذین یرفعون قمیص تهمة الأرهاب ضدّ المسلمین ، کما رفع معاویة قمیص عثمان ضدّ الإمام علی علیه السلام ، واستعرض سماحته الخلفیّات الحقوقیة والأخلاقیة والعقائدیة للقوانین الإلهیة والمادیة، ثمّ استعرض العدید من تعریفات الإرهاب التی تتداولها صفحات القانون الدولی وعلّق علیها بالإیجاب والسلب ، وبیَّن بعض النواقص فیها ، وسبب غیاب بعض الألفاظ فی هذه التعریفات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بیّن الضابطة الصحیحة فی اعتبار الإرهاب جریمة ، وبیّن الفرق بین الإرهاب لردّ العدوان والإرهاب الذی یعتدی علی حقوق الآخرین ، مستشهداً بآیات من القرآن الکریم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سماحته یطبّق فی بحثه تطبیقات علی حیاة المعصومین علیهم السلام ، وتطبیقات أُخری علی الواقع المعاصر وما یدور فیه من ملابسات وإشکالیات حول مفهوم الإرهاب والسلام ، رابطاً ذلک بنهضة 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أشار سماحته إلی خطورة التلاعب بالمصطلحات القانونیة من أجل خدمة أطماع ومصالح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قارن بین بعض المصطلحات الفقهیة والمصطلحات القانونیة ، مبیّناً بعض النقاط التی غابت عن فهم المهتمّین بهذا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أشکر اللّه تعالی أن وفّقنی لکتابة هذه المحاضرات ، ثمّ أشکر سماحة الشیخ الذی فتح لی باباً من أبواب العلم التی یحبّها اللّه ورسوله ، أسأل اللّه أن یجعلها فی میزان حسناته ویوفّقه للعلم والعمل الصالح إنّه سمیع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سید حسن الموسوی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2004/7/30</w:t>
      </w:r>
      <w:r>
        <w:rPr>
          <w:rFonts w:ascii="IRNazanin" w:hAnsi="IRNazanin" w:eastAsia="IRNazanin"/>
          <w:color w:val="111111"/>
          <w:sz w:val="28"/>
          <w:sz w:val="28"/>
          <w:szCs w:val="28"/>
          <w:rtl w:val="true"/>
          <w:lang w:bidi="fa-IR"/>
        </w:rPr>
        <w:t>م</w:t>
      </w:r>
      <w:bookmarkStart w:id="142" w:name="pg5261_55181"/>
    </w:p>
    <w:p>
      <w:pPr>
        <w:pStyle w:val="Heading3"/>
        <w:numPr>
          <w:ilvl w:val="2"/>
          <w:numId w:val="1"/>
        </w:numPr>
        <w:rPr/>
      </w:pPr>
      <w:bookmarkStart w:id="143" w:name="__RefHeading___Toc477048_581953129"/>
      <w:bookmarkStart w:id="144" w:name="_Toc54"/>
      <w:bookmarkEnd w:id="142"/>
      <w:bookmarkEnd w:id="143"/>
      <w:r>
        <w:rPr>
          <w:rtl w:val="true"/>
        </w:rPr>
        <w:t>المحاضرة الأُولی إحیاء الشعائر الحسینیة</w:t>
      </w:r>
      <w:bookmarkEnd w:id="144"/>
    </w:p>
    <w:p>
      <w:pPr>
        <w:pStyle w:val="Heading4"/>
        <w:numPr>
          <w:ilvl w:val="3"/>
          <w:numId w:val="1"/>
        </w:numPr>
        <w:rPr/>
      </w:pPr>
      <w:bookmarkStart w:id="145" w:name="__RefHeading___Toc477050_581953129"/>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الدینیة لا تقتصر علی شعائر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للشعیرة عدّة مصادیق ویشترط فیها عدم الحرمة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علی المولد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استحداث أُسلوب جدید فی إحیاء الشعیرة لا یعتبر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للمعنی اللغوی دور مهم فی فهم النصّ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 لفرح أهل البیت علیهم السلام والحزن لحزنهم من مصادیق مودّتهم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من عظّمه اللّه أمرّ راجح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 بیّنوا بعض مصادیق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قدسیة الذکری</w:t>
      </w:r>
      <w:r>
        <w:rPr>
          <w:rFonts w:eastAsia="IRNazanin" w:cs="IRNazanin"/>
          <w:color w:val="111111"/>
          <w:sz w:val="28"/>
          <w:szCs w:val="28"/>
          <w:rtl w:val="true"/>
          <w:lang w:bidi="fa-IR"/>
        </w:rPr>
        <w:t>.</w:t>
      </w:r>
    </w:p>
    <w:p>
      <w:pPr>
        <w:pStyle w:val="Heading4"/>
        <w:numPr>
          <w:ilvl w:val="3"/>
          <w:numId w:val="1"/>
        </w:numPr>
        <w:rPr/>
      </w:pPr>
      <w:bookmarkStart w:id="147" w:name="__RefHeading___Toc477052_581953129"/>
      <w:bookmarkStart w:id="148" w:name="_Toc56"/>
      <w:bookmarkEnd w:id="147"/>
      <w:r>
        <w:rPr>
          <w:rtl w:val="true"/>
        </w:rPr>
        <w:t>إحیاء الشعائر الحسینیة</w:t>
      </w:r>
      <w:bookmarkEnd w:id="1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إحیاء الشعائر الحسینیة ، التی هی من الشعائر الدینیة ، التی ورد الحث علیها متواتراً من طرق الفریقین ، أمر لا شکّ فی مشروعیته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والآیة الکریمة لا تختصّ بالشعائر التی تعبَّدنا اللّه</w:t>
      </w:r>
      <w:bookmarkStart w:id="149" w:name="pg5261_55182"/>
    </w:p>
    <w:p>
      <w:pPr>
        <w:pStyle w:val="BookText"/>
        <w:rPr/>
      </w:pPr>
      <w:bookmarkEnd w:id="149"/>
      <w:r>
        <w:rPr>
          <w:rFonts w:ascii="IRNazanin" w:hAnsi="IRNazanin" w:eastAsia="IRNazanin"/>
          <w:color w:val="111111"/>
          <w:sz w:val="28"/>
          <w:sz w:val="28"/>
          <w:szCs w:val="28"/>
          <w:rtl w:val="true"/>
          <w:lang w:bidi="fa-IR"/>
        </w:rPr>
        <w:t xml:space="preserve">تعالی بها لکونها شعیرة ، وذلک لأنّ کلّ عمل ورد فی الشریعة ، إذا لم یکن موضوعه قد عُیّن وحُدّد من قبل الشرع ، فإنّ المتعارف لدی علماء الفقه والاُصول کمنشأ قانونی شرعی أن یحمل علی معناه اللغوی </w:t>
      </w:r>
      <w:r>
        <w:rPr>
          <w:rFonts w:eastAsia="IRNazanin" w:cs="IRNazanin"/>
          <w:color w:val="111111"/>
          <w:sz w:val="28"/>
          <w:szCs w:val="28"/>
          <w:rtl w:val="true"/>
          <w:lang w:bidi="fa-IR"/>
        </w:rPr>
        <w:t>.</w:t>
      </w:r>
    </w:p>
    <w:p>
      <w:pPr>
        <w:pStyle w:val="Heading4"/>
        <w:numPr>
          <w:ilvl w:val="3"/>
          <w:numId w:val="1"/>
        </w:numPr>
        <w:rPr/>
      </w:pPr>
      <w:bookmarkStart w:id="150" w:name="__RefHeading___Toc477054_581953129"/>
      <w:bookmarkStart w:id="151" w:name="_Toc57"/>
      <w:bookmarkEnd w:id="150"/>
      <w:r>
        <w:rPr>
          <w:rtl w:val="true"/>
        </w:rPr>
        <w:t>الشعائر الدینیة لا تقتصر علی شعائر الحجّ</w:t>
      </w:r>
      <w:bookmarkEnd w:id="151"/>
    </w:p>
    <w:p>
      <w:pPr>
        <w:pStyle w:val="BookText"/>
        <w:rPr/>
      </w:pPr>
      <w:r>
        <w:rPr>
          <w:rFonts w:ascii="IRNazanin" w:hAnsi="IRNazanin" w:eastAsia="IRNazanin"/>
          <w:color w:val="111111"/>
          <w:sz w:val="28"/>
          <w:sz w:val="28"/>
          <w:szCs w:val="28"/>
          <w:rtl w:val="true"/>
          <w:lang w:bidi="fa-IR"/>
        </w:rPr>
        <w:t>وهنا فی الآیة الکریمة قد اضیفت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اضیفت إلی اللّه تعالی ، حیث 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والدلالة ، فهذا العنوان الذی أُخذ من الآیة اضیف إلی اللّه تعالی ، فکلّ ما یکون معلماً دینیاً یؤهّله ذلک لأن یکون شعیرة دینیة ، وإلّا فالآیة لیست مختصة بشعائر الحجّ ، مع أنّها واردة فی سورة الحجّ وتتکلّم عن موضوع یتعلّق بالحجّ </w:t>
      </w:r>
      <w:r>
        <w:rPr>
          <w:rFonts w:eastAsia="IRNazanin" w:cs="IRNazanin"/>
          <w:color w:val="111111"/>
          <w:sz w:val="28"/>
          <w:szCs w:val="28"/>
          <w:rtl w:val="true"/>
          <w:lang w:bidi="fa-IR"/>
        </w:rPr>
        <w:t>.</w:t>
      </w:r>
    </w:p>
    <w:p>
      <w:pPr>
        <w:pStyle w:val="Heading4"/>
        <w:numPr>
          <w:ilvl w:val="3"/>
          <w:numId w:val="1"/>
        </w:numPr>
        <w:rPr/>
      </w:pPr>
      <w:bookmarkStart w:id="152" w:name="__RefHeading___Toc477056_581953129"/>
      <w:bookmarkStart w:id="153" w:name="_Toc58"/>
      <w:bookmarkEnd w:id="152"/>
      <w:r>
        <w:rPr>
          <w:rtl w:val="true"/>
        </w:rPr>
        <w:t>للشعیرة عدّة مصادیق ، ویشترط فیها عدم الحرمة الشرعیة</w:t>
      </w:r>
      <w:bookmarkEnd w:id="153"/>
    </w:p>
    <w:p>
      <w:pPr>
        <w:pStyle w:val="BookText"/>
        <w:rPr/>
      </w:pPr>
      <w:r>
        <w:rPr>
          <w:rFonts w:ascii="IRNazanin" w:hAnsi="IRNazanin" w:eastAsia="IRNazanin"/>
          <w:color w:val="111111"/>
          <w:sz w:val="28"/>
          <w:sz w:val="28"/>
          <w:szCs w:val="28"/>
          <w:rtl w:val="true"/>
          <w:lang w:bidi="fa-IR"/>
        </w:rPr>
        <w:t xml:space="preserve">والدعوی أنّها حقیقة شرعیة ولا بدّ فیها من التعبّد ، فهذا خلاف ما یذهب إلیه فقهاء کلّ الفرق الإسلامیة وعلماء الأُصول ، وهناک ما یسمّی الحقیقة اللغویة للحقیقة الشرعیة ، ومقصودهم من الحقیقة الشرعیة ذلک المعنی الذی انشأه الشارع بتحدید وترتیب أجزاء معیّنة فی أمر معیّن ، کما فی الصلاة التی لها معنی خاصّ بها ، حدّده الشارع وتعبّد المکلّفین به ، وإذا لم یرد التعبّد فی أمر معیّن ولم یرتّب حکماً من الأحکام علیها ، فحینئذ یبقی المعنی علی حاله ، فإذا کان الحال کذلک فأیّ مصداق یکون مؤهّلاً لأن یکون من شعائر اللّه ، إضافة لتلک المصادیق التی جعلها اللّه من الشعائر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أنّه یجب أن تکون هذه الشعیرة مباحة أو راجحة شرعاً ، ولیس من المعقول أن یکون هذا العمل المراد اعتباره شعیرة عملاً محرّماً شرعاً ؛ لأنّ</w:t>
      </w:r>
      <w:bookmarkStart w:id="154" w:name="pg5261_55183"/>
    </w:p>
    <w:p>
      <w:pPr>
        <w:pStyle w:val="BookText"/>
        <w:rPr/>
      </w:pPr>
      <w:bookmarkEnd w:id="154"/>
      <w:r>
        <w:rPr>
          <w:rFonts w:ascii="IRNazanin" w:hAnsi="IRNazanin" w:eastAsia="IRNazanin"/>
          <w:color w:val="111111"/>
          <w:sz w:val="28"/>
          <w:sz w:val="28"/>
          <w:szCs w:val="28"/>
          <w:rtl w:val="true"/>
          <w:lang w:bidi="fa-IR"/>
        </w:rPr>
        <w:t xml:space="preserve">العمل المحرّم یرفضه الشرع ، ولا یصلح أن یکون علامة للدین باعتبار أنّ الشعیرة علامة </w:t>
      </w:r>
      <w:r>
        <w:rPr>
          <w:rFonts w:eastAsia="IRNazanin" w:cs="IRNazanin"/>
          <w:color w:val="111111"/>
          <w:sz w:val="28"/>
          <w:szCs w:val="28"/>
          <w:rtl w:val="true"/>
          <w:lang w:bidi="fa-IR"/>
        </w:rPr>
        <w:t>.</w:t>
      </w:r>
    </w:p>
    <w:p>
      <w:pPr>
        <w:pStyle w:val="Heading4"/>
        <w:numPr>
          <w:ilvl w:val="3"/>
          <w:numId w:val="1"/>
        </w:numPr>
        <w:rPr/>
      </w:pPr>
      <w:bookmarkStart w:id="155" w:name="__RefHeading___Toc477058_581953129"/>
      <w:bookmarkStart w:id="156" w:name="_Toc59"/>
      <w:bookmarkEnd w:id="155"/>
      <w:r>
        <w:rPr>
          <w:rtl w:val="true"/>
        </w:rPr>
        <w:t>تطبیق علی المولد النبوی</w:t>
      </w:r>
      <w:bookmarkEnd w:id="156"/>
    </w:p>
    <w:p>
      <w:pPr>
        <w:pStyle w:val="BookText"/>
        <w:rPr/>
      </w:pPr>
      <w:r>
        <w:rPr>
          <w:rFonts w:ascii="IRNazanin" w:hAnsi="IRNazanin" w:eastAsia="IRNazanin"/>
          <w:color w:val="111111"/>
          <w:sz w:val="28"/>
          <w:sz w:val="28"/>
          <w:szCs w:val="28"/>
          <w:rtl w:val="true"/>
          <w:lang w:bidi="fa-IR"/>
        </w:rPr>
        <w:t xml:space="preserve">فإذن التحدید الموضوعی والقانونی لأیّ مصداق من مصادیق الشعائر أن یکون موضوعاً مباحاً فی نفسه ، ولذلک لم یتحرّج أحدٌ من فقهاء المذاهب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الشاذ النادر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إحیاء المولد النبوی المبارک أمراً حسناً وإیجابیاً ، رغم أنّه لم یرد ما یدلّ علی إحیائه بصورة خاصة دلیل من الشرع ، إلّاأنّ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مذهب الإمامیة لم تتحرّج من الاحتفال بهذه المناسبة الکریمة لأنّ الاحتفال بمولد النبی صلی الله علیه و آله یحمل فی طیاته التکریم والتبجیل والتعظیم للنبی محمّد صلی الله علیه و آله ، وهذا یعتبر تعظیماً للدین ، ویکون مولده شعیرة من الشعائر الدینیة </w:t>
      </w:r>
      <w:r>
        <w:rPr>
          <w:rFonts w:eastAsia="IRNazanin" w:cs="IRNazanin"/>
          <w:color w:val="111111"/>
          <w:sz w:val="28"/>
          <w:szCs w:val="28"/>
          <w:rtl w:val="true"/>
          <w:lang w:bidi="fa-IR"/>
        </w:rPr>
        <w:t>.</w:t>
      </w:r>
    </w:p>
    <w:p>
      <w:pPr>
        <w:pStyle w:val="Heading4"/>
        <w:numPr>
          <w:ilvl w:val="3"/>
          <w:numId w:val="1"/>
        </w:numPr>
        <w:rPr/>
      </w:pPr>
      <w:bookmarkStart w:id="157" w:name="__RefHeading___Toc477060_581953129"/>
      <w:bookmarkStart w:id="158" w:name="_Toc60"/>
      <w:bookmarkEnd w:id="157"/>
      <w:r>
        <w:rPr>
          <w:rtl w:val="true"/>
        </w:rPr>
        <w:t>استحداث أُسلوب جدید فی إحیاء الشعیرة لا یعتبر بدعة</w:t>
      </w:r>
      <w:bookmarkEnd w:id="1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فی الشعائر الدینیة لا یرد اعتراض علی استحداث أسالیب لإحیاء الدین باعتبارها بدعة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البدعة إنّما تکون فی مالم یرخص به الشارع المقدّس ، وذلک لأنّ الشعائر الدینیة لم تکن محدّدة بمصداق معیّن بحیث تنطبق علی غیره ، نعم هناک بعض العبادات محدّدة کالصلاة ، حیث حدّد الشارع بدایتها بالتکبیر ، ونهایتها بالتسلیم ، وثلثها الرکوع ، وثلثها السجود ، ولها کیفیة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یحدّد الشارع کیفیة معیّنة ، فیستساغ إحیاء الشعیرة بشرط کونها مباحة أو راجحة </w:t>
      </w:r>
      <w:r>
        <w:rPr>
          <w:rFonts w:eastAsia="IRNazanin" w:cs="IRNazanin"/>
          <w:color w:val="111111"/>
          <w:sz w:val="28"/>
          <w:szCs w:val="28"/>
          <w:rtl w:val="true"/>
          <w:lang w:bidi="fa-IR"/>
        </w:rPr>
        <w:t>.</w:t>
      </w:r>
      <w:bookmarkStart w:id="159" w:name="pg5261_55184"/>
    </w:p>
    <w:p>
      <w:pPr>
        <w:pStyle w:val="Heading4"/>
        <w:numPr>
          <w:ilvl w:val="3"/>
          <w:numId w:val="1"/>
        </w:numPr>
        <w:rPr/>
      </w:pPr>
      <w:bookmarkStart w:id="160" w:name="__RefHeading___Toc477062_581953129"/>
      <w:bookmarkStart w:id="161" w:name="_Toc61"/>
      <w:bookmarkEnd w:id="159"/>
      <w:bookmarkEnd w:id="160"/>
      <w:r>
        <w:rPr>
          <w:rtl w:val="true"/>
        </w:rPr>
        <w:t>للمعنی اللغوی دور مهم فی فهم النصّ الشرعی</w:t>
      </w:r>
      <w:bookmarkEnd w:id="161"/>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نصّ شرعی ، ولا یعنی هذا النصّ أنّ البیع قد استجدّ معناه وحمل معنی معیناً ، بل معناه هو المعنی اللغوی ، 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نحمله علی ما یفهمه عرف العقلاء، وأنّ الشارع لم یردع عن هذا المعنی اللغوی ، وهذا دأب حتی أولئک الذین یحکمون بالبدعة علی کلّ ما استجدّ من الشعائر الدینیة والطقوس والمراسم الدینیة فی إحیاء وتشیید معان دینیة سامیة، حتی أولئک یعتمدون فی فهم النصّ فی أبواب الفقه علی المعنی اللغوی الوارد فیه ، إلّا إذا تتاقض هذا الفهم اللغوی للنصّ مع معنی من المعانی التعبدیة الشرعیة </w:t>
      </w:r>
      <w:r>
        <w:rPr>
          <w:rFonts w:eastAsia="IRNazanin" w:cs="IRNazanin"/>
          <w:color w:val="111111"/>
          <w:sz w:val="28"/>
          <w:szCs w:val="28"/>
          <w:rtl w:val="true"/>
          <w:lang w:bidi="fa-IR"/>
        </w:rPr>
        <w:t>.</w:t>
      </w:r>
    </w:p>
    <w:p>
      <w:pPr>
        <w:pStyle w:val="Heading4"/>
        <w:numPr>
          <w:ilvl w:val="3"/>
          <w:numId w:val="1"/>
        </w:numPr>
        <w:rPr/>
      </w:pPr>
      <w:bookmarkStart w:id="162" w:name="__RefHeading___Toc477064_581953129"/>
      <w:bookmarkStart w:id="163" w:name="_Toc62"/>
      <w:bookmarkEnd w:id="162"/>
      <w:r>
        <w:rPr>
          <w:rtl w:val="true"/>
        </w:rPr>
        <w:t>الشعیرة علامة</w:t>
      </w:r>
      <w:bookmarkEnd w:id="163"/>
    </w:p>
    <w:p>
      <w:pPr>
        <w:pStyle w:val="BookText"/>
        <w:rPr/>
      </w:pPr>
      <w:r>
        <w:rPr>
          <w:rFonts w:ascii="Amiri" w:hAnsi="Amiri" w:eastAsia="Amiri" w:cs="Amiri"/>
          <w:color w:val="111111"/>
          <w:sz w:val="28"/>
          <w:sz w:val="28"/>
          <w:szCs w:val="28"/>
          <w:rtl w:val="true"/>
          <w:lang w:bidi="ar-SA"/>
        </w:rPr>
        <w:t>وکما أنّ الیافطات والإعلانات تدلّ علی أُمور معیّنة ، کما لو رأینا إعلاناً مکتوباً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الإعلان دلیل علی وجود طبیب وأجهزة طبیة تمثّل العیادة ،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علامات وشعائر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تکون هذه الشعائر محدّدة من قبل اللّه تعالی، کما قال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وتحدید الشارع لبعض مصادیق الشعائر لا یعنی رفضه للمصادیق الأُخری التی لم یحدّدها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477066_581953129"/>
      <w:bookmarkStart w:id="165" w:name="_Toc63"/>
      <w:bookmarkEnd w:id="164"/>
      <w:r>
        <w:rPr>
          <w:rtl w:val="true"/>
        </w:rPr>
        <w:t>الفرح لفرح أهل البیت علیهم السلام والحزن لحزنهم من مصادیق مودّتهم</w:t>
      </w:r>
      <w:bookmarkEnd w:id="1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وکلامنا هذا لا یعنی أنّه لم یرد من الشرع شیء فی الحثّ علی إحیاء الشعائر الحسینیة ، فالآیة الکریمة التی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w:t>
      </w:r>
      <w:bookmarkStart w:id="166" w:name="pg5261_55185"/>
    </w:p>
    <w:p>
      <w:pPr>
        <w:pStyle w:val="BookText"/>
        <w:rPr/>
      </w:pPr>
      <w:bookmarkEnd w:id="166"/>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المودّة تقید أنّ الفرح لفرح المودود الذین هم آل محمّد علیهم السلام ، والحزن لحزنهم أمر لابدّ منه فی تحقیق هذه المودّة ، وذلک لأنّ المودّة أرقی وأعلی وأشد من المحبة ، ویشترط فی المودّة صدق الحب من المحب للمحبوب ، وکذلک المودّة تتضمن موضوع إبراز المحبّة وإظهارها ، ومن هذا المنطلق نحن نفرح لفرحهم ، ونحزن لحزنهم ؛ لکی نحقق مفهوم المودّة</w:t>
      </w:r>
    </w:p>
    <w:p>
      <w:pPr>
        <w:pStyle w:val="Heading4"/>
        <w:numPr>
          <w:ilvl w:val="3"/>
          <w:numId w:val="1"/>
        </w:numPr>
        <w:rPr/>
      </w:pPr>
      <w:bookmarkStart w:id="167" w:name="__RefHeading___Toc477068_581953129"/>
      <w:bookmarkStart w:id="168" w:name="_Toc64"/>
      <w:bookmarkEnd w:id="167"/>
      <w:r>
        <w:rPr>
          <w:rtl w:val="true"/>
        </w:rPr>
        <w:t>تعظیم من عظّمه اللّه أمرٌ راجح فی الدین</w:t>
      </w:r>
      <w:bookmarkEnd w:id="168"/>
    </w:p>
    <w:p>
      <w:pPr>
        <w:pStyle w:val="BookText"/>
        <w:rPr/>
      </w:pPr>
      <w:r>
        <w:rPr>
          <w:rFonts w:ascii="IRNazanin" w:hAnsi="IRNazanin" w:eastAsia="IRNazanin"/>
          <w:color w:val="111111"/>
          <w:sz w:val="28"/>
          <w:sz w:val="28"/>
          <w:szCs w:val="28"/>
          <w:rtl w:val="true"/>
          <w:lang w:bidi="fa-IR"/>
        </w:rPr>
        <w:t>ونفس هذه الآیة ، تدل علی أنّ إحیاء ذکری عاشوراء ، هی من الشعائر الدینیة ؛ لأنّ هذا الأمر أمرٌ راحجٌ فی الدین ، وقد ورد فی کتب العامة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وانهما ریحانتا رسول اللّه صلی الله علیه و آله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حصل علیه أهل البیت علیهم السلام ، من مقامات عالیة فی القرآن ، کما هو شأن آیة المباهلة</w:t>
      </w:r>
      <w:r>
        <w:rPr>
          <w:rStyle w:val="FootnoteAnchor"/>
          <w:rtl w:val="true"/>
        </w:rPr>
        <w:footnoteReference w:id="32"/>
      </w:r>
      <w:r>
        <w:rPr>
          <w:rFonts w:ascii="IRNazanin" w:hAnsi="IRNazanin" w:eastAsia="IRNazanin"/>
          <w:color w:val="111111"/>
          <w:sz w:val="28"/>
          <w:sz w:val="28"/>
          <w:szCs w:val="28"/>
          <w:rtl w:val="true"/>
          <w:lang w:bidi="fa-IR"/>
        </w:rPr>
        <w:t>، وآیة المودّة</w:t>
      </w:r>
      <w:r>
        <w:rPr>
          <w:rStyle w:val="FootnoteAnchor"/>
          <w:rtl w:val="true"/>
        </w:rPr>
        <w:footnoteReference w:id="33"/>
      </w:r>
      <w:r>
        <w:rPr>
          <w:rFonts w:ascii="IRNazanin" w:hAnsi="IRNazanin" w:eastAsia="IRNazanin"/>
          <w:color w:val="111111"/>
          <w:sz w:val="28"/>
          <w:sz w:val="28"/>
          <w:szCs w:val="28"/>
          <w:rtl w:val="true"/>
          <w:lang w:bidi="fa-IR"/>
        </w:rPr>
        <w:t>، وآیة التطهیر</w:t>
      </w:r>
      <w:r>
        <w:rPr>
          <w:rStyle w:val="FootnoteAnchor"/>
          <w:rtl w:val="true"/>
        </w:rPr>
        <w:footnoteReference w:id="34"/>
      </w:r>
      <w:r>
        <w:rPr>
          <w:rFonts w:ascii="Amiri" w:hAnsi="Amiri" w:eastAsia="Amiri" w:cs="Amiri"/>
          <w:color w:val="111111"/>
          <w:sz w:val="28"/>
          <w:sz w:val="28"/>
          <w:szCs w:val="28"/>
          <w:rtl w:val="true"/>
          <w:lang w:bidi="ar-SA"/>
        </w:rPr>
        <w:t>، وسورة الدهر</w:t>
      </w:r>
      <w:r>
        <w:rPr>
          <w:rStyle w:val="FootnoteAnchor"/>
          <w:rtl w:val="true"/>
        </w:rPr>
        <w:footnoteReference w:id="35"/>
      </w:r>
      <w:r>
        <w:rPr>
          <w:rFonts w:ascii="IRNazanin" w:hAnsi="IRNazanin" w:eastAsia="IRNazanin"/>
          <w:color w:val="111111"/>
          <w:sz w:val="28"/>
          <w:sz w:val="28"/>
          <w:szCs w:val="28"/>
          <w:rtl w:val="true"/>
          <w:lang w:bidi="fa-IR"/>
        </w:rPr>
        <w:t>، وغیرها</w:t>
      </w:r>
      <w:r>
        <w:rPr>
          <w:rStyle w:val="FootnoteAnchor"/>
          <w:rtl w:val="true"/>
        </w:rPr>
        <w:footnoteReference w:id="36"/>
      </w:r>
      <w:r>
        <w:rPr>
          <w:rFonts w:ascii="IRNazanin" w:hAnsi="IRNazanin" w:eastAsia="IRNazanin"/>
          <w:color w:val="111111"/>
          <w:sz w:val="28"/>
          <w:sz w:val="28"/>
          <w:szCs w:val="28"/>
          <w:rtl w:val="true"/>
          <w:lang w:bidi="fa-IR"/>
        </w:rPr>
        <w:t xml:space="preserve">، فیجب تعظیمهما وتبجیلهما ؛ لأنّ لهما ذلک المکان العالی الذی لابدّ للإنسان المؤمن أن یتعاطی معه بما یلیق به </w:t>
      </w:r>
      <w:r>
        <w:rPr>
          <w:rFonts w:eastAsia="IRNazanin" w:cs="IRNazanin"/>
          <w:color w:val="111111"/>
          <w:sz w:val="28"/>
          <w:szCs w:val="28"/>
          <w:rtl w:val="true"/>
          <w:lang w:bidi="fa-IR"/>
        </w:rPr>
        <w:t>.</w:t>
      </w:r>
      <w:bookmarkStart w:id="169" w:name="pg5261_55186"/>
    </w:p>
    <w:p>
      <w:pPr>
        <w:pStyle w:val="BookText"/>
        <w:rPr/>
      </w:pPr>
      <w:bookmarkEnd w:id="169"/>
      <w:r>
        <w:rPr>
          <w:rFonts w:ascii="IRNazanin" w:hAnsi="IRNazanin" w:eastAsia="IRNazanin"/>
          <w:color w:val="111111"/>
          <w:sz w:val="28"/>
          <w:sz w:val="28"/>
          <w:szCs w:val="28"/>
          <w:rtl w:val="true"/>
          <w:lang w:bidi="fa-IR"/>
        </w:rPr>
        <w:t>وقد ورد فی کتب العامة أنّ مخلوقات اللّه ، کالسماء والأرض ، وکل حجر ومدر ، والملائکة ، قد بکت علی الحسین علیه السلام</w:t>
      </w:r>
      <w:r>
        <w:rPr>
          <w:rStyle w:val="FootnoteAnchor"/>
          <w:rtl w:val="true"/>
        </w:rPr>
        <w:footnoteReference w:id="37"/>
      </w:r>
      <w:r>
        <w:rPr>
          <w:rFonts w:ascii="IRNazanin" w:hAnsi="IRNazanin" w:eastAsia="IRNazanin"/>
          <w:color w:val="111111"/>
          <w:sz w:val="28"/>
          <w:sz w:val="28"/>
          <w:szCs w:val="28"/>
          <w:rtl w:val="true"/>
          <w:lang w:bidi="fa-IR"/>
        </w:rPr>
        <w:t xml:space="preserve">، وهذا ما لا یترک للمشککین منفذاً للتشکیک فی شرعیة إحیاء ذکری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الشیخ جعفر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مشاهدهم وقبورهم قد شُعرتْ من قبل الرسول صلی الله علیه و آله حیث قد ورد عن طرق العامة</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طرق الخاصة</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 زیارتهم ، وإعمار قبورهم ، وما شابه ذلک ، مما یدلّ علی رغبة الشارع فی إشادة هذا البنیان کمعلم للدین ، إذن کون هذه الشعیرة من الشعائر العظیمة للدین ، أمر مسلّمٌ به </w:t>
      </w:r>
      <w:r>
        <w:rPr>
          <w:rFonts w:eastAsia="IRNazanin" w:cs="IRNazanin"/>
          <w:color w:val="111111"/>
          <w:sz w:val="28"/>
          <w:szCs w:val="28"/>
          <w:rtl w:val="true"/>
          <w:lang w:bidi="fa-IR"/>
        </w:rPr>
        <w:t>.</w:t>
      </w:r>
    </w:p>
    <w:p>
      <w:pPr>
        <w:pStyle w:val="Heading4"/>
        <w:numPr>
          <w:ilvl w:val="3"/>
          <w:numId w:val="1"/>
        </w:numPr>
        <w:rPr/>
      </w:pPr>
      <w:bookmarkStart w:id="170" w:name="__RefHeading___Toc477070_581953129"/>
      <w:bookmarkStart w:id="171" w:name="_Toc65"/>
      <w:bookmarkEnd w:id="170"/>
      <w:r>
        <w:rPr>
          <w:rtl w:val="true"/>
        </w:rPr>
        <w:t>أهل البیت علیهم السلام قد بیّنوا بعض مصادیق الشعائر</w:t>
      </w:r>
      <w:bookmarkEnd w:id="171"/>
    </w:p>
    <w:p>
      <w:pPr>
        <w:pStyle w:val="BookText"/>
        <w:rPr/>
      </w:pPr>
      <w:r>
        <w:rPr>
          <w:rFonts w:ascii="IRNazanin" w:hAnsi="IRNazanin" w:eastAsia="IRNazanin"/>
          <w:color w:val="111111"/>
          <w:sz w:val="28"/>
          <w:sz w:val="28"/>
          <w:szCs w:val="28"/>
          <w:rtl w:val="true"/>
          <w:lang w:bidi="fa-IR"/>
        </w:rPr>
        <w:t xml:space="preserve">وقد بیّن أهل البیت علیهم السلام بعض الأسالیب والمصادیق فی إحیاء الشعائر الحسینیة ، إلّاأنّ بیانهم علیهم السلام لتلک الأسالیب لا یدلّ علی الحصر ، وأنّ غیرها من الأسالیب والمصادیق مرفوضة فی الشرع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نتساءل عن کیفیة اختیار الشعائر المناسبة؟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الأوّل فی الشعائر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هذه الشعائر عملاً مباحاً ، وهذا أمرٌ جلیٌ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علینا أنّ الشعائر تعنی العلامات لمعنی دینی معیّن ،</w:t>
      </w:r>
      <w:bookmarkStart w:id="172" w:name="pg5261_55187"/>
    </w:p>
    <w:p>
      <w:pPr>
        <w:pStyle w:val="BookText"/>
        <w:rPr/>
      </w:pPr>
      <w:bookmarkEnd w:id="172"/>
      <w:r>
        <w:rPr>
          <w:rFonts w:ascii="IRNazanin" w:hAnsi="IRNazanin" w:eastAsia="IRNazanin"/>
          <w:color w:val="111111"/>
          <w:sz w:val="28"/>
          <w:sz w:val="28"/>
          <w:szCs w:val="28"/>
          <w:rtl w:val="true"/>
          <w:lang w:bidi="fa-IR"/>
        </w:rPr>
        <w:t xml:space="preserve">ونحن نری أنّ الشعائر الحسینیة تؤتی ثمارها إلی یومنا هذا ، لیس علی صعید مذهب أهل البیت علیهم السلام فحسب ، وإنما علی صعید المذاهب الإسلامیة الأُخری أیضاً ، کما هو حال شباب الانتفاضة الفلسطینیة الذین اتخذوا من شباب المقاومة فی جنوب لبنان نموذجاً لمحاربة إسرائیل ، والجنوبیون اتخذوا الحسین علیه السلام مناراً فی حربهم وتحریرهم لبلادهم من رجس العدو الصهیونی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روایات أهل البیت علیهم السلام قد حدّد المعنی الذی یجب أن تکون الشعائر الحسینیة دالة علیه ، وقد جمع الحر العاملی ، فی کتاب وسائل الشیعة قسم کتاب الحج فی نهایته ، روایات تتحدّث عن الزیارة ، مبوّبة فی ما یربو علی المائة باب ، ومن الباب السابع والثلاثین إلی ما بعد الباب السبعین ، خصّها صاحب الوسائل للشعائر الحسینیة </w:t>
      </w:r>
      <w:r>
        <w:rPr>
          <w:rFonts w:eastAsia="IRNazanin" w:cs="IRNazanin"/>
          <w:color w:val="111111"/>
          <w:sz w:val="28"/>
          <w:szCs w:val="28"/>
          <w:rtl w:val="true"/>
          <w:lang w:bidi="fa-IR"/>
        </w:rPr>
        <w:t>.</w:t>
      </w:r>
    </w:p>
    <w:p>
      <w:pPr>
        <w:pStyle w:val="Heading4"/>
        <w:numPr>
          <w:ilvl w:val="3"/>
          <w:numId w:val="1"/>
        </w:numPr>
        <w:rPr/>
      </w:pPr>
      <w:bookmarkStart w:id="173" w:name="__RefHeading___Toc477072_581953129"/>
      <w:bookmarkStart w:id="174" w:name="_Toc66"/>
      <w:bookmarkEnd w:id="173"/>
      <w:r>
        <w:rPr>
          <w:rtl w:val="true"/>
        </w:rPr>
        <w:t>روایات وسائل الشیعة فی إحیاء الشعائر الحسینیة</w:t>
      </w:r>
      <w:bookmarkEnd w:id="174"/>
    </w:p>
    <w:p>
      <w:pPr>
        <w:pStyle w:val="BookText"/>
        <w:rPr/>
      </w:pPr>
      <w:r>
        <w:rPr>
          <w:rFonts w:ascii="IRNazanin" w:hAnsi="IRNazanin" w:eastAsia="IRNazanin"/>
          <w:color w:val="111111"/>
          <w:sz w:val="28"/>
          <w:sz w:val="28"/>
          <w:szCs w:val="28"/>
          <w:rtl w:val="true"/>
          <w:lang w:bidi="fa-IR"/>
        </w:rPr>
        <w:t xml:space="preserve">ولابد لمن یرید أن یقیم دراسة معمّقة عن الشعائر الحسینیة ، من الاطلاع علی هذه الأبواب التی ذکرناها ، فمن المصادیق المذکورة فی روایاتهم علیهم السلام البکاء والجزع ، ویعنی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الحزن علی سید الشهداء وزیارة الحسین علیه السلام وإنشاد الشعر </w:t>
      </w:r>
      <w:r>
        <w:rPr>
          <w:rFonts w:eastAsia="IRNazanin" w:cs="IRNazanin"/>
          <w:color w:val="111111"/>
          <w:sz w:val="28"/>
          <w:szCs w:val="28"/>
          <w:rtl w:val="true"/>
          <w:lang w:bidi="fa-IR"/>
        </w:rPr>
        <w:t>.</w:t>
      </w:r>
    </w:p>
    <w:p>
      <w:pPr>
        <w:pStyle w:val="Heading4"/>
        <w:numPr>
          <w:ilvl w:val="3"/>
          <w:numId w:val="1"/>
        </w:numPr>
        <w:rPr/>
      </w:pPr>
      <w:bookmarkStart w:id="175" w:name="__RefHeading___Toc477074_581953129"/>
      <w:bookmarkStart w:id="176" w:name="_Toc67"/>
      <w:bookmarkEnd w:id="175"/>
      <w:r>
        <w:rPr>
          <w:rtl w:val="true"/>
        </w:rPr>
        <w:t xml:space="preserve">والشعائر الحسینیة لها عدّة وجوه </w:t>
      </w:r>
      <w:r>
        <w:rPr>
          <w:rtl w:val="true"/>
        </w:rPr>
        <w:t>:</w:t>
      </w:r>
      <w:bookmarkEnd w:id="176"/>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الحزن والجزع والتفجع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الحماس وإثارة المشاعر وتجییش العواطف والفداء والتضحیة والاستبسال والشجاعة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والحماس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حماساً متصلاً باللّعب والحرص والطمع ، وقد یکون متصلاً بالعمل والجدّ ، وقد یتصل بأُمور دنیویة ، ولکن الحماس فی الشعائر الحسینیة ، فهو أمرٌ مختلف ، لأنّه یتصل بالحزن علی سید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 للشعائر الحسینیة ، هو وجه المبادیء والقیم النبیلة التی استشهد من أَجلها الإمام الحسین علیه السلام ، ومن المعروف أنّ الإمام الحسین علیه السلام هو أکثر إمام من الأئمة المعصومین علیهم السلام ، ورد الحثّ علی زیارته ، وهذه الزیارات المأثورة تشدّ الزائر إلی المعانی التی من أجلها استشهد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بأنجاسها ولم تُلبسک من مُدلهمّات ثیابها وأُشهد أنّک من دعائم الدین وأرکان المؤمنین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من آداب الزیارة للحسین أن لا یملأ الزائر بطنه بالطعام والشراب ، بل یکون جائعاً وعطشاناً</w:t>
      </w:r>
      <w:r>
        <w:rPr>
          <w:rStyle w:val="FootnoteAnchor"/>
          <w:rtl w:val="true"/>
        </w:rPr>
        <w:footnoteReference w:id="41"/>
      </w:r>
      <w:r>
        <w:rPr>
          <w:rFonts w:ascii="IRNazanin" w:hAnsi="IRNazanin" w:eastAsia="IRNazanin"/>
          <w:color w:val="111111"/>
          <w:sz w:val="28"/>
          <w:sz w:val="28"/>
          <w:szCs w:val="28"/>
          <w:rtl w:val="true"/>
          <w:lang w:bidi="fa-IR"/>
        </w:rPr>
        <w:t xml:space="preserve">، لکی یعیش أجواء استشهاد الحسین علیه السلام المقتول عطشاناً ، وقد أنّب الإمام الصادق علیه السلام ، بعض الشیعة الذین کانوا یتهادون الحلوی عند قبر الإمام الحسین علیه السلام ،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قوماً إذا زاروا الحسین بن علی علیه السلام حملوا معهم السفرة فیها الحلاوة والأخبصة وأشباهها ولو زاروا قبور أحبائهم ما حملوا معهم ذلک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باعتبار أنّ تهادی الحلوی لا یناسب أجواء المصیبة والحزن </w:t>
      </w:r>
      <w:r>
        <w:rPr>
          <w:rFonts w:eastAsia="IRNazanin" w:cs="IRNazanin"/>
          <w:color w:val="111111"/>
          <w:sz w:val="28"/>
          <w:szCs w:val="28"/>
          <w:rtl w:val="true"/>
          <w:lang w:bidi="fa-IR"/>
        </w:rPr>
        <w:t>.</w:t>
      </w:r>
      <w:bookmarkStart w:id="177" w:name="pg5261_55189"/>
    </w:p>
    <w:p>
      <w:pPr>
        <w:pStyle w:val="Heading4"/>
        <w:numPr>
          <w:ilvl w:val="3"/>
          <w:numId w:val="1"/>
        </w:numPr>
        <w:rPr/>
      </w:pPr>
      <w:bookmarkStart w:id="178" w:name="__RefHeading___Toc477076_581953129"/>
      <w:bookmarkStart w:id="179" w:name="_Toc68"/>
      <w:bookmarkEnd w:id="177"/>
      <w:bookmarkEnd w:id="178"/>
      <w:r>
        <w:rPr>
          <w:rtl w:val="true"/>
        </w:rPr>
        <w:t>ینبغی أن تکون ذکری عاشوراء خالیة من مظاهر الفرح</w:t>
      </w:r>
      <w:bookmarkEnd w:id="179"/>
    </w:p>
    <w:p>
      <w:pPr>
        <w:pStyle w:val="BookText"/>
        <w:rPr/>
      </w:pPr>
      <w:r>
        <w:rPr>
          <w:rFonts w:ascii="IRNazanin" w:hAnsi="IRNazanin" w:eastAsia="IRNazanin"/>
          <w:color w:val="111111"/>
          <w:sz w:val="28"/>
          <w:sz w:val="28"/>
          <w:szCs w:val="28"/>
          <w:rtl w:val="true"/>
          <w:lang w:bidi="fa-IR"/>
        </w:rPr>
        <w:t xml:space="preserve">وقد ذکر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فی یوم العاشر للمؤمن ، أن لا یلتذّ بالطعام والشراب ، ولا یتزین بزینة ، ولا تکون حالته الظاهرة حالة فرح ، بل حالة حزن ومصاب</w:t>
      </w:r>
      <w:r>
        <w:rPr>
          <w:rStyle w:val="FootnoteAnchor"/>
          <w:rtl w:val="true"/>
        </w:rPr>
        <w:footnoteReference w:id="43"/>
      </w:r>
      <w:r>
        <w:rPr>
          <w:rFonts w:ascii="IRNazanin" w:hAnsi="IRNazanin" w:eastAsia="IRNazanin"/>
          <w:color w:val="111111"/>
          <w:sz w:val="28"/>
          <w:sz w:val="28"/>
          <w:szCs w:val="28"/>
          <w:rtl w:val="true"/>
          <w:lang w:bidi="fa-IR"/>
        </w:rPr>
        <w:t xml:space="preserve">، وقد أُثر عن الکثیر من فقهاء الإمامیة ، أنّهم کانوا لا یتناولون الفواکه فی أیام عاشوراء ، باعتبارها مظهراً من مظاهر التلذّذ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 وکان الأئمة علیهم السلام تبدو علیهم علامات الحزن بمجرد دخول شهر محرم الحرام </w:t>
      </w:r>
      <w:r>
        <w:rPr>
          <w:rFonts w:eastAsia="IRNazanin" w:cs="IRNazanin"/>
          <w:color w:val="111111"/>
          <w:sz w:val="28"/>
          <w:szCs w:val="28"/>
          <w:rtl w:val="true"/>
          <w:lang w:bidi="fa-IR"/>
        </w:rPr>
        <w:t>.</w:t>
      </w:r>
    </w:p>
    <w:p>
      <w:pPr>
        <w:pStyle w:val="Heading4"/>
        <w:numPr>
          <w:ilvl w:val="3"/>
          <w:numId w:val="1"/>
        </w:numPr>
        <w:rPr/>
      </w:pPr>
      <w:bookmarkStart w:id="180" w:name="__RefHeading___Toc477078_581953129"/>
      <w:bookmarkStart w:id="181" w:name="_Toc69"/>
      <w:bookmarkEnd w:id="180"/>
      <w:r>
        <w:rPr>
          <w:rtl w:val="true"/>
        </w:rPr>
        <w:t>المحافظة علی قدسیّة الذکری</w:t>
      </w:r>
      <w:bookmarkEnd w:id="181"/>
    </w:p>
    <w:p>
      <w:pPr>
        <w:pStyle w:val="BookText"/>
        <w:rPr/>
      </w:pPr>
      <w:r>
        <w:rPr>
          <w:rFonts w:ascii="IRNazanin" w:hAnsi="IRNazanin" w:eastAsia="IRNazanin"/>
          <w:color w:val="111111"/>
          <w:sz w:val="28"/>
          <w:sz w:val="28"/>
          <w:szCs w:val="28"/>
          <w:rtl w:val="true"/>
          <w:lang w:bidi="fa-IR"/>
        </w:rPr>
        <w:t xml:space="preserve">وکانت عاشوراء فی السابق أکثر تفجّعاً وحزناً فی البحرین ، کما ینقل بعض من عاصر تلک الحقبة ، أمّا الآن فکثرة الأکل ، وإن کان علی حبّ الحسین علیه السلام والأکل علی حب الحسین علیه السلام من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المبالغة فی الأکل ، لا سیما إذا أُضیفت له الفواکه والحلویات ، لا یتناسب مع الحزن علی مصاب سید الشهداء علیه السلام ، کما أنّ البعض فی موسم محرم لا یراعی حرمة المناسبة فیلبس لباساً مثیراً ، ویُعتبر هذا اللباس محرّماً شرعاً ، أو علی أقل التقادیر مقدّمة لمحرم ، وکذلک بعض الألحان التی تکون فی مواکب العزاء ، لا تتناسب مع الحزن والفاجعة فی هذه الذکری الألیمة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بعض الروایات الحثّ علی قرآءة القرآن بحزن</w:t>
      </w:r>
      <w:r>
        <w:rPr>
          <w:rStyle w:val="FootnoteAnchor"/>
          <w:rtl w:val="true"/>
        </w:rPr>
        <w:footnoteReference w:id="44"/>
      </w:r>
      <w:r>
        <w:rPr>
          <w:rFonts w:ascii="IRNazanin" w:hAnsi="IRNazanin" w:eastAsia="IRNazanin"/>
          <w:color w:val="111111"/>
          <w:sz w:val="28"/>
          <w:sz w:val="28"/>
          <w:szCs w:val="28"/>
          <w:rtl w:val="true"/>
          <w:lang w:bidi="fa-IR"/>
        </w:rPr>
        <w:t xml:space="preserve">، لأنّ اللحن الحزین یساعد علی التدبّر والتحلیق فی معانی القرآن الکریم ، وأتذکّر الألحان القدیمة لحمزة الصغیر ، وغیره من الروادید رحمهم اللّه ، کانت ألحان مفجعة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المطلوب من الألحان أن تکون ألحاناً حماسیة حزینة ، لا ألحاناً حماسیةً مطربة ، وهذا الأمر لیس أمراً هامشیاً ، وإنّما أمراً مهماً ، لأنّ الموکب واجهة مهمة ، تُبرز الشعائر الحسینیة للناس </w:t>
      </w:r>
      <w:r>
        <w:rPr>
          <w:rFonts w:eastAsia="IRNazanin" w:cs="IRNazanin"/>
          <w:color w:val="111111"/>
          <w:sz w:val="28"/>
          <w:szCs w:val="28"/>
          <w:rtl w:val="true"/>
          <w:lang w:bidi="fa-IR"/>
        </w:rPr>
        <w:t>.</w:t>
      </w:r>
      <w:bookmarkStart w:id="182" w:name="pg5261_55191"/>
    </w:p>
    <w:p>
      <w:pPr>
        <w:pStyle w:val="Heading3"/>
        <w:numPr>
          <w:ilvl w:val="2"/>
          <w:numId w:val="1"/>
        </w:numPr>
        <w:rPr/>
      </w:pPr>
      <w:bookmarkStart w:id="183" w:name="__RefHeading___Toc477080_581953129"/>
      <w:bookmarkStart w:id="184" w:name="_Toc70"/>
      <w:bookmarkEnd w:id="182"/>
      <w:bookmarkEnd w:id="183"/>
      <w:r>
        <w:rPr>
          <w:rtl w:val="true"/>
        </w:rPr>
        <w:t>المحاضرة الثانیة البکاء ، وعلاج ظاهرة الإرهاب والقسوة</w:t>
      </w:r>
      <w:bookmarkEnd w:id="184"/>
    </w:p>
    <w:p>
      <w:pPr>
        <w:pStyle w:val="Heading4"/>
        <w:numPr>
          <w:ilvl w:val="3"/>
          <w:numId w:val="1"/>
        </w:numPr>
        <w:rPr/>
      </w:pPr>
      <w:bookmarkStart w:id="185" w:name="__RefHeading___Toc477082_581953129"/>
      <w:bookmarkStart w:id="186" w:name="_Toc71"/>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أرکان الشعیرة الحسینیة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تدل الشعیرة الحسینیة علی أهداف وقیم الثورة الحسینیة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تطبیق مواقف وأهداف الإمام الحسین علیه السلام علی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البکاء ظاهرة سلبیة؟</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علاج لأمراض الروح والنفس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والقرآن الکریم یثنی علی البکائین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یُقرّب الإنسان إلی الفضائل ، ویرقق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الإرهاب مرادفٌ للصلابة والشدّة؟</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المراحل التی تستند إلیها القضایا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علیهم السلام یرجع أعداءه إلی الأصول الأخلاقیة</w:t>
      </w:r>
      <w:r>
        <w:rPr>
          <w:rFonts w:eastAsia="IRNazanin" w:cs="IRNazanin"/>
          <w:color w:val="111111"/>
          <w:sz w:val="28"/>
          <w:szCs w:val="28"/>
          <w:rtl w:val="true"/>
          <w:lang w:bidi="fa-IR"/>
        </w:rPr>
        <w:t>.</w:t>
      </w:r>
    </w:p>
    <w:p>
      <w:pPr>
        <w:pStyle w:val="Heading4"/>
        <w:numPr>
          <w:ilvl w:val="3"/>
          <w:numId w:val="1"/>
        </w:numPr>
        <w:rPr/>
      </w:pPr>
      <w:bookmarkStart w:id="187" w:name="__RefHeading___Toc477084_581953129"/>
      <w:bookmarkStart w:id="188" w:name="_Toc72"/>
      <w:bookmarkEnd w:id="187"/>
      <w:r>
        <w:rPr>
          <w:rtl w:val="true"/>
        </w:rPr>
        <w:t>أرکان الشعیرة الحسینیة</w:t>
      </w:r>
      <w:bookmarkEnd w:id="188"/>
    </w:p>
    <w:p>
      <w:pPr>
        <w:pStyle w:val="BookText"/>
        <w:rPr/>
      </w:pPr>
      <w:r>
        <w:rPr>
          <w:rFonts w:ascii="IRNazanin" w:hAnsi="IRNazanin" w:eastAsia="IRNazanin"/>
          <w:color w:val="111111"/>
          <w:sz w:val="28"/>
          <w:sz w:val="28"/>
          <w:szCs w:val="28"/>
          <w:rtl w:val="true"/>
          <w:lang w:bidi="fa-IR"/>
        </w:rPr>
        <w:t xml:space="preserve">مرّ علینا اللیلة الفائتة ، أنّ الروایات المتواترة عن أهل البیت علیهم السلام ذکرت بأنّ الشعیرة الحسینیة یجب أن تتقوّم بأرکان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معنی الحزن والمصاب والتفجّع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الحماس والعاطفة الجیّاشة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المبادیء والقیم النبیلة رسمها الحسین علیه السلام فی نهضة </w:t>
      </w:r>
      <w:r>
        <w:rPr>
          <w:rFonts w:eastAsia="IRNazanin" w:cs="IRNazanin"/>
          <w:color w:val="111111"/>
          <w:sz w:val="28"/>
          <w:szCs w:val="28"/>
          <w:rtl w:val="true"/>
          <w:lang w:bidi="fa-IR"/>
        </w:rPr>
        <w:t>.</w:t>
      </w:r>
      <w:bookmarkStart w:id="189" w:name="pg5261_55192"/>
    </w:p>
    <w:p>
      <w:pPr>
        <w:pStyle w:val="BookText"/>
        <w:rPr/>
      </w:pPr>
      <w:bookmarkEnd w:id="189"/>
      <w:r>
        <w:rPr>
          <w:rFonts w:ascii="IRNazanin" w:hAnsi="IRNazanin" w:eastAsia="IRNazanin"/>
          <w:color w:val="111111"/>
          <w:sz w:val="28"/>
          <w:sz w:val="28"/>
          <w:szCs w:val="28"/>
          <w:rtl w:val="true"/>
          <w:lang w:bidi="fa-IR"/>
        </w:rPr>
        <w:t>وقد تقدّم الکلام عن الرکنین الأوّل والثانی وبقی الکلام عن الرکن الثالث</w:t>
      </w:r>
      <w:r>
        <w:rPr>
          <w:rFonts w:eastAsia="IRNazanin" w:cs="IRNazanin"/>
          <w:color w:val="111111"/>
          <w:sz w:val="28"/>
          <w:szCs w:val="28"/>
          <w:rtl w:val="true"/>
          <w:lang w:bidi="fa-IR"/>
        </w:rPr>
        <w:t>.</w:t>
      </w:r>
    </w:p>
    <w:p>
      <w:pPr>
        <w:pStyle w:val="Heading4"/>
        <w:numPr>
          <w:ilvl w:val="3"/>
          <w:numId w:val="1"/>
        </w:numPr>
        <w:rPr/>
      </w:pPr>
      <w:bookmarkStart w:id="190" w:name="__RefHeading___Toc477086_581953129"/>
      <w:bookmarkStart w:id="191" w:name="_Toc73"/>
      <w:bookmarkEnd w:id="190"/>
      <w:r>
        <w:rPr>
          <w:rtl w:val="true"/>
        </w:rPr>
        <w:t>یجب أن تدل الشعیرة الحسینیة علی أهداف وقیم الثورة الحسینیة</w:t>
      </w:r>
      <w:bookmarkEnd w:id="191"/>
    </w:p>
    <w:p>
      <w:pPr>
        <w:pStyle w:val="BookText"/>
        <w:rPr/>
      </w:pPr>
      <w:r>
        <w:rPr>
          <w:rFonts w:ascii="IRNazanin" w:hAnsi="IRNazanin" w:eastAsia="IRNazanin"/>
          <w:color w:val="111111"/>
          <w:sz w:val="28"/>
          <w:sz w:val="28"/>
          <w:szCs w:val="28"/>
          <w:rtl w:val="true"/>
          <w:lang w:bidi="fa-IR"/>
        </w:rPr>
        <w:t>فإنّ ضرورة کون الشعیرة الحسینیة دالة علی المعانی والفضائل والقیم النبیلة والأهداف الإصلاحیة والتی کانت منعطفاً مهمّاً فی التاریخ الإسلامی ، وحیث إنّ أهل البیت علیهم السلام ، هم العِدل الثانی الذین أُمرنا بالتمسک بهم ، فلابد أن تکون أقوالهم وأفعالهم وسیرتهم حجة ، ومن ثَمّ فإنّ الشعیرة الحسینیة لابد أن تکون دالة علی الأهداف والفضائل والقیم النبیلة التی قام من أجلها الحسین علیه السلام ، وصحّح مسیرة الأُمة</w:t>
      </w:r>
      <w:r>
        <w:rPr>
          <w:rFonts w:eastAsia="IRNazanin" w:cs="IRNazanin"/>
          <w:color w:val="111111"/>
          <w:sz w:val="28"/>
          <w:szCs w:val="28"/>
          <w:rtl w:val="true"/>
          <w:lang w:bidi="fa-IR"/>
        </w:rPr>
        <w:t>.</w:t>
      </w:r>
    </w:p>
    <w:p>
      <w:pPr>
        <w:pStyle w:val="Heading4"/>
        <w:numPr>
          <w:ilvl w:val="3"/>
          <w:numId w:val="1"/>
        </w:numPr>
        <w:rPr/>
      </w:pPr>
      <w:bookmarkStart w:id="192" w:name="__RefHeading___Toc477088_581953129"/>
      <w:bookmarkStart w:id="193" w:name="_Toc74"/>
      <w:bookmarkEnd w:id="192"/>
      <w:r>
        <w:rPr>
          <w:rtl w:val="true"/>
        </w:rPr>
        <w:t>یجب تطبیق مواقف وأهداف الإمام الحسین علیه السلام علی الواقع</w:t>
      </w:r>
      <w:bookmarkEnd w:id="193"/>
    </w:p>
    <w:p>
      <w:pPr>
        <w:pStyle w:val="BookText"/>
        <w:rPr/>
      </w:pPr>
      <w:r>
        <w:rPr>
          <w:rFonts w:ascii="IRNazanin" w:hAnsi="IRNazanin" w:eastAsia="IRNazanin"/>
          <w:color w:val="111111"/>
          <w:sz w:val="28"/>
          <w:sz w:val="28"/>
          <w:szCs w:val="28"/>
          <w:rtl w:val="true"/>
          <w:lang w:bidi="fa-IR"/>
        </w:rPr>
        <w:t>ویجب أن تجعل الشعیرة الحسینیة ، من منطلقات الإمام الحسین علیه السلام وأهدافه ، محوراً وقطباً ومنهلاً تنتهل منه الحلول لقضایانا الراهنة ، وإذا کان استعراض القضایا الراهنة بعیداً عن فکر کربلاء وعطاء الحسین علیه السلام ، فإنّ الشعیرة الحسینیة لا تُؤدّی غرضها کما ینبغی ، وکذلک استعراض السیرة الحسینیة بعیداً عن ربطها بالقضایا الراهنة المعاصرة یقف عائقاً أمام تحقیق غرض الشعیرة الحسینیة ، ولا یمکن للشعیرة الحسینیة أن تُؤدّی غرضها ، إلّاإذا قمنا بتحلیل مواقف الإمام الحسین علیه السلام ، وکلماته وتطبیقها علی الواقع ، وحینئذٍ نکون قد تمسّکنا بالإمام الحسین علیه السلام الذی هو مصباح الهدی وسفینة النجاة</w:t>
      </w:r>
      <w:r>
        <w:rPr>
          <w:rFonts w:eastAsia="IRNazanin" w:cs="IRNazanin"/>
          <w:color w:val="111111"/>
          <w:sz w:val="28"/>
          <w:szCs w:val="28"/>
          <w:rtl w:val="true"/>
          <w:lang w:bidi="fa-IR"/>
        </w:rPr>
        <w:t>.</w:t>
      </w:r>
    </w:p>
    <w:p>
      <w:pPr>
        <w:pStyle w:val="Heading4"/>
        <w:numPr>
          <w:ilvl w:val="3"/>
          <w:numId w:val="1"/>
        </w:numPr>
        <w:rPr/>
      </w:pPr>
      <w:bookmarkStart w:id="194" w:name="__RefHeading___Toc477090_581953129"/>
      <w:bookmarkStart w:id="195" w:name="_Toc75"/>
      <w:bookmarkEnd w:id="194"/>
      <w:r>
        <w:rPr>
          <w:rtl w:val="true"/>
        </w:rPr>
        <w:t>هل البکاء ظاهرة سلبیة ؟</w:t>
      </w:r>
      <w:bookmarkEnd w:id="1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المعروف أنّ البکاء من الأُمور المؤکّدة التی حثّ علیها أهل البیت علیهم السلام</w:t>
      </w:r>
      <w:r>
        <w:rPr>
          <w:rStyle w:val="FootnoteAnchor"/>
          <w:rtl w:val="true"/>
        </w:rPr>
        <w:footnoteReference w:id="45"/>
      </w:r>
      <w:r>
        <w:rPr>
          <w:rFonts w:ascii="IRNazanin" w:hAnsi="IRNazanin" w:eastAsia="IRNazanin"/>
          <w:color w:val="111111"/>
          <w:sz w:val="28"/>
          <w:sz w:val="28"/>
          <w:szCs w:val="28"/>
          <w:rtl w:val="true"/>
          <w:lang w:bidi="fa-IR"/>
        </w:rPr>
        <w:t>،</w:t>
      </w:r>
      <w:bookmarkStart w:id="196" w:name="pg5261_55193"/>
    </w:p>
    <w:p>
      <w:pPr>
        <w:pStyle w:val="BookText"/>
        <w:rPr/>
      </w:pPr>
      <w:bookmarkEnd w:id="196"/>
      <w:r>
        <w:rPr>
          <w:rFonts w:ascii="IRNazanin" w:hAnsi="IRNazanin" w:eastAsia="IRNazanin"/>
          <w:color w:val="111111"/>
          <w:sz w:val="28"/>
          <w:sz w:val="28"/>
          <w:szCs w:val="28"/>
          <w:rtl w:val="true"/>
          <w:lang w:bidi="fa-IR"/>
        </w:rPr>
        <w:t xml:space="preserve">بل هو من أبرز الشعائر الحسینیة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القضایا المثارة حول شعائر الحسین علیه السلام ، هی قضیة البکاء والجزع ، التی تثیر اعتراضات من قبل غیر المسلمین أو غیر الشیعة من المذاهب الإسلامیة ، وهذه الاعتراضات اعتراضات غیر مدروسة ، لأنّ البکاء ظاهرة نفسیة تستحق البحث والدراسة فی حقول علم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أنّ البکاء ظاهرة سلبیة بما تحمله من حالة الانکسار والضعف وعدم الشجاعة فی مواجهة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p>
    <w:p>
      <w:pPr>
        <w:pStyle w:val="Heading4"/>
        <w:numPr>
          <w:ilvl w:val="3"/>
          <w:numId w:val="1"/>
        </w:numPr>
        <w:rPr/>
      </w:pPr>
      <w:bookmarkStart w:id="197" w:name="__RefHeading___Toc477092_581953129"/>
      <w:bookmarkStart w:id="198" w:name="_Toc76"/>
      <w:bookmarkEnd w:id="197"/>
      <w:r>
        <w:rPr>
          <w:rtl w:val="true"/>
        </w:rPr>
        <w:t>البکاء علاج لأمراض الروح والنفس</w:t>
      </w:r>
      <w:bookmarkEnd w:id="198"/>
    </w:p>
    <w:p>
      <w:pPr>
        <w:pStyle w:val="BookText"/>
        <w:rPr/>
      </w:pPr>
      <w:r>
        <w:rPr>
          <w:rFonts w:ascii="IRNazanin" w:hAnsi="IRNazanin" w:eastAsia="IRNazanin"/>
          <w:color w:val="111111"/>
          <w:sz w:val="28"/>
          <w:sz w:val="28"/>
          <w:szCs w:val="28"/>
          <w:rtl w:val="true"/>
          <w:lang w:bidi="fa-IR"/>
        </w:rPr>
        <w:t xml:space="preserve">والدراسات الغربیة تؤکّد أنّ الکثیر من العُقَد والأمراض النفسیة والاجرام والاضطرابات الروحیة ، إنّما تحصل نتیجة غیاب وفقدان البکاء ، وأنّ فی البکاء علاج لهذه الأمراض الروحیة والنفسیة ، وقد عمل بعض الأطباء الغربیین علی تهیئة أجواء البکاء لبعض المرضی ، أو کما یصطلحون علیه بالبکاء الاصطناعی فی مقابل البکاء الطبیعی ؛ لأنّ فی البکاء علاج نفسی </w:t>
      </w:r>
      <w:r>
        <w:rPr>
          <w:rFonts w:eastAsia="IRNazanin" w:cs="IRNazanin"/>
          <w:color w:val="111111"/>
          <w:sz w:val="28"/>
          <w:szCs w:val="28"/>
          <w:rtl w:val="true"/>
          <w:lang w:bidi="fa-IR"/>
        </w:rPr>
        <w:t>.</w:t>
      </w:r>
    </w:p>
    <w:p>
      <w:pPr>
        <w:pStyle w:val="Heading4"/>
        <w:numPr>
          <w:ilvl w:val="3"/>
          <w:numId w:val="1"/>
        </w:numPr>
        <w:rPr/>
      </w:pPr>
      <w:bookmarkStart w:id="199" w:name="__RefHeading___Toc477094_581953129"/>
      <w:bookmarkStart w:id="200" w:name="_Toc77"/>
      <w:bookmarkEnd w:id="199"/>
      <w:r>
        <w:rPr>
          <w:rtl w:val="true"/>
        </w:rPr>
        <w:t>الإسلام والقرآن الکریم یثنی علی البکّائین</w:t>
      </w:r>
      <w:bookmarkEnd w:id="200"/>
    </w:p>
    <w:p>
      <w:pPr>
        <w:pStyle w:val="BookText"/>
        <w:rPr/>
      </w:pPr>
      <w:r>
        <w:rPr>
          <w:rFonts w:ascii="IRNazanin" w:hAnsi="IRNazanin" w:eastAsia="IRNazanin"/>
          <w:color w:val="111111"/>
          <w:sz w:val="28"/>
          <w:sz w:val="28"/>
          <w:szCs w:val="28"/>
          <w:rtl w:val="true"/>
          <w:lang w:bidi="fa-IR"/>
        </w:rPr>
        <w:t xml:space="preserve">فمسألة البکاء یجب أن تخضع لدراسة ، ولا ینبغی أن یحکم علیها بالسلبیة ، خصوصاً أنّ الإسلام قد حثّ علی البکاء من خشیة اللّه والتوبة من الذنوب والرجوع إلی اللّه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أنّ القرآن الکریم قد أثنی علی القسیسین والرهبان ، لأنّ أعینهم تفیض من الدمع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 ذلِکَ بِأَنَّ مِنْهُمْ قِسِّیسِینَ</w:t>
      </w:r>
      <w:bookmarkStart w:id="201" w:name="pg5261_55194"/>
    </w:p>
    <w:p>
      <w:pPr>
        <w:pStyle w:val="BookText"/>
        <w:rPr/>
      </w:pPr>
      <w:bookmarkEnd w:id="201"/>
      <w:r>
        <w:rPr>
          <w:rFonts w:ascii="Amiri" w:hAnsi="Amiri" w:eastAsia="Amiri" w:cs="Amiri"/>
          <w:color w:val="111111"/>
          <w:sz w:val="28"/>
          <w:sz w:val="28"/>
          <w:szCs w:val="28"/>
          <w:rtl w:val="true"/>
          <w:lang w:bidi="ar-SA"/>
        </w:rPr>
        <w:t xml:space="preserve">وَ رُهْباناً وَ 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4"/>
        <w:numPr>
          <w:ilvl w:val="3"/>
          <w:numId w:val="1"/>
        </w:numPr>
        <w:rPr/>
      </w:pPr>
      <w:bookmarkStart w:id="202" w:name="__RefHeading___Toc477096_581953129"/>
      <w:bookmarkStart w:id="203" w:name="_Toc78"/>
      <w:bookmarkEnd w:id="202"/>
      <w:r>
        <w:rPr>
          <w:rtl w:val="true"/>
        </w:rPr>
        <w:t>البکاء یُقرّب الإنسان إلی الفضائل ، ویرقق القلب</w:t>
      </w:r>
      <w:bookmarkEnd w:id="203"/>
    </w:p>
    <w:p>
      <w:pPr>
        <w:pStyle w:val="BookText"/>
        <w:rPr/>
      </w:pPr>
      <w:r>
        <w:rPr>
          <w:rFonts w:ascii="IRNazanin" w:hAnsi="IRNazanin" w:eastAsia="IRNazanin"/>
          <w:color w:val="111111"/>
          <w:sz w:val="28"/>
          <w:sz w:val="28"/>
          <w:szCs w:val="28"/>
          <w:rtl w:val="true"/>
          <w:lang w:bidi="fa-IR"/>
        </w:rPr>
        <w:t>الکبر والعجب والتعجرف والاستعلاء والعصبیة أمراض ، وتعتبر ظاهرة البکاء علاج لهذه الأمراض ، ویستطیع البکاء أن یقتلع الکثیر من جذور الصفات المذمومة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یقترب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أغلب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البکاء إلّاإذا اقترب إلی الفضائل والقیم النبیلة والمبادیء الإنسانیة العالیة ، وتکون نتیجة هذا البکاء هو تخلّص الإنسان من الرذائل ، وابتعاده عن الأفراد والجماعات التی تمارس هذه الرذائل الروحیة ، ویقرّب البکاء الإنسان إلی الفضائل ویجعله یحبّ ، ویقترب إلی أهل الفضائل والمحسنین والصالحین </w:t>
      </w:r>
      <w:r>
        <w:rPr>
          <w:rFonts w:eastAsia="IRNazanin" w:cs="IRNazanin"/>
          <w:color w:val="111111"/>
          <w:sz w:val="28"/>
          <w:szCs w:val="28"/>
          <w:rtl w:val="true"/>
          <w:lang w:bidi="fa-IR"/>
        </w:rPr>
        <w:t>.</w:t>
      </w:r>
    </w:p>
    <w:p>
      <w:pPr>
        <w:pStyle w:val="Heading4"/>
        <w:numPr>
          <w:ilvl w:val="3"/>
          <w:numId w:val="1"/>
        </w:numPr>
        <w:rPr/>
      </w:pPr>
      <w:bookmarkStart w:id="204" w:name="__RefHeading___Toc477098_581953129"/>
      <w:bookmarkStart w:id="205" w:name="_Toc79"/>
      <w:bookmarkEnd w:id="204"/>
      <w:r>
        <w:rPr>
          <w:rtl w:val="true"/>
        </w:rPr>
        <w:t>الحکمة الإلهیة لخلق حالة البکاء عند الإنسان</w:t>
      </w:r>
      <w:bookmarkEnd w:id="205"/>
    </w:p>
    <w:p>
      <w:pPr>
        <w:pStyle w:val="BookText"/>
        <w:rPr/>
      </w:pPr>
      <w:r>
        <w:rPr>
          <w:rFonts w:ascii="IRNazanin" w:hAnsi="IRNazanin" w:eastAsia="IRNazanin"/>
          <w:color w:val="111111"/>
          <w:sz w:val="28"/>
          <w:sz w:val="28"/>
          <w:szCs w:val="28"/>
          <w:rtl w:val="true"/>
          <w:lang w:bidi="fa-IR"/>
        </w:rPr>
        <w:t xml:space="preserve">ولو تساءلنا ، لِمَ خلق اللّه حالة البکاء ، وجعلها مرتبطة بالإنسان؟ الجواب هو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البکاء تصحیح ، وطب نفسی سریع جداً للأمراض المتجذّرة ، والتی ربما تکون أمراضاً نفسیة سرطانیة خطیرة تهدّد مستقبل الإنسان والمجتمع ، ومن ناحیة أُخری فإنّ البکاء یبنی الفضائل والمحاسن فی نفس الإنسان بشکل سریع أیضاً ،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للّه، وهو من أفضل الکمالات التی یحصل علیها الإنسان ، ورقّة القلب والصفاء النفسی له علاقة وثیقة بالبکاء ، ویختصر البکاء الطریق إلی اللّه ویقرب إلیه </w:t>
      </w:r>
      <w:r>
        <w:rPr>
          <w:rFonts w:eastAsia="IRNazanin" w:cs="IRNazanin"/>
          <w:color w:val="111111"/>
          <w:sz w:val="28"/>
          <w:szCs w:val="28"/>
          <w:rtl w:val="true"/>
          <w:lang w:bidi="fa-IR"/>
        </w:rPr>
        <w:t>.</w:t>
      </w:r>
      <w:bookmarkStart w:id="206" w:name="pg5261_55195"/>
    </w:p>
    <w:p>
      <w:pPr>
        <w:pStyle w:val="Heading4"/>
        <w:numPr>
          <w:ilvl w:val="3"/>
          <w:numId w:val="1"/>
        </w:numPr>
        <w:rPr/>
      </w:pPr>
      <w:bookmarkStart w:id="207" w:name="__RefHeading___Toc477100_581953129"/>
      <w:bookmarkStart w:id="208" w:name="_Toc80"/>
      <w:bookmarkEnd w:id="206"/>
      <w:bookmarkEnd w:id="207"/>
      <w:r>
        <w:rPr>
          <w:rtl w:val="true"/>
        </w:rPr>
        <w:t>الآثار الإیجابیة للبکاء</w:t>
      </w:r>
      <w:bookmarkEnd w:id="208"/>
    </w:p>
    <w:p>
      <w:pPr>
        <w:pStyle w:val="BookText"/>
        <w:rPr/>
      </w:pPr>
      <w:r>
        <w:rPr>
          <w:rFonts w:ascii="IRNazanin" w:hAnsi="IRNazanin" w:eastAsia="IRNazanin"/>
          <w:color w:val="111111"/>
          <w:sz w:val="28"/>
          <w:sz w:val="28"/>
          <w:szCs w:val="28"/>
          <w:rtl w:val="true"/>
          <w:lang w:bidi="fa-IR"/>
        </w:rPr>
        <w:t>ولا نجد فی المصادر الإسلامیة من القرآن</w:t>
      </w:r>
      <w:r>
        <w:rPr>
          <w:rStyle w:val="FootnoteAnchor"/>
          <w:rtl w:val="true"/>
        </w:rPr>
        <w:footnoteReference w:id="46"/>
      </w:r>
      <w:r>
        <w:rPr>
          <w:rFonts w:ascii="IRNazanin" w:hAnsi="IRNazanin" w:eastAsia="IRNazanin"/>
          <w:color w:val="111111"/>
          <w:sz w:val="28"/>
          <w:sz w:val="28"/>
          <w:szCs w:val="28"/>
          <w:rtl w:val="true"/>
          <w:lang w:bidi="fa-IR"/>
        </w:rPr>
        <w:t>وأحادیث أهل البیت علیهم السلام</w:t>
      </w:r>
      <w:r>
        <w:rPr>
          <w:rStyle w:val="FootnoteAnchor"/>
          <w:rtl w:val="true"/>
        </w:rPr>
        <w:footnoteReference w:id="47"/>
      </w:r>
      <w:r>
        <w:rPr>
          <w:rFonts w:ascii="IRNazanin" w:hAnsi="IRNazanin" w:eastAsia="IRNazanin"/>
          <w:color w:val="111111"/>
          <w:sz w:val="28"/>
          <w:sz w:val="28"/>
          <w:szCs w:val="28"/>
          <w:rtl w:val="true"/>
          <w:lang w:bidi="fa-IR"/>
        </w:rPr>
        <w:t>بل حتّی روایات أهل السنّة المذکورة فی صحاحهم</w:t>
      </w:r>
      <w:r>
        <w:rPr>
          <w:rStyle w:val="FootnoteAnchor"/>
          <w:rtl w:val="true"/>
        </w:rPr>
        <w:footnoteReference w:id="48"/>
      </w:r>
      <w:r>
        <w:rPr>
          <w:rFonts w:ascii="IRNazanin" w:hAnsi="IRNazanin" w:eastAsia="IRNazanin"/>
          <w:color w:val="111111"/>
          <w:sz w:val="28"/>
          <w:sz w:val="28"/>
          <w:szCs w:val="28"/>
          <w:rtl w:val="true"/>
          <w:lang w:bidi="fa-IR"/>
        </w:rPr>
        <w:t xml:space="preserve">؛ إلّاالثناء والمدح للبکاء والتنویه بآثاره الإیجابیة ، لأنّ البکاء یقف مقابل الرعونة والخشونة والقساوة ، والمجتمع الدولی یعانی الیوم من الإرهاب والقساوة والعنف والفرعنة والأنانیة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ویصلح البکاء إذا ما نجحنا فی تفعیله فی النفس أن یذهب القساوة والعنف والإرهاب من نفس الإنسان ، فمن الخطأ الاستخفاف والاستهزاء بالبکاء ، لأنّ البکاء من أفضل العبادات ، والإنسان یکون فی أقرب الحالات إلی اللّه تعالی إذا کان فی حالة الانکسار والتضرّع والضعف </w:t>
      </w:r>
      <w:r>
        <w:rPr>
          <w:rFonts w:eastAsia="IRNazanin" w:cs="IRNazanin"/>
          <w:color w:val="111111"/>
          <w:sz w:val="28"/>
          <w:szCs w:val="28"/>
          <w:rtl w:val="true"/>
          <w:lang w:bidi="fa-IR"/>
        </w:rPr>
        <w:t>.</w:t>
      </w:r>
    </w:p>
    <w:p>
      <w:pPr>
        <w:pStyle w:val="Heading4"/>
        <w:numPr>
          <w:ilvl w:val="3"/>
          <w:numId w:val="1"/>
        </w:numPr>
        <w:rPr/>
      </w:pPr>
      <w:bookmarkStart w:id="209" w:name="__RefHeading___Toc477102_581953129"/>
      <w:bookmarkStart w:id="210" w:name="_Toc81"/>
      <w:bookmarkEnd w:id="209"/>
      <w:r>
        <w:rPr>
          <w:rtl w:val="true"/>
        </w:rPr>
        <w:t>الحسین قتیل العَبرة</w:t>
      </w:r>
      <w:bookmarkEnd w:id="210"/>
    </w:p>
    <w:p>
      <w:pPr>
        <w:pStyle w:val="BookText"/>
        <w:rPr/>
      </w:pPr>
      <w:r>
        <w:rPr>
          <w:rFonts w:ascii="IRNazanin" w:hAnsi="IRNazanin" w:eastAsia="IRNazanin"/>
          <w:color w:val="111111"/>
          <w:sz w:val="28"/>
          <w:sz w:val="28"/>
          <w:szCs w:val="28"/>
          <w:rtl w:val="true"/>
          <w:lang w:bidi="fa-IR"/>
        </w:rPr>
        <w:t>والبکاء یصاحب هذه الحالات النفسیة العالیة ، ومن هنا کانت روایات أهل البیت علیهم السلام تعبّر عن الحسین علیه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والعَبرة هی الدمعة والبکاء المرتبط بالفضائل ، والنبی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إذاً العَبرة الحسینیة تصبّ فی مصبّ بناء مکارم الأخلاق وتتناغم مع أهداف الرسالة المحمّدیة </w:t>
      </w:r>
      <w:r>
        <w:rPr>
          <w:rFonts w:eastAsia="IRNazanin" w:cs="IRNazanin"/>
          <w:color w:val="111111"/>
          <w:sz w:val="28"/>
          <w:szCs w:val="28"/>
          <w:rtl w:val="true"/>
          <w:lang w:bidi="fa-IR"/>
        </w:rPr>
        <w:t>.</w:t>
      </w:r>
    </w:p>
    <w:p>
      <w:pPr>
        <w:pStyle w:val="Heading4"/>
        <w:numPr>
          <w:ilvl w:val="3"/>
          <w:numId w:val="1"/>
        </w:numPr>
        <w:rPr/>
      </w:pPr>
      <w:bookmarkStart w:id="211" w:name="__RefHeading___Toc477104_581953129"/>
      <w:bookmarkStart w:id="212" w:name="_Toc82"/>
      <w:bookmarkEnd w:id="211"/>
      <w:r>
        <w:rPr>
          <w:rtl w:val="true"/>
        </w:rPr>
        <w:t>لا بدّ من التفاعل مع القضیة ، لکی نستطیع تفعیل دور البکاء</w:t>
      </w:r>
      <w:bookmarkEnd w:id="2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الروایات تشیر إلی أنّ من أسرار استشهاد الإمام الحسین علیه السلام ، هو بکاء</w:t>
      </w:r>
      <w:bookmarkStart w:id="213" w:name="pg5261_55196"/>
    </w:p>
    <w:p>
      <w:pPr>
        <w:pStyle w:val="BookText"/>
        <w:rPr/>
      </w:pPr>
      <w:bookmarkEnd w:id="213"/>
      <w:r>
        <w:rPr>
          <w:rFonts w:ascii="IRNazanin" w:hAnsi="IRNazanin" w:eastAsia="IRNazanin"/>
          <w:color w:val="111111"/>
          <w:sz w:val="28"/>
          <w:sz w:val="28"/>
          <w:szCs w:val="28"/>
          <w:rtl w:val="true"/>
          <w:lang w:bidi="fa-IR"/>
        </w:rPr>
        <w:t>المؤمنین علیه</w:t>
      </w:r>
      <w:r>
        <w:rPr>
          <w:rStyle w:val="FootnoteAnchor"/>
          <w:rtl w:val="true"/>
        </w:rPr>
        <w:footnoteReference w:id="51"/>
      </w:r>
      <w:r>
        <w:rPr>
          <w:rFonts w:ascii="IRNazanin" w:hAnsi="IRNazanin" w:eastAsia="IRNazanin"/>
          <w:color w:val="111111"/>
          <w:sz w:val="28"/>
          <w:sz w:val="28"/>
          <w:szCs w:val="28"/>
          <w:rtl w:val="true"/>
          <w:lang w:bidi="fa-IR"/>
        </w:rPr>
        <w:t xml:space="preserve">، باعتبار أنّ البکاء له دور کبیر فی البناء الاجتماعی وتحصینه من الآفات وحثّه علی المکرمات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للبکاء أن یفعل مفعوله فی النفس ، إلّاإذا عرف الإنسان آثاره الإیجابیة ، وسعی إلیه وتفاعل مع القضیة التی بکی من أجلها ، وبکی باعتبار البکاء باباً من أبواب الفضیلة والکمال الإنسانی ، ومن المعروف أنّ اللّه قریب من الخاشعة قلوبهم وبعید عن القاسیة قلوبهم </w:t>
      </w:r>
      <w:r>
        <w:rPr>
          <w:rFonts w:eastAsia="IRNazanin" w:cs="IRNazanin"/>
          <w:color w:val="111111"/>
          <w:sz w:val="28"/>
          <w:szCs w:val="28"/>
          <w:rtl w:val="true"/>
          <w:lang w:bidi="fa-IR"/>
        </w:rPr>
        <w:t>.</w:t>
      </w:r>
    </w:p>
    <w:p>
      <w:pPr>
        <w:pStyle w:val="Heading4"/>
        <w:numPr>
          <w:ilvl w:val="3"/>
          <w:numId w:val="1"/>
        </w:numPr>
        <w:rPr/>
      </w:pPr>
      <w:bookmarkStart w:id="214" w:name="__RefHeading___Toc477106_581953129"/>
      <w:bookmarkStart w:id="215" w:name="_Toc83"/>
      <w:bookmarkEnd w:id="214"/>
      <w:r>
        <w:rPr>
          <w:rtl w:val="true"/>
        </w:rPr>
        <w:t>هل الإرهاب مرادف للصلابة والشدّة</w:t>
      </w:r>
      <w:bookmarkEnd w:id="215"/>
    </w:p>
    <w:p>
      <w:pPr>
        <w:pStyle w:val="BookText"/>
        <w:rPr/>
      </w:pPr>
      <w:r>
        <w:rPr>
          <w:rFonts w:ascii="IRNazanin" w:hAnsi="IRNazanin" w:eastAsia="IRNazanin"/>
          <w:color w:val="111111"/>
          <w:sz w:val="28"/>
          <w:sz w:val="28"/>
          <w:szCs w:val="28"/>
          <w:rtl w:val="true"/>
          <w:lang w:bidi="fa-IR"/>
        </w:rPr>
        <w:t>الآن سنبحث عن موضوع الإرهاب کمرادف للوحشیة والحیوانیة والرعونة والخشونة والقسوة والعدوان ، وفی مقابله اللین والرفق والسلام ، وما نرید أن نبیّنه هنا ، هو هل کل موقف من مواقف الشدّة والصلابة هو موقف إرهابی وحشی؟</w:t>
      </w:r>
    </w:p>
    <w:p>
      <w:pPr>
        <w:pStyle w:val="Heading4"/>
        <w:numPr>
          <w:ilvl w:val="3"/>
          <w:numId w:val="1"/>
        </w:numPr>
        <w:rPr/>
      </w:pPr>
      <w:bookmarkStart w:id="216" w:name="__RefHeading___Toc477108_581953129"/>
      <w:bookmarkStart w:id="217" w:name="_Toc84"/>
      <w:bookmarkEnd w:id="216"/>
      <w:r>
        <w:rPr>
          <w:rtl w:val="true"/>
        </w:rPr>
        <w:t>الإجابة القانونیة لهذا السؤال</w:t>
      </w:r>
      <w:bookmarkEnd w:id="217"/>
    </w:p>
    <w:p>
      <w:pPr>
        <w:pStyle w:val="BookText"/>
        <w:rPr/>
      </w:pPr>
      <w:r>
        <w:rPr>
          <w:rFonts w:ascii="IRNazanin" w:hAnsi="IRNazanin" w:eastAsia="IRNazanin"/>
          <w:color w:val="111111"/>
          <w:sz w:val="28"/>
          <w:sz w:val="28"/>
          <w:szCs w:val="28"/>
          <w:rtl w:val="true"/>
          <w:lang w:bidi="fa-IR"/>
        </w:rPr>
        <w:t xml:space="preserve">وللجواب عن هذا السؤال لابد أن نستعرض الإجابة القانونیة سواءً کان القانون قانوناً إلهیاً سماویاً أو قانوناً أرضیاً وضعیاً ، وقبل الإجابة عن السؤال ، لابد من معرفة الخلفیّات الحقوقیة لهذا الموضوع ، وتسبق هذه الخلفیة الحقوقیة مرحلة أخلاقیة ، ثمّ رؤیة فلسفیة عقائدیة ، وهذا أمر متسالم علیه عند فقهاء القانون الإلهی والوضعی ، إذاً هناک أربع مراحل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عقائدیة وفلسفیة ، والمرحلة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الأخلاقیة ، والمرحلة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الحقوقیة ، والمرحلة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القانونیة </w:t>
      </w:r>
      <w:r>
        <w:rPr>
          <w:rFonts w:eastAsia="IRNazanin" w:cs="IRNazanin"/>
          <w:color w:val="111111"/>
          <w:sz w:val="28"/>
          <w:szCs w:val="28"/>
          <w:rtl w:val="true"/>
          <w:lang w:bidi="fa-IR"/>
        </w:rPr>
        <w:t>.</w:t>
      </w:r>
      <w:bookmarkStart w:id="218" w:name="pg5261_55197"/>
    </w:p>
    <w:p>
      <w:pPr>
        <w:pStyle w:val="Heading4"/>
        <w:numPr>
          <w:ilvl w:val="3"/>
          <w:numId w:val="1"/>
        </w:numPr>
        <w:rPr/>
      </w:pPr>
      <w:bookmarkStart w:id="219" w:name="__RefHeading___Toc477110_581953129"/>
      <w:bookmarkStart w:id="220" w:name="_Toc85"/>
      <w:bookmarkEnd w:id="218"/>
      <w:bookmarkEnd w:id="219"/>
      <w:r>
        <w:rPr>
          <w:rtl w:val="true"/>
        </w:rPr>
        <w:t>المراحل التی تستند إلیها القضایا القانونیة</w:t>
      </w:r>
      <w:bookmarkEnd w:id="220"/>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عقائدیة فلسفیة ، سواءً کانت دینیة تعتقد بوجود الخالق ، أو رؤیة مادیّة لا تعتقد بوجود الخالق هل الإنسان هو المحور؟ أم اللّه هو المحور؟ أو المجتمع هو المحور؟ ولابدّ من تحدید الرؤیة العقائدیة والنظرة الفکریة للکون ، وحتی الدساتیر الغربیة التی کانت تعتبر الفرد هو المحور والحریات الفردیة هی المقدّمة علی غیرها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الموازنة بین حریة الفرد وحریة المجتمع علی کلّ حال ، هذه الدساتیر تستند إلی رؤیة عقائدیة معیّنة ، أیّاً کانت هذه الرؤیة ، وهو ما یسمی فی العلوم الإسلامیة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المعرفة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الأخلاقیة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الحقوقیة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القانونیة </w:t>
      </w:r>
      <w:r>
        <w:rPr>
          <w:rFonts w:eastAsia="IRNazanin" w:cs="IRNazanin"/>
          <w:color w:val="111111"/>
          <w:sz w:val="28"/>
          <w:szCs w:val="28"/>
          <w:rtl w:val="true"/>
          <w:lang w:bidi="fa-IR"/>
        </w:rPr>
        <w:t>.</w:t>
      </w:r>
    </w:p>
    <w:p>
      <w:pPr>
        <w:pStyle w:val="Heading4"/>
        <w:numPr>
          <w:ilvl w:val="3"/>
          <w:numId w:val="1"/>
        </w:numPr>
        <w:rPr/>
      </w:pPr>
      <w:bookmarkStart w:id="221" w:name="__RefHeading___Toc477112_581953129"/>
      <w:bookmarkStart w:id="222" w:name="_Toc86"/>
      <w:bookmarkEnd w:id="221"/>
      <w:r>
        <w:rPr>
          <w:rtl w:val="true"/>
        </w:rPr>
        <w:t>لا یمکن الحکم علی القانون دون معرفة خلفیّاته الحقوقیة والأخلاقیة</w:t>
      </w:r>
      <w:bookmarkEnd w:id="222"/>
    </w:p>
    <w:p>
      <w:pPr>
        <w:pStyle w:val="BookText"/>
        <w:rPr/>
      </w:pPr>
      <w:r>
        <w:rPr>
          <w:rFonts w:ascii="IRNazanin" w:hAnsi="IRNazanin" w:eastAsia="IRNazanin"/>
          <w:color w:val="111111"/>
          <w:sz w:val="28"/>
          <w:sz w:val="28"/>
          <w:szCs w:val="28"/>
          <w:rtl w:val="true"/>
          <w:lang w:bidi="fa-IR"/>
        </w:rPr>
        <w:t>والعقائدیة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المستعصی أن تعرف أنّ هذا القانون قانون عادلٌ ظالم ، وأنت لا تعرف خلفیته الحقوقیة ، ومن الممتنع أن تحکم علی أمر معیّن بالصحة أو الخطأ ، وأنت لا تعرف فلسفته الأخلاقیة ، ومن الممتنع أن تحکم علی رؤیة أخلاقیة ، من دون أن تتعرّف علی الرؤیة العقائدیة التی تستند إلیها تلک الرؤیة الأخلاقیة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فلاسفة الغرب یعتقدون أنّ کل منظومة الأخلاق ، هی ولیدة الغرائز الجنسیة ، ویدعون إلی الإباحة الجنسیة ، أمّا الرأی الآخر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روح وهناک قوّة عقلیة یجب أن تهذّب الغریزة الجنسیة وتضبطها عن الخروج من الإطار الذی حدّد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حکم هؤلاء القانونی سیختلف عن حکم أولئک ، باعتبار</w:t>
      </w:r>
      <w:bookmarkStart w:id="223" w:name="pg5261_55198"/>
    </w:p>
    <w:p>
      <w:pPr>
        <w:pStyle w:val="BookText"/>
        <w:rPr/>
      </w:pPr>
      <w:bookmarkEnd w:id="223"/>
      <w:r>
        <w:rPr>
          <w:rFonts w:ascii="IRNazanin" w:hAnsi="IRNazanin" w:eastAsia="IRNazanin"/>
          <w:color w:val="111111"/>
          <w:sz w:val="28"/>
          <w:sz w:val="28"/>
          <w:szCs w:val="28"/>
          <w:rtl w:val="true"/>
          <w:lang w:bidi="fa-IR"/>
        </w:rPr>
        <w:t>الاختلاف الناتج عن الخلفیات العقائدیة الفلسفیة والأخلاقیة والحقوقیة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مدرسة البارا سیکلوجیة أو علماء الأثیر ، ولهم نظرة مخالفة للمادیین ، ونظریاتهم مشابهة للنظریّات الدینیة والملل الموحّدة ، ولهم مدارس وبحوث وجامعات وأکادیمیات ومنتدیات علمیة ومباحثهم معطاءة وخلّابة</w:t>
      </w:r>
    </w:p>
    <w:p>
      <w:pPr>
        <w:pStyle w:val="Heading4"/>
        <w:numPr>
          <w:ilvl w:val="3"/>
          <w:numId w:val="1"/>
        </w:numPr>
        <w:rPr/>
      </w:pPr>
      <w:bookmarkStart w:id="224" w:name="__RefHeading___Toc477114_581953129"/>
      <w:bookmarkStart w:id="225" w:name="_Toc87"/>
      <w:bookmarkEnd w:id="224"/>
      <w:r>
        <w:rPr>
          <w:rtl w:val="true"/>
        </w:rPr>
        <w:t>لابدّ من دراسة الخطوط الحمراء والخضراء بناءً علی هذه الخلفیّات</w:t>
      </w:r>
      <w:bookmarkEnd w:id="225"/>
    </w:p>
    <w:p>
      <w:pPr>
        <w:pStyle w:val="BookText"/>
        <w:rPr/>
      </w:pPr>
      <w:r>
        <w:rPr>
          <w:rFonts w:ascii="IRNazanin" w:hAnsi="IRNazanin" w:eastAsia="IRNazanin"/>
          <w:color w:val="111111"/>
          <w:sz w:val="28"/>
          <w:sz w:val="28"/>
          <w:szCs w:val="28"/>
          <w:rtl w:val="true"/>
          <w:lang w:bidi="fa-IR"/>
        </w:rPr>
        <w:t>وإذا أردنا دراسة الإرهاب کمرادف للوحشیة والرعونة والخشونة والحیوانیة والقسوة وإثارة الحروب والبغض والکراهیة ، وفی مقابلة اللّین والرفق والسلام والهدوء والأمن والحوار والتأنّی فی الحکم والإخاء والصداقة والمحبّة ، فلابدّ أن ندرس القانون وخلفیاته الحقوقیة والرؤیة العقائدیة الفلسفیة التی تستند إلیها هذه الخلفیة ، من أجل معرفة الصحیح من السقیم فی کل هذه الأمور التی ذکرناها ؛ لکی تتبیّن الخطوط الحمراء والصفراء والخضراء ، وأین یکون التجاوز وأین یجوز الحکم</w:t>
      </w:r>
      <w:r>
        <w:rPr>
          <w:rFonts w:eastAsia="IRNazanin" w:cs="IRNazanin"/>
          <w:color w:val="111111"/>
          <w:sz w:val="28"/>
          <w:szCs w:val="28"/>
          <w:rtl w:val="true"/>
          <w:lang w:bidi="fa-IR"/>
        </w:rPr>
        <w:t>...</w:t>
      </w:r>
    </w:p>
    <w:p>
      <w:pPr>
        <w:pStyle w:val="Heading4"/>
        <w:numPr>
          <w:ilvl w:val="3"/>
          <w:numId w:val="1"/>
        </w:numPr>
        <w:rPr/>
      </w:pPr>
      <w:bookmarkStart w:id="226" w:name="__RefHeading___Toc477116_581953129"/>
      <w:bookmarkStart w:id="227" w:name="_Toc88"/>
      <w:bookmarkEnd w:id="226"/>
      <w:r>
        <w:rPr>
          <w:rtl w:val="true"/>
        </w:rPr>
        <w:t>رؤیتنا العقائدیة تبتنی علی وجود الخالق وتوحیده</w:t>
      </w:r>
      <w:bookmarkEnd w:id="227"/>
    </w:p>
    <w:p>
      <w:pPr>
        <w:pStyle w:val="BookText"/>
        <w:rPr/>
      </w:pPr>
      <w:r>
        <w:rPr>
          <w:rFonts w:ascii="IRNazanin" w:hAnsi="IRNazanin" w:eastAsia="IRNazanin"/>
          <w:color w:val="111111"/>
          <w:sz w:val="28"/>
          <w:sz w:val="28"/>
          <w:szCs w:val="28"/>
          <w:rtl w:val="true"/>
          <w:lang w:bidi="fa-IR"/>
        </w:rPr>
        <w:t xml:space="preserve">وإذا کان بحثنا بحثاً علمیّاً منطقیاً ، فلا بدّ لنا أن نلتزم بهذا التسلسل ، ولابدّ من البدایة من الرؤیة العقائدیة ، ولا داعی للتفصیل فی هذه الرؤیة العقائدیة ؛ لأنّنا مسلمون وموحّدون ، وهذا من المسلّمات التی نعیشها ، وأمر مفروغ منه </w:t>
      </w:r>
      <w:r>
        <w:rPr>
          <w:rFonts w:eastAsia="IRNazanin" w:cs="IRNazanin"/>
          <w:color w:val="111111"/>
          <w:sz w:val="28"/>
          <w:szCs w:val="28"/>
          <w:rtl w:val="true"/>
          <w:lang w:bidi="fa-IR"/>
        </w:rPr>
        <w:t>.</w:t>
      </w:r>
    </w:p>
    <w:p>
      <w:pPr>
        <w:pStyle w:val="Heading4"/>
        <w:numPr>
          <w:ilvl w:val="3"/>
          <w:numId w:val="1"/>
        </w:numPr>
        <w:rPr/>
      </w:pPr>
      <w:bookmarkStart w:id="228" w:name="__RefHeading___Toc477118_581953129"/>
      <w:bookmarkStart w:id="229" w:name="_Toc89"/>
      <w:bookmarkEnd w:id="228"/>
      <w:r>
        <w:rPr>
          <w:rtl w:val="true"/>
        </w:rPr>
        <w:t>لکل فعل منشأ أخلاقی</w:t>
      </w:r>
      <w:bookmarkEnd w:id="2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الدخول فی المرحلة الأخلاقیة أُنوّة إلی قاعدة ذکرها علماء الفلسفة وعلماء الأخلاق ،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لکل فعل ، جذر أو منشأ أخلاقی عند الفرد وعند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ظاهرة فردیة أو اجتماعیة أو أُسریة ، لها منشأ نفسانی</w:t>
      </w:r>
      <w:bookmarkStart w:id="230" w:name="pg5261_55199"/>
    </w:p>
    <w:p>
      <w:pPr>
        <w:pStyle w:val="BookText"/>
        <w:rPr/>
      </w:pPr>
      <w:bookmarkEnd w:id="230"/>
      <w:r>
        <w:rPr>
          <w:rFonts w:ascii="IRNazanin" w:hAnsi="IRNazanin" w:eastAsia="IRNazanin"/>
          <w:color w:val="111111"/>
          <w:sz w:val="28"/>
          <w:sz w:val="28"/>
          <w:szCs w:val="28"/>
          <w:rtl w:val="true"/>
          <w:lang w:bidi="fa-IR"/>
        </w:rPr>
        <w:t xml:space="preserve">أخلاقی ، وکل عمل فردی أو اجتماعی ، لابدّ أن ینطلق من رؤیة عقائدیة معرفیّة معیّنة </w:t>
      </w:r>
      <w:r>
        <w:rPr>
          <w:rFonts w:eastAsia="IRNazanin" w:cs="IRNazanin"/>
          <w:color w:val="111111"/>
          <w:sz w:val="28"/>
          <w:szCs w:val="28"/>
          <w:rtl w:val="true"/>
          <w:lang w:bidi="fa-IR"/>
        </w:rPr>
        <w:t>.</w:t>
      </w:r>
    </w:p>
    <w:p>
      <w:pPr>
        <w:pStyle w:val="Heading4"/>
        <w:numPr>
          <w:ilvl w:val="3"/>
          <w:numId w:val="1"/>
        </w:numPr>
        <w:rPr/>
      </w:pPr>
      <w:bookmarkStart w:id="231" w:name="__RefHeading___Toc477120_581953129"/>
      <w:bookmarkStart w:id="232" w:name="_Toc90"/>
      <w:bookmarkEnd w:id="231"/>
      <w:r>
        <w:rPr>
          <w:rtl w:val="true"/>
        </w:rPr>
        <w:t>الارتباط بین المراحل الأربع</w:t>
      </w:r>
      <w:bookmarkEnd w:id="232"/>
    </w:p>
    <w:p>
      <w:pPr>
        <w:pStyle w:val="BookText"/>
        <w:rPr/>
      </w:pPr>
      <w:r>
        <w:rPr>
          <w:rFonts w:ascii="IRNazanin" w:hAnsi="IRNazanin" w:eastAsia="IRNazanin"/>
          <w:color w:val="111111"/>
          <w:sz w:val="28"/>
          <w:sz w:val="28"/>
          <w:szCs w:val="28"/>
          <w:rtl w:val="true"/>
          <w:lang w:bidi="fa-IR"/>
        </w:rPr>
        <w:t>والنزاع القانونی لایمکن حلحلته ، وتتبّع أوراقة وحقائقه ، إلّاعبر هذه المراحل الأربع التی ترتبط فیما بینها ارتباطاً شدیداً ، ونحن نلاحظ أنّ الدساتیر فی البلدان الإسلامیة تشیر إلی أنّ دین الدولة الإسلام ، وأنّ القرآن مصدر التشریع أو بعبارات قریبة من هذا المعنی ، ومن هذا المنطلق یجب أن یتنبّه القانونیّون إلی أنّ الأصول القانونیة لیست هی فقط المواد الدستوریة ، ونقصد من الأصول القانونیة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 الأساسیة التی یرجع إلیها فی سَنّ القوانین ، وترجع إلیها تفاصیل القوانین والقوانین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الالتفات إلی أنّ الأصول القانونیة لیست مقتصرة علی المواد الدستوریة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إلی المواد الأخلاقیة التی یؤمن بها ذلک المجتمع ، التی هی نفسها أصول قانونیة بناء علی ما ذکرناه من ارتباط المراحل الأربع </w:t>
      </w:r>
      <w:r>
        <w:rPr>
          <w:rFonts w:eastAsia="IRNazanin" w:cs="IRNazanin"/>
          <w:color w:val="111111"/>
          <w:sz w:val="28"/>
          <w:szCs w:val="28"/>
          <w:rtl w:val="true"/>
          <w:lang w:bidi="fa-IR"/>
        </w:rPr>
        <w:t>.</w:t>
      </w:r>
    </w:p>
    <w:p>
      <w:pPr>
        <w:pStyle w:val="Heading4"/>
        <w:numPr>
          <w:ilvl w:val="3"/>
          <w:numId w:val="1"/>
        </w:numPr>
        <w:rPr/>
      </w:pPr>
      <w:bookmarkStart w:id="233" w:name="__RefHeading___Toc477122_581953129"/>
      <w:bookmarkStart w:id="234" w:name="_Toc91"/>
      <w:bookmarkEnd w:id="233"/>
      <w:r>
        <w:rPr>
          <w:rtl w:val="true"/>
        </w:rPr>
        <w:t>روح الشریعة وفقه المقاصد</w:t>
      </w:r>
      <w:bookmarkEnd w:id="234"/>
    </w:p>
    <w:p>
      <w:pPr>
        <w:pStyle w:val="BookText"/>
        <w:rPr/>
      </w:pPr>
      <w:r>
        <w:rPr>
          <w:rFonts w:ascii="IRNazanin" w:hAnsi="IRNazanin" w:eastAsia="IRNazanin"/>
          <w:color w:val="111111"/>
          <w:sz w:val="28"/>
          <w:sz w:val="28"/>
          <w:szCs w:val="28"/>
          <w:rtl w:val="true"/>
          <w:lang w:bidi="fa-IR"/>
        </w:rPr>
        <w:t xml:space="preserve">وما ذکره 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هناک روح الشریعة وفلسفة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ترجع إلی أصول قانونیة ، ولکن لا تقتصر علی الأصول القانونیة الفرعیة ، وما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الفقه إلی المقاصد الفرعیة ، بل هناک ما هو أکثر أصالة من الأحکام الفرعیة ، وهی البنیة التحتیة الأخلاقیة التی تهیمن علی القوانین الفرعیة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هناک فرق بین الباحث القانونی والباحث الأخلاقی باعتبار اختلاف التخصّص ، والقاضی أیضاً سواءً کان قاضیاً مدنیاً أو شرعیاً إلّاأنّ علیهم</w:t>
      </w:r>
      <w:bookmarkStart w:id="235" w:name="pg5261_55200"/>
    </w:p>
    <w:p>
      <w:pPr>
        <w:pStyle w:val="BookText"/>
        <w:rPr/>
      </w:pPr>
      <w:bookmarkEnd w:id="235"/>
      <w:r>
        <w:rPr>
          <w:rFonts w:ascii="IRNazanin" w:hAnsi="IRNazanin" w:eastAsia="IRNazanin"/>
          <w:color w:val="111111"/>
          <w:sz w:val="28"/>
          <w:sz w:val="28"/>
          <w:szCs w:val="28"/>
          <w:rtl w:val="true"/>
          <w:lang w:bidi="fa-IR"/>
        </w:rPr>
        <w:t xml:space="preserve">أن یفصلوا النزاع بالمواد القانونیة التی ترجع إلی الهیمنة الأخلاقیة ، کما ذکرنا </w:t>
      </w:r>
      <w:r>
        <w:rPr>
          <w:rFonts w:eastAsia="IRNazanin" w:cs="IRNazanin"/>
          <w:color w:val="111111"/>
          <w:sz w:val="28"/>
          <w:szCs w:val="28"/>
          <w:rtl w:val="true"/>
          <w:lang w:bidi="fa-IR"/>
        </w:rPr>
        <w:t>.</w:t>
      </w:r>
    </w:p>
    <w:p>
      <w:pPr>
        <w:pStyle w:val="Heading4"/>
        <w:numPr>
          <w:ilvl w:val="3"/>
          <w:numId w:val="1"/>
        </w:numPr>
        <w:rPr/>
      </w:pPr>
      <w:bookmarkStart w:id="236" w:name="__RefHeading___Toc477124_581953129"/>
      <w:bookmarkStart w:id="237" w:name="_Toc92"/>
      <w:bookmarkEnd w:id="236"/>
      <w:r>
        <w:rPr>
          <w:rtl w:val="true"/>
        </w:rPr>
        <w:t>الإمام الحسین علیه السلام یرجع أعداءه إلی الأصول الأخلاقیة</w:t>
      </w:r>
      <w:bookmarkEnd w:id="2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واقعة الطف یخاطب سید الشهداء علیه السلام الوجدان العربی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اعتدی الجیش الأموی علی مخیم الإمام الحسین علیه السلام ، وعلی حرم رسول اللّه صلی الله علیه و آله ، قال لهم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یا شیعة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 وکنتم لا تخافون المعاد ، فکونوا أحراراً فی دنیاکم وارجعوا إلی أحسابکم إذ کنتم أعراباً ، فناداه شمر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أُقاتلکم ، وتقاتلونی ، والنساء لیس علیهنّ جناح</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أی أنّ الحسین علیه السلام عندما شعر أنّ القانون والشرع لم یؤثّرا فی هؤلاء الأعداء ، حاول إرجاعهم إلی الأصول الأخلاقیة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تقومون بهذا الفعل المتناقض مع الأخلاق والإنسانیة؟</w:t>
      </w:r>
      <w:r>
        <w:rPr>
          <w:rFonts w:eastAsia="IRNazanin" w:cs="IRNazanin"/>
          <w:color w:val="111111"/>
          <w:sz w:val="28"/>
          <w:szCs w:val="28"/>
          <w:rtl w:val="true"/>
          <w:lang w:bidi="fa-IR"/>
        </w:rPr>
        <w:t>!</w:t>
      </w:r>
      <w:bookmarkStart w:id="238" w:name="pg5261_55201"/>
    </w:p>
    <w:p>
      <w:pPr>
        <w:pStyle w:val="Heading3"/>
        <w:numPr>
          <w:ilvl w:val="2"/>
          <w:numId w:val="1"/>
        </w:numPr>
        <w:rPr/>
      </w:pPr>
      <w:bookmarkStart w:id="239" w:name="__RefHeading___Toc477126_581953129"/>
      <w:bookmarkStart w:id="240" w:name="_Toc93"/>
      <w:bookmarkEnd w:id="238"/>
      <w:bookmarkEnd w:id="239"/>
      <w:r>
        <w:rPr>
          <w:rtl w:val="true"/>
        </w:rPr>
        <w:t>المحاضرة الثالثة استناد الأحکام القانونیة للقاعدة الأخلاقیة فی التشریع الإسلامی</w:t>
      </w:r>
      <w:bookmarkEnd w:id="240"/>
    </w:p>
    <w:p>
      <w:pPr>
        <w:pStyle w:val="Heading4"/>
        <w:numPr>
          <w:ilvl w:val="3"/>
          <w:numId w:val="1"/>
        </w:numPr>
        <w:rPr/>
      </w:pPr>
      <w:bookmarkStart w:id="241" w:name="__RefHeading___Toc477128_581953129"/>
      <w:bookmarkStart w:id="242" w:name="_Toc9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بین التعامل القانونی والتعامل الأخلاقی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النزاعات بالقانون أم بالأخلاق؟</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بین الموازین الأخلاقیة والموازین القانونیة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یهدّد فی حالة الحدیّة فی تطبیق القانون مع استبعاد العنصر الأخلاقی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یأمر بالأخذ بالعفو والإعراض عن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فی مرحلة نص القانون، وفی مرحلة تطبیق القانون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القوانین وتفسیرها تبعاً لمصالح 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العفو والإعراض عن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کظم الغیظ ، والسیطرة علی القوّة الغضبیة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أهل البیت علیهم السلام فی الرفق والحلم </w:t>
      </w:r>
      <w:r>
        <w:rPr>
          <w:rFonts w:eastAsia="IRNazanin" w:cs="IRNazanin"/>
          <w:color w:val="111111"/>
          <w:sz w:val="28"/>
          <w:szCs w:val="28"/>
          <w:rtl w:val="true"/>
          <w:lang w:bidi="fa-IR"/>
        </w:rPr>
        <w:t>.</w:t>
      </w:r>
    </w:p>
    <w:p>
      <w:pPr>
        <w:pStyle w:val="Heading4"/>
        <w:numPr>
          <w:ilvl w:val="3"/>
          <w:numId w:val="1"/>
        </w:numPr>
        <w:rPr/>
      </w:pPr>
      <w:bookmarkStart w:id="243" w:name="__RefHeading___Toc477130_581953129"/>
      <w:bookmarkStart w:id="244" w:name="_Toc95"/>
      <w:bookmarkEnd w:id="243"/>
      <w:r>
        <w:rPr>
          <w:rtl w:val="true"/>
        </w:rPr>
        <w:t>الاختلاف بین التعامل القانونی والتعامل الأخلاقی</w:t>
      </w:r>
      <w:bookmarkEnd w:id="244"/>
    </w:p>
    <w:p>
      <w:pPr>
        <w:pStyle w:val="BookText"/>
        <w:rPr/>
      </w:pPr>
      <w:r>
        <w:rPr>
          <w:rFonts w:ascii="IRNazanin" w:hAnsi="IRNazanin" w:eastAsia="IRNazanin"/>
          <w:color w:val="111111"/>
          <w:sz w:val="28"/>
          <w:sz w:val="28"/>
          <w:szCs w:val="28"/>
          <w:rtl w:val="true"/>
          <w:lang w:bidi="fa-IR"/>
        </w:rPr>
        <w:t xml:space="preserve">وإکمالاً لحدیثنا السابق نطرح تساؤلاً وهو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تکون الأخلاق أساساً ، وبنیة تحتیة للقانون ، مع أنّ الأخلاق والقانون</w:t>
      </w:r>
      <w:bookmarkStart w:id="245" w:name="pg5261_55202"/>
    </w:p>
    <w:p>
      <w:pPr>
        <w:pStyle w:val="BookText"/>
        <w:rPr/>
      </w:pPr>
      <w:bookmarkEnd w:id="245"/>
      <w:r>
        <w:rPr>
          <w:rFonts w:ascii="IRNazanin" w:hAnsi="IRNazanin" w:eastAsia="IRNazanin"/>
          <w:color w:val="111111"/>
          <w:sz w:val="28"/>
          <w:sz w:val="28"/>
          <w:szCs w:val="28"/>
          <w:rtl w:val="true"/>
          <w:lang w:bidi="fa-IR"/>
        </w:rPr>
        <w:t>أمران مختلفان ، سواء کانا فی نطاق الفرد أو الأُسرة أو المجتمع أو بین الدول؟</w:t>
      </w:r>
    </w:p>
    <w:p>
      <w:pPr>
        <w:pStyle w:val="BookText"/>
        <w:rPr/>
      </w:pPr>
      <w:r>
        <w:rPr>
          <w:rFonts w:ascii="IRNazanin" w:hAnsi="IRNazanin" w:eastAsia="IRNazanin"/>
          <w:color w:val="111111"/>
          <w:sz w:val="28"/>
          <w:sz w:val="28"/>
          <w:szCs w:val="28"/>
          <w:rtl w:val="true"/>
          <w:lang w:bidi="fa-IR"/>
        </w:rPr>
        <w:t>وکیف یکون ذلک مع أنّ التعامل القانونی تعامل صارم حاد وجاف ، والتعامل الأخلاقی یعتمد علی المرونة والدماثة واللّین والرفق والإحسان للمسیء؟</w:t>
      </w:r>
    </w:p>
    <w:p>
      <w:pPr>
        <w:pStyle w:val="Heading4"/>
        <w:numPr>
          <w:ilvl w:val="3"/>
          <w:numId w:val="1"/>
        </w:numPr>
        <w:rPr/>
      </w:pPr>
      <w:bookmarkStart w:id="246" w:name="__RefHeading___Toc477132_581953129"/>
      <w:bookmarkStart w:id="247" w:name="_Toc96"/>
      <w:bookmarkEnd w:id="246"/>
      <w:r>
        <w:rPr>
          <w:rtl w:val="true"/>
        </w:rPr>
        <w:t>فصل النزاعات بالقانون أم بالأخلاق ؟</w:t>
      </w:r>
      <w:bookmarkEnd w:id="247"/>
    </w:p>
    <w:p>
      <w:pPr>
        <w:pStyle w:val="BookText"/>
        <w:rPr/>
      </w:pPr>
      <w:r>
        <w:rPr>
          <w:rFonts w:ascii="IRNazanin" w:hAnsi="IRNazanin" w:eastAsia="IRNazanin"/>
          <w:color w:val="111111"/>
          <w:sz w:val="28"/>
          <w:sz w:val="28"/>
          <w:szCs w:val="28"/>
          <w:rtl w:val="true"/>
          <w:lang w:bidi="fa-IR"/>
        </w:rPr>
        <w:t xml:space="preserve">تارة یتم فصل النزاع بین الأفراد أو الأُسر أو المجتمعات أو الدول عن طریق القانون ، وتارة یتم ذلک عن طریق التعامل الأخلاقی بین الطرفین المتنازعین أو بمبادرة أحد الطرفین المتنازعین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الإمام الصادق علیه السلام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الاستقصاء والمداقة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وأخوف ما یخاف العبد من اللّه تعالی أن یعامله بالعدل ؛ لأنّ الإنسان إذا عامله اللّه بعدله فلن ترجّح کفة حسناته علی کفة سیئاته ، وسیکون مصیر العبد هو الخسران المبین ، ولذلک فنحن نرجو أن یعاملنا اللّه بفضله وعفوه ، ولا یعاملنا بعدله ، إذن هناک فرق بین القضاء والحکم بالقانون ، وبین القضاء والحکم بالأخلاق ، ومن المفترض أن یربط البحث القانونی بالعدالة والحقوق لا بالفضل والإحسان والأخلاق ، ومن هنا یطرح الإشکال الذی یثیر علامة استفهام علی جعل القوانین تستند إلی الأخلاق </w:t>
      </w:r>
      <w:r>
        <w:rPr>
          <w:rFonts w:eastAsia="IRNazanin" w:cs="IRNazanin"/>
          <w:color w:val="111111"/>
          <w:sz w:val="28"/>
          <w:szCs w:val="28"/>
          <w:rtl w:val="true"/>
          <w:lang w:bidi="fa-IR"/>
        </w:rPr>
        <w:t>.</w:t>
      </w:r>
    </w:p>
    <w:p>
      <w:pPr>
        <w:pStyle w:val="Heading4"/>
        <w:numPr>
          <w:ilvl w:val="3"/>
          <w:numId w:val="1"/>
        </w:numPr>
        <w:rPr/>
      </w:pPr>
      <w:bookmarkStart w:id="248" w:name="__RefHeading___Toc477134_581953129"/>
      <w:bookmarkStart w:id="249" w:name="_Toc97"/>
      <w:bookmarkEnd w:id="248"/>
      <w:r>
        <w:rPr>
          <w:rtl w:val="true"/>
        </w:rPr>
        <w:t>الصلة بین الموازین الأخلاقیة والموازین القانونیة</w:t>
      </w:r>
      <w:bookmarkEnd w:id="2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فی إشکالهم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صلة بین النصوص القانونیة والنصوص الأخلاقیة ، ولا</w:t>
      </w:r>
      <w:bookmarkStart w:id="250" w:name="pg5261_55203"/>
    </w:p>
    <w:p>
      <w:pPr>
        <w:pStyle w:val="BookText"/>
        <w:rPr/>
      </w:pPr>
      <w:bookmarkEnd w:id="250"/>
      <w:r>
        <w:rPr>
          <w:rFonts w:ascii="IRNazanin" w:hAnsi="IRNazanin" w:eastAsia="IRNazanin"/>
          <w:color w:val="111111"/>
          <w:sz w:val="28"/>
          <w:sz w:val="28"/>
          <w:szCs w:val="28"/>
          <w:rtl w:val="true"/>
          <w:lang w:bidi="fa-IR"/>
        </w:rPr>
        <w:t xml:space="preserve">یصلح أن تستنبط الأحکام القانونیة استناداً إلی الموازین الأخلاقیة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القانون یمهّد إلی الحیاة الخلقیة ، ولکن هناک اختلاف کما أشرنا بین الأمرین باعتبار أنّ الموازین القانونیة تستلزم استیفاء کل حدود القضیة </w:t>
      </w:r>
      <w:r>
        <w:rPr>
          <w:rFonts w:eastAsia="IRNazanin" w:cs="IRNazanin"/>
          <w:color w:val="111111"/>
          <w:sz w:val="28"/>
          <w:szCs w:val="28"/>
          <w:rtl w:val="true"/>
          <w:lang w:bidi="fa-IR"/>
        </w:rPr>
        <w:t>.</w:t>
      </w:r>
    </w:p>
    <w:p>
      <w:pPr>
        <w:pStyle w:val="Heading4"/>
        <w:numPr>
          <w:ilvl w:val="3"/>
          <w:numId w:val="1"/>
        </w:numPr>
        <w:rPr/>
      </w:pPr>
      <w:bookmarkStart w:id="251" w:name="__RefHeading___Toc477136_581953129"/>
      <w:bookmarkStart w:id="252" w:name="_Toc98"/>
      <w:bookmarkEnd w:id="251"/>
      <w:r>
        <w:rPr>
          <w:rtl w:val="true"/>
        </w:rPr>
        <w:t>القانون یُهدّد فی حالة الحدیّة فی تطبیق القانون مع استبعاد العنصر الأخلاقی</w:t>
      </w:r>
      <w:bookmarkEnd w:id="2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وللرد علی هذا الإشکال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سلّمنا أنّه إذا کانت الموازین القانونیة أقل مرتبة من الموازین الأخلاقیة ، وأنّ الموازین القانونیة أقل مرتبة من الموازین الأخلاقیة ، وأن الموازین القانونیة تهدف إلی غرس الفضیلة فی المجتمع ، فإنّ المشرّع القانونی الدینی أو المشرّع القانونی الوضعی یضع نصب عینیه الوصول إلی الغایات الأخلاقیة حینما یسنّ القوانین فی المجتمع ، ولو بنی النظام القانونی علی القصاص الحدّی فی جمیع النزاعات بدون أی مرونة أو عفو أو تعاطی فی هذه القضیة ، لکان ذلک منشأ اختلال نفس ذلک القانون ؛ لأنّ ذلک یمثّل جفافاً ، والجفاف سریع الاشتعال ، وهذا الاشتعال سواءً بین الأطراف المتنازعة علی مستوی الأفراد والأُسر والمجتمعات والدول سیؤدی إلی تأزّم القضیة ، وإلی القضاء علی القانون الذی ابتعد عن الموازین الأخلاقیة وألغاها تماماً ، والنفس البشریة لا تتلاءم مع الانصیاع والخضوع للموازین القانونیة الحدّیة التی تستبعد الموازین الأخلاقیة وتقضی علیها ، إذن من المستحیل الاستغناء عن العنصر الأخلاقی فی الموازین القانونیة ، وأنّ هذا العنصر هوالذی یساهم فی حفظ استقرار القانون وصونه ، ومع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من الضروری أن یؤمِّن القانون جمیع الدرجات فی الموازین الخُلقیة ، بل إنّه قد یبتعد بنسبة معیّنة حسب متطلبات القضیة ، وهذا الأمر مسلّم به عند علماء المسلمین </w:t>
      </w:r>
      <w:r>
        <w:rPr>
          <w:rFonts w:eastAsia="IRNazanin" w:cs="IRNazanin"/>
          <w:color w:val="111111"/>
          <w:sz w:val="28"/>
          <w:szCs w:val="28"/>
          <w:rtl w:val="true"/>
          <w:lang w:bidi="fa-IR"/>
        </w:rPr>
        <w:t>.</w:t>
      </w:r>
      <w:bookmarkStart w:id="253" w:name="pg5261_55204"/>
    </w:p>
    <w:p>
      <w:pPr>
        <w:pStyle w:val="Heading4"/>
        <w:numPr>
          <w:ilvl w:val="3"/>
          <w:numId w:val="1"/>
        </w:numPr>
        <w:rPr/>
      </w:pPr>
      <w:bookmarkStart w:id="254" w:name="__RefHeading___Toc477138_581953129"/>
      <w:bookmarkStart w:id="255" w:name="_Toc99"/>
      <w:bookmarkEnd w:id="253"/>
      <w:bookmarkEnd w:id="254"/>
      <w:r>
        <w:rPr>
          <w:rtl w:val="true"/>
        </w:rPr>
        <w:t>القرآن یأمر بالأخذ بالعفو والإعراض عن الجاهلین</w:t>
      </w:r>
      <w:bookmarkEnd w:id="255"/>
    </w:p>
    <w:p>
      <w:pPr>
        <w:pStyle w:val="BookText"/>
        <w:rPr/>
      </w:pPr>
      <w:r>
        <w:rPr>
          <w:rFonts w:ascii="IRNazanin" w:hAnsi="IRNazanin" w:eastAsia="IRNazanin"/>
          <w:color w:val="111111"/>
          <w:sz w:val="28"/>
          <w:sz w:val="28"/>
          <w:szCs w:val="28"/>
          <w:rtl w:val="true"/>
          <w:lang w:bidi="fa-IR"/>
        </w:rPr>
        <w:t>یعتبر الإسلام ، بل حتّی الدیانات الأُخری ، أنّ الرفق واللّین والرویّة والتعقّل والحلم والحوار ، هو الأصل فی قوانین الإسلام علی المستوی الاجتماعی والفردی ، ففی الآیة الکریمة التی یعبّر عنها المفسّرون ، أنّها من التوصیات القانونیة التی أوصی بها اللّه تعالی نبیّه فی القرآن الکریم ، وهی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خذ العفو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العفو رکیزة أساسیة ، رئیسیة فی سیرة النبی صلی الله علیه و آله ، القانونیة والسیاسیة والقضائیة والإجرائیة والتشریعیة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للعفو سبیل ، وهذا الأمر إلزامی من اللّه لنبی الرحمة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هو ما تعارف علیه الناس</w:t>
      </w:r>
      <w:r>
        <w:rPr>
          <w:rStyle w:val="FootnoteAnchor"/>
          <w:rtl w:val="true"/>
        </w:rPr>
        <w:footnoteReference w:id="54"/>
      </w:r>
      <w:r>
        <w:rPr>
          <w:rFonts w:ascii="Amiri" w:hAnsi="Amiri" w:eastAsia="Amiri" w:cs="Amiri"/>
          <w:color w:val="111111"/>
          <w:sz w:val="28"/>
          <w:sz w:val="28"/>
          <w:szCs w:val="28"/>
          <w:rtl w:val="true"/>
          <w:lang w:bidi="ar-SA"/>
        </w:rPr>
        <w:t>، وهذا قول مردود ؛ لأنّ النبی صلی الله علیه و آله یعمل طبقاً لخطة الوحی الإلهی ، وأنّ عرف الناس قد یحمل الکثیر من رواسب الجاهلیة ، وهذا یتناقض مع دور النبی الذی عبّر عنه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یَأْمُرُهُمْ بِالْمَعْرُوفِ وَ یَنْهاهُمْ عَنِ الْمُنْکَرِ وَ یُحِلُّ لَهُمُ الطَّیِّباتِ وَ یُحَرِّمُ عَلَیْهِمُ الْخَبائِثَ وَ یَضَعُ عَنْهُمْ إِصْرَهُمْ وَ الْأَغْلالَ الَّتِی کانَتْ 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والبعض الآخر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تعرفه الفطرة البشریة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یعرفه العقل من الحسن والقبح</w:t>
      </w:r>
      <w:r>
        <w:rPr>
          <w:rStyle w:val="FootnoteAnchor"/>
          <w:rtl w:val="true"/>
        </w:rPr>
        <w:footnoteReference w:id="55"/>
      </w:r>
      <w:r>
        <w:rPr>
          <w:rFonts w:ascii="Amiri" w:hAnsi="Amiri" w:eastAsia="Amiri" w:cs="Amiri"/>
          <w:color w:val="111111"/>
          <w:sz w:val="28"/>
          <w:sz w:val="28"/>
          <w:szCs w:val="28"/>
          <w:rtl w:val="true"/>
          <w:lang w:bidi="ar-SA"/>
        </w:rPr>
        <w:t>، وهذا المعنی صحیح فی نفسه ؛ لأنّ الدین الإسلامی دین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p>
    <w:p>
      <w:pPr>
        <w:pStyle w:val="BookText"/>
        <w:rPr/>
      </w:pP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والروایات تشیر إلی أنّ النبی هو الرسول الظاهر ، والعقل هو الرسول الباطن</w:t>
      </w:r>
      <w:r>
        <w:rPr>
          <w:rStyle w:val="FootnoteAnchor"/>
          <w:rtl w:val="true"/>
        </w:rPr>
        <w:footnoteReference w:id="56"/>
      </w:r>
      <w:r>
        <w:rPr>
          <w:rFonts w:ascii="IRNazanin" w:hAnsi="IRNazanin" w:eastAsia="IRNazanin"/>
          <w:color w:val="111111"/>
          <w:sz w:val="28"/>
          <w:sz w:val="28"/>
          <w:szCs w:val="28"/>
          <w:rtl w:val="true"/>
          <w:lang w:bidi="fa-IR"/>
        </w:rPr>
        <w:t xml:space="preserve">، وهذا المعنی وإن کان صحیحاً فی نفسه ، إلّاأنّ ظاهر اللفظ لا یساعد علیه ، وینبغی تهیئة الجو الاجتماعی لتقبّل القانون ، وأن لا یتمّ إقحام القانون فی أجواء لا تتفاعل معه ، وأنّ أیّ قانون جدید إذا أردنا أن نطبّقه فی مجتمع مّا ، لابدّ أن یسبقه وعیّ قانونی ، وثقافة قانونیة ناضجة ، لأنّه لا یکفی أن یکون القانون متکاملاً ، بل یجب مراعاة استیعاب الناس لهذا القانون ، ولهذا السبب نزول القرآن بشکل مفصّل وتدریجی ، حتی تتهیأ النفوس للتفاعل معه ، ولأنّ الناس لا تستوعب التربیة القرآنیة علی شکل دفعة واحدة بدون تهیئة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 فی ذیل تفسیر هذه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الأخذ بالشیء هو لزومه أو عدم ترکه فأخذ العفو ملازمة الستر علی إساءة من أساء إلیه ، والإغماض عن حق الانتقام الذی یعطیه العقل الاجتماعی لبعضهم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إساءة الغیر بالنسبة إلی نفسه والتضییع لحق شخصه ، وأمّا ما أُضیع فیه حق الغیر بالإساءة الیه فلیس مما یسوغ العفو فیه ، لأنّه إغراء بالإثم ، وتضییع لحق الغیر بنحو أشد، وإبطال للنوامیس الحافظة للاجتماع ، ویمنع عنه جمیع الآیات الناهیة عن الظلم والإفساد وإعانة الظالمین والرکون إلیهم ، بل جمیع الآیات المعطیة لأُصول الشرائع والقوانین ، وهو ظاهر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الستر بالعفو فیما یرجع إلی شخصه صلی الله علیه و آله وعلی ذلک کان یسیر فقد تقدم فی بعض الروایات المتقدمة فی أدبه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ینتقم من</w:t>
      </w:r>
      <w:bookmarkStart w:id="256" w:name="pg5261_55206"/>
    </w:p>
    <w:p>
      <w:pPr>
        <w:pStyle w:val="BookText"/>
        <w:rPr/>
      </w:pPr>
      <w:bookmarkEnd w:id="256"/>
      <w:r>
        <w:rPr>
          <w:rFonts w:ascii="IRNazanin" w:hAnsi="IRNazanin" w:eastAsia="IRNazanin"/>
          <w:color w:val="111111"/>
          <w:sz w:val="28"/>
          <w:sz w:val="28"/>
          <w:szCs w:val="28"/>
          <w:rtl w:val="true"/>
          <w:lang w:bidi="fa-IR"/>
        </w:rPr>
        <w:t>أحدٍ لنفسه قط</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الأمثل ، فی ذیل هذه الآیة الکریمة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قد یأتی بمعنی الزیادة فی الشیء أحیاناً ، کما قد یأتی بمعنی الحد الوسط ، کما یأتی بمعنی قبول العذر والصفح عن المخطئین والمسیئین ، ویأتی أحیاناً بمعنی استسهال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البدیهی أنّه لوکان القائد أو المبلغ شخصاً فظّاً صعباً ، فإنّه سیفقد نفوذه فی قلوب الناس ، ویتفرقون عنه ، کما قال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کُنْتَ فَظًّا غَلِیظَ الْقَلْبِ لاَنْفَضُّوا مِنْ حَوْلِکَ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تعقب الآیة بذکر الوظیفة الثانیة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تشیر إلی أنّ ترک الشدّة لا یعنی المجاملة ، بل هو أن یقول القائد أو المبلغ الحق ، ویدعو الناس إلی الحق ولا یخفی شیئاً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477140_581953129"/>
      <w:bookmarkStart w:id="258" w:name="_Toc100"/>
      <w:bookmarkEnd w:id="257"/>
      <w:r>
        <w:rPr>
          <w:rtl w:val="true"/>
        </w:rPr>
        <w:t>الرفق فی مرحلة نص القانون ، وفی مرحلة تطبیق القانون</w:t>
      </w:r>
      <w:bookmarkEnd w:id="258"/>
    </w:p>
    <w:p>
      <w:pPr>
        <w:pStyle w:val="BookText"/>
        <w:rPr/>
      </w:pPr>
      <w:r>
        <w:rPr>
          <w:rFonts w:ascii="IRNazanin" w:hAnsi="IRNazanin" w:eastAsia="IRNazanin"/>
          <w:color w:val="111111"/>
          <w:sz w:val="28"/>
          <w:sz w:val="28"/>
          <w:szCs w:val="28"/>
          <w:rtl w:val="true"/>
          <w:lang w:bidi="fa-IR"/>
        </w:rPr>
        <w:t xml:space="preserve">ونرید أن ننوّه أنّ اللّین والرفق تارةً یکون فی النص القانونی والمادة القانونیة ، وتارةً یکون فی الأداء والإجراء القانونی والقضائی المتخذ مع المتهم ، فقد تکون المادة القانونیة خالیة من الحدّة والقساوة والظلم ، ولکن الإجراء القانونی وتطبیق المادة القانونیة هوالذی یحمل الحدّة والقساوة </w:t>
      </w:r>
      <w:r>
        <w:rPr>
          <w:rFonts w:eastAsia="IRNazanin" w:cs="IRNazanin"/>
          <w:color w:val="111111"/>
          <w:sz w:val="28"/>
          <w:szCs w:val="28"/>
          <w:rtl w:val="true"/>
          <w:lang w:bidi="fa-IR"/>
        </w:rPr>
        <w:t>.</w:t>
      </w:r>
    </w:p>
    <w:p>
      <w:pPr>
        <w:pStyle w:val="Heading4"/>
        <w:numPr>
          <w:ilvl w:val="3"/>
          <w:numId w:val="1"/>
        </w:numPr>
        <w:rPr/>
      </w:pPr>
      <w:bookmarkStart w:id="259" w:name="__RefHeading___Toc477142_581953129"/>
      <w:bookmarkStart w:id="260" w:name="_Toc101"/>
      <w:bookmarkEnd w:id="259"/>
      <w:r>
        <w:rPr>
          <w:rtl w:val="true"/>
        </w:rPr>
        <w:t>سَنّ القوانین وتفسیرها تبعاً لمصالح شخصیة</w:t>
      </w:r>
      <w:bookmarkEnd w:id="2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قد یستفاد منه بشکل إیجابی ، وقد یستفاد منه بشکل سلبی وبصور خطیرة ؛ لأنّ أصحاب المصالح الشخصیة قد یتلاعبون فی المادة القانونیة ، ویفرغونها من محتواها حسب مصالحهم ، أو یفسّرونها بتفسیرات تتناسب مع</w:t>
      </w:r>
      <w:bookmarkStart w:id="261" w:name="pg5261_55207"/>
    </w:p>
    <w:p>
      <w:pPr>
        <w:pStyle w:val="BookText"/>
        <w:rPr/>
      </w:pPr>
      <w:bookmarkEnd w:id="261"/>
      <w:r>
        <w:rPr>
          <w:rFonts w:ascii="IRNazanin" w:hAnsi="IRNazanin" w:eastAsia="IRNazanin"/>
          <w:color w:val="111111"/>
          <w:sz w:val="28"/>
          <w:sz w:val="28"/>
          <w:szCs w:val="28"/>
          <w:rtl w:val="true"/>
          <w:lang w:bidi="fa-IR"/>
        </w:rPr>
        <w:t xml:space="preserve">میولهم ومصالحهم وأطماعهم ، والتلاعب فی المواد القانونیة أمر فی غایة الخطورة ، حتی فی النزاعات الدولیة بین الدول التی ترید تسخیر القوانین وتفسیرها حسب مصالحها ،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یسمی التحریر إرهاباً ، وهذه مغالطة جلیّة وواضحة ، وهناک فرق کبیر بین الإرهاب والتحریر ، والغرض من تغییر الإسم ، هو أنّ القوی الکبری لا تستطیع الاعتراض علی شعب یرید تحریر أرضه ؛ لأنّ هذا حق طبیعی مکفول ، ولکنّها تسمی التحریر إرهاباً من أجل عرقلة التحریر ، ووضع السدود أمامه ، ولکی تکون هذه العرقلة مصبوغة بصبغة شرعیة ومقبولة لدی المجتمع الدولی ، وهی صبغة محاربة الإرهاب ، وهم فی هذه الحالة یعملون علی صناعة رأی عام مزوّر من أجل تطبیق قوانین مزوّرة ومزیّفة وظالمة قائمة علی التحایل والغش القانونی ، فی المقابل نحن نحتاج إلی أن نعمل علی صناعة رأی عام صادق من أجل أن یتقبّل المجتمع القانون القضائی الصادق </w:t>
      </w:r>
      <w:r>
        <w:rPr>
          <w:rFonts w:eastAsia="IRNazanin" w:cs="IRNazanin"/>
          <w:color w:val="111111"/>
          <w:sz w:val="28"/>
          <w:szCs w:val="28"/>
          <w:rtl w:val="true"/>
          <w:lang w:bidi="fa-IR"/>
        </w:rPr>
        <w:t>.</w:t>
      </w:r>
    </w:p>
    <w:p>
      <w:pPr>
        <w:pStyle w:val="Heading4"/>
        <w:numPr>
          <w:ilvl w:val="3"/>
          <w:numId w:val="1"/>
        </w:numPr>
        <w:rPr/>
      </w:pPr>
      <w:bookmarkStart w:id="262" w:name="__RefHeading___Toc477144_581953129"/>
      <w:bookmarkStart w:id="263" w:name="_Toc102"/>
      <w:bookmarkEnd w:id="262"/>
      <w:r>
        <w:rPr>
          <w:rtl w:val="true"/>
        </w:rPr>
        <w:t>الفرق بین العفو والإعراض عن الجاهلین</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أَعْرِضْ عَنِ الْجاهِلِینَ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نوع من أنواع اللّین والرفق ، وهناک فرق بین الإعراض عن الجاهلین ، وبین العفو عنه ، لأنّک قد تعفو عن إنسان مّا ، ولکن یبقی فی نفسک شیء تتذکّر به ذلک الفعل السیّ‌ء الذی فعله ذلک الجاهل ، والمقصود من الجاهل هو ذلک الشخص الذی یتعدّی الحدود ویظلم ، والجهل هنا مقابل العقل الذی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التقیّد بالتعالیم الدینیة ، ولیس الجهل هنا فی مقابل العلم ، لأنّ العلم قد یدعوک إلی التعقّل ، وقد یسیء الإنسان الاستفادة من العلم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الإعراض والعفو ، أنّ الإعراض مرتبة أعلی من العفو ، لأنّ العفو وإن کان متضمّناً لمسامحة الجاهل ، إلّاأنّه یبقی فی النفس شیءٌ من ذلک الأمر ، وربما</w:t>
      </w:r>
      <w:bookmarkStart w:id="264" w:name="pg5261_55208"/>
    </w:p>
    <w:p>
      <w:pPr>
        <w:pStyle w:val="BookText"/>
        <w:rPr/>
      </w:pPr>
      <w:bookmarkEnd w:id="264"/>
      <w:r>
        <w:rPr>
          <w:rFonts w:ascii="IRNazanin" w:hAnsi="IRNazanin" w:eastAsia="IRNazanin"/>
          <w:color w:val="111111"/>
          <w:sz w:val="28"/>
          <w:sz w:val="28"/>
          <w:szCs w:val="28"/>
          <w:rtl w:val="true"/>
          <w:lang w:bidi="fa-IR"/>
        </w:rPr>
        <w:t>تحدّثک نفسک بالانتقام منه والنقمة علیه ، ولکن الإعراض لا یبقی فی نفس الإنسان بعد أن یعفو عن الجاهل شیءٌ ، وقد یعبّر عن الإعراض بالصفح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فَاصْفَحِ الصَّفْحَ الْجَمِیلَ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علماء الأخلاق والتفسیر والفقه والقانون أنّ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أمهات الآیات ، وقد جمعت أُصول علم الأخلاق ، والبحث فیها طویل </w:t>
      </w:r>
      <w:r>
        <w:rPr>
          <w:rFonts w:eastAsia="IRNazanin" w:cs="IRNazanin"/>
          <w:color w:val="111111"/>
          <w:sz w:val="28"/>
          <w:szCs w:val="28"/>
          <w:rtl w:val="true"/>
          <w:lang w:bidi="fa-IR"/>
        </w:rPr>
        <w:t>.</w:t>
      </w:r>
    </w:p>
    <w:p>
      <w:pPr>
        <w:pStyle w:val="Heading4"/>
        <w:numPr>
          <w:ilvl w:val="3"/>
          <w:numId w:val="1"/>
        </w:numPr>
        <w:rPr/>
      </w:pPr>
      <w:bookmarkStart w:id="265" w:name="__RefHeading___Toc477146_581953129"/>
      <w:bookmarkStart w:id="266" w:name="_Toc103"/>
      <w:bookmarkEnd w:id="265"/>
      <w:r>
        <w:rPr>
          <w:rtl w:val="true"/>
        </w:rPr>
        <w:t>کظم الغیظ ، والسیطرة علی القوّة الغضبیة</w:t>
      </w:r>
      <w:bookmarkEnd w:id="266"/>
    </w:p>
    <w:p>
      <w:pPr>
        <w:pStyle w:val="BookText"/>
        <w:rPr/>
      </w:pPr>
      <w:r>
        <w:rPr>
          <w:rFonts w:ascii="Amiri" w:hAnsi="Amiri" w:eastAsia="Amiri" w:cs="Amiri"/>
          <w:color w:val="111111"/>
          <w:sz w:val="28"/>
          <w:sz w:val="28"/>
          <w:szCs w:val="28"/>
          <w:rtl w:val="true"/>
          <w:lang w:bidi="ar-SA"/>
        </w:rPr>
        <w:t>الآیة الأُخری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وکظم الغیظ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 النفس وحبس الغیظ والسیطرة علی القوّة الغضبیة ، وتعالیم أهل البیت علیهم السلام تحثّنا علی أن لا نؤدّب أولادنا فی حالة الغضب والغیظ‌</w:t>
      </w:r>
      <w:r>
        <w:rPr>
          <w:rStyle w:val="FootnoteAnchor"/>
          <w:rtl w:val="true"/>
        </w:rPr>
        <w:footnoteReference w:id="59"/>
      </w:r>
      <w:r>
        <w:rPr>
          <w:rFonts w:ascii="IRNazanin" w:hAnsi="IRNazanin" w:eastAsia="IRNazanin"/>
          <w:color w:val="111111"/>
          <w:sz w:val="28"/>
          <w:sz w:val="28"/>
          <w:szCs w:val="28"/>
          <w:rtl w:val="true"/>
          <w:lang w:bidi="fa-IR"/>
        </w:rPr>
        <w:t xml:space="preserve">لأنّ الغضب قد یخرج التأدیب عن هادفیته ، فکظم الغیظ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إخماد سَوْرَة الغضب ، وهذه توصیة اجتماعیة ، ولیست توصیة فردیة فقط ، والغضب قد یخرج القاضی حینما یقضی عن إطار تحکیم العقل بصورة صحیحة لما للقوّة الغضبیة من أثر سلبی فی هذا المجال ، وعندما یهدأ الغضب یبدأ العقل فی العمل بصورة طبیعیة بعیدة عن أیّ مؤثّرات قد تؤثّر علی الحکم الصحیح </w:t>
      </w:r>
      <w:r>
        <w:rPr>
          <w:rFonts w:eastAsia="IRNazanin" w:cs="IRNazanin"/>
          <w:color w:val="111111"/>
          <w:sz w:val="28"/>
          <w:szCs w:val="28"/>
          <w:rtl w:val="true"/>
          <w:lang w:bidi="fa-IR"/>
        </w:rPr>
        <w:t>.</w:t>
      </w:r>
    </w:p>
    <w:p>
      <w:pPr>
        <w:pStyle w:val="Heading4"/>
        <w:numPr>
          <w:ilvl w:val="3"/>
          <w:numId w:val="1"/>
        </w:numPr>
        <w:rPr/>
      </w:pPr>
      <w:bookmarkStart w:id="267" w:name="__RefHeading___Toc477148_581953129"/>
      <w:bookmarkStart w:id="268" w:name="_Toc104"/>
      <w:bookmarkEnd w:id="267"/>
      <w:r>
        <w:rPr>
          <w:rtl w:val="true"/>
        </w:rPr>
        <w:t>اختلاف المصطلحات</w:t>
      </w:r>
      <w:bookmarkEnd w:id="2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عندنا ثلاثة مصطلحات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العفو ، وهو أن تسامح المعتدی علیک ،</w:t>
      </w:r>
      <w:bookmarkStart w:id="269" w:name="pg5261_55209"/>
    </w:p>
    <w:p>
      <w:pPr>
        <w:pStyle w:val="BookText"/>
        <w:rPr/>
      </w:pPr>
      <w:bookmarkEnd w:id="269"/>
      <w:r>
        <w:rPr>
          <w:rFonts w:ascii="IRNazanin" w:hAnsi="IRNazanin" w:eastAsia="IRNazanin"/>
          <w:color w:val="111111"/>
          <w:sz w:val="28"/>
          <w:sz w:val="28"/>
          <w:szCs w:val="28"/>
          <w:rtl w:val="true"/>
          <w:lang w:bidi="fa-IR"/>
        </w:rPr>
        <w:t xml:space="preserve">ولکن یبقی فی نفسک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کظم الغیظ یبقی فی نفسک شیءٌ تجاهه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الأفضل منهما ، الصفح والإعراض ، وهو أن تنسی أنّک قد عفوت عنه ، وهناک الصفح</w:t>
      </w:r>
      <w:r>
        <w:rPr>
          <w:rStyle w:val="FootnoteAnchor"/>
          <w:rtl w:val="true"/>
        </w:rPr>
        <w:footnoteReference w:id="60"/>
      </w:r>
      <w:r>
        <w:rPr>
          <w:rFonts w:ascii="IRNazanin" w:hAnsi="IRNazanin" w:eastAsia="IRNazanin"/>
          <w:color w:val="111111"/>
          <w:sz w:val="28"/>
          <w:sz w:val="28"/>
          <w:szCs w:val="28"/>
          <w:rtl w:val="true"/>
          <w:lang w:bidi="fa-IR"/>
        </w:rPr>
        <w:t>وهناک الصفح الجمیل</w:t>
      </w:r>
      <w:r>
        <w:rPr>
          <w:rStyle w:val="FootnoteAnchor"/>
          <w:rtl w:val="true"/>
        </w:rPr>
        <w:footnoteReference w:id="61"/>
      </w:r>
      <w:r>
        <w:rPr>
          <w:rFonts w:ascii="IRNazanin" w:hAnsi="IRNazanin" w:eastAsia="IRNazanin"/>
          <w:color w:val="111111"/>
          <w:sz w:val="28"/>
          <w:sz w:val="28"/>
          <w:szCs w:val="28"/>
          <w:rtl w:val="true"/>
          <w:lang w:bidi="fa-IR"/>
        </w:rPr>
        <w:t xml:space="preserve">، وهو مرتبة أعلی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بِالَّتِی هِیَ أَحْسَنُ السَّیِّئَةَ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یکون التعبیر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هی أرفع الدرجات علی الإطلاق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77150_581953129"/>
      <w:bookmarkStart w:id="271" w:name="_Toc105"/>
      <w:bookmarkEnd w:id="270"/>
      <w:r>
        <w:rPr>
          <w:rtl w:val="true"/>
        </w:rPr>
        <w:t>أحادیث أهل البیت علیهم السلام فی الرفق والحلم</w:t>
      </w:r>
      <w:bookmarkEnd w:id="271"/>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بالحنیفیة السمحة ، ومن خالف سنّتی فلیس منّی</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الرفق خلقاً یُری ما کان مما خلق اللّه شیء أحسن منه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یُری ما کان فی شیء من خلق اللّه أقبح منه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الرفق لم یوضع علی شیء إلّازانه ، ولا نزع من شیءٍ إلّاشانه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الأحادیث الواردة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قفلاً ، وقفل الإیمان الرفق</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 أی الحافظ للإیمان ، الرفق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اصطحب اثنان إلّاکان اعظمهما أجراً وأحبهما إلی اللّه ، أرفقهما بصاحبه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یمن ، والخرق شؤم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نصف العیش</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 ضرب من الجنون ، لأنّ صاحبها یندم ، فإن لم یندم فجنونه مستحکم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أشدّهم مداراة للناس</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ممحقة لقلب الحکیم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یملک نفسه إذا غضب ، وإذا رغب ، وإذا رهب</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 آله 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عظة أتعظ بها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ولا تغضب ، ثمّ عاد إلیه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ولا تغضب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الخیر أن یکثر مالک وولدک ، ولکن الخیر أن یکثر علمک ، وأن یعظم حلمک وأن تُباهی الناس بعبادة ربّک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لا یزید العبد إلّاعزّاً ، فاعفوا یعزّکم اللّه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التقت فئتان قطّ إلّانصر أعظمهما عفواً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إمارة بنی أُمیة کانت بالسیف والعسف والجور ، وأنّ إمامتنا بالرفق والتألف والوقار والتقیّة وحسن الخلطة والورع والاجتهاد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272" w:name="pg5261_55213"/>
    </w:p>
    <w:p>
      <w:pPr>
        <w:pStyle w:val="Heading3"/>
        <w:numPr>
          <w:ilvl w:val="2"/>
          <w:numId w:val="1"/>
        </w:numPr>
        <w:rPr/>
      </w:pPr>
      <w:bookmarkStart w:id="273" w:name="__RefHeading___Toc477152_581953129"/>
      <w:bookmarkStart w:id="274" w:name="_Toc106"/>
      <w:bookmarkEnd w:id="272"/>
      <w:bookmarkEnd w:id="273"/>
      <w:r>
        <w:rPr>
          <w:rtl w:val="true"/>
        </w:rPr>
        <w:t>المحاضرة الرابعة الحوار هو الخیار الأوّل فی الفکر الإسلامی وسیرة أهل البیت علیهم السلام</w:t>
      </w:r>
      <w:bookmarkEnd w:id="274"/>
    </w:p>
    <w:p>
      <w:pPr>
        <w:pStyle w:val="Heading4"/>
        <w:numPr>
          <w:ilvl w:val="3"/>
          <w:numId w:val="1"/>
        </w:numPr>
        <w:rPr/>
      </w:pPr>
      <w:bookmarkStart w:id="275" w:name="__RefHeading___Toc477154_581953129"/>
      <w:bookmarkStart w:id="276" w:name="_Toc107"/>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التعقّل هو الطبیعة الأوّلیة فی القوانین الشرعیة؟</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والإعمار لیس من طبیعة القوّة الغضبیة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الدمار هو نتیجة إطلاق عنان القوّة الشهویة والقوّة الغضبیة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نطلق عنان القوی العقلیة والفکریة ، ونجعلها حاکمة علی بقیّة القوی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التعقّل هو أنسب الخیارات للطبیعة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العقوبة والردع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فی النزاعات القضائیة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ممارسة الحکومات الدکتاتوریة ، شوّهت صورة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 وحواره مع حزب الخوارج </w:t>
      </w:r>
      <w:r>
        <w:rPr>
          <w:rFonts w:eastAsia="IRNazanin" w:cs="IRNazanin"/>
          <w:color w:val="111111"/>
          <w:sz w:val="28"/>
          <w:szCs w:val="28"/>
          <w:rtl w:val="true"/>
          <w:lang w:bidi="fa-IR"/>
        </w:rPr>
        <w:t>.</w:t>
      </w:r>
    </w:p>
    <w:p>
      <w:pPr>
        <w:pStyle w:val="Heading4"/>
        <w:numPr>
          <w:ilvl w:val="3"/>
          <w:numId w:val="1"/>
        </w:numPr>
        <w:rPr/>
      </w:pPr>
      <w:bookmarkStart w:id="277" w:name="__RefHeading___Toc477156_581953129"/>
      <w:bookmarkStart w:id="278" w:name="_Toc108"/>
      <w:bookmarkEnd w:id="277"/>
      <w:r>
        <w:rPr>
          <w:rtl w:val="true"/>
        </w:rPr>
        <w:t>لماذا کان التعقّل هو الطبیعة الأوّلیة فی القوانین الشرعیة ؟</w:t>
      </w:r>
      <w:bookmarkEnd w:id="2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بنا البحث إلی أنّ الطبیعة الأوّلیة فی القوانین الشرعیة هی السماحة</w:t>
      </w:r>
      <w:bookmarkStart w:id="279" w:name="pg5261_55214"/>
    </w:p>
    <w:p>
      <w:pPr>
        <w:pStyle w:val="BookText"/>
        <w:rPr/>
      </w:pPr>
      <w:bookmarkEnd w:id="279"/>
      <w:r>
        <w:rPr>
          <w:rFonts w:ascii="IRNazanin" w:hAnsi="IRNazanin" w:eastAsia="IRNazanin"/>
          <w:color w:val="111111"/>
          <w:sz w:val="28"/>
          <w:sz w:val="28"/>
          <w:szCs w:val="28"/>
          <w:rtl w:val="true"/>
          <w:lang w:bidi="fa-IR"/>
        </w:rPr>
        <w:t>والسهولة واللّین والهدوء، کما بیّنا فی اللیلة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ویجدر بنا البحث عن فلسفة هذا الأمر وعلّته ، لِمَ کان اللّین والهدوء هو الطبع الأوّلی؟ حتی أنّ رسول اللّه صلی الله علیه و آله عنون رسالته بهذا العنوان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بالحنیفیة السمحة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ولماذا کل هذا الترکیز علی هذه الطبیعة الأوّلیة؟</w:t>
      </w:r>
    </w:p>
    <w:p>
      <w:pPr>
        <w:pStyle w:val="BookText"/>
        <w:rPr/>
      </w:pPr>
      <w:r>
        <w:rPr>
          <w:rFonts w:ascii="IRNazanin" w:hAnsi="IRNazanin" w:eastAsia="IRNazanin"/>
          <w:color w:val="111111"/>
          <w:sz w:val="28"/>
          <w:sz w:val="28"/>
          <w:szCs w:val="28"/>
          <w:rtl w:val="true"/>
          <w:lang w:bidi="fa-IR"/>
        </w:rPr>
        <w:t xml:space="preserve">وعندما نقول أنّ هذه هی الطبیعة الأوّلیة ، یُفهم من کلامنا أنّ هناک استثناءات ، ستأتی فی ما بعد </w:t>
      </w:r>
      <w:r>
        <w:rPr>
          <w:rFonts w:eastAsia="IRNazanin" w:cs="IRNazanin"/>
          <w:color w:val="111111"/>
          <w:sz w:val="28"/>
          <w:szCs w:val="28"/>
          <w:rtl w:val="true"/>
          <w:lang w:bidi="fa-IR"/>
        </w:rPr>
        <w:t>.</w:t>
      </w:r>
    </w:p>
    <w:p>
      <w:pPr>
        <w:pStyle w:val="Heading4"/>
        <w:numPr>
          <w:ilvl w:val="3"/>
          <w:numId w:val="1"/>
        </w:numPr>
        <w:rPr/>
      </w:pPr>
      <w:bookmarkStart w:id="280" w:name="__RefHeading___Toc477158_581953129"/>
      <w:bookmarkStart w:id="281" w:name="_Toc109"/>
      <w:bookmarkEnd w:id="280"/>
      <w:r>
        <w:rPr>
          <w:rtl w:val="true"/>
        </w:rPr>
        <w:t>البناء والإعمار لیس من طبیعة القوّة الغضبیة</w:t>
      </w:r>
      <w:bookmarkEnd w:id="281"/>
    </w:p>
    <w:p>
      <w:pPr>
        <w:pStyle w:val="BookText"/>
        <w:rPr/>
      </w:pPr>
      <w:r>
        <w:rPr>
          <w:rFonts w:ascii="IRNazanin" w:hAnsi="IRNazanin" w:eastAsia="IRNazanin"/>
          <w:color w:val="111111"/>
          <w:sz w:val="28"/>
          <w:sz w:val="28"/>
          <w:szCs w:val="28"/>
          <w:rtl w:val="true"/>
          <w:lang w:bidi="fa-IR"/>
        </w:rPr>
        <w:t xml:space="preserve">السبب فی أنّ اللّین والهدوء والتعقّل هو الطبیعة الأوّلیة فی القوانین الشرعیة ، إنّ الغضب والحدّة مظهر من مظاهر القوّة الغضبیة ، والقوّة الغضبیة سواءً کانت علی نطاق الفرد أو علی نطاق الأُسرة أو علی نطاق المجتمع أو فی النظام السیاسی ، لیست بنّاءة ، ولا مشیّدة لبناء ، بل طبیعتها أنّها مانعة رادعة للتجاوزات والظلم الذی یحلّ بالفرد ، ویمثّل الجیش والشرطة القوّة الغضبیة فی أیّ دولة من الدول ، والجیش والشرطة والقوّة الغضبیة لیس من طبیعتها البناء والهندسة والتخطیط والتنمیة والإعمار والبحث العلمی والبناء الفکری ، بل الحرب والقتال والمواجهة ، وتمثّل أیضاً درعاً یحفظ باقی قطاعات المجتمع المختلفة من الأخطار الأمنیة والعسکریة </w:t>
      </w:r>
      <w:r>
        <w:rPr>
          <w:rFonts w:eastAsia="IRNazanin" w:cs="IRNazanin"/>
          <w:color w:val="111111"/>
          <w:sz w:val="28"/>
          <w:szCs w:val="28"/>
          <w:rtl w:val="true"/>
          <w:lang w:bidi="fa-IR"/>
        </w:rPr>
        <w:t>.</w:t>
      </w:r>
    </w:p>
    <w:p>
      <w:pPr>
        <w:pStyle w:val="Heading4"/>
        <w:numPr>
          <w:ilvl w:val="3"/>
          <w:numId w:val="1"/>
        </w:numPr>
        <w:rPr/>
      </w:pPr>
      <w:bookmarkStart w:id="282" w:name="__RefHeading___Toc477160_581953129"/>
      <w:bookmarkStart w:id="283" w:name="_Toc110"/>
      <w:bookmarkEnd w:id="282"/>
      <w:r>
        <w:rPr>
          <w:rtl w:val="true"/>
        </w:rPr>
        <w:t>الدمار هو نتیجة إطلاق عنان القوّة الشهویة والقوّة الغضبیة</w:t>
      </w:r>
      <w:bookmarkEnd w:id="28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قلناه فی القوّة الغضبیة ینطبق علی القوّة الشهویة ، فلا یصح أن یطلق العنان للشهوات والغرائز ، فإذا کانت سیاسات الفرد أو الأُسرة أو الدولة منصبّة کلها علی</w:t>
      </w:r>
      <w:bookmarkStart w:id="284" w:name="pg5261_55215"/>
    </w:p>
    <w:p>
      <w:pPr>
        <w:pStyle w:val="BookText"/>
        <w:rPr/>
      </w:pPr>
      <w:bookmarkEnd w:id="284"/>
      <w:r>
        <w:rPr>
          <w:rFonts w:ascii="IRNazanin" w:hAnsi="IRNazanin" w:eastAsia="IRNazanin"/>
          <w:color w:val="111111"/>
          <w:sz w:val="28"/>
          <w:sz w:val="28"/>
          <w:szCs w:val="28"/>
          <w:rtl w:val="true"/>
          <w:lang w:bidi="fa-IR"/>
        </w:rPr>
        <w:t>إطلاق العنان للقوّة الشهویة فمن الواضح أنّ النتیجة ستکون انهیار الفرد والأُسرة والدولة التی أطلقت عنان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فالسیاحة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سیاحة تثقیفیّة تعلیمیة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الأماکن الأثریّة ، والتعرّف علی معالمها التاریخیة ، فتکون فی مثل هذه الحالة سیاحة إیجابیة ، وقد تکون السیاحة ترکّز علی توفیر أجواء الدعارة والفساد فهی سیاحة مدمّرة هدّامة للقیم والمبادئ والشعوب </w:t>
      </w:r>
      <w:r>
        <w:rPr>
          <w:rFonts w:eastAsia="IRNazanin" w:cs="IRNazanin"/>
          <w:color w:val="111111"/>
          <w:sz w:val="28"/>
          <w:szCs w:val="28"/>
          <w:rtl w:val="true"/>
          <w:lang w:bidi="fa-IR"/>
        </w:rPr>
        <w:t>.</w:t>
      </w:r>
    </w:p>
    <w:p>
      <w:pPr>
        <w:pStyle w:val="Heading4"/>
        <w:numPr>
          <w:ilvl w:val="3"/>
          <w:numId w:val="1"/>
        </w:numPr>
        <w:rPr/>
      </w:pPr>
      <w:bookmarkStart w:id="285" w:name="__RefHeading___Toc477162_581953129"/>
      <w:bookmarkStart w:id="286" w:name="_Toc111"/>
      <w:bookmarkEnd w:id="285"/>
      <w:r>
        <w:rPr>
          <w:rtl w:val="true"/>
        </w:rPr>
        <w:t>یجب أن نطلق عنان القوی العقلیّة والفکریة ، ونجعلها حاکمة علی بقیّة القوی</w:t>
      </w:r>
      <w:bookmarkEnd w:id="286"/>
    </w:p>
    <w:p>
      <w:pPr>
        <w:pStyle w:val="BookText"/>
        <w:rPr/>
      </w:pPr>
      <w:r>
        <w:rPr>
          <w:rFonts w:ascii="IRNazanin" w:hAnsi="IRNazanin" w:eastAsia="IRNazanin"/>
          <w:color w:val="111111"/>
          <w:sz w:val="28"/>
          <w:sz w:val="28"/>
          <w:szCs w:val="28"/>
          <w:rtl w:val="true"/>
          <w:lang w:bidi="fa-IR"/>
        </w:rPr>
        <w:t>الإسلام یرفض إطلاق عنان القوّة الشهویة والغضبیة ، بل ینبغی أن توضع حدود تضبط هاتین القوّتین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ینبغی أن یطلق عنانه فهی القوّة الفکریة المتمثّلة فی میدان البحث العلمی والفکری والاجتماعی والصناعی ونشر الفضیلة وسیطرة القوی العالیة علی القوی الدانیة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أنّ القانون الغربی جعل الفرد هو محور التقنین ، ومؤخراً جعلوا المجتمع هو المحور ، ولذلک فقد بنوا تشریعاتهم ، ونظام الحقوق عندهم علی إطلاق الحریّات ، کما أنّ المشرّع القانونی فی الغرب یطلق عنان القوّة الغضبیة ، فیتوفر السلاح حتّی بید الصبیان ، وتکثر عندئذٍ الجرائم ، وتنتشر ثقافة العنف والإجرام من خلال أفلام الرعب السینمائیة التی تشعل القوّة الغضبیة ، وأمّا فی إطلاق العنان للقوّة الشهویة فحدّث ولا حرج ، مع أنّ القوّتین الشهویة والغضبیة یجب أن تکونا محدودتین</w:t>
      </w:r>
      <w:r>
        <w:rPr>
          <w:rFonts w:eastAsia="IRNazanin" w:cs="IRNazanin"/>
          <w:color w:val="111111"/>
          <w:sz w:val="28"/>
          <w:szCs w:val="28"/>
          <w:rtl w:val="true"/>
          <w:lang w:bidi="fa-IR"/>
        </w:rPr>
        <w:t>.</w:t>
      </w:r>
    </w:p>
    <w:p>
      <w:pPr>
        <w:pStyle w:val="Heading4"/>
        <w:numPr>
          <w:ilvl w:val="3"/>
          <w:numId w:val="1"/>
        </w:numPr>
        <w:rPr/>
      </w:pPr>
      <w:bookmarkStart w:id="287" w:name="__RefHeading___Toc477164_581953129"/>
      <w:bookmarkStart w:id="288" w:name="_Toc112"/>
      <w:bookmarkEnd w:id="287"/>
      <w:r>
        <w:rPr>
          <w:rtl w:val="true"/>
        </w:rPr>
        <w:t>التعقّل هو أنسب الخیارات للطبیعة البشریة</w:t>
      </w:r>
      <w:bookmarkEnd w:id="2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اختیار الإسلام للتعقّل والتریّث والهدوء والحوار والأخلاق کخیار أوّل ؛</w:t>
      </w:r>
      <w:bookmarkStart w:id="289" w:name="pg5261_55216"/>
    </w:p>
    <w:p>
      <w:pPr>
        <w:pStyle w:val="BookText"/>
        <w:rPr/>
      </w:pPr>
      <w:bookmarkEnd w:id="289"/>
      <w:r>
        <w:rPr>
          <w:rFonts w:ascii="IRNazanin" w:hAnsi="IRNazanin" w:eastAsia="IRNazanin"/>
          <w:color w:val="111111"/>
          <w:sz w:val="28"/>
          <w:sz w:val="28"/>
          <w:szCs w:val="28"/>
          <w:rtl w:val="true"/>
          <w:lang w:bidi="fa-IR"/>
        </w:rPr>
        <w:t xml:space="preserve">لأنّه أنسب الخیارات للطبیعة البشریة ، ولأنّ القوی الغضبیة والشهویة موجودة فی الحیوان، کما هی موجودة فی الإنسان ، أمّا القوی العقلیّة فهی خاصة بالإنسان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 فإنّ الإسلام یطرح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عقوبة إلّابعد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قاعدة أُصولیة وکلامیة وتقنینیة هامّة ، ویقول علماء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تنجیز الأحکام لا یتمّ إلّا بالعلم</w:t>
      </w:r>
      <w:r>
        <w:rPr>
          <w:rStyle w:val="FootnoteAnchor"/>
          <w:rtl w:val="true"/>
        </w:rPr>
        <w:footnoteReference w:id="83"/>
      </w:r>
      <w:r>
        <w:rPr>
          <w:rFonts w:ascii="IRNazanin" w:hAnsi="IRNazanin" w:eastAsia="IRNazanin"/>
          <w:color w:val="111111"/>
          <w:sz w:val="28"/>
          <w:sz w:val="28"/>
          <w:szCs w:val="28"/>
          <w:rtl w:val="true"/>
          <w:lang w:bidi="fa-IR"/>
        </w:rPr>
        <w:t xml:space="preserve">فی القانون الوضعی ، والقانون الشرعی ، والسرّ فی ذلک یرجع إلی نفس النکتة السابقة ، وهی أنّ الإنسان موجود عاقل ذو فکر ، ویجب أن یکون عقله مسیطر علی باقی قواه الأُخری ، ومن الخطأ إقحام العقوبات والردع ، وإطلاق العنان للقوّة الغضبیة بدون المرور بمحطة العقل والفکر ، باعتبار أنّ العقل هو الذی یدبّر باقی القوی الأُخری کما قلنا </w:t>
      </w:r>
      <w:r>
        <w:rPr>
          <w:rFonts w:eastAsia="IRNazanin" w:cs="IRNazanin"/>
          <w:color w:val="111111"/>
          <w:sz w:val="28"/>
          <w:szCs w:val="28"/>
          <w:rtl w:val="true"/>
          <w:lang w:bidi="fa-IR"/>
        </w:rPr>
        <w:t>.</w:t>
      </w:r>
    </w:p>
    <w:p>
      <w:pPr>
        <w:pStyle w:val="Heading4"/>
        <w:numPr>
          <w:ilvl w:val="3"/>
          <w:numId w:val="1"/>
        </w:numPr>
        <w:rPr/>
      </w:pPr>
      <w:bookmarkStart w:id="290" w:name="__RefHeading___Toc477166_581953129"/>
      <w:bookmarkStart w:id="291" w:name="_Toc113"/>
      <w:bookmarkEnd w:id="290"/>
      <w:r>
        <w:rPr>
          <w:rtl w:val="true"/>
        </w:rPr>
        <w:t>الفرق بین العقوبة والردع</w:t>
      </w:r>
      <w:bookmarkEnd w:id="291"/>
    </w:p>
    <w:p>
      <w:pPr>
        <w:pStyle w:val="BookText"/>
        <w:rPr/>
      </w:pPr>
      <w:r>
        <w:rPr>
          <w:rFonts w:ascii="IRNazanin" w:hAnsi="IRNazanin" w:eastAsia="IRNazanin"/>
          <w:color w:val="111111"/>
          <w:sz w:val="28"/>
          <w:sz w:val="28"/>
          <w:szCs w:val="28"/>
          <w:rtl w:val="true"/>
          <w:lang w:bidi="fa-IR"/>
        </w:rPr>
        <w:t>وهناک فرق بین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فالعقوبة هی نوع من الجزاء للمجرم علی ما ارتکب من الإثم والجرم ، بعد ارتکابه لذلک الإثم والجرم ، أمّا الردع ، فقد یطلق علی الدفع ، وقد یطلق علی الرفع ، ویعنی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 ، والذی اجرم جرماً ، وهو لا یعلم أنّ هذا الأمر جرم ، فهذا الشخص لا یعاقب ، وذلک لأنّه لا یعلم ، ولکن یجب أن یُنهی عن الاستمرار فی هذا الأمر الممنوع والمخالف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الردع من باب الدفع ، کما لو أراد أن یُقدم إنسان ما علی منکر وفاحشة معیّنة ، وهو لا یعلم ، ولکن یردع بدرجة مناسبة لانتهائه عن ذلک المنکر ، مع أنّ الحجیّة لم تتمّ علیه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الردع لایحتاج إلی قیام الحجّة ، ویتحقق القیام بالردع وإن کان بالفعل السیء لم تتمّ علیه الحجة ، والسرّ فی ذلک أنّ مصلحة المجتمع قد تتطلب هذا</w:t>
      </w:r>
      <w:bookmarkStart w:id="292" w:name="pg5261_55217"/>
    </w:p>
    <w:p>
      <w:pPr>
        <w:pStyle w:val="BookText"/>
        <w:rPr/>
      </w:pPr>
      <w:bookmarkEnd w:id="292"/>
      <w:r>
        <w:rPr>
          <w:rFonts w:ascii="IRNazanin" w:hAnsi="IRNazanin" w:eastAsia="IRNazanin"/>
          <w:color w:val="111111"/>
          <w:sz w:val="28"/>
          <w:sz w:val="28"/>
          <w:szCs w:val="28"/>
          <w:rtl w:val="true"/>
          <w:lang w:bidi="fa-IR"/>
        </w:rPr>
        <w:t>الأمر ، لأنّ المسألة لا تحتمل التأخیر والمماطلة فینبغی المبادرة بالردع لحفظ تلک المصلحة ، وللردع درجات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وتعلیم القائم بالمنکر ، أنّ هذا الأمر منکر </w:t>
      </w:r>
      <w:r>
        <w:rPr>
          <w:rFonts w:eastAsia="IRNazanin" w:cs="IRNazanin"/>
          <w:color w:val="111111"/>
          <w:sz w:val="28"/>
          <w:szCs w:val="28"/>
          <w:rtl w:val="true"/>
          <w:lang w:bidi="fa-IR"/>
        </w:rPr>
        <w:t>.</w:t>
      </w:r>
    </w:p>
    <w:p>
      <w:pPr>
        <w:pStyle w:val="Heading4"/>
        <w:numPr>
          <w:ilvl w:val="3"/>
          <w:numId w:val="1"/>
        </w:numPr>
        <w:rPr/>
      </w:pPr>
      <w:bookmarkStart w:id="293" w:name="__RefHeading___Toc477168_581953129"/>
      <w:bookmarkStart w:id="294" w:name="_Toc114"/>
      <w:bookmarkEnd w:id="293"/>
      <w:r>
        <w:rPr>
          <w:rtl w:val="true"/>
        </w:rPr>
        <w:t>«</w:t>
      </w:r>
      <w:r>
        <w:rPr>
          <w:rtl w:val="true"/>
        </w:rPr>
        <w:t>وَمَا کُنَّا مُعَذِّبِینَ حَتَّی نَبْعَثَ رَسُولاً</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منطق الإسلام ، وقد دلّت علیه العدید من النصوص ،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کان الإسلام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عقوبة إلّابعد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الحوار والتعقّل هو الأصل ، والحجیّة تتقوّم بالإیصال العلمی ، ولا تتمّ الحجّة إلّابعد أن یکون ذلک الشخص علی درایة وعلم وإلمام تام بذلک الجرم وبحکمه المحرّم ، وإذا لم یتمّ الإلمام التام بذلک لا تقام الحجّة علیه ، ومن ثَمّ لا یعاقب </w:t>
      </w:r>
      <w:r>
        <w:rPr>
          <w:rFonts w:eastAsia="IRNazanin" w:cs="IRNazanin"/>
          <w:color w:val="111111"/>
          <w:sz w:val="28"/>
          <w:szCs w:val="28"/>
          <w:rtl w:val="true"/>
          <w:lang w:bidi="fa-IR"/>
        </w:rPr>
        <w:t>.</w:t>
      </w:r>
    </w:p>
    <w:p>
      <w:pPr>
        <w:pStyle w:val="Heading4"/>
        <w:numPr>
          <w:ilvl w:val="3"/>
          <w:numId w:val="1"/>
        </w:numPr>
        <w:rPr/>
      </w:pPr>
      <w:bookmarkStart w:id="295" w:name="__RefHeading___Toc477170_581953129"/>
      <w:bookmarkStart w:id="296" w:name="_Toc115"/>
      <w:bookmarkEnd w:id="295"/>
      <w:r>
        <w:rPr>
          <w:rtl w:val="true"/>
        </w:rPr>
        <w:t>القساوة فی المرحلة الثانیة</w:t>
      </w:r>
      <w:bookmarkEnd w:id="2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تأتی النوبة للعقوبة والخشونة والقساوة بعد تجاوز تلک المرحلة ، ولذلک فإنّ فی باب الأمر بالمعروف والنهی عن المنکر ، یذکر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الأمر بالمعروف والنهی عن المنکر بالید ، التأکّد من علم الطرف الآخر ، وإحاطته بالحکم</w:t>
      </w:r>
      <w:r>
        <w:rPr>
          <w:rStyle w:val="FootnoteAnchor"/>
          <w:rtl w:val="true"/>
        </w:rPr>
        <w:footnoteReference w:id="84"/>
      </w:r>
      <w:r>
        <w:rPr>
          <w:rFonts w:ascii="IRNazanin" w:hAnsi="IRNazanin" w:eastAsia="IRNazanin"/>
          <w:color w:val="111111"/>
          <w:sz w:val="28"/>
          <w:sz w:val="28"/>
          <w:szCs w:val="28"/>
          <w:rtl w:val="true"/>
          <w:lang w:bidi="fa-IR"/>
        </w:rPr>
        <w:t>، لا أن یضرب قبل التأکّد من علمه بذلک ، فلا یجوز المبادرة بعقابه بالید ، وما شابه ذلک ، قبل التأکّد من علمه بالحکم الشرعی لما قد عمله من منکر ، وبعد إعلامه بالمنکر أو بوجوب المعروف ، یتمّ نصحه وإرشاده ووعظه ، وإذا لم ینفع کل ذلک ، یتم الأمر بالمعروف والنهی عن المنکر ، بالید أو بالمدافعة وما شابه ذلک بإذن الحاکم الشرعی</w:t>
      </w:r>
      <w:r>
        <w:rPr>
          <w:rFonts w:eastAsia="IRNazanin" w:cs="IRNazanin"/>
          <w:color w:val="111111"/>
          <w:sz w:val="28"/>
          <w:szCs w:val="28"/>
          <w:rtl w:val="true"/>
          <w:lang w:bidi="fa-IR"/>
        </w:rPr>
        <w:t>.</w:t>
      </w:r>
      <w:bookmarkStart w:id="297" w:name="pg5261_55218"/>
    </w:p>
    <w:p>
      <w:pPr>
        <w:pStyle w:val="Heading4"/>
        <w:numPr>
          <w:ilvl w:val="3"/>
          <w:numId w:val="1"/>
        </w:numPr>
        <w:rPr/>
      </w:pPr>
      <w:bookmarkStart w:id="298" w:name="__RefHeading___Toc477172_581953129"/>
      <w:bookmarkStart w:id="299" w:name="_Toc116"/>
      <w:bookmarkEnd w:id="297"/>
      <w:bookmarkEnd w:id="298"/>
      <w:r>
        <w:rPr>
          <w:rtl w:val="true"/>
        </w:rPr>
        <w:t>الحوار فی النزاعات القضائیة</w:t>
      </w:r>
      <w:bookmarkEnd w:id="299"/>
    </w:p>
    <w:p>
      <w:pPr>
        <w:pStyle w:val="BookText"/>
        <w:rPr/>
      </w:pPr>
      <w:r>
        <w:rPr>
          <w:rFonts w:ascii="IRNazanin" w:hAnsi="IRNazanin" w:eastAsia="IRNazanin"/>
          <w:color w:val="111111"/>
          <w:sz w:val="28"/>
          <w:sz w:val="28"/>
          <w:szCs w:val="28"/>
          <w:rtl w:val="true"/>
          <w:lang w:bidi="fa-IR"/>
        </w:rPr>
        <w:t xml:space="preserve">وفی فصل النزاعات أیضاً الحوار هو المتقدّم علی غیره ، ففی القضاء الشرعی الإسلامی یُدلی المتنازعان برأیهما ، ویطرح کل منهما الأدلّة والبراهین علی صحة ما قاله ، وقد یکون النزاع بین فردین أو بین دولتین أو أنّ المجتمع یرفع قضیة معیّنة ضدّ حکومته ، ومن هذا المنطق وجدت المحکمة الدستوریة فی الأنظمة الحدیثة ، وهذه المحکمة الدستوریة تمثّل القضاء الذی یحکم القضایا التی تحدث بین السلطة الحاکمة والمجتمع فی تلک الدولة ، ولسنا الآن فی مقام الکلام عن تفاصیل هذه المحکمة </w:t>
      </w:r>
      <w:r>
        <w:rPr>
          <w:rFonts w:eastAsia="IRNazanin" w:cs="IRNazanin"/>
          <w:color w:val="111111"/>
          <w:sz w:val="28"/>
          <w:szCs w:val="28"/>
          <w:rtl w:val="true"/>
          <w:lang w:bidi="fa-IR"/>
        </w:rPr>
        <w:t>.</w:t>
      </w:r>
    </w:p>
    <w:p>
      <w:pPr>
        <w:pStyle w:val="Heading4"/>
        <w:numPr>
          <w:ilvl w:val="3"/>
          <w:numId w:val="1"/>
        </w:numPr>
        <w:rPr/>
      </w:pPr>
      <w:bookmarkStart w:id="300" w:name="__RefHeading___Toc477174_581953129"/>
      <w:bookmarkStart w:id="301" w:name="_Toc117"/>
      <w:bookmarkEnd w:id="300"/>
      <w:r>
        <w:rPr>
          <w:rtl w:val="true"/>
        </w:rPr>
        <w:t>ممارسة الحکومات الدکتاتوریة شوّهت صورة الإسلام</w:t>
      </w:r>
      <w:bookmarkEnd w:id="301"/>
    </w:p>
    <w:p>
      <w:pPr>
        <w:pStyle w:val="BookText"/>
        <w:rPr/>
      </w:pPr>
      <w:r>
        <w:rPr>
          <w:rFonts w:ascii="IRNazanin" w:hAnsi="IRNazanin" w:eastAsia="IRNazanin"/>
          <w:color w:val="111111"/>
          <w:sz w:val="28"/>
          <w:sz w:val="28"/>
          <w:szCs w:val="28"/>
          <w:rtl w:val="true"/>
          <w:lang w:bidi="fa-IR"/>
        </w:rPr>
        <w:t xml:space="preserve">إذن الحوار لیس شعاراً جدیداً علی التشریع الإسلامی ، ولکن ممارسة الحکومات الدکتاتوریة التی کانت تحکم باسم الإسلام ، کالدولة الأمویة والدولة العباسیة ، أعطت الرأی العام صورة سیّئة عن الحوار الإسلامی من خلال ممارساتها القمعیّة مع من یخالفها ویعارضها من قطاعات الشعب الذی تحکمه ، فهذه الحالة مرفوضة ، ویجب أن یکون التحاکم الثقافی والتحاکم العلمی هو السائد ، کما یطرح ذلک الدین الإسلامی </w:t>
      </w:r>
      <w:r>
        <w:rPr>
          <w:rFonts w:eastAsia="IRNazanin" w:cs="IRNazanin"/>
          <w:color w:val="111111"/>
          <w:sz w:val="28"/>
          <w:szCs w:val="28"/>
          <w:rtl w:val="true"/>
          <w:lang w:bidi="fa-IR"/>
        </w:rPr>
        <w:t>.</w:t>
      </w:r>
    </w:p>
    <w:p>
      <w:pPr>
        <w:pStyle w:val="Heading4"/>
        <w:numPr>
          <w:ilvl w:val="3"/>
          <w:numId w:val="1"/>
        </w:numPr>
        <w:rPr/>
      </w:pPr>
      <w:bookmarkStart w:id="302" w:name="__RefHeading___Toc477176_581953129"/>
      <w:bookmarkStart w:id="303" w:name="_Toc118"/>
      <w:bookmarkEnd w:id="302"/>
      <w:r>
        <w:rPr>
          <w:rtl w:val="true"/>
        </w:rPr>
        <w:t>الشوری لا تعنی إرادة الأکثریّة ، وإنّما هی الأخذ بأفضل الآراء</w:t>
      </w:r>
      <w:bookmarkEnd w:id="30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والشوری هی الحوار ، وهی جمع العقول ، وجمع المعلومات ، وجمع</w:t>
      </w:r>
    </w:p>
    <w:p>
      <w:pPr>
        <w:pStyle w:val="BookText"/>
        <w:rPr/>
      </w:pPr>
      <w:r>
        <w:rPr>
          <w:rFonts w:ascii="IRNazanin" w:hAnsi="IRNazanin" w:eastAsia="IRNazanin"/>
          <w:color w:val="111111"/>
          <w:sz w:val="28"/>
          <w:sz w:val="28"/>
          <w:szCs w:val="28"/>
          <w:rtl w:val="true"/>
          <w:lang w:bidi="fa-IR"/>
        </w:rPr>
        <w:t xml:space="preserve">الخبرات ، وتلاقح الأفکار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ظاهرة ثقافیة فکریة ، ولیست ظاهرة غضبیة ، ولیست ظاهرة تحمیلیة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الطرف الآخر علی قبول رأیک بالقوّة ، ویخطأ من یقول أنّ الشوری هی إرادة الأکثریة ؛ لأنّ الشوری لیست إرادة ، وإنّما هی رأی ، والإرادة من القوی العملیّة ، والشوری من القوی العلمیّة ، وفرق بین هذا وذاک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من جمع علم الناس إلی علمه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وقال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العاقل أن یضیف إلی رأیه رأی العقلاء ویضم إلی علمه علوم الحکماء</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وأحادیث أهل البیت علیهم السلام تحثّ علی المشوَرَة</w:t>
      </w:r>
      <w:r>
        <w:rPr>
          <w:rStyle w:val="FootnoteAnchor"/>
          <w:rtl w:val="true"/>
        </w:rPr>
        <w:footnoteReference w:id="87"/>
      </w:r>
      <w:r>
        <w:rPr>
          <w:rFonts w:ascii="IRNazanin" w:hAnsi="IRNazanin" w:eastAsia="IRNazanin"/>
          <w:color w:val="111111"/>
          <w:sz w:val="28"/>
          <w:sz w:val="28"/>
          <w:szCs w:val="28"/>
          <w:rtl w:val="true"/>
          <w:lang w:bidi="fa-IR"/>
        </w:rPr>
        <w:t xml:space="preserve">، وتعتبر المشورة من أعظم أنواع الخیرة ، وإن کانت الخیرة بالسبحة مستحبّة ، ولکن المشورة متقدّمة علیها ، لأنّ الشوری تُوفّر للإنسان فرصة دراسة الموضوع الذی یرید الإنسان أن یُقدم علیه من جمیع الجوانب ، وتتکامل عنده الصورة بشکل أوضح ، وهناک شروط لمن تصح مشاورته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ولیست الشوری بمعنی مجموعة الإرادات أو الإرادة الجمعیّة أو الحاکمیة للأکثریة ، بل الشوری 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الحاکمیة للصواب وإن کان الصواب یمثّل رأی الأقلیّة فی تلک المجموعة ، والشوری 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حاکمیة العلم وإن کانت لفرد واحد إذا کان أخبر القوم وأعلمهم ، وهو صاحب الرأی الصحیح فی قبال مجموعة کبیرة ، الشوری مداولة الآراء لمعرفة الخطأ من الصواب ، ولا 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القهر والفرض والاستبداد </w:t>
      </w:r>
      <w:r>
        <w:rPr>
          <w:rFonts w:eastAsia="IRNazanin" w:cs="IRNazanin"/>
          <w:color w:val="111111"/>
          <w:sz w:val="28"/>
          <w:szCs w:val="28"/>
          <w:rtl w:val="true"/>
          <w:lang w:bidi="fa-IR"/>
        </w:rPr>
        <w:t>.</w:t>
      </w:r>
      <w:bookmarkStart w:id="304" w:name="pg5261_55220"/>
    </w:p>
    <w:p>
      <w:pPr>
        <w:pStyle w:val="Heading4"/>
        <w:numPr>
          <w:ilvl w:val="3"/>
          <w:numId w:val="1"/>
        </w:numPr>
        <w:rPr/>
      </w:pPr>
      <w:bookmarkStart w:id="305" w:name="__RefHeading___Toc477178_581953129"/>
      <w:bookmarkStart w:id="306" w:name="_Toc119"/>
      <w:bookmarkEnd w:id="304"/>
      <w:bookmarkEnd w:id="305"/>
      <w:r>
        <w:rPr>
          <w:rtl w:val="true"/>
        </w:rPr>
        <w:t>یُفتح باب القتال إذا أُغلق باب الحوار</w:t>
      </w:r>
      <w:bookmarkEnd w:id="306"/>
    </w:p>
    <w:p>
      <w:pPr>
        <w:pStyle w:val="BookText"/>
        <w:rPr/>
      </w:pPr>
      <w:r>
        <w:rPr>
          <w:rFonts w:ascii="Amiri" w:hAnsi="Amiri" w:eastAsia="Amiri" w:cs="Amiri"/>
          <w:color w:val="111111"/>
          <w:sz w:val="28"/>
          <w:sz w:val="28"/>
          <w:szCs w:val="28"/>
          <w:rtl w:val="true"/>
          <w:lang w:bidi="ar-SA"/>
        </w:rPr>
        <w:t>ولو جئنا إلی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فبعد أن فشل الإصلاح بینهما تأتی مرحلة قتال الفئة الباغیة ، ولا یصلح النقاش والحوار الفکری بعد هذه المرحلة ؛ لأنّ الأمر مرتبط بالنزاع العسکری الذی لا یُحلّ بالنقاش الفکری مع إصرار إحدی الطائفتین علی البغی ، وأمّا إذا تخلّت عن إصرارها فیأتی دور الإصلاح مرّة أُخری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77180_581953129"/>
      <w:bookmarkStart w:id="308" w:name="_Toc120"/>
      <w:bookmarkEnd w:id="307"/>
      <w:r>
        <w:rPr>
          <w:rtl w:val="true"/>
        </w:rPr>
        <w:t>الإمام علی علیه السلام طرق کل أبواب الحوار قبل القتال</w:t>
      </w:r>
      <w:bookmarkEnd w:id="3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والحوار هو أسلوب أهل البیت علیهم السلام فی التعامل مع الآخرین حتّی لو کانوا أعداءهم ، فهذا الإمام علی بن أبی طالب علیه السلام رفض البدء بالقتال مع أصحاب الجمل ، وقد أرسل الإمام الحسن علیه السلام وعبد اللّه بن عباس إلی الطرف الآخر قبل بدء الحرب إلی درجة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هاشم لدیهم من الحجج والبراهین الکثیرة ، ولا نقوی علی حججهم</w:t>
      </w:r>
      <w:r>
        <w:rPr>
          <w:rStyle w:val="FootnoteAnchor"/>
          <w:rtl w:val="true"/>
        </w:rPr>
        <w:footnoteReference w:id="88"/>
      </w:r>
      <w:r>
        <w:rPr>
          <w:rFonts w:ascii="IRNazanin" w:hAnsi="IRNazanin" w:eastAsia="IRNazanin"/>
          <w:color w:val="111111"/>
          <w:sz w:val="28"/>
          <w:sz w:val="28"/>
          <w:szCs w:val="28"/>
          <w:rtl w:val="true"/>
          <w:lang w:bidi="fa-IR"/>
        </w:rPr>
        <w:t>، وهذا دلیل علی أنّ معسکر الإمام علی علیه السلام کان یتوسّل إلی القوی العقلیّة لفضّ النزاع ، ولم یلجأ إلی القوّة الغضبیة إلّابعد أن استنفذ کل الوسائل والطرق العقلیّة ، وذلک حرصاً علی وحدة المسلمین وحقن دمائهم ، ومن یتابع أمیر المؤمنین علی علیه السلام فی کل موقف من مواقف حیاته ، سیجد هذه الصفة متجلّیة عنده ، فلا یُقدّم القوّة الغضبیة علی القوّة العقلیّة ، وهذا ما فعله فی</w:t>
      </w:r>
      <w:bookmarkStart w:id="309" w:name="pg5261_55221"/>
    </w:p>
    <w:p>
      <w:pPr>
        <w:pStyle w:val="BookText"/>
        <w:rPr/>
      </w:pPr>
      <w:bookmarkEnd w:id="309"/>
      <w:r>
        <w:rPr>
          <w:rFonts w:ascii="IRNazanin" w:hAnsi="IRNazanin" w:eastAsia="IRNazanin"/>
          <w:color w:val="111111"/>
          <w:sz w:val="28"/>
          <w:sz w:val="28"/>
          <w:szCs w:val="28"/>
          <w:rtl w:val="true"/>
          <w:lang w:bidi="fa-IR"/>
        </w:rPr>
        <w:t xml:space="preserve">صفین ، حیث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أکره قتالکم قبل الإعذار إلیکم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وهذه لا تعنی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الکراهة بمعنی أنّ هذا الفعل مکروه شرعاً ، بل هو محرّم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علی نفسی أن أبدأهم بقتال </w:t>
      </w:r>
      <w:r>
        <w:rPr>
          <w:rFonts w:eastAsia="IRNazanin" w:cs="IRNazanin"/>
          <w:color w:val="111111"/>
          <w:sz w:val="28"/>
          <w:szCs w:val="28"/>
          <w:rtl w:val="true"/>
          <w:lang w:bidi="fa-IR"/>
        </w:rPr>
        <w:t>.</w:t>
      </w:r>
    </w:p>
    <w:p>
      <w:pPr>
        <w:pStyle w:val="Heading4"/>
        <w:numPr>
          <w:ilvl w:val="3"/>
          <w:numId w:val="1"/>
        </w:numPr>
        <w:rPr/>
      </w:pPr>
      <w:bookmarkStart w:id="310" w:name="__RefHeading___Toc477182_581953129"/>
      <w:bookmarkStart w:id="311" w:name="_Toc121"/>
      <w:bookmarkEnd w:id="310"/>
      <w:r>
        <w:rPr>
          <w:rtl w:val="true"/>
        </w:rPr>
        <w:t>أمیر المؤمنین علیه السلام ، وحواره مع حزب الخوارج</w:t>
      </w:r>
      <w:bookmarkEnd w:id="311"/>
    </w:p>
    <w:p>
      <w:pPr>
        <w:pStyle w:val="BookText"/>
        <w:rPr/>
      </w:pPr>
      <w:r>
        <w:rPr>
          <w:rFonts w:ascii="IRNazanin" w:hAnsi="IRNazanin" w:eastAsia="IRNazanin"/>
          <w:color w:val="111111"/>
          <w:sz w:val="28"/>
          <w:sz w:val="28"/>
          <w:szCs w:val="28"/>
          <w:rtl w:val="true"/>
          <w:lang w:bidi="fa-IR"/>
        </w:rPr>
        <w:t>وفی تعامل أمیر المؤمنین علیه السلام مع الخوارج نموذج رائع ، مع أنّهم کانوا تحت سلطته حیث کان الکثیر من المحیطین بالإمام علی علیه السلام یحثّونه علی قتال الخوارج وإبادتهم قبل معرکة النهروان ، ولکنّه رفض مقاتلتهم إلّابعد أن أتمّ الحجة علیهم بالحوار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فعله الإمام علیه السلام مع الخوارج یصلح لأن یکون أنموذجاً فی التعامل مع المعارضة حیث کان الإمام علیه السلام یعطیهم کل الحقوق المتعلّقة بإبداء الرأی وطرح الفکر ، وهناک دراسات فی جامعة الأزهر تحاول أن تغوص غمار هذه التجربة العلویة المبارکة مع الحزب المعارض المتمثّل بالخوارج ، ومن المعروف أنّ الخوارج لم یکونوا أفراداً ، بل حزباً سیاسیاً وأیدلوجیاً ، وحتّی هؤلاء الخوارج لم یبدأهم الإمام علی علیه السلام بالقتال ، ولم یقصِهم أو یقم علیهم الإقامة الجبریّة ، بل فتح لهم باب الحوار علی مصراعیه ، ممّا جعل الخوارج یفتحون الجبهة الإعلامیة بشکل قوی ، مع ذلک لم یحاربهم ، واقتصر علی رد الرأی بالرأی ، وطرح بیّناته وحججه ، وتحمّل الإمام علی علیه السلام الطرف المعارض إلی أقصی حدّ ، مادام الطرف</w:t>
      </w:r>
      <w:bookmarkStart w:id="312" w:name="pg5261_55222"/>
    </w:p>
    <w:p>
      <w:pPr>
        <w:pStyle w:val="BookText"/>
        <w:rPr/>
      </w:pPr>
      <w:bookmarkEnd w:id="312"/>
      <w:r>
        <w:rPr>
          <w:rFonts w:ascii="IRNazanin" w:hAnsi="IRNazanin" w:eastAsia="IRNazanin"/>
          <w:color w:val="111111"/>
          <w:sz w:val="28"/>
          <w:sz w:val="28"/>
          <w:szCs w:val="28"/>
          <w:rtl w:val="true"/>
          <w:lang w:bidi="fa-IR"/>
        </w:rPr>
        <w:t>الآخر قد اعتمد لغة الحوار ، والأکثر من ذلک أنّ أمیر المؤمنین علیه السلام کان یقبل المقاضاة ، وهو حاکم الدولة وخلیفة المسلمین وأمیر المؤمنین فی قضیة مالیة ، فیقبل أن یقف أمام شریح القاضی هو والطرف الذی رفع الشکوی علیه</w:t>
      </w:r>
      <w:r>
        <w:rPr>
          <w:rStyle w:val="FootnoteAnchor"/>
          <w:rtl w:val="true"/>
        </w:rPr>
        <w:footnoteReference w:id="91"/>
      </w:r>
      <w:r>
        <w:rPr>
          <w:rFonts w:ascii="IRNazanin" w:hAnsi="IRNazanin" w:eastAsia="IRNazanin"/>
          <w:color w:val="111111"/>
          <w:sz w:val="28"/>
          <w:sz w:val="28"/>
          <w:szCs w:val="28"/>
          <w:rtl w:val="true"/>
          <w:lang w:bidi="fa-IR"/>
        </w:rPr>
        <w:t xml:space="preserve">، وهذه النماذج لا نجدها إلّاعند أهل البیت علیهم السلام </w:t>
      </w:r>
      <w:r>
        <w:rPr>
          <w:rFonts w:eastAsia="IRNazanin" w:cs="IRNazanin"/>
          <w:color w:val="111111"/>
          <w:sz w:val="28"/>
          <w:szCs w:val="28"/>
          <w:rtl w:val="true"/>
          <w:lang w:bidi="fa-IR"/>
        </w:rPr>
        <w:t>.</w:t>
      </w:r>
    </w:p>
    <w:p>
      <w:pPr>
        <w:pStyle w:val="Heading4"/>
        <w:numPr>
          <w:ilvl w:val="3"/>
          <w:numId w:val="1"/>
        </w:numPr>
        <w:rPr/>
      </w:pPr>
      <w:bookmarkStart w:id="313" w:name="__RefHeading___Toc477184_581953129"/>
      <w:bookmarkStart w:id="314" w:name="_Toc122"/>
      <w:bookmarkEnd w:id="313"/>
      <w:r>
        <w:rPr>
          <w:rtl w:val="true"/>
        </w:rPr>
        <w:t>النبی صلی الله علیه و آله یقدّم الحوار علی القتال</w:t>
      </w:r>
      <w:bookmarkEnd w:id="314"/>
    </w:p>
    <w:p>
      <w:pPr>
        <w:pStyle w:val="BookText"/>
        <w:rPr/>
      </w:pPr>
      <w:r>
        <w:rPr>
          <w:rFonts w:ascii="IRNazanin" w:hAnsi="IRNazanin" w:eastAsia="IRNazanin"/>
          <w:color w:val="111111"/>
          <w:sz w:val="28"/>
          <w:sz w:val="28"/>
          <w:szCs w:val="28"/>
          <w:rtl w:val="true"/>
          <w:lang w:bidi="fa-IR"/>
        </w:rPr>
        <w:t xml:space="preserve">والنبی صلی الله علیه و آله وهو معلّم الإمام علی علیه السلام کان کذلک ، وتقسیم الدعوة إلی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المکّیة والمرحلة المدنیّة دلیل علی ما نقول ، حیث کان فی مکّة یطرح البراهین والحجج والدلائل علی صدقه لمدة ثلاثة عشر سنة ، وهی مدّة لیست بالقلیلة ، وفی المدینة بعد أن أسس الدولة والنظام الإسلامی ، وتشکّلت القوّة الإسلامیة العسکریة ، ومع هذا نری فی غزوة بدر لم یبدأ النبی صلی الله علیه و آله بالقتال</w:t>
      </w:r>
      <w:r>
        <w:rPr>
          <w:rStyle w:val="FootnoteAnchor"/>
          <w:rtl w:val="true"/>
        </w:rPr>
        <w:footnoteReference w:id="92"/>
      </w:r>
      <w:r>
        <w:rPr>
          <w:rFonts w:ascii="IRNazanin" w:hAnsi="IRNazanin" w:eastAsia="IRNazanin"/>
          <w:color w:val="111111"/>
          <w:sz w:val="28"/>
          <w:sz w:val="28"/>
          <w:szCs w:val="28"/>
          <w:rtl w:val="true"/>
          <w:lang w:bidi="fa-IR"/>
        </w:rPr>
        <w:t xml:space="preserve">؛ لأنّ هذه هی سنَّة النبی صلی الله علیه و آله وأهل بیته علیهم السلام ، فقد کانوا یرفضون البدء بالقتال ، ولا یقاتلون إلّابعد أن یبدأ الطرف الآخر بالقتال </w:t>
      </w:r>
      <w:r>
        <w:rPr>
          <w:rFonts w:eastAsia="IRNazanin" w:cs="IRNazanin"/>
          <w:color w:val="111111"/>
          <w:sz w:val="28"/>
          <w:szCs w:val="28"/>
          <w:rtl w:val="true"/>
          <w:lang w:bidi="fa-IR"/>
        </w:rPr>
        <w:t>.</w:t>
      </w:r>
    </w:p>
    <w:p>
      <w:pPr>
        <w:pStyle w:val="Heading4"/>
        <w:numPr>
          <w:ilvl w:val="3"/>
          <w:numId w:val="1"/>
        </w:numPr>
        <w:rPr/>
      </w:pPr>
      <w:bookmarkStart w:id="315" w:name="__RefHeading___Toc477186_581953129"/>
      <w:bookmarkStart w:id="316" w:name="_Toc123"/>
      <w:bookmarkEnd w:id="315"/>
      <w:r>
        <w:rPr>
          <w:rtl w:val="true"/>
        </w:rPr>
        <w:t>الإمام الحسین علیه السلام ، والحوار مع الأعداء</w:t>
      </w:r>
      <w:bookmarkEnd w:id="3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تتبّعنا حرکة الإمام الحسین علیه السلام لرأینا الحوار حاضرٌ فی کل محطّة من محطّاته ، کحواره مع أهل الکوفة ، ومع عمر بن سعد ، ومع جیش بنی أمیة ، ولم یبدأ الإمام الحسین علیه السلام جیش بنی أمیة بالقتال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317" w:name="pg5261_55223"/>
    </w:p>
    <w:p>
      <w:pPr>
        <w:pStyle w:val="Heading3"/>
        <w:numPr>
          <w:ilvl w:val="2"/>
          <w:numId w:val="1"/>
        </w:numPr>
        <w:rPr/>
      </w:pPr>
      <w:bookmarkStart w:id="318" w:name="__RefHeading___Toc477188_581953129"/>
      <w:bookmarkStart w:id="319" w:name="_Toc124"/>
      <w:bookmarkEnd w:id="317"/>
      <w:bookmarkEnd w:id="318"/>
      <w:r>
        <w:rPr>
          <w:rtl w:val="true"/>
        </w:rPr>
        <w:t>المحاضرة الخامسة الجهاد الابتدائی والحروب العدوانیة</w:t>
      </w:r>
      <w:bookmarkEnd w:id="319"/>
    </w:p>
    <w:p>
      <w:pPr>
        <w:pStyle w:val="Heading4"/>
        <w:numPr>
          <w:ilvl w:val="3"/>
          <w:numId w:val="1"/>
        </w:numPr>
        <w:rPr/>
      </w:pPr>
      <w:bookmarkStart w:id="320" w:name="__RefHeading___Toc477190_581953129"/>
      <w:bookmarkStart w:id="321" w:name="_Toc125"/>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المعترضون علی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الإسلام دین القوّة والعنف والإرهاب؟</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الجیوش الفاتحة فی الأموال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دخلت أوروبا فی الدین المسیحی فی القرن الثانی الهجری؟</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الجهاد الابتدائی هو الحرب العدوانیّة؟</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الکتَّاب المصریین تنکّروا لوجود الجهاد الابتدائی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النبی صلی الله علیه و آله کلّها دفاعیّة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الصحیح عن إشکال الجهاد الابتدائی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ینهی عن إهلاک الحرث والنسل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یکرّم بنی آدم </w:t>
      </w:r>
      <w:r>
        <w:rPr>
          <w:rFonts w:eastAsia="IRNazanin" w:cs="IRNazanin"/>
          <w:color w:val="111111"/>
          <w:sz w:val="28"/>
          <w:szCs w:val="28"/>
          <w:rtl w:val="true"/>
          <w:lang w:bidi="fa-IR"/>
        </w:rPr>
        <w:t>.</w:t>
      </w:r>
    </w:p>
    <w:p>
      <w:pPr>
        <w:pStyle w:val="Heading4"/>
        <w:numPr>
          <w:ilvl w:val="3"/>
          <w:numId w:val="1"/>
        </w:numPr>
        <w:rPr/>
      </w:pPr>
      <w:bookmarkStart w:id="322" w:name="__RefHeading___Toc477192_581953129"/>
      <w:bookmarkStart w:id="323" w:name="_Toc126"/>
      <w:bookmarkEnd w:id="322"/>
      <w:r>
        <w:rPr>
          <w:rtl w:val="true"/>
        </w:rPr>
        <w:t>المعترضون علی الإسلام</w:t>
      </w:r>
      <w:bookmarkEnd w:id="3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بعض الاعتراضات علی الطرح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الإسلامی ذو طبیعة أوّلیة تتسم بالرفق واللّین والتعقّل الهدوء والحوار ، وأنّ طبیعته لا تتسم بالرعونة والإرهاب والعنف والشدّة ، وسنستعرض هذه الاعتراضات ، وسنری أنّها مردودة علی أصحابها </w:t>
      </w:r>
      <w:r>
        <w:rPr>
          <w:rFonts w:eastAsia="IRNazanin" w:cs="IRNazanin"/>
          <w:color w:val="111111"/>
          <w:sz w:val="28"/>
          <w:szCs w:val="28"/>
          <w:rtl w:val="true"/>
          <w:lang w:bidi="fa-IR"/>
        </w:rPr>
        <w:t>.</w:t>
      </w:r>
      <w:bookmarkStart w:id="324" w:name="pg5261_55224"/>
    </w:p>
    <w:p>
      <w:pPr>
        <w:pStyle w:val="Heading4"/>
        <w:numPr>
          <w:ilvl w:val="3"/>
          <w:numId w:val="1"/>
        </w:numPr>
        <w:rPr/>
      </w:pPr>
      <w:bookmarkStart w:id="325" w:name="__RefHeading___Toc477194_581953129"/>
      <w:bookmarkStart w:id="326" w:name="_Toc127"/>
      <w:bookmarkEnd w:id="324"/>
      <w:bookmarkEnd w:id="325"/>
      <w:r>
        <w:rPr>
          <w:rtl w:val="true"/>
        </w:rPr>
        <w:t>هل الإسلام دین القوّة والعنف والإرهاب ؟</w:t>
      </w:r>
      <w:bookmarkEnd w:id="326"/>
    </w:p>
    <w:p>
      <w:pPr>
        <w:pStyle w:val="BookText"/>
        <w:rPr/>
      </w:pPr>
      <w:r>
        <w:rPr>
          <w:rFonts w:ascii="IRNazanin" w:hAnsi="IRNazanin" w:eastAsia="IRNazanin"/>
          <w:color w:val="111111"/>
          <w:sz w:val="28"/>
          <w:sz w:val="28"/>
          <w:szCs w:val="28"/>
          <w:rtl w:val="true"/>
          <w:lang w:bidi="fa-IR"/>
        </w:rPr>
        <w:t xml:space="preserve">اعترض مجموعة من المستشرقین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هو دین السیف والقوّة والعنف والإرهاب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الفترة التی قضاها النبی صلی الله علیه و آله فی المدینة المنوّرة فی عشر سنوات ، نشبت ثمانون حرباً ، وهذا العدد یدلّ علی أنّ الإسلام یرتکز علی السیف والقوّة والخشونة ، ولا یرتکز علی الحوار والعرض العلمی والتفاهم </w:t>
      </w:r>
      <w:r>
        <w:rPr>
          <w:rFonts w:eastAsia="IRNazanin" w:cs="IRNazanin"/>
          <w:color w:val="111111"/>
          <w:sz w:val="28"/>
          <w:szCs w:val="28"/>
          <w:rtl w:val="true"/>
          <w:lang w:bidi="fa-IR"/>
        </w:rPr>
        <w:t>.</w:t>
      </w:r>
    </w:p>
    <w:p>
      <w:pPr>
        <w:pStyle w:val="Heading4"/>
        <w:numPr>
          <w:ilvl w:val="3"/>
          <w:numId w:val="1"/>
        </w:numPr>
        <w:rPr/>
      </w:pPr>
      <w:bookmarkStart w:id="327" w:name="__RefHeading___Toc477196_581953129"/>
      <w:bookmarkStart w:id="328" w:name="_Toc128"/>
      <w:bookmarkEnd w:id="327"/>
      <w:r>
        <w:rPr>
          <w:rtl w:val="true"/>
        </w:rPr>
        <w:t>طمع الجیوش الفاتحة فی الأموال والنساء</w:t>
      </w:r>
      <w:bookmarkEnd w:id="328"/>
    </w:p>
    <w:p>
      <w:pPr>
        <w:pStyle w:val="BookText"/>
        <w:rPr/>
      </w:pPr>
      <w:r>
        <w:rPr>
          <w:rFonts w:ascii="IRNazanin" w:hAnsi="IRNazanin" w:eastAsia="IRNazanin"/>
          <w:color w:val="111111"/>
          <w:sz w:val="28"/>
          <w:sz w:val="28"/>
          <w:szCs w:val="28"/>
          <w:rtl w:val="true"/>
          <w:lang w:bidi="fa-IR"/>
        </w:rPr>
        <w:t xml:space="preserve">وفی عصر الفتوحات الذی کان یحتوی علی الکثیر من المخالفات الإنسانیة ، سطّرتها کتب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آذربایجان دخل أهل هذه المنطقة الإسلام ، ولکن ما یسمی بالجیوش الفاتحة لم تعترف بإشهار أهل تلک المنطقة لإسلامهم ، وذلک رغبة فی الحصول علی السبی والنساء الجمیلات والغنائم والأموال ، لأنّهم لو أذعنوا بإسلام أهل تلک المنطقة ، لما حصلوا علی شیء من ذلک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مثل هذا فی أطراف الهند والصین ، حتی إن ابن أبی الحدید المعتزلی فی شرحه لنهج البلاغة ،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المصادر التاریخیة القدیمة ، القصص الطویلة التی تقشعرّ منها الأبدان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الأقباط فی مصر ، والبربر فی بلدان المغرب العربی ، وکذلک فی إسبانیا ، إلی درجة أنّ الإسبانیین عندهم یوم خاص ، یحتفلون به بهزیمة المسلمین فی کل عام ، وهناک مؤلف إسلامی ، عنده العدید من الکتب حول الأندلس ، ولعلّه کتاب الغصن الرطیب فی تاریخ الأندلس ، یبیّن فیه أنّ الإسبانیین انتقموا من المسلمین بنفس الطریقة التی عوملوا بها ، فسبوا النساء واسترقوهنّ ، وهدموا المساجد ، کما هدم المسلمون الکنائس ، ومازالت آثار تلک المعاملة تستعر فی</w:t>
      </w:r>
      <w:bookmarkStart w:id="329" w:name="pg5261_55225"/>
    </w:p>
    <w:p>
      <w:pPr>
        <w:pStyle w:val="BookText"/>
        <w:rPr/>
      </w:pPr>
      <w:bookmarkEnd w:id="329"/>
      <w:r>
        <w:rPr>
          <w:rFonts w:ascii="IRNazanin" w:hAnsi="IRNazanin" w:eastAsia="IRNazanin"/>
          <w:color w:val="111111"/>
          <w:sz w:val="28"/>
          <w:sz w:val="28"/>
          <w:szCs w:val="28"/>
          <w:rtl w:val="true"/>
          <w:lang w:bidi="fa-IR"/>
        </w:rPr>
        <w:t xml:space="preserve">قلوب الآخرین تجاه الإسلام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البوسنة والهرسک ، وما فعله الصرب بالمسلمین ، کان نتیجة مخلّفات تاریخیّة ، وأقرأ ما فعلته الدولة العثمانیة الترکیة من ممارسات خاطئة </w:t>
      </w:r>
      <w:r>
        <w:rPr>
          <w:rFonts w:eastAsia="IRNazanin" w:cs="IRNazanin"/>
          <w:color w:val="111111"/>
          <w:sz w:val="28"/>
          <w:szCs w:val="28"/>
          <w:rtl w:val="true"/>
          <w:lang w:bidi="fa-IR"/>
        </w:rPr>
        <w:t>.</w:t>
      </w:r>
    </w:p>
    <w:p>
      <w:pPr>
        <w:pStyle w:val="Heading4"/>
        <w:numPr>
          <w:ilvl w:val="3"/>
          <w:numId w:val="1"/>
        </w:numPr>
        <w:rPr/>
      </w:pPr>
      <w:bookmarkStart w:id="330" w:name="__RefHeading___Toc477198_581953129"/>
      <w:bookmarkStart w:id="331" w:name="_Toc129"/>
      <w:bookmarkEnd w:id="330"/>
      <w:r>
        <w:rPr>
          <w:rtl w:val="true"/>
        </w:rPr>
        <w:t>لماذا دخلت أوروبا فی الدین المسیحی فی القرن الثانی الهجری ؟</w:t>
      </w:r>
      <w:bookmarkEnd w:id="331"/>
    </w:p>
    <w:p>
      <w:pPr>
        <w:pStyle w:val="BookText"/>
        <w:rPr/>
      </w:pPr>
      <w:r>
        <w:rPr>
          <w:rFonts w:ascii="IRNazanin" w:hAnsi="IRNazanin" w:eastAsia="IRNazanin"/>
          <w:color w:val="111111"/>
          <w:sz w:val="28"/>
          <w:sz w:val="28"/>
          <w:szCs w:val="28"/>
          <w:rtl w:val="true"/>
          <w:lang w:bidi="fa-IR"/>
        </w:rPr>
        <w:t xml:space="preserve">والشیء الملفت أنّ أوروبا إنّما دخلت فی المسیحیّة فی القرن الثانی الهجری ، وکانت قبل ذلک وثنیّة ، ولازال الإسلام فتیّاً ، ومن المفترض أنّ نور بریقه یسطع فی أوروبا ، فکیف نجح المسیحیّون فی نشر دیانتهم فی أوروبا فی وقت کان الإسلام یتمتع بالعنفوان والقوّة والانتشار؟ بینما کان بین تلک الحقبة التاریخیة ، وبین بعثة النبی عیسی علیه السلام ستة قرون ، وهذا شیء مؤسف وخسارة کبیرة للإسلام والمسلمین ، وقد انطلق المبشّرون المسیحیون بمفاهیم السلام والرحمة والتعامل بالحسنی ، وغزوا کل أوروبا فی تلک الفترة ، وقد انتقلت هذه الأفکار إلی الأمریکتین ، والعدید من دول العالم ، ولازال المسیحیون إلی زماننا هذا یتفوّقون عددا علی المسلمین فی تلک المناطق ، فلابد من دراسة الأسباب التی حوّلت أوروبا للدین المسیحی ، وجعلتها تعرض عن الإسلام </w:t>
      </w:r>
      <w:r>
        <w:rPr>
          <w:rFonts w:eastAsia="IRNazanin" w:cs="IRNazanin"/>
          <w:color w:val="111111"/>
          <w:sz w:val="28"/>
          <w:szCs w:val="28"/>
          <w:rtl w:val="true"/>
          <w:lang w:bidi="fa-IR"/>
        </w:rPr>
        <w:t>.</w:t>
      </w:r>
    </w:p>
    <w:p>
      <w:pPr>
        <w:pStyle w:val="Heading4"/>
        <w:numPr>
          <w:ilvl w:val="3"/>
          <w:numId w:val="1"/>
        </w:numPr>
        <w:rPr/>
      </w:pPr>
      <w:bookmarkStart w:id="332" w:name="__RefHeading___Toc477200_581953129"/>
      <w:bookmarkStart w:id="333" w:name="_Toc130"/>
      <w:bookmarkEnd w:id="332"/>
      <w:r>
        <w:rPr>
          <w:rtl w:val="true"/>
        </w:rPr>
        <w:t>هل الجهاد الابتدائی هو الحرب العدوانیّة ؟</w:t>
      </w:r>
      <w:bookmarkEnd w:id="333"/>
    </w:p>
    <w:p>
      <w:pPr>
        <w:pStyle w:val="BookText"/>
        <w:rPr/>
      </w:pPr>
      <w:r>
        <w:rPr>
          <w:rFonts w:ascii="IRNazanin" w:hAnsi="IRNazanin" w:eastAsia="IRNazanin"/>
          <w:color w:val="111111"/>
          <w:sz w:val="28"/>
          <w:sz w:val="28"/>
          <w:szCs w:val="28"/>
          <w:rtl w:val="true"/>
          <w:lang w:bidi="fa-IR"/>
        </w:rPr>
        <w:t>ولو أنّنا قرأنا کتاب الجهاد فی الفقه الإسلامی لرأینا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ترجمنا هذا المصطلح إلی لغة القانون الحدیثة 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العدوانیّة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تحمل فی طیّاتها الحدّة والعنف والشدّة والقتل </w:t>
      </w:r>
      <w:r>
        <w:rPr>
          <w:rFonts w:eastAsia="IRNazanin" w:cs="IRNazanin"/>
          <w:color w:val="111111"/>
          <w:sz w:val="28"/>
          <w:szCs w:val="28"/>
          <w:rtl w:val="true"/>
          <w:lang w:bidi="fa-IR"/>
        </w:rPr>
        <w:t>.</w:t>
      </w:r>
    </w:p>
    <w:p>
      <w:pPr>
        <w:pStyle w:val="Heading4"/>
        <w:numPr>
          <w:ilvl w:val="3"/>
          <w:numId w:val="1"/>
        </w:numPr>
        <w:rPr/>
      </w:pPr>
      <w:bookmarkStart w:id="334" w:name="__RefHeading___Toc477202_581953129"/>
      <w:bookmarkStart w:id="335" w:name="_Toc131"/>
      <w:bookmarkEnd w:id="334"/>
      <w:r>
        <w:rPr>
          <w:rtl w:val="true"/>
        </w:rPr>
        <w:t>بعض الکتَّاب المصریین تنکّروا لوجود الجهاد الابتدائی</w:t>
      </w:r>
      <w:bookmarkEnd w:id="3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وطَرْح هذا الإشکال ، جعل بعض الکتّاب المصریین قبل ما یقارب من خمسة</w:t>
      </w:r>
    </w:p>
    <w:p>
      <w:pPr>
        <w:pStyle w:val="BookText"/>
        <w:rPr/>
      </w:pPr>
      <w:r>
        <w:rPr>
          <w:rFonts w:ascii="IRNazanin" w:hAnsi="IRNazanin" w:eastAsia="IRNazanin"/>
          <w:color w:val="111111"/>
          <w:sz w:val="28"/>
          <w:sz w:val="28"/>
          <w:szCs w:val="28"/>
          <w:rtl w:val="true"/>
          <w:lang w:bidi="fa-IR"/>
        </w:rPr>
        <w:t xml:space="preserve">عقود یتنکّرون لوجود الجهاد الابتدائی فی الإسلام ، وأنّ الجهاد المذکور فی القرآن الکریم هو جهاد دفاعی ، ولیس جهاد ابتدائی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فرق بین التشریع الإسلامی ، وممارسة المسلمین ، وقد استدلّوا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بالعدید من الآیات والروایات النبویّة ، وقبل أن نستعرضها نودّ الإشارة إلی أنّ تنصّل هؤلاء مما حصل أثناء الفتوحات ، إقرار بوجود أخطاء ، وتجاوزات قامت بها جیوش الفتح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الآیات التی استدلّوا بها ، وهی آیات مدنیّة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واعتبروا هذا النص نصاً مقیّداً لباقی النصوص القرآنیة التی تدعوا إلی الجهاد ، واستدلّوا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کثیر من المذاهب أنّ هذه الآیة لیست منسوخة ؛ لأنّ هذه الآیة تدلّ علی تشریع المهادنة مع الکفار ، وعقد العهد والأمان معهم ، وهذا یدلّ علی أنّ قتال الکفار فی القرآن الکریم لیس بشکل مطلق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السورة من أواخر السور التی نزلت ،</w:t>
      </w:r>
      <w:bookmarkStart w:id="336" w:name="pg5261_55227"/>
    </w:p>
    <w:p>
      <w:pPr>
        <w:pStyle w:val="BookText"/>
        <w:rPr/>
      </w:pPr>
      <w:bookmarkEnd w:id="336"/>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سورة نزلت بالمدینة</w:t>
      </w:r>
      <w:r>
        <w:rPr>
          <w:rStyle w:val="FootnoteAnchor"/>
          <w:rtl w:val="true"/>
        </w:rPr>
        <w:footnoteReference w:id="94"/>
      </w:r>
      <w:r>
        <w:rPr>
          <w:rFonts w:ascii="IRNazanin" w:hAnsi="IRNazanin" w:eastAsia="IRNazanin"/>
          <w:color w:val="111111"/>
          <w:sz w:val="28"/>
          <w:sz w:val="28"/>
          <w:szCs w:val="28"/>
          <w:rtl w:val="true"/>
          <w:lang w:bidi="fa-IR"/>
        </w:rPr>
        <w:t xml:space="preserve">، وإن کان الأصح بین المفسّرین أنّ سورة المائدة هی آخر سورة نزلت </w:t>
      </w:r>
      <w:r>
        <w:rPr>
          <w:rFonts w:eastAsia="IRNazanin" w:cs="IRNazanin"/>
          <w:color w:val="111111"/>
          <w:sz w:val="28"/>
          <w:szCs w:val="28"/>
          <w:rtl w:val="true"/>
          <w:lang w:bidi="fa-IR"/>
        </w:rPr>
        <w:t>.</w:t>
      </w:r>
    </w:p>
    <w:p>
      <w:pPr>
        <w:pStyle w:val="Heading4"/>
        <w:numPr>
          <w:ilvl w:val="3"/>
          <w:numId w:val="1"/>
        </w:numPr>
        <w:rPr/>
      </w:pPr>
      <w:bookmarkStart w:id="337" w:name="__RefHeading___Toc477204_581953129"/>
      <w:bookmarkStart w:id="338" w:name="_Toc132"/>
      <w:bookmarkEnd w:id="337"/>
      <w:r>
        <w:rPr>
          <w:rtl w:val="true"/>
        </w:rPr>
        <w:t>حروب النبی صلی الله علیه و آله کلّها دفاعیّة</w:t>
      </w:r>
      <w:bookmarkEnd w:id="3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وطَرْحُ مثل هذه الآیات هدفه التأمّل ، ومراجعه الأحکام الواردة فی کتب الجهاد عند المسلمین فی تشریع الجهاد الابتدائی ، أمّا بالنسبة لسیرة النبی صلی الله علیه و آله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یجب أن نفرّق بین سیرة النبی ، وسیرة من بعده عموماً ، وأنّ حروب النبی ابتداءً من بدر ، وحتی تبوک لم تکن حروباً تمثّل الجهاد الابتدائی ، بل کلها حروب دفاعیّة ، والشاهد علی ذلک أنّ غزوة بدر لم یقم بها النبی صلی الله علیه و آله إلّابعد أن قامت قریش بالاعتداء علی المسلمین ، وعلی أموالهم فی مکّة المکرّمة ، بل کانت قریش تعتدی علی المسلمین حتّی فی المدینة المنوّرة علی شکل غارات لیلیّة ، فکان هدف النبی صلی الله علیه و آله وقف العدوان القرشی ، والاقتصاص من قریش فلذلک هجم علی قافلة قریش التی کان یقودها أبو سفیان ، وحینها نزل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ونجت قافلة أبی سفیان من المسلمین الذین کانوا یبنون علی المقاصّة المالیة ، والمقاصّد المالیة منطق دفاعی ، ولیس منطقاً عدوانیّاً ، ولیس جهاداً ابتدائیاً ، کما هو مطروح فی فقه المذاهب الإسلامیة ، وأنّ أبا سفیان قد أرسل إلی جیش قریش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العیر قد نجت ، ولا حاجة للحرب ، إلّاأنّ قریش بخیلائها وکبریائها أبت الرجوع عن الحرب</w:t>
      </w:r>
      <w:r>
        <w:rPr>
          <w:rStyle w:val="FootnoteAnchor"/>
          <w:rtl w:val="true"/>
        </w:rPr>
        <w:footnoteReference w:id="95"/>
      </w:r>
      <w:r>
        <w:rPr>
          <w:rFonts w:ascii="Amiri" w:hAnsi="Amiri" w:eastAsia="Amiri" w:cs="Amiri"/>
          <w:color w:val="111111"/>
          <w:sz w:val="28"/>
          <w:sz w:val="28"/>
          <w:szCs w:val="28"/>
          <w:rtl w:val="true"/>
          <w:lang w:bidi="ar-SA"/>
        </w:rPr>
        <w:t>، وعتبة قد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نصح قریش أن لا تعتدی علی النبی صلی الله علیه و آله ، وأن لا تحاربه ، وکان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فی القوم أحد یأمر بخیر فعسی أن یکون صاحب الجمل الأحمر</w:t>
      </w:r>
      <w:r>
        <w:rPr>
          <w:rStyle w:val="FootnoteAnchor"/>
          <w:rtl w:val="true"/>
        </w:rPr>
        <w:footnoteReference w:id="96"/>
      </w:r>
      <w:r>
        <w:rPr>
          <w:rFonts w:ascii="IRNazanin" w:hAnsi="IRNazanin" w:eastAsia="IRNazanin"/>
          <w:color w:val="111111"/>
          <w:sz w:val="28"/>
          <w:sz w:val="28"/>
          <w:szCs w:val="28"/>
          <w:rtl w:val="true"/>
          <w:lang w:bidi="fa-IR"/>
        </w:rPr>
        <w:t xml:space="preserve">، وکان عتبة هو الراکب علی الجمل الأحمر ، حیث کان یرید أن یثنیهم عن ذلک ، إلّاأنّ أبا جهل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جبنت وانتفخ سحرک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فابتدأ القتال</w:t>
      </w:r>
      <w:r>
        <w:rPr>
          <w:rStyle w:val="FootnoteAnchor"/>
          <w:rtl w:val="true"/>
        </w:rPr>
        <w:footnoteReference w:id="97"/>
      </w:r>
      <w:r>
        <w:rPr>
          <w:rFonts w:ascii="IRNazanin" w:hAnsi="IRNazanin" w:eastAsia="IRNazanin"/>
          <w:color w:val="111111"/>
          <w:sz w:val="28"/>
          <w:sz w:val="28"/>
          <w:szCs w:val="28"/>
          <w:rtl w:val="true"/>
          <w:lang w:bidi="fa-IR"/>
        </w:rPr>
        <w:t>، ولکن لم یکن الابتداء من طرف النبی صلی الله علیه و آله ، بل هو من طرف قریش ، بدءاً بالعدوان المالی والعرضی والأمنی ، وانتهاء بساحة المعرکة ، إذن هذه هی معرکة دفاعیّة ، وفی غزوة أُحد کان الکفّار قد أتوا للانتقام من المسلمین ، وفی غزوة الخندق کذلک ابتدأ الکفّار بالحرب ، وأمّا غزوة تبوک فهی عبارة عن الاستعداد الرادع لطغیان الروم الذین کانوا یهدّدون المسلمین ، وکذلک غزوة مؤتة التی استشهد فیها زید بن حارثة ، وعبد اللّه بن رواحة ، وجعفر الطیّار ، والصحیح أنّ جعفر الطیّار هو أوّل من استشهد فی هذه المعرکة ، ولیس زید بن حارثة ، کما تذکر بعض المصادر</w:t>
      </w:r>
      <w:r>
        <w:rPr>
          <w:rStyle w:val="FootnoteAnchor"/>
          <w:rtl w:val="true"/>
        </w:rPr>
        <w:footnoteReference w:id="98"/>
      </w:r>
      <w:r>
        <w:rPr>
          <w:rFonts w:ascii="IRNazanin" w:hAnsi="IRNazanin" w:eastAsia="IRNazanin"/>
          <w:color w:val="111111"/>
          <w:sz w:val="28"/>
          <w:sz w:val="28"/>
          <w:szCs w:val="28"/>
          <w:rtl w:val="true"/>
          <w:lang w:bidi="fa-IR"/>
        </w:rPr>
        <w:t xml:space="preserve">، وکذلک فی غزوة حنین ، وما فعلته قبیلة هوازن من تهدید المسلمین ، وعندما دخل النبی صلی الله علیه و آله إلی مکّة فاتحاً أخذ الرایة أحد الصحابة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 الیوم تستحل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النبی صلی الله علیه و آله علیاً أن یأخذ الرایة ،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المرحمة الیوم تحفظ فیه الحرمة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حتی إنّ النبی عامل البیت الذی طالما ناصبه العداء والحقد ، وهو بیت أبی سفیان برفق ، حیث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دارک یا أبا سفیان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قال لهم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تظنّون وما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کریم وابن عمّ کریم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339" w:name="pg5261_55229"/>
    </w:p>
    <w:p>
      <w:pPr>
        <w:pStyle w:val="BookText"/>
        <w:rPr/>
      </w:pPr>
      <w:bookmarkEnd w:id="339"/>
      <w:r>
        <w:rPr>
          <w:rFonts w:ascii="IRNazanin" w:hAnsi="IRNazanin" w:eastAsia="IRNazanin"/>
          <w:color w:val="111111"/>
          <w:sz w:val="28"/>
          <w:sz w:val="28"/>
          <w:szCs w:val="28"/>
          <w:rtl w:val="true"/>
          <w:lang w:bidi="fa-IR"/>
        </w:rPr>
        <w:t xml:space="preserve">هذه إجابات هؤلاء الباحثین ، وبین الفینة والأُخری نری بعض الدراسات التی تحاول إثبات أنّ الجهاد الابتدائی لا تدلّ علیه النصوص الشرعیة القرآنیة أو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رأینا فی هذه الإجابات هو أنّها تحمل بعض اللفتات الصحیحة ، والاستدلالات المحقّة إلّاأنّها لا تصلح أن تکون جواباً للإشکال المطروح </w:t>
      </w:r>
      <w:r>
        <w:rPr>
          <w:rFonts w:eastAsia="IRNazanin" w:cs="IRNazanin"/>
          <w:color w:val="111111"/>
          <w:sz w:val="28"/>
          <w:szCs w:val="28"/>
          <w:rtl w:val="true"/>
          <w:lang w:bidi="fa-IR"/>
        </w:rPr>
        <w:t>.</w:t>
      </w:r>
    </w:p>
    <w:p>
      <w:pPr>
        <w:pStyle w:val="Heading4"/>
        <w:numPr>
          <w:ilvl w:val="3"/>
          <w:numId w:val="1"/>
        </w:numPr>
        <w:rPr/>
      </w:pPr>
      <w:bookmarkStart w:id="340" w:name="__RefHeading___Toc477206_581953129"/>
      <w:bookmarkStart w:id="341" w:name="_Toc133"/>
      <w:bookmarkEnd w:id="340"/>
      <w:r>
        <w:rPr>
          <w:rtl w:val="true"/>
        </w:rPr>
        <w:t>الجواب الصحیح عن إشکال الجهاد الابتدائی</w:t>
      </w:r>
      <w:bookmarkEnd w:id="341"/>
    </w:p>
    <w:p>
      <w:pPr>
        <w:pStyle w:val="BookText"/>
        <w:rPr/>
      </w:pPr>
      <w:r>
        <w:rPr>
          <w:rFonts w:ascii="IRNazanin" w:hAnsi="IRNazanin" w:eastAsia="IRNazanin"/>
          <w:color w:val="111111"/>
          <w:sz w:val="28"/>
          <w:sz w:val="28"/>
          <w:szCs w:val="28"/>
          <w:rtl w:val="true"/>
          <w:lang w:bidi="fa-IR"/>
        </w:rPr>
        <w:t xml:space="preserve">الجواب الصحیح عن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الجهاد الابتدائی لیس معناه الابتداء بالعدوان ، وإن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 للسامع هذا المعنی ، والمعنی الصحیح لهذا المصطلح ، هو بدء إظهار القوّة العسکریة ، وإظهار لغة القوّة ، ولکن هذا المصطلح لا یتضمّن البدء بالحرب ، بل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الأسلوب الضاغط ، وأسلوب القوّة فی معالجة عدم خضوع الدولة الأُخری أو الجهة الأُخری التی تعادی المسلمین لمیزان العدالة فی التعامل مع المسلمین </w:t>
      </w:r>
      <w:r>
        <w:rPr>
          <w:rFonts w:eastAsia="IRNazanin" w:cs="IRNazanin"/>
          <w:color w:val="111111"/>
          <w:sz w:val="28"/>
          <w:szCs w:val="28"/>
          <w:rtl w:val="true"/>
          <w:lang w:bidi="fa-IR"/>
        </w:rPr>
        <w:t>.</w:t>
      </w:r>
    </w:p>
    <w:p>
      <w:pPr>
        <w:pStyle w:val="Heading4"/>
        <w:numPr>
          <w:ilvl w:val="3"/>
          <w:numId w:val="1"/>
        </w:numPr>
        <w:rPr/>
      </w:pPr>
      <w:bookmarkStart w:id="342" w:name="__RefHeading___Toc477208_581953129"/>
      <w:bookmarkStart w:id="343" w:name="_Toc134"/>
      <w:bookmarkEnd w:id="342"/>
      <w:r>
        <w:rPr>
          <w:rtl w:val="true"/>
        </w:rPr>
        <w:t>الجهاد الابتدائی له خلفیّة حقوقیة دفاعیّة</w:t>
      </w:r>
      <w:bookmarkEnd w:id="3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أنّ الجهاد الابتدائی له خلفیّة حقوقیة دفاعیّة ، بمعنی إذا تعرّضت حقوق المسلمین للانتهاک ، کما لو نکث الطرف الآخر العهد معهم ، وأقیمت الحجّة علی الطرف الآخر ، ولم یستجب للغة الإنصاف والعدل ، فمن الواضح أنّ الإسلام لن یبقی علی طبیعته الأوّلیّة ، وهی الحوار والتعقّل والرفق واللّین ؛ لأنّ المفترض أنّ الحجّة قد أُقیمت ، ولم ینفع الخطاب العقلانی مع الطرف الآخر ، ولم یبق مجال إلّا لمنطق القوّة ، والساحات العسکریة ، واستخدام لغة القوّة یهدف إلی کبح جماح النزوات الغریزیّة الحیوانیة فی الطرف الآخر المعتدی ، ولا یتضمّن استخدام القوّة فی المفهوم الإسلامی ، إهلاک الحرث والنسل ، فالقرآن الکریم یبغض ، وینهی عن</w:t>
      </w:r>
      <w:bookmarkStart w:id="344" w:name="pg5261_55230"/>
    </w:p>
    <w:p>
      <w:pPr>
        <w:pStyle w:val="BookText"/>
        <w:rPr/>
      </w:pPr>
      <w:bookmarkEnd w:id="344"/>
      <w:r>
        <w:rPr>
          <w:rFonts w:ascii="IRNazanin" w:hAnsi="IRNazanin" w:eastAsia="IRNazanin"/>
          <w:color w:val="111111"/>
          <w:sz w:val="28"/>
          <w:sz w:val="28"/>
          <w:szCs w:val="28"/>
          <w:rtl w:val="true"/>
          <w:lang w:bidi="fa-IR"/>
        </w:rPr>
        <w:t xml:space="preserve">إهلاک الحرث والنسل </w:t>
      </w:r>
      <w:r>
        <w:rPr>
          <w:rFonts w:eastAsia="IRNazanin" w:cs="IRNazanin"/>
          <w:color w:val="111111"/>
          <w:sz w:val="28"/>
          <w:szCs w:val="28"/>
          <w:rtl w:val="true"/>
          <w:lang w:bidi="fa-IR"/>
        </w:rPr>
        <w:t>.</w:t>
      </w:r>
    </w:p>
    <w:p>
      <w:pPr>
        <w:pStyle w:val="Heading4"/>
        <w:numPr>
          <w:ilvl w:val="3"/>
          <w:numId w:val="1"/>
        </w:numPr>
        <w:rPr/>
      </w:pPr>
      <w:bookmarkStart w:id="345" w:name="__RefHeading___Toc477210_581953129"/>
      <w:bookmarkStart w:id="346" w:name="_Toc135"/>
      <w:bookmarkEnd w:id="345"/>
      <w:r>
        <w:rPr>
          <w:rtl w:val="true"/>
        </w:rPr>
        <w:t>القرآن الکریم ینهی عن إهلاک الحرث والنسل</w:t>
      </w:r>
      <w:bookmarkEnd w:id="34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فلیس من المنطق الإسلامی أن تحرق مکتبة الإسکندریّة ، وتبقی مدّة طویلة تلتهمها النیران ، هذا لیس منطق النبی صلی الله علیه و آله و سلم ، ولا منطق الإمام علی علیه السلام ، وهذه أوراق یجب أن تبحث بصراحة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منهج أهل البیت علیهم السلام فیعتمد علی الانفتاح علی العلوم البشریة ، وتهذیبها وترشیدها ، والاستفادة من الخبرات البشریة ، والإنجازات التی حققها الآخرون فی تدبیر المعیشة ، وخدمة العلوم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العلوم الأُخرویة </w:t>
      </w:r>
      <w:r>
        <w:rPr>
          <w:rFonts w:eastAsia="IRNazanin" w:cs="IRNazanin"/>
          <w:color w:val="111111"/>
          <w:sz w:val="28"/>
          <w:szCs w:val="28"/>
          <w:rtl w:val="true"/>
          <w:lang w:bidi="fa-IR"/>
        </w:rPr>
        <w:t>- .</w:t>
      </w:r>
    </w:p>
    <w:p>
      <w:pPr>
        <w:pStyle w:val="Heading4"/>
        <w:numPr>
          <w:ilvl w:val="3"/>
          <w:numId w:val="1"/>
        </w:numPr>
        <w:rPr/>
      </w:pPr>
      <w:bookmarkStart w:id="347" w:name="__RefHeading___Toc477212_581953129"/>
      <w:bookmarkStart w:id="348" w:name="_Toc136"/>
      <w:bookmarkEnd w:id="347"/>
      <w:r>
        <w:rPr>
          <w:rtl w:val="true"/>
        </w:rPr>
        <w:t>الإسلام یکرّم بنی آدم</w:t>
      </w:r>
      <w:bookmarkEnd w:id="348"/>
    </w:p>
    <w:p>
      <w:pPr>
        <w:pStyle w:val="BookText"/>
        <w:rPr/>
      </w:pPr>
      <w:r>
        <w:rPr>
          <w:rFonts w:ascii="IRNazanin" w:hAnsi="IRNazanin" w:eastAsia="IRNazanin"/>
          <w:color w:val="111111"/>
          <w:sz w:val="28"/>
          <w:sz w:val="28"/>
          <w:szCs w:val="28"/>
          <w:rtl w:val="true"/>
          <w:lang w:bidi="fa-IR"/>
        </w:rPr>
        <w:t>الأصل الأوّلی فی الإنسان عموماً ، هو أن یکون مکرّماً ،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کَرَّمْنا بَنِی آدَمَ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یشمل المسلمین وغیر المسلمین ، هذا هو الأصل الأوّلی ، وکما یقول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أخ لک فی الدین ، أو نظیر لک فی الخلق</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والتی رفعها شعاراً الأمین العام للأُمم المتّحدة کوفی عنان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یجب أن تکون شعاراً لحوار الحضارات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 الجهاد الابتدائی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التلویح بالقوّة لحفظ حقوق المسلمین المسلوبة ، ولا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الاعتداء علی دولة أُخری بدون سبب ، أو ترویع شعب مسالم آمن </w:t>
      </w:r>
      <w:r>
        <w:rPr>
          <w:rFonts w:eastAsia="IRNazanin" w:cs="IRNazanin"/>
          <w:color w:val="111111"/>
          <w:sz w:val="28"/>
          <w:szCs w:val="28"/>
          <w:rtl w:val="true"/>
          <w:lang w:bidi="fa-IR"/>
        </w:rPr>
        <w:t>.</w:t>
      </w:r>
      <w:bookmarkStart w:id="349" w:name="pg5261_55231"/>
    </w:p>
    <w:p>
      <w:pPr>
        <w:pStyle w:val="Heading3"/>
        <w:numPr>
          <w:ilvl w:val="2"/>
          <w:numId w:val="1"/>
        </w:numPr>
        <w:rPr/>
      </w:pPr>
      <w:bookmarkStart w:id="350" w:name="__RefHeading___Toc477214_581953129"/>
      <w:bookmarkStart w:id="351" w:name="_Toc137"/>
      <w:bookmarkEnd w:id="349"/>
      <w:bookmarkEnd w:id="350"/>
      <w:r>
        <w:rPr>
          <w:rtl w:val="true"/>
        </w:rPr>
        <w:t>المحاضرة السادسة الخلفیّات الحقوقیة للجهاد الابتدائی</w:t>
      </w:r>
      <w:bookmarkEnd w:id="351"/>
    </w:p>
    <w:p>
      <w:pPr>
        <w:pStyle w:val="Heading4"/>
        <w:numPr>
          <w:ilvl w:val="3"/>
          <w:numId w:val="1"/>
        </w:numPr>
        <w:rPr/>
      </w:pPr>
      <w:bookmarkStart w:id="352" w:name="__RefHeading___Toc477216_581953129"/>
      <w:bookmarkStart w:id="353" w:name="_Toc138"/>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الابتدائی والإرهاب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الاستکبار وآیات 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لیس مسؤول عن المخالفات الشرعیة التی یقوم بها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نحمل اصطلاحات علم علی اصطلاحات علم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الابتدائی یستند إلی خلفیّة حقوقیة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الابتدائی جهاد دفاعی فی المصطلح الحقوقی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لایوجد مصطلح الجهاد الابتدائی فی النصوص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مبررات القتال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الابتدائی له شروط خاصّة ، وله أهداف محدّدة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الفیتو عند الإمامیة الاثنی عشریة لایکون إلّاعند المعصوم </w:t>
      </w:r>
      <w:r>
        <w:rPr>
          <w:rFonts w:eastAsia="IRNazanin" w:cs="IRNazanin"/>
          <w:color w:val="111111"/>
          <w:sz w:val="28"/>
          <w:szCs w:val="28"/>
          <w:rtl w:val="true"/>
          <w:lang w:bidi="fa-IR"/>
        </w:rPr>
        <w:t>.</w:t>
      </w:r>
    </w:p>
    <w:p>
      <w:pPr>
        <w:pStyle w:val="Heading4"/>
        <w:numPr>
          <w:ilvl w:val="3"/>
          <w:numId w:val="1"/>
        </w:numPr>
        <w:rPr/>
      </w:pPr>
      <w:bookmarkStart w:id="354" w:name="__RefHeading___Toc477218_581953129"/>
      <w:bookmarkStart w:id="355" w:name="_Toc139"/>
      <w:bookmarkEnd w:id="354"/>
      <w:r>
        <w:rPr>
          <w:rtl w:val="true"/>
        </w:rPr>
        <w:t>الجهاد الابتدائی والإرهاب</w:t>
      </w:r>
      <w:bookmarkEnd w:id="3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سبق ، هو الإثارة المطروحة الآن فی محافل بشریّة عدیدة ، من أنّ الدین الإسلامی یحمل فی طیّاته لغة الإرهاب ، وما یتمسک به القائلون بهذه الدعوة المضادّة ، هو وجود مفهوم الجهاد الابتدائی فی القرآن الکریم والتشریع الإسلامی </w:t>
      </w:r>
      <w:r>
        <w:rPr>
          <w:rFonts w:eastAsia="IRNazanin" w:cs="IRNazanin"/>
          <w:color w:val="111111"/>
          <w:sz w:val="28"/>
          <w:szCs w:val="28"/>
          <w:rtl w:val="true"/>
          <w:lang w:bidi="fa-IR"/>
        </w:rPr>
        <w:t>.</w:t>
      </w:r>
      <w:bookmarkStart w:id="356" w:name="pg5261_55232"/>
    </w:p>
    <w:p>
      <w:pPr>
        <w:pStyle w:val="BookText"/>
        <w:rPr/>
      </w:pPr>
      <w:bookmarkEnd w:id="356"/>
      <w:r>
        <w:rPr>
          <w:rFonts w:ascii="IRNazanin" w:hAnsi="IRNazanin" w:eastAsia="IRNazanin"/>
          <w:color w:val="111111"/>
          <w:sz w:val="28"/>
          <w:sz w:val="28"/>
          <w:szCs w:val="28"/>
          <w:rtl w:val="true"/>
          <w:lang w:bidi="fa-IR"/>
        </w:rPr>
        <w:t xml:space="preserve">طبعاً أصل هذه الإثارة حول الجهاد الابتدائی أو جهاد الدعوة ، لها منشأ مرتبط بالموروث التاریخی المتعلّق بالفتوحات الإسلامیة ، وهذا البحث یتصل بالفتوحات ، کما یتصل بموقف علی علیه السلام ، حیث انکفأ فی حکومته علی الإصلاح الداخلی ، والترکیز علی السیاسة الداخلیة ، وترتیب أوراق الوضع الداخلی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 اللیلة الماضیة مجمل الأدلّة التی استند إلیها بعض الکتّاب فی نفی وجود لغة العنف فی الدعوة الإسلامیة ، وأنّه لیس هناک ما یدعو للقتال والعنف والقوّة وقهر الآخرین وإجبارهم علی الدخول فی الدین الإسلامی </w:t>
      </w:r>
      <w:r>
        <w:rPr>
          <w:rFonts w:eastAsia="IRNazanin" w:cs="IRNazanin"/>
          <w:color w:val="111111"/>
          <w:sz w:val="28"/>
          <w:szCs w:val="28"/>
          <w:rtl w:val="true"/>
          <w:lang w:bidi="fa-IR"/>
        </w:rPr>
        <w:t>.</w:t>
      </w:r>
    </w:p>
    <w:p>
      <w:pPr>
        <w:pStyle w:val="Heading4"/>
        <w:numPr>
          <w:ilvl w:val="3"/>
          <w:numId w:val="1"/>
        </w:numPr>
        <w:rPr/>
      </w:pPr>
      <w:bookmarkStart w:id="357" w:name="__RefHeading___Toc477220_581953129"/>
      <w:bookmarkStart w:id="358" w:name="_Toc140"/>
      <w:bookmarkEnd w:id="357"/>
      <w:r>
        <w:rPr>
          <w:rtl w:val="true"/>
        </w:rPr>
        <w:t>قوی الاستکبار وآیات الجهاد</w:t>
      </w:r>
      <w:bookmarkEnd w:id="358"/>
    </w:p>
    <w:p>
      <w:pPr>
        <w:pStyle w:val="BookText"/>
        <w:rPr/>
      </w:pPr>
      <w:r>
        <w:rPr>
          <w:rFonts w:ascii="IRNazanin" w:hAnsi="IRNazanin" w:eastAsia="IRNazanin"/>
          <w:color w:val="111111"/>
          <w:sz w:val="28"/>
          <w:sz w:val="28"/>
          <w:szCs w:val="28"/>
          <w:rtl w:val="true"/>
          <w:lang w:bidi="fa-IR"/>
        </w:rPr>
        <w:t xml:space="preserve">هذا الأمر جدّیٌ جدّاً ، وملحّ فی الوسط الدولی ، ونحن نلاحظ أنّ أمریکا والعالم الغربی یریدون إقناع العالم بأنّ هذا الأمر یعتبر أمراً إرهابیّاً ، ولابد من الضغط علی المسلمین من أجل حذف هذه الآیات من القرآن الکریم والشریعة الإسلامیة والفقه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من الخطورة بمکان بحیث تتجاوز مرحلة التنظیر والبحث النظری ، بدل یراد لها أن ترسوا علی خطوات خطیرة جدّاً ، إذ ینبغی علی فقهاء الشریعة أن یفهموا هذه الإشکالیة بعمق ، وأن تتمّ دراستها دراسة مستفیضة ، والردّ علیها بشکل قوی ، لأنّ هذه المسألة لیست مسألة نظریة ، ولیست ثرثرة فکریة ، بل هی مسألة قد أخذت طابعاً عملیّاً إلی درجة أنّ بعض البلدان الآن تمنع قراءة آیات الجهاد فی الإذاعة والتلفزیون والمحافل العامّة ، وأنّ هناک توصیة غربیة مفروضة علی بعض البلدان الإسلامیة لکی تمنع قراءة آیات الجهاد ، وحذفها من المناهج الدراسیة </w:t>
      </w:r>
      <w:r>
        <w:rPr>
          <w:rFonts w:eastAsia="IRNazanin" w:cs="IRNazanin"/>
          <w:color w:val="111111"/>
          <w:sz w:val="28"/>
          <w:szCs w:val="28"/>
          <w:rtl w:val="true"/>
          <w:lang w:bidi="fa-IR"/>
        </w:rPr>
        <w:t>.</w:t>
      </w:r>
    </w:p>
    <w:p>
      <w:pPr>
        <w:pStyle w:val="Heading4"/>
        <w:numPr>
          <w:ilvl w:val="3"/>
          <w:numId w:val="1"/>
        </w:numPr>
        <w:rPr/>
      </w:pPr>
      <w:bookmarkStart w:id="359" w:name="__RefHeading___Toc477222_581953129"/>
      <w:bookmarkStart w:id="360" w:name="_Toc141"/>
      <w:bookmarkEnd w:id="359"/>
      <w:r>
        <w:rPr>
          <w:rtl w:val="true"/>
        </w:rPr>
        <w:t>الإسلام لیس مسؤول عن المخالفات الشرعیة التی یقوم بها المسلمون</w:t>
      </w:r>
      <w:bookmarkEnd w:id="3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البدء لابد أن نستعرض التنظیر العلمی لهذه القضیة ، وهناک فرق بین البحث</w:t>
      </w:r>
      <w:bookmarkStart w:id="361" w:name="pg5261_55233"/>
    </w:p>
    <w:p>
      <w:pPr>
        <w:pStyle w:val="BookText"/>
        <w:rPr/>
      </w:pPr>
      <w:bookmarkEnd w:id="361"/>
      <w:r>
        <w:rPr>
          <w:rFonts w:ascii="IRNazanin" w:hAnsi="IRNazanin" w:eastAsia="IRNazanin"/>
          <w:color w:val="111111"/>
          <w:sz w:val="28"/>
          <w:sz w:val="28"/>
          <w:szCs w:val="28"/>
          <w:rtl w:val="true"/>
          <w:lang w:bidi="fa-IR"/>
        </w:rPr>
        <w:t xml:space="preserve">النظری والتطبیق العملی ، بمعنی أنّ النظریة الإسلامیة غیر مسؤولة عن الممارسات الخاطئة التی قام بها المسلمون ، وأنّها لیست مسؤولة إلّاعن ما یستند إلی التشریع الإسلامی الصحیح ، فلیس من العدل أن نحمل النظریة ، التطبیقات الخاطئة ، والممارسات غیر المسؤولة لمن یعتقد بهذه النظریة </w:t>
      </w:r>
      <w:r>
        <w:rPr>
          <w:rFonts w:eastAsia="IRNazanin" w:cs="IRNazanin"/>
          <w:color w:val="111111"/>
          <w:sz w:val="28"/>
          <w:szCs w:val="28"/>
          <w:rtl w:val="true"/>
          <w:lang w:bidi="fa-IR"/>
        </w:rPr>
        <w:t>.</w:t>
      </w:r>
    </w:p>
    <w:p>
      <w:pPr>
        <w:pStyle w:val="Heading4"/>
        <w:numPr>
          <w:ilvl w:val="3"/>
          <w:numId w:val="1"/>
        </w:numPr>
        <w:rPr/>
      </w:pPr>
      <w:bookmarkStart w:id="362" w:name="__RefHeading___Toc477224_581953129"/>
      <w:bookmarkStart w:id="363" w:name="_Toc142"/>
      <w:bookmarkEnd w:id="362"/>
      <w:r>
        <w:rPr>
          <w:rtl w:val="true"/>
        </w:rPr>
        <w:t>لا یصح أن نحمل اصطلاحات علم علی اصطلاحات علم آخر</w:t>
      </w:r>
      <w:bookmarkEnd w:id="363"/>
    </w:p>
    <w:p>
      <w:pPr>
        <w:pStyle w:val="BookText"/>
        <w:rPr/>
      </w:pPr>
      <w:r>
        <w:rPr>
          <w:rFonts w:ascii="IRNazanin" w:hAnsi="IRNazanin" w:eastAsia="IRNazanin"/>
          <w:color w:val="111111"/>
          <w:sz w:val="28"/>
          <w:sz w:val="28"/>
          <w:szCs w:val="28"/>
          <w:rtl w:val="true"/>
          <w:lang w:bidi="fa-IR"/>
        </w:rPr>
        <w:t xml:space="preserve">النقطة الأُخری التی نرید الإشارة إلیها ، هی أنّ جهاد الدعوة أو الجهاد الابتدائی لیس مطروحاً فی الفقه الإسلامی ، بمعنی ابتداء العدوان أو الحرب العدوانیّة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الخطأ الفادح أن نحمل اصطلاحات فی علم معیّن علی اصطلاحات أُخری فی علم آخر ، ومن الخطأ أیضاً أن یقرء باحث فی بیئة معیّنة ، مفاهیماً معیّنة ، ویطبّقها علی بیئة أُخری ، لأنّ لکل بیئة مفاهیمها وأفکارها الخاصّة بها </w:t>
      </w:r>
      <w:r>
        <w:rPr>
          <w:rFonts w:eastAsia="IRNazanin" w:cs="IRNazanin"/>
          <w:color w:val="111111"/>
          <w:sz w:val="28"/>
          <w:szCs w:val="28"/>
          <w:rtl w:val="true"/>
          <w:lang w:bidi="fa-IR"/>
        </w:rPr>
        <w:t>.</w:t>
      </w:r>
    </w:p>
    <w:p>
      <w:pPr>
        <w:pStyle w:val="Heading4"/>
        <w:numPr>
          <w:ilvl w:val="3"/>
          <w:numId w:val="1"/>
        </w:numPr>
        <w:rPr/>
      </w:pPr>
      <w:bookmarkStart w:id="364" w:name="__RefHeading___Toc477226_581953129"/>
      <w:bookmarkStart w:id="365" w:name="_Toc143"/>
      <w:bookmarkEnd w:id="364"/>
      <w:r>
        <w:rPr>
          <w:rtl w:val="true"/>
        </w:rPr>
        <w:t>الجهاد الابتدائی یستند إلی خلفیّة حقوقیة</w:t>
      </w:r>
      <w:bookmarkEnd w:id="3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الفقهاء من أنّ الجهاد الابتدائی بند من بنود الشریعة الإسلامیة ، لیس المراد منه العدوان واستخدام لغة القوّة ، وقد یفهم السامع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العدوان ، بینما هی لیست کذلک فی الفقه الإسلامی ، بل إنّ معنی الجهاد الابتدائی هو المبادرة العسکریة التی تحمل فی طیّاتها غطاءً حقوقیاً ، وهذا باتفاق جمیع المذاهب الإسلامیة ، وإن کان هناک خلاف فی بعض التفاصیل بین مذهب أهل البیت علیهم السلام ، والمذاهب الأُخری إلّاأنّ جمیع المسلمین یعتقدون أنّ الجهاد الابتدائی یتضمّن غطاءً حقوقیاً فیکون جهاداً دفاعیّاً فی المصطلح الحقوقی ، ولیس حرباً عدوانیّة ، کما ترجمة البعض </w:t>
      </w:r>
      <w:r>
        <w:rPr>
          <w:rFonts w:eastAsia="IRNazanin" w:cs="IRNazanin"/>
          <w:color w:val="111111"/>
          <w:sz w:val="28"/>
          <w:szCs w:val="28"/>
          <w:rtl w:val="true"/>
          <w:lang w:bidi="fa-IR"/>
        </w:rPr>
        <w:t>.</w:t>
      </w:r>
      <w:bookmarkStart w:id="366" w:name="pg5261_55234"/>
    </w:p>
    <w:p>
      <w:pPr>
        <w:pStyle w:val="Heading4"/>
        <w:numPr>
          <w:ilvl w:val="3"/>
          <w:numId w:val="1"/>
        </w:numPr>
        <w:rPr/>
      </w:pPr>
      <w:bookmarkStart w:id="367" w:name="__RefHeading___Toc477228_581953129"/>
      <w:bookmarkStart w:id="368" w:name="_Toc144"/>
      <w:bookmarkEnd w:id="366"/>
      <w:bookmarkEnd w:id="367"/>
      <w:r>
        <w:rPr>
          <w:rtl w:val="true"/>
        </w:rPr>
        <w:t>الجهاد الابتدائی جهاد دفاعی فی المصطلح الحقوقی</w:t>
      </w:r>
      <w:bookmarkEnd w:id="368"/>
    </w:p>
    <w:p>
      <w:pPr>
        <w:pStyle w:val="BookText"/>
        <w:rPr/>
      </w:pPr>
      <w:r>
        <w:rPr>
          <w:rFonts w:ascii="IRNazanin" w:hAnsi="IRNazanin" w:eastAsia="IRNazanin"/>
          <w:color w:val="111111"/>
          <w:sz w:val="28"/>
          <w:sz w:val="28"/>
          <w:szCs w:val="28"/>
          <w:rtl w:val="true"/>
          <w:lang w:bidi="fa-IR"/>
        </w:rPr>
        <w:t xml:space="preserve">إذن ، کل الجهاد یرجع إلی الجهاد الدفاعی ، کما أشار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آل کاشف الغطاء والشیخ الکلینی ، وقد قسّم الفقهاء الجهاد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ابتدائی وجهاد دفاعی ، والمقصود من الجهاد الدفاعی ، هو استخدام لغة القوّة ردّاً علی استخدام العدو للغة القوّة ، أمّا الجهاد الابتدائی فهو جهاد دفاعی أیضاً مع فارق أنّ فیه مبادرة باستخدام القوّة العسکریة مع وجود الغطاء الحقوقی ، وبالتالی یکون جهاداً دفاعیاً فی المصطلح الحقوقی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وتطبیقاً لما ذکرنا یتّضح أنّ معرکة بدر وحنین ومؤتة کانت جهاداً ابتدائیاً بالمصطلح الفقهی ، وحروباً دفاعیّة بالمصطلح القانونی </w:t>
      </w:r>
      <w:r>
        <w:rPr>
          <w:rFonts w:eastAsia="IRNazanin" w:cs="IRNazanin"/>
          <w:color w:val="111111"/>
          <w:sz w:val="28"/>
          <w:szCs w:val="28"/>
          <w:rtl w:val="true"/>
          <w:lang w:bidi="fa-IR"/>
        </w:rPr>
        <w:t>.</w:t>
      </w:r>
    </w:p>
    <w:p>
      <w:pPr>
        <w:pStyle w:val="Heading4"/>
        <w:numPr>
          <w:ilvl w:val="3"/>
          <w:numId w:val="1"/>
        </w:numPr>
        <w:rPr/>
      </w:pPr>
      <w:bookmarkStart w:id="369" w:name="__RefHeading___Toc477230_581953129"/>
      <w:bookmarkStart w:id="370" w:name="_Toc145"/>
      <w:bookmarkEnd w:id="369"/>
      <w:r>
        <w:rPr>
          <w:rtl w:val="true"/>
        </w:rPr>
        <w:t>لایوجد مصطلح الجهاد الابتدائی فی النصوص الشرعیة</w:t>
      </w:r>
      <w:bookmarkEnd w:id="370"/>
    </w:p>
    <w:p>
      <w:pPr>
        <w:pStyle w:val="BookText"/>
        <w:rPr/>
      </w:pPr>
      <w:r>
        <w:rPr>
          <w:rFonts w:ascii="IRNazanin" w:hAnsi="IRNazanin" w:eastAsia="IRNazanin"/>
          <w:color w:val="111111"/>
          <w:sz w:val="28"/>
          <w:sz w:val="28"/>
          <w:szCs w:val="28"/>
          <w:rtl w:val="true"/>
          <w:lang w:bidi="fa-IR"/>
        </w:rPr>
        <w:t>الجهاد الابتدائی مصطلح فقهی ، ولا یوجد هذا اللفظ فی النصوص الشرعیة ، نعم بعض الروایات عبّرت عنه بجهاد الدعوة</w:t>
      </w:r>
      <w:r>
        <w:rPr>
          <w:rStyle w:val="FootnoteAnchor"/>
          <w:rtl w:val="true"/>
        </w:rPr>
        <w:footnoteReference w:id="102"/>
      </w:r>
      <w:r>
        <w:rPr>
          <w:rFonts w:ascii="IRNazanin" w:hAnsi="IRNazanin" w:eastAsia="IRNazanin"/>
          <w:color w:val="111111"/>
          <w:sz w:val="28"/>
          <w:sz w:val="28"/>
          <w:szCs w:val="28"/>
          <w:rtl w:val="true"/>
          <w:lang w:bidi="fa-IR"/>
        </w:rPr>
        <w:t xml:space="preserve">وإذا استعرضنا المبررات الشرعیة لهذا الجهاد فلن یکون حرباً عدوانیّة ، بل سیکون جهاد إصلاح وإنماء وإرساء للعدالة </w:t>
      </w:r>
      <w:r>
        <w:rPr>
          <w:rFonts w:eastAsia="IRNazanin" w:cs="IRNazanin"/>
          <w:color w:val="111111"/>
          <w:sz w:val="28"/>
          <w:szCs w:val="28"/>
          <w:rtl w:val="true"/>
          <w:lang w:bidi="fa-IR"/>
        </w:rPr>
        <w:t>.</w:t>
      </w:r>
    </w:p>
    <w:p>
      <w:pPr>
        <w:pStyle w:val="Heading4"/>
        <w:numPr>
          <w:ilvl w:val="3"/>
          <w:numId w:val="1"/>
        </w:numPr>
        <w:rPr/>
      </w:pPr>
      <w:bookmarkStart w:id="371" w:name="__RefHeading___Toc477232_581953129"/>
      <w:bookmarkStart w:id="372" w:name="_Toc146"/>
      <w:bookmarkEnd w:id="371"/>
      <w:r>
        <w:rPr>
          <w:rtl w:val="true"/>
        </w:rPr>
        <w:t>الجهاد الابتدائی بین الفطرة الإنسانیة والنظام العالمی</w:t>
      </w:r>
      <w:bookmarkEnd w:id="37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تساءلنا هل للجهاد الابتدائی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المصطلح الفقهی ولیس الحقوقی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جهاد الدعوة منشأ فی الفطرة الإنسانیة ، وفی البحوث العقلیّة باعتبار أنّ الشریعة الإسلامیة توافق الفطرة الإنسانیة؟</w:t>
      </w:r>
      <w:bookmarkStart w:id="373" w:name="pg5261_55235"/>
    </w:p>
    <w:p>
      <w:pPr>
        <w:pStyle w:val="BookText"/>
        <w:rPr/>
      </w:pPr>
      <w:bookmarkEnd w:id="373"/>
      <w:r>
        <w:rPr>
          <w:rFonts w:ascii="IRNazanin" w:hAnsi="IRNazanin" w:eastAsia="IRNazanin"/>
          <w:color w:val="111111"/>
          <w:sz w:val="28"/>
          <w:sz w:val="28"/>
          <w:szCs w:val="28"/>
          <w:rtl w:val="true"/>
          <w:lang w:bidi="fa-IR"/>
        </w:rPr>
        <w:t xml:space="preserve">نعم، العقل یرجّح نصرة المظلوم ، والوقوف فی وجه الظالم ، وعلی الصعید الدولی نری أنّ المجتمع الدولی یرفع شعار مکافحة الإرهاب حتّی لولم یکن ذلک الإرهاب فی نفس الدولة التی رفعت الشعار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إطار النظام العالمی الموحّد نری أنّ أمریکا تعطی لنفسها الحق فی التدخل فی شؤون الدول بعنوان مکافحة الإرهاب أو حقوق الإنسان ، وحتّی البنک الدولی یفرض شروطه ، ویتدخل فی الشؤون والسیاسات الداخلیة للبلد التی تطلب منه قرضاً مالیاً ، فلا یدعمها ویقرضها إلّاإذا أذعنت لشروطه وضغوطه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 أصل استخدام لغة القوّة لدفع ظاهرة عدوانیّة وإن کانت فی بلد آخر أمر موجود عقلاً ومعمول به دولیّاً ومتعارف علیه من قبل المجتمع الدولی</w:t>
      </w:r>
    </w:p>
    <w:p>
      <w:pPr>
        <w:pStyle w:val="BookText"/>
        <w:rPr/>
      </w:pPr>
      <w:r>
        <w:rPr>
          <w:rFonts w:ascii="IRNazanin" w:hAnsi="IRNazanin" w:eastAsia="IRNazanin"/>
          <w:color w:val="111111"/>
          <w:sz w:val="28"/>
          <w:sz w:val="28"/>
          <w:szCs w:val="28"/>
          <w:rtl w:val="true"/>
          <w:lang w:bidi="fa-IR"/>
        </w:rPr>
        <w:t xml:space="preserve">إذن ، الکلام کل الکلام لیس فی استخدام القوّة ، وإنّما الکلام فی الخلفیّة الحقوقیة ، والتبریر الحقوقی لاستخدام القوّة </w:t>
      </w:r>
      <w:r>
        <w:rPr>
          <w:rFonts w:eastAsia="IRNazanin" w:cs="IRNazanin"/>
          <w:color w:val="111111"/>
          <w:sz w:val="28"/>
          <w:szCs w:val="28"/>
          <w:rtl w:val="true"/>
          <w:lang w:bidi="fa-IR"/>
        </w:rPr>
        <w:t>.</w:t>
      </w:r>
    </w:p>
    <w:p>
      <w:pPr>
        <w:pStyle w:val="Heading4"/>
        <w:numPr>
          <w:ilvl w:val="3"/>
          <w:numId w:val="1"/>
        </w:numPr>
        <w:rPr/>
      </w:pPr>
      <w:bookmarkStart w:id="374" w:name="__RefHeading___Toc477234_581953129"/>
      <w:bookmarkStart w:id="375" w:name="_Toc147"/>
      <w:bookmarkEnd w:id="374"/>
      <w:r>
        <w:rPr>
          <w:rtl w:val="true"/>
        </w:rPr>
        <w:t>ما هو الإرهاب ؟</w:t>
      </w:r>
      <w:bookmarkEnd w:id="375"/>
    </w:p>
    <w:p>
      <w:pPr>
        <w:pStyle w:val="BookText"/>
        <w:rPr/>
      </w:pPr>
      <w:r>
        <w:rPr>
          <w:rFonts w:ascii="IRNazanin" w:hAnsi="IRNazanin" w:eastAsia="IRNazanin"/>
          <w:color w:val="111111"/>
          <w:sz w:val="28"/>
          <w:sz w:val="28"/>
          <w:szCs w:val="28"/>
          <w:rtl w:val="true"/>
          <w:lang w:bidi="fa-IR"/>
        </w:rPr>
        <w:t xml:space="preserve">ولذلک تری جدلاً کبیراً فی تحدید مفهوم الإرهاب ، وإلی الآن لم یرسُ هذا علی مفهوم متفق علیه علی طاولة الجدل البشریّة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الإرهاب بما هو مفهوم یعتبر مفهوماً مذموماً ، لا یساوی المبادرة بالقوّة العسکریة ، فربما یبادر الشعب المظلوم باستخدام القوّة اتجاه الجهات التی تظلمه ، وهذا یتم فی غیاب أجواء الحوار ، وعندها تعطی تلک الجهة الظالمة لنفسها الحق فی استخدام القوّة اتجاه تلک القوّة الضعیفة ، وتعتبر أیّ فعل یشکّل مبادرة عسکریة من قبل تلک الجهة الضعیفة إرهاباً ، ومن الإجحاف اعتبار هذا العمل إرهاباً ، بل هو مقاومة مشروعة لاسترداد الحق ، کما هو حال المقاومة فی جنوب لبنان </w:t>
      </w:r>
      <w:r>
        <w:rPr>
          <w:rFonts w:eastAsia="IRNazanin" w:cs="IRNazanin"/>
          <w:color w:val="111111"/>
          <w:sz w:val="28"/>
          <w:szCs w:val="28"/>
          <w:rtl w:val="true"/>
          <w:lang w:bidi="fa-IR"/>
        </w:rPr>
        <w:t>.</w:t>
      </w:r>
      <w:bookmarkStart w:id="376" w:name="pg5261_55236"/>
    </w:p>
    <w:p>
      <w:pPr>
        <w:pStyle w:val="Heading4"/>
        <w:numPr>
          <w:ilvl w:val="3"/>
          <w:numId w:val="1"/>
        </w:numPr>
        <w:rPr/>
      </w:pPr>
      <w:bookmarkStart w:id="377" w:name="__RefHeading___Toc477236_581953129"/>
      <w:bookmarkStart w:id="378" w:name="_Toc148"/>
      <w:bookmarkEnd w:id="376"/>
      <w:bookmarkEnd w:id="377"/>
      <w:r>
        <w:rPr>
          <w:rtl w:val="true"/>
        </w:rPr>
        <w:t>مبررات القتال فی القرآن الکریم</w:t>
      </w:r>
      <w:bookmarkEnd w:id="378"/>
    </w:p>
    <w:p>
      <w:pPr>
        <w:pStyle w:val="BookText"/>
        <w:rPr/>
      </w:pPr>
      <w:r>
        <w:rPr>
          <w:rFonts w:ascii="IRNazanin" w:hAnsi="IRNazanin" w:eastAsia="IRNazanin"/>
          <w:color w:val="111111"/>
          <w:sz w:val="28"/>
          <w:sz w:val="28"/>
          <w:szCs w:val="28"/>
          <w:rtl w:val="true"/>
          <w:lang w:bidi="fa-IR"/>
        </w:rPr>
        <w:t>العنف واستخدام القوّة لیس من طبیعة الإنسان الأولیّة لا فی التقنین ولا فی التشریع ، ولکنّها تکتسب الشرعیة من خلال بعض الظروف المحیطة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نری أنّ التشریع الإسلامی والآیات الکریمة تحمل شعاراً یتناغم مع الفطرة ، فمن الآیات المحکمة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والقرآن الکریم بیّن أنّ هدف الجهاد وغرضه وغایته هو تثبیت شرع اللّه تعالی ، ونصرة المظلومین والمستضعفین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الدعوة یحمل فی طیّاته نصرة المظلومین، وانجاز حقوق اللّه علی عباده، والاستضعاف تارةً یکون استضعافاً مالیاً ومادیّاً، وتارةً یکون استضعافاً عقائدیاً وفکریاً وهو من أشدّ الاستضعاف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یَسْتَطِیعُونَ حِیلَةً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الاستضعاف المالی والمادی ، ولا یهتدون سبیلاً هو الاستضعاف الفکری والعقائدی </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477238_581953129"/>
      <w:bookmarkStart w:id="380" w:name="_Toc149"/>
      <w:bookmarkEnd w:id="379"/>
      <w:r>
        <w:rPr>
          <w:rtl w:val="true"/>
        </w:rPr>
        <w:t>دور الإعلام فی استضعاف الشعوب</w:t>
      </w:r>
      <w:bookmarkEnd w:id="38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الأعراف الدولیة والقوانین البشریة تقرّأنّ الشعوب المستضعفة مقهورة ، وتقع تحت التضلیل الإعلامی للدول القویّة باعتبار أنّ الإعلام هو السلطة الرابعة ، بل قد یکون أخطر من السلطات التنفیذیّة والتشریعیّة والقضائیّة ؛ لأنّ الإعلام</w:t>
      </w:r>
      <w:bookmarkStart w:id="381" w:name="pg5261_55237"/>
    </w:p>
    <w:p>
      <w:pPr>
        <w:pStyle w:val="BookText"/>
        <w:rPr/>
      </w:pPr>
      <w:bookmarkEnd w:id="381"/>
      <w:r>
        <w:rPr>
          <w:rFonts w:ascii="IRNazanin" w:hAnsi="IRNazanin" w:eastAsia="IRNazanin"/>
          <w:color w:val="111111"/>
          <w:sz w:val="28"/>
          <w:sz w:val="28"/>
          <w:szCs w:val="28"/>
          <w:rtl w:val="true"/>
          <w:lang w:bidi="fa-IR"/>
        </w:rPr>
        <w:t xml:space="preserve">هوالذی ینشر الفکر أو یجمّده هنا وهناک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الشعوب المستضعفة أکثر وعیاً فی الجانب السیاسی من غیرها من الشعوب ، لأنّها تقع تحت الظلم ، وهذا الظلم یجعلها تتابع الأحداث حتی تتوصل إلی نقطة الخلاص ، والإعلام له دور کبیر فی تضلیل الرأی العام ، وقلب الحقائق </w:t>
      </w:r>
      <w:r>
        <w:rPr>
          <w:rFonts w:eastAsia="IRNazanin" w:cs="IRNazanin"/>
          <w:color w:val="111111"/>
          <w:sz w:val="28"/>
          <w:szCs w:val="28"/>
          <w:rtl w:val="true"/>
          <w:lang w:bidi="fa-IR"/>
        </w:rPr>
        <w:t>.</w:t>
      </w:r>
    </w:p>
    <w:p>
      <w:pPr>
        <w:pStyle w:val="Heading4"/>
        <w:numPr>
          <w:ilvl w:val="3"/>
          <w:numId w:val="1"/>
        </w:numPr>
        <w:rPr/>
      </w:pPr>
      <w:bookmarkStart w:id="382" w:name="__RefHeading___Toc477240_581953129"/>
      <w:bookmarkStart w:id="383" w:name="_Toc150"/>
      <w:bookmarkEnd w:id="382"/>
      <w:r>
        <w:rPr>
          <w:rtl w:val="true"/>
        </w:rPr>
        <w:t>تعالیم القرآن وممارسات بعض المسلمین</w:t>
      </w:r>
      <w:bookmarkEnd w:id="383"/>
    </w:p>
    <w:p>
      <w:pPr>
        <w:pStyle w:val="BookText"/>
        <w:rPr/>
      </w:pPr>
      <w:r>
        <w:rPr>
          <w:rFonts w:ascii="Amiri" w:hAnsi="Amiri" w:eastAsia="Amiri" w:cs="Amiri"/>
          <w:color w:val="111111"/>
          <w:sz w:val="28"/>
          <w:sz w:val="28"/>
          <w:szCs w:val="28"/>
          <w:rtl w:val="true"/>
          <w:lang w:bidi="ar-SA"/>
        </w:rPr>
        <w:t>ومن آیات الجهاد الابتدائی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علی سبیل النظریة ، أمّا علی سبیل التطبیق فهناک من الممارسات الخاطئة فی ما یسمی بالفتوحات الإسلامیة ما یقرح القلوب </w:t>
      </w:r>
      <w:r>
        <w:rPr>
          <w:rFonts w:eastAsia="IRNazanin" w:cs="IRNazanin"/>
          <w:color w:val="111111"/>
          <w:sz w:val="28"/>
          <w:szCs w:val="28"/>
          <w:rtl w:val="true"/>
          <w:lang w:bidi="fa-IR"/>
        </w:rPr>
        <w:t>.</w:t>
      </w:r>
    </w:p>
    <w:p>
      <w:pPr>
        <w:pStyle w:val="Heading4"/>
        <w:numPr>
          <w:ilvl w:val="3"/>
          <w:numId w:val="1"/>
        </w:numPr>
        <w:rPr/>
      </w:pPr>
      <w:bookmarkStart w:id="384" w:name="__RefHeading___Toc477242_581953129"/>
      <w:bookmarkStart w:id="385" w:name="_Toc151"/>
      <w:bookmarkEnd w:id="384"/>
      <w:r>
        <w:rPr>
          <w:rtl w:val="true"/>
        </w:rPr>
        <w:t>صفات المجاهدین فی القرآن الکریم</w:t>
      </w:r>
      <w:bookmarkEnd w:id="385"/>
    </w:p>
    <w:p>
      <w:pPr>
        <w:pStyle w:val="BookText"/>
        <w:rPr/>
      </w:pPr>
      <w:r>
        <w:rPr>
          <w:rFonts w:ascii="IRNazanin" w:hAnsi="IRNazanin" w:eastAsia="IRNazanin"/>
          <w:color w:val="111111"/>
          <w:sz w:val="28"/>
          <w:sz w:val="28"/>
          <w:szCs w:val="28"/>
          <w:rtl w:val="true"/>
          <w:lang w:bidi="fa-IR"/>
        </w:rPr>
        <w:t xml:space="preserve">کذلک اشترط الدین الإسلامی فی المجاهدین صفاتاً خاصّة فضلاً عن القائد لهؤلاء المجاهدین الذی یقوم بالوصایة علی جهاد الدعوة ، ولم یرض الإسلام بتأهیل أی شخص لهذه الوصایة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یصف اللّه تعالی المجاهدین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w:t>
      </w:r>
      <w:bookmarkStart w:id="386" w:name="pg5261_55238"/>
    </w:p>
    <w:p>
      <w:pPr>
        <w:pStyle w:val="BookText"/>
        <w:rPr/>
      </w:pPr>
      <w:bookmarkEnd w:id="386"/>
      <w:r>
        <w:rPr>
          <w:rFonts w:ascii="Amiri" w:hAnsi="Amiri" w:eastAsia="Amiri" w:cs="Amiri"/>
          <w:color w:val="111111"/>
          <w:sz w:val="28"/>
          <w:sz w:val="28"/>
          <w:szCs w:val="28"/>
          <w:rtl w:val="true"/>
          <w:lang w:bidi="ar-SA"/>
        </w:rPr>
        <w:t xml:space="preserve">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روایة لطیفة عن الإمام السجاد علیه السلام حینما کان متوجّهاً إلی الحج ، حیث التقی به عبّاد البصری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 ترکت الجهاد وصعوبته ، وأقبلت علی الحج ولینه ، إنّ اللّه عزّ 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فقال علی بن الحسین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رأینا هؤلاء الذین هذه صفتهم فالجهاد معهم أفضل من الحج</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477244_581953129"/>
      <w:bookmarkStart w:id="388" w:name="_Toc152"/>
      <w:bookmarkEnd w:id="387"/>
      <w:r>
        <w:rPr>
          <w:rtl w:val="true"/>
        </w:rPr>
        <w:t>الجهاد الابتدائی له شروط خاصّة ، وله أهداف محدّدة</w:t>
      </w:r>
      <w:bookmarkEnd w:id="388"/>
    </w:p>
    <w:p>
      <w:pPr>
        <w:pStyle w:val="BookText"/>
        <w:rPr/>
      </w:pPr>
      <w:r>
        <w:rPr>
          <w:rFonts w:ascii="IRNazanin" w:hAnsi="IRNazanin" w:eastAsia="IRNazanin"/>
          <w:color w:val="111111"/>
          <w:sz w:val="28"/>
          <w:sz w:val="28"/>
          <w:szCs w:val="28"/>
          <w:rtl w:val="true"/>
          <w:lang w:bidi="fa-IR"/>
        </w:rPr>
        <w:t xml:space="preserve">إذن جهاد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الابتدائی بالمصطلح الفقهی لیس مفتوحاً لکل من هبّ ودبّ ، وإنّما کان مفتوحاً لفئة خاصّة تتمیز بصفات معیّنة فی التشریع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غرض جهاد الدعوة هو نصرة المظلومین ، وانجاز حقوق اللّه علی الناس، وقد یتسائل البعض هل للّه‌حقوق علی البشر؟ وهذه جدلیّة کتبت فیها الکتب ، وأنّ أیّ مصدر من مصادر الحقوق للّه، فیها حق کحق الحاکمیّة الذی تقرّ حتی المسیحیّة به ، ولکنّهم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أعفی عباده من هذا الحق </w:t>
      </w:r>
      <w:r>
        <w:rPr>
          <w:rFonts w:eastAsia="IRNazanin" w:cs="IRNazanin"/>
          <w:color w:val="111111"/>
          <w:sz w:val="28"/>
          <w:szCs w:val="28"/>
          <w:rtl w:val="true"/>
          <w:lang w:bidi="fa-IR"/>
        </w:rPr>
        <w:t>.</w:t>
      </w:r>
    </w:p>
    <w:p>
      <w:pPr>
        <w:pStyle w:val="Heading4"/>
        <w:numPr>
          <w:ilvl w:val="3"/>
          <w:numId w:val="1"/>
        </w:numPr>
        <w:rPr/>
      </w:pPr>
      <w:bookmarkStart w:id="389" w:name="__RefHeading___Toc477246_581953129"/>
      <w:bookmarkStart w:id="390" w:name="_Toc153"/>
      <w:bookmarkEnd w:id="389"/>
      <w:r>
        <w:rPr>
          <w:rtl w:val="true"/>
        </w:rPr>
        <w:t>الجهاد الابتدائی من حقوق الإمام المعصوم الخاصّة</w:t>
      </w:r>
      <w:bookmarkEnd w:id="39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المبرر الحقوقی لجهاد الدعوة هو إنجاز حقوق اللّه علی الناس ، والنقطة الثانیة التی نرید الإشارة إلیها هو أنّ الذی جعله اللّه وصیّاً علی البشریة هو لیس أیّ فرد</w:t>
      </w:r>
      <w:bookmarkStart w:id="391" w:name="pg5261_55239"/>
    </w:p>
    <w:p>
      <w:pPr>
        <w:pStyle w:val="BookText"/>
        <w:rPr/>
      </w:pPr>
      <w:bookmarkEnd w:id="391"/>
      <w:r>
        <w:rPr>
          <w:rFonts w:ascii="IRNazanin" w:hAnsi="IRNazanin" w:eastAsia="IRNazanin"/>
          <w:color w:val="111111"/>
          <w:sz w:val="28"/>
          <w:sz w:val="28"/>
          <w:szCs w:val="28"/>
          <w:rtl w:val="true"/>
          <w:lang w:bidi="fa-IR"/>
        </w:rPr>
        <w:t xml:space="preserve">من الأفراد ، وإنّما هناک أشخاص معیّنون للجهاد ، لیس کل من ربّی لحیته أو وضع علی رأسه عمامة فهو مؤهّل لهذا الجهاد ، وأنّ جهاد الدعوة حق للمعصوم ، وهذا ما علیه إجماع الإمامیة إلّامن شذّ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جهاد الدعوة هو صلاحیة خاصّة للمعصوم علماً وعملاً ، وهو الإنسان الکامل ، حتی أنّ الإمام الخمینی رحمه الله رغم أنّه یری صلاحیات أوسع للفقیه ، 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ولایة الفقیه المطلقة ، استفتی عدّة استفتاءات ، وإلی آخر أیام حیاته کان یری أنّ الجهاد الابتدائی هو حق للمعصوم لا غیره ، وهذا ما تظافرت علیه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عن الإمام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هو أوّل داع لنفسه ، ثم الرسول صلی الله علیه و آله ، حیث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یستعرض الإمام الصادق علیه السلام صلاحیة الدعوة بعد ذلک ، فیبیّن أنّ الذی یصلح للدعوة والجهاد هو من یکون ملتزماً بشرع اللّه عزّ وجلّ فی الجهاد ، ومن لم یکن ملتزماً بشرع اللّه فی الجهاد فلیس بمأذون له فی الجهاد والدعوة إلی اللّه حتّی یحکم فی نفسه ما أخذه اللّه من شرائط الجهاد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477248_581953129"/>
      <w:bookmarkStart w:id="393" w:name="_Toc154"/>
      <w:bookmarkEnd w:id="392"/>
      <w:r>
        <w:rPr>
          <w:rtl w:val="true"/>
        </w:rPr>
        <w:t>أمریکا والتناقض بین الشعار والواقع</w:t>
      </w:r>
      <w:bookmarkEnd w:id="3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زماننا أمریکا أو الأُمم المتحدة ترفع شعار مکافحة الإرهاب ، وکل ما یعکّر صفو الأمن البشری أو ما یتناقض مع حقوق الإنسان ، ولکن هل تحقق أمریکا أو الأُمم المتحدة العدالة ، ففی أمریکا هناک امتیازات للجنس الأبیض علی</w:t>
      </w:r>
      <w:bookmarkStart w:id="394" w:name="pg5261_55240"/>
    </w:p>
    <w:p>
      <w:pPr>
        <w:pStyle w:val="BookText"/>
        <w:rPr/>
      </w:pPr>
      <w:bookmarkEnd w:id="394"/>
      <w:r>
        <w:rPr>
          <w:rFonts w:ascii="IRNazanin" w:hAnsi="IRNazanin" w:eastAsia="IRNazanin"/>
          <w:color w:val="111111"/>
          <w:sz w:val="28"/>
          <w:sz w:val="28"/>
          <w:szCs w:val="28"/>
          <w:rtl w:val="true"/>
          <w:lang w:bidi="fa-IR"/>
        </w:rPr>
        <w:t xml:space="preserve">الجنس الأسود ، وهذا هو الواقع وإن کانت القوانین المدوّنة لا تعترف بهذه الحقیقة </w:t>
      </w:r>
      <w:r>
        <w:rPr>
          <w:rFonts w:eastAsia="IRNazanin" w:cs="IRNazanin"/>
          <w:color w:val="111111"/>
          <w:sz w:val="28"/>
          <w:szCs w:val="28"/>
          <w:rtl w:val="true"/>
          <w:lang w:bidi="fa-IR"/>
        </w:rPr>
        <w:t>.</w:t>
      </w:r>
    </w:p>
    <w:p>
      <w:pPr>
        <w:pStyle w:val="Heading4"/>
        <w:numPr>
          <w:ilvl w:val="3"/>
          <w:numId w:val="1"/>
        </w:numPr>
        <w:rPr/>
      </w:pPr>
      <w:bookmarkStart w:id="395" w:name="__RefHeading___Toc477250_581953129"/>
      <w:bookmarkStart w:id="396" w:name="_Toc155"/>
      <w:bookmarkEnd w:id="395"/>
      <w:r>
        <w:rPr>
          <w:rtl w:val="true"/>
        </w:rPr>
        <w:t>الإسلام یدعو إلی العدالة ویطبّقها</w:t>
      </w:r>
      <w:bookmarkEnd w:id="396"/>
    </w:p>
    <w:p>
      <w:pPr>
        <w:pStyle w:val="BookText"/>
        <w:rPr/>
      </w:pPr>
      <w:r>
        <w:rPr>
          <w:rFonts w:ascii="IRNazanin" w:hAnsi="IRNazanin" w:eastAsia="IRNazanin"/>
          <w:color w:val="111111"/>
          <w:sz w:val="28"/>
          <w:sz w:val="28"/>
          <w:szCs w:val="28"/>
          <w:rtl w:val="true"/>
          <w:lang w:bidi="fa-IR"/>
        </w:rPr>
        <w:t xml:space="preserve">ولکن عند المسلمین دالأمر یختلف فالکل سواسیة کأسنان المشط ، بینما عند المسیحیین لا یمکن للأسود أن یکون باباً للکنیسة هذا هو الواقع ، وهذا هو المتعارف عندهم وإن لم یکن مدوّناً ، ولکنّهم أشدّ التزاماً بالأعراف من القوانین ، بینما نری الإسلام یفتح المجال أمام الأبیض والأسود لکی یصل إلی أعلی المناصب‌ما عدا الإمامة المعصومة التی تعتمد علی الاصطفاء الإلهی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ارستقراطیة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 أحد أن یعارضها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 الإسلام عندما یدعو إلی العدالة فإنّه یطبّق هذه العدالة ، والتشریع الإسلامی یمتاز بهذه المیزة التی تفتقر إلیها الدیانات المحرّفة ، والمدارس الوضعیة الأُخری ، نحن نتکلم عن النظریة ، ولیس عن التطبیق </w:t>
      </w:r>
      <w:r>
        <w:rPr>
          <w:rFonts w:eastAsia="IRNazanin" w:cs="IRNazanin"/>
          <w:color w:val="111111"/>
          <w:sz w:val="28"/>
          <w:szCs w:val="28"/>
          <w:rtl w:val="true"/>
          <w:lang w:bidi="fa-IR"/>
        </w:rPr>
        <w:t>.</w:t>
      </w:r>
    </w:p>
    <w:p>
      <w:pPr>
        <w:pStyle w:val="Heading4"/>
        <w:numPr>
          <w:ilvl w:val="3"/>
          <w:numId w:val="1"/>
        </w:numPr>
        <w:rPr/>
      </w:pPr>
      <w:bookmarkStart w:id="397" w:name="__RefHeading___Toc477252_581953129"/>
      <w:bookmarkStart w:id="398" w:name="_Toc156"/>
      <w:bookmarkEnd w:id="397"/>
      <w:r>
        <w:rPr>
          <w:rtl w:val="true"/>
        </w:rPr>
        <w:t>الفیتو عند الإمامیة الاثنی عشریة لا یکون إلّاعند المعصوم</w:t>
      </w:r>
      <w:bookmarkEnd w:id="398"/>
    </w:p>
    <w:p>
      <w:pPr>
        <w:pStyle w:val="BookText"/>
        <w:rPr/>
      </w:pPr>
      <w:r>
        <w:rPr>
          <w:rFonts w:ascii="IRNazanin" w:hAnsi="IRNazanin" w:eastAsia="IRNazanin"/>
          <w:color w:val="111111"/>
          <w:sz w:val="28"/>
          <w:sz w:val="28"/>
          <w:szCs w:val="28"/>
          <w:rtl w:val="true"/>
          <w:lang w:bidi="fa-IR"/>
        </w:rPr>
        <w:t xml:space="preserve">قانون الفیتو یجب أن یکون له مبرر حقوقی ، وهو سیطرة الأعقل علی العاقل ، ووصایة الأخبر علی من هو أقل خبرة منه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مذهب الإمامیة لا یسمح للفقیه والمرجع أن یکون له حق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یمتلک هذا الحق إلّاالإمام المعصوم المتصل علمه بعلم اللّه تعالی ، وهو صاحب العلم اللدنی ، بینما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القانون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متاح للقوی الذی یخضع بدوره إلی مصالحه الخاصّة ونزواته وغرائزه وشهواته فیکون هذا الفیتو باب من أبواب تکریس الظلم فی المجتمع البشری </w:t>
      </w:r>
      <w:r>
        <w:rPr>
          <w:rFonts w:eastAsia="IRNazanin" w:cs="IRNazanin"/>
          <w:color w:val="111111"/>
          <w:sz w:val="28"/>
          <w:szCs w:val="28"/>
          <w:rtl w:val="true"/>
          <w:lang w:bidi="fa-IR"/>
        </w:rPr>
        <w:t>.</w:t>
      </w:r>
      <w:bookmarkStart w:id="399" w:name="pg5261_55241"/>
    </w:p>
    <w:p>
      <w:pPr>
        <w:pStyle w:val="Heading4"/>
        <w:numPr>
          <w:ilvl w:val="3"/>
          <w:numId w:val="1"/>
        </w:numPr>
        <w:rPr/>
      </w:pPr>
      <w:bookmarkStart w:id="400" w:name="__RefHeading___Toc477254_581953129"/>
      <w:bookmarkStart w:id="401" w:name="_Toc157"/>
      <w:bookmarkEnd w:id="399"/>
      <w:bookmarkEnd w:id="400"/>
      <w:r>
        <w:rPr>
          <w:rtl w:val="true"/>
        </w:rPr>
        <w:t>النزوع الفطری نحو العصمة</w:t>
      </w:r>
      <w:bookmarkEnd w:id="401"/>
    </w:p>
    <w:p>
      <w:pPr>
        <w:pStyle w:val="BookText"/>
        <w:rPr/>
      </w:pPr>
      <w:r>
        <w:rPr>
          <w:rFonts w:ascii="IRNazanin" w:hAnsi="IRNazanin" w:eastAsia="IRNazanin"/>
          <w:color w:val="111111"/>
          <w:sz w:val="28"/>
          <w:sz w:val="28"/>
          <w:szCs w:val="28"/>
          <w:rtl w:val="true"/>
          <w:lang w:bidi="fa-IR"/>
        </w:rPr>
        <w:t>کیف نبرر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الغربی علی المستوی القانونی والحقوقی ، إذن لا بد لقیمومة الأعدل والأعلم علی غیره ، وهذا الأعلم والأعدل والأخبر والأعقل هو المعصوم فی مذهب أهل البیت علیهم السلام ، والتسلیم بهذا المبدأ یعنی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النزوع الفطری نحو العصمة ؛ لأنّ الإنسان بفطرته یرید أن یعطی حق الفیتو للمعصوم الذی لا یخطأ علی المستویین العلمی والعملی </w:t>
      </w:r>
      <w:r>
        <w:rPr>
          <w:rFonts w:eastAsia="IRNazanin" w:cs="IRNazanin"/>
          <w:color w:val="111111"/>
          <w:sz w:val="28"/>
          <w:szCs w:val="28"/>
          <w:rtl w:val="true"/>
          <w:lang w:bidi="fa-IR"/>
        </w:rPr>
        <w:t>.</w:t>
      </w:r>
      <w:bookmarkStart w:id="402" w:name="pg5261_55243"/>
    </w:p>
    <w:p>
      <w:pPr>
        <w:pStyle w:val="Heading3"/>
        <w:numPr>
          <w:ilvl w:val="2"/>
          <w:numId w:val="1"/>
        </w:numPr>
        <w:rPr/>
      </w:pPr>
      <w:bookmarkStart w:id="403" w:name="__RefHeading___Toc477256_581953129"/>
      <w:bookmarkStart w:id="404" w:name="_Toc158"/>
      <w:bookmarkEnd w:id="402"/>
      <w:bookmarkEnd w:id="403"/>
      <w:r>
        <w:rPr>
          <w:rtl w:val="true"/>
        </w:rPr>
        <w:t>المحاضرة السابعة الرد علی شبهة الرق وحقوق الإنسان</w:t>
      </w:r>
      <w:bookmarkEnd w:id="404"/>
    </w:p>
    <w:p>
      <w:pPr>
        <w:pStyle w:val="Heading4"/>
        <w:numPr>
          <w:ilvl w:val="3"/>
          <w:numId w:val="1"/>
        </w:numPr>
        <w:rPr/>
      </w:pPr>
      <w:bookmarkStart w:id="405" w:name="__RefHeading___Toc477258_581953129"/>
      <w:bookmarkStart w:id="406" w:name="_Toc159"/>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الرق وحقوق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قراءات جدیدة تفسّر النصوص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الحداثیّون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الإسلام لیست أبدیّة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یتناسب مع کل الأزمان وکل البیئات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الإنسان فی التشریع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فرق بین الکفار فی الفکر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الوافر من الشریعة الإسلامیة مستمد من الفطرة الإنسانیة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الرق فی الفقه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شجّع علی تحریر العبید ومعاملتهم بالحسنی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مدینة بیضاء </w:t>
      </w:r>
      <w:r>
        <w:rPr>
          <w:rFonts w:eastAsia="IRNazanin" w:cs="IRNazanin"/>
          <w:color w:val="111111"/>
          <w:sz w:val="28"/>
          <w:szCs w:val="28"/>
          <w:rtl w:val="true"/>
          <w:lang w:bidi="fa-IR"/>
        </w:rPr>
        <w:t>.</w:t>
      </w:r>
    </w:p>
    <w:p>
      <w:pPr>
        <w:pStyle w:val="Heading4"/>
        <w:numPr>
          <w:ilvl w:val="3"/>
          <w:numId w:val="1"/>
        </w:numPr>
        <w:rPr/>
      </w:pPr>
      <w:bookmarkStart w:id="407" w:name="__RefHeading___Toc477260_581953129"/>
      <w:bookmarkStart w:id="408" w:name="_Toc160"/>
      <w:bookmarkEnd w:id="407"/>
      <w:r>
        <w:rPr>
          <w:rtl w:val="true"/>
        </w:rPr>
        <w:t>مسألة الرق وحقوق الإنسان</w:t>
      </w:r>
      <w:bookmarkEnd w:id="4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الأمثلة التی یعترض بها المعترضون علی الإسلام ، هی مسألة الرق والاستعباد المذکورة فی القرآن الکریم وفی التشریع الإسلامی ، وهی مسألة قدیمة حدیثة ، وهناک مخطط أمریکی یستهدف فرض الوصایة علی الإرشاد الدینی ، والمناهج فی الدول الإسلامیة باعتبار أنّ بعض تعالیم الإسلام تحرّض</w:t>
      </w:r>
      <w:bookmarkStart w:id="409" w:name="pg5261_55244"/>
    </w:p>
    <w:p>
      <w:pPr>
        <w:pStyle w:val="BookText"/>
        <w:rPr/>
      </w:pPr>
      <w:bookmarkEnd w:id="409"/>
      <w:r>
        <w:rPr>
          <w:rFonts w:ascii="IRNazanin" w:hAnsi="IRNazanin" w:eastAsia="IRNazanin"/>
          <w:color w:val="111111"/>
          <w:sz w:val="28"/>
          <w:sz w:val="28"/>
          <w:szCs w:val="28"/>
          <w:rtl w:val="true"/>
          <w:lang w:bidi="fa-IR"/>
        </w:rPr>
        <w:t xml:space="preserve">علی الإرهاب ، وتناقض حقوق الإنسان ، وتحاول أمریکا الضغط علی الدول الإسلامیة من أجل التخلّی عن مفاهیم بعض الآیات القرآنیة التی تدّعی أنّها تحرّض علی الإرهاب أو تناقض حقوق الإنسان </w:t>
      </w:r>
      <w:r>
        <w:rPr>
          <w:rFonts w:eastAsia="IRNazanin" w:cs="IRNazanin"/>
          <w:color w:val="111111"/>
          <w:sz w:val="28"/>
          <w:szCs w:val="28"/>
          <w:rtl w:val="true"/>
          <w:lang w:bidi="fa-IR"/>
        </w:rPr>
        <w:t>.</w:t>
      </w:r>
    </w:p>
    <w:p>
      <w:pPr>
        <w:pStyle w:val="Heading4"/>
        <w:numPr>
          <w:ilvl w:val="3"/>
          <w:numId w:val="1"/>
        </w:numPr>
        <w:rPr/>
      </w:pPr>
      <w:bookmarkStart w:id="410" w:name="__RefHeading___Toc477262_581953129"/>
      <w:bookmarkStart w:id="411" w:name="_Toc161"/>
      <w:bookmarkEnd w:id="410"/>
      <w:r>
        <w:rPr>
          <w:rtl w:val="true"/>
        </w:rPr>
        <w:t>قراءات جدیدة تفسّر النصوص الشرعیة</w:t>
      </w:r>
      <w:bookmarkEnd w:id="411"/>
    </w:p>
    <w:p>
      <w:pPr>
        <w:pStyle w:val="BookText"/>
        <w:rPr/>
      </w:pPr>
      <w:r>
        <w:rPr>
          <w:rFonts w:ascii="IRNazanin" w:hAnsi="IRNazanin" w:eastAsia="IRNazanin"/>
          <w:color w:val="111111"/>
          <w:sz w:val="28"/>
          <w:sz w:val="28"/>
          <w:szCs w:val="28"/>
          <w:rtl w:val="true"/>
          <w:lang w:bidi="fa-IR"/>
        </w:rPr>
        <w:t xml:space="preserve">وهناک بعض الحداثیّین من العالم الإسلامی یحاول أن یجد إجابة عن هذه التساؤلات ، ویوجد الحل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التشریعات القرآنیة والنبویّة هی تشریعات کانت مقنّنة ومؤسسة علی ضوء البیئة العربیة الجاهلیة ، أو البیئة البشریة فی أعراف ذلک الزمن ، وبعضهم یتمادی فی هذا المجال ، ویسمّیه قراءة حدیثة للقرآن الکریم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الحجاب بهذا التشدّد الوارد فی التشریع الإسلامی ، إنّما کان باعتبار أنّ المرأة العربیة السابقة کانت تعیش فی مجتمع عربی بدوی کان فیه العطش الجنسی شدید ، وکان أیّ بریق من جمال المرأة یثیر ذلک المجتمع ، فلذلک أمرها القرآن بالجلباب</w:t>
      </w:r>
      <w:r>
        <w:rPr>
          <w:rStyle w:val="FootnoteAnchor"/>
          <w:rtl w:val="true"/>
        </w:rPr>
        <w:footnoteReference w:id="105"/>
      </w:r>
      <w:r>
        <w:rPr>
          <w:rFonts w:ascii="IRNazanin" w:hAnsi="IRNazanin" w:eastAsia="IRNazanin"/>
          <w:color w:val="111111"/>
          <w:sz w:val="28"/>
          <w:sz w:val="28"/>
          <w:szCs w:val="28"/>
          <w:rtl w:val="true"/>
          <w:lang w:bidi="fa-IR"/>
        </w:rPr>
        <w:t xml:space="preserve">، وهو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العباءة والخمار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الربطة التی فی الرأس أو الحجاب ، وللأسف الشدید أنّ المرأة قد ترکت العباءة ، واستبدلتها بما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یتفنّن مصمّموا الأزیاء فی تشکیله بشکل یظهر مفاتن المرأة من الخصر والصدر والبطن ، فتمشی المرأة بهذا اللباس ، وکأنّها فی استعراض لمفاتتها </w:t>
      </w:r>
      <w:r>
        <w:rPr>
          <w:rFonts w:eastAsia="IRNazanin" w:cs="IRNazanin"/>
          <w:color w:val="111111"/>
          <w:sz w:val="28"/>
          <w:szCs w:val="28"/>
          <w:rtl w:val="true"/>
          <w:lang w:bidi="fa-IR"/>
        </w:rPr>
        <w:t>.</w:t>
      </w:r>
    </w:p>
    <w:p>
      <w:pPr>
        <w:pStyle w:val="Heading4"/>
        <w:numPr>
          <w:ilvl w:val="3"/>
          <w:numId w:val="1"/>
        </w:numPr>
        <w:rPr/>
      </w:pPr>
      <w:bookmarkStart w:id="412" w:name="__RefHeading___Toc477264_581953129"/>
      <w:bookmarkStart w:id="413" w:name="_Toc162"/>
      <w:bookmarkEnd w:id="412"/>
      <w:r>
        <w:rPr>
          <w:rtl w:val="true"/>
        </w:rPr>
        <w:t xml:space="preserve">الحداثیّون </w:t>
      </w:r>
      <w:r>
        <w:rPr>
          <w:rtl w:val="true"/>
        </w:rPr>
        <w:t xml:space="preserve">: </w:t>
      </w:r>
      <w:r>
        <w:rPr>
          <w:rtl w:val="true"/>
        </w:rPr>
        <w:t>أحکام الإسلام لیست أبدیّة</w:t>
      </w:r>
      <w:bookmarkEnd w:id="4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الرد علی هذه القراءة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لست بصدد الرد علی مثل هذه القراءات الحداثیة ، وبیان أُصول الاستنابط الشرعی ، لأنّ هذا موضوع قائم بنفسه ، ویحتاج</w:t>
      </w:r>
      <w:bookmarkStart w:id="414" w:name="pg5261_55245"/>
    </w:p>
    <w:p>
      <w:pPr>
        <w:pStyle w:val="BookText"/>
        <w:rPr/>
      </w:pPr>
      <w:bookmarkEnd w:id="414"/>
      <w:r>
        <w:rPr>
          <w:rFonts w:ascii="IRNazanin" w:hAnsi="IRNazanin" w:eastAsia="IRNazanin"/>
          <w:color w:val="111111"/>
          <w:sz w:val="28"/>
          <w:sz w:val="28"/>
          <w:szCs w:val="28"/>
          <w:rtl w:val="true"/>
          <w:lang w:bidi="fa-IR"/>
        </w:rPr>
        <w:t xml:space="preserve">إلی سلسلة بحوث کثیرة ، ولکن من الواضح أنّ من یدّعون أنّهم یقرأون القرآن قراءة حداثیّة أو قراءة جدیدة یحاولون إثبات أنّ بعض الأحکام الإسلامیة لیست أحکاماً أبدیّة ، وإنّما کانت تناسب بیئة معیّنة ، کما هو الحال فی الرق والاستعباد ، لأنّ هذا الموضوع مرفوض عند البشریة جمعاء فی زماننا الحالی ، أمّا فی العرف القانونی فی الزمان الذی رافق ظهور الإسلام کان العرف القانونی یقر الأسر والسبی والرق والاستعباد ، أمّا الآن وبعد أن أُلغی الرق فی الأعراف البشریة ، آن الأوان أن تُعاد قراءة هذا الباب ، وأن نقرأه قراءة جدیدة تغیّر بعض الأحکام الواردة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w:t>
      </w:r>
    </w:p>
    <w:p>
      <w:pPr>
        <w:pStyle w:val="Heading4"/>
        <w:numPr>
          <w:ilvl w:val="3"/>
          <w:numId w:val="1"/>
        </w:numPr>
        <w:rPr/>
      </w:pPr>
      <w:bookmarkStart w:id="415" w:name="__RefHeading___Toc477266_581953129"/>
      <w:bookmarkStart w:id="416" w:name="_Toc163"/>
      <w:bookmarkEnd w:id="415"/>
      <w:r>
        <w:rPr>
          <w:rtl w:val="true"/>
        </w:rPr>
        <w:t>الدین یتناسب مع کل الأزمان وکل البیئات</w:t>
      </w:r>
      <w:bookmarkEnd w:id="416"/>
    </w:p>
    <w:p>
      <w:pPr>
        <w:pStyle w:val="BookText"/>
        <w:rPr/>
      </w:pP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باعتباره دیناً ربّانیاً إلهیاً فهو یغطّی کل الأجیال ، وکل أشکال وأنواع النظام الإجتماعی ، وهو یقدّم موقفاً قانونیاً ونظاماً یتناسب مع کل المجتمعات ، سواء ذلک المجتمع مجتمعاً قبلیاً أو حضریاً أو مدنیاً أو قرویاً ، وهناک ثابت دینی ومتغیّر دینی ، ولکنّنا لسنا فی مقام تفصیل هذه المصطلحات الآن </w:t>
      </w:r>
      <w:r>
        <w:rPr>
          <w:rFonts w:eastAsia="IRNazanin" w:cs="IRNazanin"/>
          <w:color w:val="111111"/>
          <w:sz w:val="28"/>
          <w:szCs w:val="28"/>
          <w:rtl w:val="true"/>
          <w:lang w:bidi="fa-IR"/>
        </w:rPr>
        <w:t>.</w:t>
      </w:r>
    </w:p>
    <w:p>
      <w:pPr>
        <w:pStyle w:val="Heading4"/>
        <w:numPr>
          <w:ilvl w:val="3"/>
          <w:numId w:val="1"/>
        </w:numPr>
        <w:rPr/>
      </w:pPr>
      <w:bookmarkStart w:id="417" w:name="__RefHeading___Toc477268_581953129"/>
      <w:bookmarkStart w:id="418" w:name="_Toc164"/>
      <w:bookmarkEnd w:id="417"/>
      <w:r>
        <w:rPr>
          <w:rtl w:val="true"/>
        </w:rPr>
        <w:t>کرامة الإنسان فی التشریع الإسلامی</w:t>
      </w:r>
      <w:bookmarkEnd w:id="418"/>
    </w:p>
    <w:p>
      <w:pPr>
        <w:pStyle w:val="BookText"/>
        <w:rPr/>
      </w:pPr>
      <w:r>
        <w:rPr>
          <w:rFonts w:ascii="IRNazanin" w:hAnsi="IRNazanin" w:eastAsia="IRNazanin"/>
          <w:color w:val="111111"/>
          <w:sz w:val="28"/>
          <w:sz w:val="28"/>
          <w:szCs w:val="28"/>
          <w:rtl w:val="true"/>
          <w:lang w:bidi="fa-IR"/>
        </w:rPr>
        <w:t xml:space="preserve">وهنا علامة 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الرق والعبودیة المطروحة فی الشریعة الإسلامیة تستند إلی الخشونة والقساوة وعدم احترام حقوق الإنسان أم أنّ الأمر لیس کذلک؟</w:t>
      </w:r>
    </w:p>
    <w:p>
      <w:pPr>
        <w:pStyle w:val="BookText"/>
        <w:rPr/>
      </w:pPr>
      <w:r>
        <w:rPr>
          <w:rFonts w:ascii="IRNazanin" w:hAnsi="IRNazanin" w:eastAsia="IRNazanin"/>
          <w:color w:val="111111"/>
          <w:sz w:val="28"/>
          <w:sz w:val="28"/>
          <w:szCs w:val="28"/>
          <w:rtl w:val="true"/>
          <w:lang w:bidi="fa-IR"/>
        </w:rPr>
        <w:t xml:space="preserve">هناک قاعدة أُصولیة ، وهی من القواعد الأُم فی التشریع الإسلامی ، ألا وهی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الأوّلیة هی کرامة الإنسان فی التشریع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کل مورد من الموارد لا نجد فیه نصاً خاصّاً أو تعبّداً خاصّاً علی الاستثناء أو التخصیص أؤ الرفع عن هذه الطبیعة الأوّلیة التی هی کرامة الإنسان فی التشریع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الإسلامی ، فإنّنا نعتمد علی هذه القاعدة فی التشریع ، وقد صرّح بهذه القاعدة فی تطبیقاتها الفرعیة فی الأیواب ، کحرمة التمثیل بالمیت ولو کان عدوّاً وأیضاً حرمة قتل النساء والشیوخ والصبیان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علماء الإمامیة الاثنی عشریة ، وربما جملة من بقیّة المذاهب الإسلامیة الأُخری ، وتستند إلی الکثیر من النصوص القرآنیة ،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الآیات هی قواعد قانونیة ، ولا تندرج تحت فقه المقاصد ، أو روح الشریعة ، أو أنّها ثقافة قرآنیة عامّة ، وأنّ أکثر ما خلقه اللّه إنّما سخّره للإنسان ، إذن فالأُمور التی توجب إهانته أو سلبه للکرامة الإنسانیة ، هذه الأُمور بما إنّها منافیة للکرامة الإنسانیة فهی أُمور مرفوضة فی الشریعة ، والقرآن لم یخصص المؤمنین أو المسلمین ،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إذن الإنسان بما هو إنسان ، لا الإنسان بما هو مادی أو ملحد أو مجرم ؛ لأنّ هذه عناوین أُخری ، الطبیعة الفطریة للإنسان کریمة عند اللّه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بتعبیر قرآنی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لیس من باب فلسفة التشریع ، بل هو قالب</w:t>
      </w:r>
      <w:bookmarkStart w:id="419" w:name="pg5261_55247"/>
    </w:p>
    <w:p>
      <w:pPr>
        <w:pStyle w:val="BookText"/>
        <w:rPr/>
      </w:pPr>
      <w:bookmarkEnd w:id="419"/>
      <w:r>
        <w:rPr>
          <w:rFonts w:ascii="IRNazanin" w:hAnsi="IRNazanin" w:eastAsia="IRNazanin"/>
          <w:color w:val="111111"/>
          <w:sz w:val="28"/>
          <w:sz w:val="28"/>
          <w:szCs w:val="28"/>
          <w:rtl w:val="true"/>
          <w:lang w:bidi="fa-IR"/>
        </w:rPr>
        <w:t xml:space="preserve">قانونی قرآنی ، وفی تعبیر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أخ لک فی الدین أو نظیر لک فی الخلق</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 أو قول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لکم دین ، وکنتم لا تخافون المعاد ، فکونوا أحراراً فی دنیاکم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 لأنّ نبع الفطرة لها مقتضیات قانونیة یحترمها التشریع الإسلامی تؤکّد علی کرامة الإنسان ، والذین ینادون الیوم بکرامة الإنسان قد سبقهم الإسلام بأربعة عشر قرناً بالمناداة بکرامة الإنسان ، وأنّها الأصل ، ولا تهتک کرامة الإنسان إلّابموجب </w:t>
      </w:r>
      <w:r>
        <w:rPr>
          <w:rFonts w:eastAsia="IRNazanin" w:cs="IRNazanin"/>
          <w:color w:val="111111"/>
          <w:sz w:val="28"/>
          <w:szCs w:val="28"/>
          <w:rtl w:val="true"/>
          <w:lang w:bidi="fa-IR"/>
        </w:rPr>
        <w:t>.</w:t>
      </w:r>
    </w:p>
    <w:p>
      <w:pPr>
        <w:pStyle w:val="Heading4"/>
        <w:numPr>
          <w:ilvl w:val="3"/>
          <w:numId w:val="1"/>
        </w:numPr>
        <w:rPr/>
      </w:pPr>
      <w:bookmarkStart w:id="420" w:name="__RefHeading___Toc477270_581953129"/>
      <w:bookmarkStart w:id="421" w:name="_Toc165"/>
      <w:bookmarkEnd w:id="420"/>
      <w:r>
        <w:rPr>
          <w:rtl w:val="true"/>
        </w:rPr>
        <w:t>هناک فرق بین الکفار فی الفکر الإسلامی</w:t>
      </w:r>
      <w:bookmarkEnd w:id="421"/>
    </w:p>
    <w:p>
      <w:pPr>
        <w:pStyle w:val="BookText"/>
        <w:rPr/>
      </w:pPr>
      <w:r>
        <w:rPr>
          <w:rFonts w:ascii="Amiri" w:hAnsi="Amiri" w:eastAsia="Amiri" w:cs="Amiri"/>
          <w:color w:val="111111"/>
          <w:sz w:val="28"/>
          <w:sz w:val="28"/>
          <w:szCs w:val="28"/>
          <w:rtl w:val="true"/>
          <w:lang w:bidi="ar-SA"/>
        </w:rPr>
        <w:t xml:space="preserve">أمّا بالنسبة للکفار فالقرآن الکریم یفرّق فی التعامل بینهم فهناک کافر عدو وکافر لیس بعدو ، انظروا إلی التعبیر القرآنی الوارد فی قصّة إبراهیم مع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لاحظوا أنّه کان یعلم أنّه کان کافراً ، ولکن فرق بین الکافر العدو والکافر غیر العدو ، وهناک مصطلح الکافر ومصطلح المشرک ، والکافر الذی یستحق النار والکافر الذی لا یستحق النار ، وقد یستغرب البعض من الکفار الذی لا یستحق النار ، نعم الکافر الذی هو فی معرض الهدایة ، وفی طریق البحث عن الحقیقة لا یستحق النار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2" w:name="__RefHeading___Toc477272_581953129"/>
      <w:bookmarkStart w:id="423" w:name="_Toc166"/>
      <w:bookmarkEnd w:id="422"/>
      <w:r>
        <w:rPr>
          <w:rtl w:val="true"/>
        </w:rPr>
        <w:t>الجزء الوافر من الشریعة الإسلامیة مستمد من الفطرة الإنسانیة</w:t>
      </w:r>
      <w:bookmarkStart w:id="424" w:name="pg5261_55248"/>
      <w:bookmarkEnd w:id="423"/>
    </w:p>
    <w:p>
      <w:pPr>
        <w:pStyle w:val="BookText"/>
        <w:rPr/>
      </w:pPr>
      <w:bookmarkEnd w:id="424"/>
      <w:r>
        <w:rPr>
          <w:rFonts w:ascii="IRNazanin" w:hAnsi="IRNazanin" w:eastAsia="IRNazanin"/>
          <w:color w:val="111111"/>
          <w:sz w:val="28"/>
          <w:sz w:val="28"/>
          <w:szCs w:val="28"/>
          <w:rtl w:val="true"/>
          <w:lang w:bidi="fa-IR"/>
        </w:rPr>
        <w:t>الجزء الوافر من الشریعة الإسلامیة مستمد من الفطرة الإنسانیة ، وهی الفطرة التی أودعها اللّه فی الإنسان ، وهی قواسم مشترکة بیننا وبین باقی أبناء البشر ، وهذا مصدر مهم فی التشریع ، وفی مذهب الإمامیة بشکل بارز ربما أکثر من المذاهب الأُخری ، وأنّ أحد المصادر والحجج الربّانیة هو العقل ، والعقل یرجع إلی الفطرة ، سواءً کان العقل النظری أو العقل العملی ، علی الأقل فی البدیهیّات التی لیست نظریات مختلف علیها بین أصحاب العقول ، وهی نقطة اشتراک بین الأصولیین والأخباریین ، کما یذهب إلی ذلک الشیخ یوسف البحرانی رحمه الله</w:t>
      </w:r>
      <w:r>
        <w:rPr>
          <w:rStyle w:val="FootnoteAnchor"/>
          <w:rtl w:val="true"/>
        </w:rPr>
        <w:footnoteReference w:id="108"/>
      </w:r>
      <w:r>
        <w:rPr>
          <w:rFonts w:ascii="IRNazanin" w:hAnsi="IRNazanin" w:eastAsia="IRNazanin"/>
          <w:color w:val="111111"/>
          <w:sz w:val="28"/>
          <w:sz w:val="28"/>
          <w:szCs w:val="28"/>
          <w:rtl w:val="true"/>
          <w:lang w:bidi="fa-IR"/>
        </w:rPr>
        <w:t xml:space="preserve">، وقد ورد فی روایات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رسول باطنی کما أنّ النبی رسول ظاهر</w:t>
      </w:r>
      <w:r>
        <w:rPr>
          <w:rStyle w:val="FootnoteAnchor"/>
          <w:rtl w:val="true"/>
        </w:rPr>
        <w:footnoteReference w:id="109"/>
      </w:r>
      <w:r>
        <w:rPr>
          <w:rFonts w:ascii="IRNazanin" w:hAnsi="IRNazanin" w:eastAsia="IRNazanin"/>
          <w:color w:val="111111"/>
          <w:sz w:val="28"/>
          <w:sz w:val="28"/>
          <w:szCs w:val="28"/>
          <w:rtl w:val="true"/>
          <w:lang w:bidi="fa-IR"/>
        </w:rPr>
        <w:t xml:space="preserve">، إذن فنحن ندور فی دائرة اللغة الثابتة الشاملة للمتغیّرات ، وهی اللغة العقلیّة الفطریة نحن مع الأُمم الأُخری </w:t>
      </w:r>
      <w:r>
        <w:rPr>
          <w:rFonts w:eastAsia="IRNazanin" w:cs="IRNazanin"/>
          <w:color w:val="111111"/>
          <w:sz w:val="28"/>
          <w:szCs w:val="28"/>
          <w:rtl w:val="true"/>
          <w:lang w:bidi="fa-IR"/>
        </w:rPr>
        <w:t>.</w:t>
      </w:r>
    </w:p>
    <w:p>
      <w:pPr>
        <w:pStyle w:val="Heading4"/>
        <w:numPr>
          <w:ilvl w:val="3"/>
          <w:numId w:val="1"/>
        </w:numPr>
        <w:rPr/>
      </w:pPr>
      <w:bookmarkStart w:id="425" w:name="__RefHeading___Toc477274_581953129"/>
      <w:bookmarkStart w:id="426" w:name="_Toc167"/>
      <w:bookmarkEnd w:id="425"/>
      <w:r>
        <w:rPr>
          <w:rtl w:val="true"/>
        </w:rPr>
        <w:t>معنی الرق فی الفقه الإسلامی</w:t>
      </w:r>
      <w:bookmarkEnd w:id="426"/>
    </w:p>
    <w:p>
      <w:pPr>
        <w:pStyle w:val="BookText"/>
        <w:rPr/>
      </w:pPr>
      <w:r>
        <w:rPr>
          <w:rFonts w:ascii="IRNazanin" w:hAnsi="IRNazanin" w:eastAsia="IRNazanin"/>
          <w:color w:val="111111"/>
          <w:sz w:val="28"/>
          <w:sz w:val="28"/>
          <w:szCs w:val="28"/>
          <w:rtl w:val="true"/>
          <w:lang w:bidi="fa-IR"/>
        </w:rPr>
        <w:t xml:space="preserve">أمّا بالنسبة لظاهرة الرق والسبی وما شابه ذلک ، فلنعرف ما معنی العبودیة أوّلاً؟ حیث تصاحب هذه اللفظة معانی التقزّز والتنفّر ، وهذا صحیح ، ولکن عبودیة شخص لشخص آخر لها عدّة معانی وعدّة درجات، إذا لم یدرکها الإنسان قد یستبشع العنوان فی نفسه أو یحصل له الاشتباه فی هذا المفهوم ، ونحن عندنا أنّ الأجیر إذا أجّر نفسه صار سخرة للمستأجر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نتاج جهده یکون لمصلحة المستأجر ، وهذا یفرض نوع من طاعة الأجیر إلی المستأجر ، ومطلق الطاعة من المطیع إلی المطاع هو نوع من الخضوع</w:t>
      </w:r>
    </w:p>
    <w:p>
      <w:pPr>
        <w:pStyle w:val="Heading4"/>
        <w:numPr>
          <w:ilvl w:val="3"/>
          <w:numId w:val="1"/>
        </w:numPr>
        <w:rPr/>
      </w:pPr>
      <w:bookmarkStart w:id="427" w:name="__RefHeading___Toc477276_581953129"/>
      <w:bookmarkStart w:id="428" w:name="_Toc168"/>
      <w:bookmarkEnd w:id="427"/>
      <w:r>
        <w:rPr>
          <w:rtl w:val="true"/>
        </w:rPr>
        <w:t>الإسلام شجّع علی تحریر العبید ومعاملتهم بالحسنی</w:t>
      </w:r>
      <w:bookmarkEnd w:id="4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الکثیر من النصوص الشرعیة عند المسلمین ترغّب الإنسان فی</w:t>
      </w:r>
      <w:bookmarkStart w:id="429" w:name="pg5261_55249"/>
    </w:p>
    <w:p>
      <w:pPr>
        <w:pStyle w:val="BookText"/>
        <w:rPr/>
      </w:pPr>
      <w:bookmarkEnd w:id="429"/>
      <w:r>
        <w:rPr>
          <w:rFonts w:ascii="IRNazanin" w:hAnsi="IRNazanin" w:eastAsia="IRNazanin"/>
          <w:color w:val="111111"/>
          <w:sz w:val="28"/>
          <w:sz w:val="28"/>
          <w:szCs w:val="28"/>
          <w:rtl w:val="true"/>
          <w:lang w:bidi="fa-IR"/>
        </w:rPr>
        <w:t>تحریر العبید بالثواب الجزیل</w:t>
      </w:r>
      <w:r>
        <w:rPr>
          <w:rStyle w:val="FootnoteAnchor"/>
          <w:rtl w:val="true"/>
        </w:rPr>
        <w:footnoteReference w:id="110"/>
      </w:r>
      <w:r>
        <w:rPr>
          <w:rFonts w:ascii="IRNazanin" w:hAnsi="IRNazanin" w:eastAsia="IRNazanin"/>
          <w:color w:val="111111"/>
          <w:sz w:val="28"/>
          <w:sz w:val="28"/>
          <w:szCs w:val="28"/>
          <w:rtl w:val="true"/>
          <w:lang w:bidi="fa-IR"/>
        </w:rPr>
        <w:t>کما أنّ التشریع الإسلامی جعل بعض الکفارات عتق رقبة عبد ، بل الکثیر من الکفارات لا تقع إلّابتحریر رقبة لأجل تطویق ظاهرة الرق ، کما أنّ الإسلام قد حثّ علی معاملة العبید بالرفق والحسنی</w:t>
      </w:r>
      <w:r>
        <w:rPr>
          <w:rStyle w:val="FootnoteAnchor"/>
          <w:rtl w:val="true"/>
        </w:rPr>
        <w:footnoteReference w:id="111"/>
      </w:r>
      <w:r>
        <w:rPr>
          <w:rFonts w:ascii="IRNazanin" w:hAnsi="IRNazanin" w:eastAsia="IRNazanin"/>
          <w:color w:val="111111"/>
          <w:sz w:val="28"/>
          <w:sz w:val="28"/>
          <w:szCs w:val="28"/>
          <w:rtl w:val="true"/>
          <w:lang w:bidi="fa-IR"/>
        </w:rPr>
        <w:t xml:space="preserve">، إذن الإسلام کان عنده برنامج للقضاء علی هذه الظاهرة ، قد تحمل لون العقوبة فی الکفارة علی الشخص المخالف للحکم الشرعی ، ولکنّها تحمل فی طرفها الآخر تحریر للعبد ، کما أنّ التشریع قد أوجب علی السید الذی یملک الأسیر نفقته وضمانه الصحی وضمانه الاجتماعی ومسؤولیته الجنائیة ، وسیتحمّل الکثیر من أجل أن یبقی هذا العبد تحت عهدته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فالأحری بالغربیین الذین یتّهمون الإسلام أن یقرّوا بما فضحهم به مؤتمر مکافحة العنصریة الذی عقد فی جنوب أفریقیا أشهر أو فی العام الماضی بأنّ ضمانات العبید الذین استعبدوا بأشنع وأفضع وأشد وأقمع وأقبح طریقة بشریة من قبل البیض لهؤلاء السود ضمانات ضائعة </w:t>
      </w:r>
      <w:r>
        <w:rPr>
          <w:rFonts w:eastAsia="IRNazanin" w:cs="IRNazanin"/>
          <w:color w:val="111111"/>
          <w:sz w:val="28"/>
          <w:szCs w:val="28"/>
          <w:rtl w:val="true"/>
          <w:lang w:bidi="fa-IR"/>
        </w:rPr>
        <w:t>.</w:t>
      </w:r>
    </w:p>
    <w:p>
      <w:pPr>
        <w:pStyle w:val="Heading4"/>
        <w:numPr>
          <w:ilvl w:val="3"/>
          <w:numId w:val="1"/>
        </w:numPr>
        <w:rPr/>
      </w:pPr>
      <w:bookmarkStart w:id="430" w:name="__RefHeading___Toc477278_581953129"/>
      <w:bookmarkStart w:id="431" w:name="_Toc169"/>
      <w:bookmarkEnd w:id="430"/>
      <w:r>
        <w:rPr>
          <w:rtl w:val="true"/>
        </w:rPr>
        <w:t>نیویورک مدینة بیضاء</w:t>
      </w:r>
      <w:bookmarkEnd w:id="4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الیوم لیس الأبیض کالأسود فی الدول الغربیة ، وفی خطابه الأخیر بکل وقاحة وقلّة حیاء ، یصرّح الرئیس الأمریکی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مدینة نیویورک یجب أن ترجع مدینة بیضاء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للجنس الأبیض ، فهل هذا منطق إنسان یحترم حقوق الإنسان ، بینما الإسلام یجعل من الرق نظام ضمان وکفالة للعبد أو الأسیر مقنّنة</w:t>
      </w:r>
      <w:bookmarkStart w:id="432" w:name="pg5261_55250"/>
    </w:p>
    <w:p>
      <w:pPr>
        <w:pStyle w:val="BookText"/>
        <w:rPr/>
      </w:pPr>
      <w:bookmarkEnd w:id="432"/>
      <w:r>
        <w:rPr>
          <w:rFonts w:ascii="IRNazanin" w:hAnsi="IRNazanin" w:eastAsia="IRNazanin"/>
          <w:color w:val="111111"/>
          <w:sz w:val="28"/>
          <w:sz w:val="28"/>
          <w:szCs w:val="28"/>
          <w:rtl w:val="true"/>
          <w:lang w:bidi="fa-IR"/>
        </w:rPr>
        <w:t>ومشروطة ، ومع ذلک یخطط للقضاء علی الرق بشکل کلی فی عدّة تشریعات فقهیة</w:t>
      </w:r>
      <w:r>
        <w:rPr>
          <w:rFonts w:eastAsia="IRNazanin" w:cs="IRNazanin"/>
          <w:color w:val="111111"/>
          <w:sz w:val="28"/>
          <w:szCs w:val="28"/>
          <w:rtl w:val="true"/>
          <w:lang w:bidi="fa-IR"/>
        </w:rPr>
        <w:t>.</w:t>
      </w:r>
    </w:p>
    <w:p>
      <w:pPr>
        <w:pStyle w:val="Heading4"/>
        <w:numPr>
          <w:ilvl w:val="3"/>
          <w:numId w:val="1"/>
        </w:numPr>
        <w:rPr/>
      </w:pPr>
      <w:bookmarkStart w:id="433" w:name="__RefHeading___Toc477280_581953129"/>
      <w:bookmarkStart w:id="434" w:name="_Toc170"/>
      <w:bookmarkEnd w:id="433"/>
      <w:r>
        <w:rPr>
          <w:rtl w:val="true"/>
        </w:rPr>
        <w:t>الرق یعنی الخدمة فی التشریع الإسلامی</w:t>
      </w:r>
      <w:bookmarkEnd w:id="434"/>
    </w:p>
    <w:p>
      <w:pPr>
        <w:pStyle w:val="BookText"/>
        <w:rPr/>
      </w:pPr>
      <w:r>
        <w:rPr>
          <w:rFonts w:ascii="IRNazanin" w:hAnsi="IRNazanin" w:eastAsia="IRNazanin"/>
          <w:color w:val="111111"/>
          <w:sz w:val="28"/>
          <w:sz w:val="28"/>
          <w:szCs w:val="28"/>
          <w:rtl w:val="true"/>
          <w:lang w:bidi="fa-IR"/>
        </w:rPr>
        <w:t xml:space="preserve">یجب أن نحذّر من الانسیاق وراء العناوین القانونیة ، حیث یتم الخداع والمغالطات وخدمة المصالح وترجیح طرف الباطل علی طرف الحق ، ولابد من الالتفات إلی نفس المعنی مهما حاولوا تسمیته وبأیّ تسمیة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 فی التشریع الإسلامی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الخدمة وملکیّة الخدمة لیس إلّا، ولا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القهر والظلم ، والآن لازالت الکثیر من الدول لا یتمتع الخادم فیها بالضمان الذی یضمن الحمایة لهذا العبد أو الخادم ، والموجود فی القرآن الکریم والشریعة الإسلامیة ، والتاریخ رصد لنا ماذا فعل الجنس الأبیض بالجنس الأسود ، والمفروض أن یطرحوا هذه الإشکالات علی حضارتهم التی تستنقص العنصر الأسود ، وتمنعه من الوصول إلی العدید من المناصب </w:t>
      </w:r>
      <w:r>
        <w:rPr>
          <w:rFonts w:eastAsia="IRNazanin" w:cs="IRNazanin"/>
          <w:color w:val="111111"/>
          <w:sz w:val="28"/>
          <w:szCs w:val="28"/>
          <w:rtl w:val="true"/>
          <w:lang w:bidi="fa-IR"/>
        </w:rPr>
        <w:t>.</w:t>
      </w:r>
    </w:p>
    <w:p>
      <w:pPr>
        <w:pStyle w:val="Heading4"/>
        <w:numPr>
          <w:ilvl w:val="3"/>
          <w:numId w:val="1"/>
        </w:numPr>
        <w:rPr/>
      </w:pPr>
      <w:bookmarkStart w:id="435" w:name="__RefHeading___Toc477282_581953129"/>
      <w:bookmarkStart w:id="436" w:name="_Toc171"/>
      <w:bookmarkEnd w:id="435"/>
      <w:r>
        <w:rPr>
          <w:rtl w:val="true"/>
        </w:rPr>
        <w:t>استئصال الغدّة السرطانیة</w:t>
      </w:r>
      <w:bookmarkEnd w:id="436"/>
    </w:p>
    <w:p>
      <w:pPr>
        <w:pStyle w:val="BookText"/>
        <w:rPr/>
      </w:pPr>
      <w:r>
        <w:rPr>
          <w:rFonts w:ascii="IRNazanin" w:hAnsi="IRNazanin" w:eastAsia="IRNazanin"/>
          <w:color w:val="111111"/>
          <w:sz w:val="28"/>
          <w:sz w:val="28"/>
          <w:szCs w:val="28"/>
          <w:rtl w:val="true"/>
          <w:lang w:bidi="fa-IR"/>
        </w:rPr>
        <w:t xml:space="preserve">هناک العدید من الاعتراضات علی التشریع الإسلامی سأجیب عنها إجابات عامّة ، ولن أخوض فی تفاصیلها لضیق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فسد عضو من أعضاء الإنسان بسبب مرض مّا کمرض السکری بحیث لا تسلم بقیة الأعضاء إلّاإذا بتر ذلک العضو ، فمن الواضح أنّ بتر ذلک العضو بتر مستساغ ، ولا یعد بتره مخالفاً للإنسانیة والحق الطبیعی أو خلاف التشریع الدینی ، بالعکس هو من صلب الإنسانیة والتشریع الدینی والحق الطبیعی ؛ لأنّه سیحفظ حیاة إنسان </w:t>
      </w:r>
      <w:r>
        <w:rPr>
          <w:rFonts w:eastAsia="IRNazanin" w:cs="IRNazanin"/>
          <w:color w:val="111111"/>
          <w:sz w:val="28"/>
          <w:szCs w:val="28"/>
          <w:rtl w:val="true"/>
          <w:lang w:bidi="fa-IR"/>
        </w:rPr>
        <w:t>.</w:t>
      </w:r>
    </w:p>
    <w:p>
      <w:pPr>
        <w:pStyle w:val="Heading4"/>
        <w:numPr>
          <w:ilvl w:val="3"/>
          <w:numId w:val="1"/>
        </w:numPr>
        <w:rPr/>
      </w:pPr>
      <w:bookmarkStart w:id="437" w:name="__RefHeading___Toc477284_581953129"/>
      <w:bookmarkStart w:id="438" w:name="_Toc172"/>
      <w:bookmarkEnd w:id="437"/>
      <w:r>
        <w:rPr>
          <w:rtl w:val="true"/>
        </w:rPr>
        <w:t>ولکم فی القصاص حیاة</w:t>
      </w:r>
      <w:bookmarkEnd w:id="4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ینطبق علی الشخص أو الجماعة التی تهدّد نظاماً اجتماعیاً من خلال الجریمة والتعدّی علی المجتمع وتهدید الأمن والاستقرار وسلب الأموال</w:t>
      </w:r>
      <w:bookmarkStart w:id="439" w:name="pg5261_55251"/>
    </w:p>
    <w:p>
      <w:pPr>
        <w:pStyle w:val="BookText"/>
        <w:rPr/>
      </w:pPr>
      <w:bookmarkEnd w:id="439"/>
      <w:r>
        <w:rPr>
          <w:rFonts w:ascii="IRNazanin" w:hAnsi="IRNazanin" w:eastAsia="IRNazanin"/>
          <w:color w:val="111111"/>
          <w:sz w:val="28"/>
          <w:sz w:val="28"/>
          <w:szCs w:val="28"/>
          <w:rtl w:val="true"/>
          <w:lang w:bidi="fa-IR"/>
        </w:rPr>
        <w:t>والاعتداء علی الحرمات ، فی مثل هذه الأُمور یعبّر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الْقِصاصِ حَیاةٌ یا أُولِی الْأَلْبابِ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باعتبار أنّ ردع الجانی یهییء الجو لسیادة الأمن وقطع دابر الجرائم ، وهناک العدید من الاعتراضات علی الحدود والتعزیرات الإسلامیة </w:t>
      </w:r>
      <w:r>
        <w:rPr>
          <w:rFonts w:eastAsia="IRNazanin" w:cs="IRNazanin"/>
          <w:color w:val="111111"/>
          <w:sz w:val="28"/>
          <w:szCs w:val="28"/>
          <w:rtl w:val="true"/>
          <w:lang w:bidi="fa-IR"/>
        </w:rPr>
        <w:t>.</w:t>
      </w:r>
    </w:p>
    <w:p>
      <w:pPr>
        <w:pStyle w:val="Heading4"/>
        <w:numPr>
          <w:ilvl w:val="3"/>
          <w:numId w:val="1"/>
        </w:numPr>
        <w:rPr/>
      </w:pPr>
      <w:bookmarkStart w:id="440" w:name="__RefHeading___Toc477286_581953129"/>
      <w:bookmarkStart w:id="441" w:name="_Toc173"/>
      <w:bookmarkEnd w:id="440"/>
      <w:r>
        <w:rPr>
          <w:rtl w:val="true"/>
        </w:rPr>
        <w:t>مفهوم الإرهاب</w:t>
      </w:r>
      <w:bookmarkEnd w:id="441"/>
    </w:p>
    <w:p>
      <w:pPr>
        <w:pStyle w:val="BookText"/>
        <w:rPr/>
      </w:pPr>
      <w:r>
        <w:rPr>
          <w:rFonts w:ascii="IRNazanin" w:hAnsi="IRNazanin" w:eastAsia="IRNazanin"/>
          <w:color w:val="111111"/>
          <w:sz w:val="28"/>
          <w:sz w:val="28"/>
          <w:szCs w:val="28"/>
          <w:rtl w:val="true"/>
          <w:lang w:bidi="fa-IR"/>
        </w:rPr>
        <w:t xml:space="preserve">مفهوم الإرهاب الدولی وموقف الإسلام منه ، ومتی یستخدم ومتی لایستخدم ، وسیکون البحث فی اللیالی القادمة حول مفهوم الإرهاب فی مقابل السلم ، ومتی یسوغ وقوعه ومتی لا یسوغ وقوعه ، وسنختم هذه المراحل الثلاث بموقف الإمام الحسین علیه السلام باعتبار قرآناً متجسداً ناطقاً ، لا سیّما أنّ واقعة عاشوراء اجتمعت فیها عدّة ظروف عدیدة شملت الکثیر من المواقف والموضوعات والمحاور ، وکأنّها نقطة لاستقطاب معرفة المواقف من خلال منطلقات الإمام الحسین علیه السلام الذی انطلق منها </w:t>
      </w:r>
      <w:r>
        <w:rPr>
          <w:rFonts w:eastAsia="IRNazanin" w:cs="IRNazanin"/>
          <w:color w:val="111111"/>
          <w:sz w:val="28"/>
          <w:szCs w:val="28"/>
          <w:rtl w:val="true"/>
          <w:lang w:bidi="fa-IR"/>
        </w:rPr>
        <w:t>.</w:t>
      </w:r>
    </w:p>
    <w:p>
      <w:pPr>
        <w:pStyle w:val="Heading4"/>
        <w:numPr>
          <w:ilvl w:val="3"/>
          <w:numId w:val="1"/>
        </w:numPr>
        <w:rPr/>
      </w:pPr>
      <w:bookmarkStart w:id="442" w:name="__RefHeading___Toc477288_581953129"/>
      <w:bookmarkStart w:id="443" w:name="_Toc174"/>
      <w:bookmarkEnd w:id="442"/>
      <w:r>
        <w:rPr>
          <w:rtl w:val="true"/>
        </w:rPr>
        <w:t>تعریف الأُمم المتّحدة للإرهاب</w:t>
      </w:r>
      <w:bookmarkEnd w:id="4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النصوص القانونیة لبعض المجامیع البشریة ، لا سیّما فی الأُمم المتّحدة ، أَنّ الإرهاب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الرعب کعمل رمزی للتأثیر علی السلوک السیاسی بوسائل غیر معتادة مهدّدة عنیفة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وقولهم عمل رمزی یشیر إلی الفرق بین الإرهاب والحرب ، فالإرهاب لیس حرباً ، فالحرب تعتمد علی التوسّع الجغرافی والغنائم المادّیة ، أمّا الإرهاب فلیس من أهدافه تحقیق مکاسب مادّیة ،</w:t>
      </w:r>
      <w:bookmarkStart w:id="444" w:name="pg5261_55252"/>
    </w:p>
    <w:p>
      <w:pPr>
        <w:pStyle w:val="BookText"/>
        <w:rPr/>
      </w:pPr>
      <w:bookmarkEnd w:id="444"/>
      <w:r>
        <w:rPr>
          <w:rFonts w:ascii="IRNazanin" w:hAnsi="IRNazanin" w:eastAsia="IRNazanin"/>
          <w:color w:val="111111"/>
          <w:sz w:val="28"/>
          <w:sz w:val="28"/>
          <w:szCs w:val="28"/>
          <w:rtl w:val="true"/>
          <w:lang w:bidi="fa-IR"/>
        </w:rPr>
        <w:t xml:space="preserve">وقد یکون للإرهاب دور یفوق دور الحروب أحیاناً فی تحقیق بعض الأهداف </w:t>
      </w:r>
      <w:r>
        <w:rPr>
          <w:rFonts w:eastAsia="IRNazanin" w:cs="IRNazanin"/>
          <w:color w:val="111111"/>
          <w:sz w:val="28"/>
          <w:szCs w:val="28"/>
          <w:rtl w:val="true"/>
          <w:lang w:bidi="fa-IR"/>
        </w:rPr>
        <w:t>.</w:t>
      </w:r>
    </w:p>
    <w:p>
      <w:pPr>
        <w:pStyle w:val="Heading4"/>
        <w:numPr>
          <w:ilvl w:val="3"/>
          <w:numId w:val="1"/>
        </w:numPr>
        <w:rPr/>
      </w:pPr>
      <w:bookmarkStart w:id="445" w:name="__RefHeading___Toc477290_581953129"/>
      <w:bookmarkStart w:id="446" w:name="_Toc175"/>
      <w:bookmarkEnd w:id="445"/>
      <w:r>
        <w:rPr>
          <w:rtl w:val="true"/>
        </w:rPr>
        <w:t>النصر بالرعب</w:t>
      </w:r>
      <w:bookmarkEnd w:id="446"/>
    </w:p>
    <w:p>
      <w:pPr>
        <w:pStyle w:val="BookText"/>
        <w:rPr/>
      </w:pPr>
      <w:r>
        <w:rPr>
          <w:rFonts w:ascii="IRNazanin" w:hAnsi="IRNazanin" w:eastAsia="IRNazanin"/>
          <w:color w:val="111111"/>
          <w:sz w:val="28"/>
          <w:sz w:val="28"/>
          <w:szCs w:val="28"/>
          <w:rtl w:val="true"/>
          <w:lang w:bidi="fa-IR"/>
        </w:rPr>
        <w:t>وعندنا روایات تشیر إلی أنّ النبی صلی الله علیه و آله قد نصر بالرعب</w:t>
      </w:r>
      <w:r>
        <w:rPr>
          <w:rStyle w:val="FootnoteAnchor"/>
          <w:rtl w:val="true"/>
        </w:rPr>
        <w:footnoteReference w:id="113"/>
      </w:r>
      <w:r>
        <w:rPr>
          <w:rFonts w:ascii="IRNazanin" w:hAnsi="IRNazanin" w:eastAsia="IRNazanin"/>
          <w:color w:val="111111"/>
          <w:sz w:val="28"/>
          <w:sz w:val="28"/>
          <w:szCs w:val="28"/>
          <w:rtl w:val="true"/>
          <w:lang w:bidi="fa-IR"/>
        </w:rPr>
        <w:t xml:space="preserve">، حیث یکون الرعب أنجح وأنجع من الحرب المیدانیة ، وقد أشار الإمام الخمینی رحمه الله فی معرض حدیثه عن القوی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القوی تستخدم الإرهاب أکثر من الحروب المیدانیة لتحقیق أهدافها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قواسم مشترکة بین الحرب وبین الإرهاب ، وهذا التعریف صحیح فی بعض أجزائه ، وسنستعرض تعاریف أُخری للإرهاب ، ولکن هذا التعریف یغفل نقاطاً مهمّة من أجل أن یتّهموا جهات معیّنة بالإرهاب ، کالشعوب التی تنشد الحریة وغیرها ، لأنّ هؤلاء المقننین یخدمون الاستکبار العالمی لکی تتهیّأ له الأجواء القانونیة فی استکباره ، ولکی تلقی خططه العدوانیة تأییداً تحت مسمّیات مزوّرة </w:t>
      </w:r>
      <w:r>
        <w:rPr>
          <w:rFonts w:eastAsia="IRNazanin" w:cs="IRNazanin"/>
          <w:color w:val="111111"/>
          <w:sz w:val="28"/>
          <w:szCs w:val="28"/>
          <w:rtl w:val="true"/>
          <w:lang w:bidi="fa-IR"/>
        </w:rPr>
        <w:t>.</w:t>
      </w:r>
      <w:bookmarkStart w:id="447" w:name="pg5261_55253"/>
    </w:p>
    <w:p>
      <w:pPr>
        <w:pStyle w:val="Heading3"/>
        <w:numPr>
          <w:ilvl w:val="2"/>
          <w:numId w:val="1"/>
        </w:numPr>
        <w:rPr/>
      </w:pPr>
      <w:bookmarkStart w:id="448" w:name="__RefHeading___Toc477292_581953129"/>
      <w:bookmarkStart w:id="449" w:name="_Toc176"/>
      <w:bookmarkEnd w:id="447"/>
      <w:bookmarkEnd w:id="448"/>
      <w:r>
        <w:rPr>
          <w:rtl w:val="true"/>
        </w:rPr>
        <w:t>المحاضرة الثامنة مناقشة تعریفات الإرهاب وتطبیقاتها</w:t>
      </w:r>
      <w:bookmarkEnd w:id="449"/>
    </w:p>
    <w:p>
      <w:pPr>
        <w:pStyle w:val="Heading4"/>
        <w:numPr>
          <w:ilvl w:val="3"/>
          <w:numId w:val="1"/>
        </w:numPr>
        <w:rPr/>
      </w:pPr>
      <w:bookmarkStart w:id="450" w:name="__RefHeading___Toc477294_581953129"/>
      <w:bookmarkStart w:id="451" w:name="_Toc177"/>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العملیات الإرهابیة لا تستهدف الحصول علی مکاسب مادّیة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العملیات الإرهابیة ترتبط بالأهداف السیاسیة وتستهدف الضغط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هو العنف المتطرف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وجود ضوابط للقوّة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الإرهاب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ثورة الإمام الحسین علیه السلام بالشرع والمُثل والمبادیء والقیم فی کل مراحلها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لیس إلّاوسیلة لإقامة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یرفضون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الأفسد بالفاسد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جیش الإمام علی وجیش الإمام الحسن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المرجعیة الشیعیة تعتبر شبه دولة </w:t>
      </w:r>
      <w:r>
        <w:rPr>
          <w:rFonts w:eastAsia="IRNazanin" w:cs="IRNazanin"/>
          <w:color w:val="111111"/>
          <w:sz w:val="28"/>
          <w:szCs w:val="28"/>
          <w:rtl w:val="true"/>
          <w:lang w:bidi="fa-IR"/>
        </w:rPr>
        <w:t>.</w:t>
      </w:r>
    </w:p>
    <w:p>
      <w:pPr>
        <w:pStyle w:val="Heading4"/>
        <w:numPr>
          <w:ilvl w:val="3"/>
          <w:numId w:val="1"/>
        </w:numPr>
        <w:rPr/>
      </w:pPr>
      <w:bookmarkStart w:id="452" w:name="__RefHeading___Toc477296_581953129"/>
      <w:bookmarkStart w:id="453" w:name="_Toc178"/>
      <w:bookmarkEnd w:id="452"/>
      <w:r>
        <w:rPr>
          <w:rtl w:val="true"/>
        </w:rPr>
        <w:t>العملیات الإرهابیة لا تستهدف الحصول علی مکاسب مادّیة</w:t>
      </w:r>
      <w:bookmarkEnd w:id="4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علینا أحد تعریفات الإرهاب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الرعب کعمل رمزی للتأثیر علی العمل السیاسی بوسائل مهدّدة عنفیة غیر معتادة</w:t>
      </w:r>
      <w:r>
        <w:rPr>
          <w:rFonts w:eastAsia="IRNazanin" w:cs="IRNazanin"/>
          <w:color w:val="111111"/>
          <w:sz w:val="28"/>
          <w:szCs w:val="28"/>
          <w:rtl w:val="true"/>
          <w:lang w:bidi="fa-IR"/>
        </w:rPr>
        <w:t>» .</w:t>
      </w:r>
      <w:bookmarkStart w:id="454" w:name="pg5261_55254"/>
    </w:p>
    <w:p>
      <w:pPr>
        <w:pStyle w:val="BookText"/>
        <w:rPr/>
      </w:pPr>
      <w:bookmarkEnd w:id="454"/>
      <w:r>
        <w:rPr>
          <w:rFonts w:ascii="IRNazanin" w:hAnsi="IRNazanin" w:eastAsia="IRNazanin"/>
          <w:color w:val="111111"/>
          <w:sz w:val="28"/>
          <w:sz w:val="28"/>
          <w:szCs w:val="28"/>
          <w:rtl w:val="true"/>
          <w:lang w:bidi="fa-IR"/>
        </w:rPr>
        <w:t xml:space="preserve">قد تستخدم الآلات العسکریة فی الحرب ، وفی العملیات الإرهابیة ، ولکن فی العملیات الإرهابیة لا ترتبط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العملیات بالحصول علی مکاسب مادّیة أو توسیع الرقعة الجغرافیة ، ولا یکون استخدام هذه الآلات بشکل متواصل ودائم ، بینما تکون للحرب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مادّیة ، وتستهدف التوسع الجغرافی ، وتستخدم الآلات الحربیة بشکل دائم </w:t>
      </w:r>
      <w:r>
        <w:rPr>
          <w:rFonts w:eastAsia="IRNazanin" w:cs="IRNazanin"/>
          <w:color w:val="111111"/>
          <w:sz w:val="28"/>
          <w:szCs w:val="28"/>
          <w:rtl w:val="true"/>
          <w:lang w:bidi="fa-IR"/>
        </w:rPr>
        <w:t>.</w:t>
      </w:r>
    </w:p>
    <w:p>
      <w:pPr>
        <w:pStyle w:val="Heading4"/>
        <w:numPr>
          <w:ilvl w:val="3"/>
          <w:numId w:val="1"/>
        </w:numPr>
        <w:rPr/>
      </w:pPr>
      <w:bookmarkStart w:id="455" w:name="__RefHeading___Toc477298_581953129"/>
      <w:bookmarkStart w:id="456" w:name="_Toc179"/>
      <w:bookmarkEnd w:id="455"/>
      <w:r>
        <w:rPr>
          <w:rtl w:val="true"/>
        </w:rPr>
        <w:t>العملیات الإرهابیة ترتبط بالأهداف السیاسیة وتستهدف الضغط النفسی</w:t>
      </w:r>
      <w:bookmarkEnd w:id="456"/>
    </w:p>
    <w:p>
      <w:pPr>
        <w:pStyle w:val="BookText"/>
        <w:rPr/>
      </w:pPr>
      <w:r>
        <w:rPr>
          <w:rFonts w:ascii="IRNazanin" w:hAnsi="IRNazanin" w:eastAsia="IRNazanin"/>
          <w:color w:val="111111"/>
          <w:sz w:val="28"/>
          <w:sz w:val="28"/>
          <w:szCs w:val="28"/>
          <w:rtl w:val="true"/>
          <w:lang w:bidi="fa-IR"/>
        </w:rPr>
        <w:t>وتمثّل العملیات الإرهابیة عاملاً مادّیاً آلیاً یستهدف الضغط النفسی علی الطرف الآخر الذی قد یکون دولة أو شعباً أو طائفة أو حزباً منافساً أو فرداً معیّناً ، وفی الغالب تکون العملیات الإرهابیة مرتبطة بالأغراض السیاسیة ، وهناک بعض العملیات الإرهابیة مرتبطة بالحصول علی مبالغ مالیة ، والهدف منها مادی ، کما هو حال المافیا الدولیة التی تمارس الإرهاب فی العالم من أجل هذا الغرض</w:t>
      </w:r>
    </w:p>
    <w:p>
      <w:pPr>
        <w:pStyle w:val="Heading4"/>
        <w:numPr>
          <w:ilvl w:val="3"/>
          <w:numId w:val="1"/>
        </w:numPr>
        <w:rPr/>
      </w:pPr>
      <w:bookmarkStart w:id="457" w:name="__RefHeading___Toc477300_581953129"/>
      <w:bookmarkStart w:id="458" w:name="_Toc180"/>
      <w:bookmarkEnd w:id="457"/>
      <w:r>
        <w:rPr>
          <w:rtl w:val="true"/>
        </w:rPr>
        <w:t>الإرهاب هو العنف المتطرف</w:t>
      </w:r>
      <w:bookmarkEnd w:id="458"/>
    </w:p>
    <w:p>
      <w:pPr>
        <w:pStyle w:val="BookText"/>
        <w:rPr/>
      </w:pPr>
      <w:r>
        <w:rPr>
          <w:rFonts w:ascii="IRNazanin" w:hAnsi="IRNazanin" w:eastAsia="IRNazanin"/>
          <w:color w:val="111111"/>
          <w:sz w:val="28"/>
          <w:sz w:val="28"/>
          <w:szCs w:val="28"/>
          <w:rtl w:val="true"/>
          <w:lang w:bidi="fa-IR"/>
        </w:rPr>
        <w:t xml:space="preserve">التعریف الثانی للإرهاب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المتطرف لأهداف سیاسیة الذی تنتهک به المعتقدات الإنسانیة والأخلاقیة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والتعبیر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استخدام القوّة شیءٌ حسن إذا خضع للضوابط ، ولکن فی التعریف أشار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یشیر إلی أنّ استخدام القوّة فی العملیات الإرهابیة أمر غیر صحیح ، وغیر خاضع للضوابط </w:t>
      </w:r>
      <w:r>
        <w:rPr>
          <w:rFonts w:eastAsia="IRNazanin" w:cs="IRNazanin"/>
          <w:color w:val="111111"/>
          <w:sz w:val="28"/>
          <w:szCs w:val="28"/>
          <w:rtl w:val="true"/>
          <w:lang w:bidi="fa-IR"/>
        </w:rPr>
        <w:t>.</w:t>
      </w:r>
    </w:p>
    <w:p>
      <w:pPr>
        <w:pStyle w:val="Heading4"/>
        <w:numPr>
          <w:ilvl w:val="3"/>
          <w:numId w:val="1"/>
        </w:numPr>
        <w:rPr/>
      </w:pPr>
      <w:bookmarkStart w:id="459" w:name="__RefHeading___Toc477302_581953129"/>
      <w:bookmarkStart w:id="460" w:name="_Toc181"/>
      <w:bookmarkEnd w:id="459"/>
      <w:r>
        <w:rPr>
          <w:rtl w:val="true"/>
        </w:rPr>
        <w:t>ضوابط المبارزة العسکریة</w:t>
      </w:r>
      <w:bookmarkEnd w:id="4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حروب العرب السابقة ، وکذلک الأُمم المعاصرة لها ، کان الجیشان یلتقیان ، ویبرز من کل جیش منهما أفراد من أجل المبارزة العسکریة ، وکانت هناک أُصول</w:t>
      </w:r>
      <w:bookmarkStart w:id="461" w:name="pg5261_55255"/>
    </w:p>
    <w:p>
      <w:pPr>
        <w:pStyle w:val="BookText"/>
        <w:rPr/>
      </w:pPr>
      <w:bookmarkEnd w:id="461"/>
      <w:r>
        <w:rPr>
          <w:rFonts w:ascii="IRNazanin" w:hAnsi="IRNazanin" w:eastAsia="IRNazanin"/>
          <w:color w:val="111111"/>
          <w:sz w:val="28"/>
          <w:sz w:val="28"/>
          <w:szCs w:val="28"/>
          <w:rtl w:val="true"/>
          <w:lang w:bidi="fa-IR"/>
        </w:rPr>
        <w:t xml:space="preserve">قانونیة تحکم کیفیة القتال بین هذین الفارسین المبارزین ، أو یخرج من کل جیش مجموعة وتبارز المجموعة التی خرجت من الجیش الآخر ، وفی هذه الحالة یصح أن یعین کل محارب من هو فی جیشه ، کما أعان الإمام علی علیه السلام عمّه الحمزة فی غزوة بدر ، والإمام علی علیه السلام قد قتل ابن عتبة ، ثمّ أعان عمّه الحمزة علی قتل عتبة ، کما شارک فی قتل شیبة أیضاً ، فنلاحظ أنّ المبارزة لها قوانین وضوابط ، وما کان یصح أن یأتی من جیش المسلمین أو جیش المشرکین غیر هؤلاء الستة قبل انتهاء المبارزة العسکریة </w:t>
      </w:r>
      <w:r>
        <w:rPr>
          <w:rFonts w:eastAsia="IRNazanin" w:cs="IRNazanin"/>
          <w:color w:val="111111"/>
          <w:sz w:val="28"/>
          <w:szCs w:val="28"/>
          <w:rtl w:val="true"/>
          <w:lang w:bidi="fa-IR"/>
        </w:rPr>
        <w:t>.</w:t>
      </w:r>
    </w:p>
    <w:p>
      <w:pPr>
        <w:pStyle w:val="Heading4"/>
        <w:numPr>
          <w:ilvl w:val="3"/>
          <w:numId w:val="1"/>
        </w:numPr>
        <w:rPr/>
      </w:pPr>
      <w:bookmarkStart w:id="462" w:name="__RefHeading___Toc477304_581953129"/>
      <w:bookmarkStart w:id="463" w:name="_Toc182"/>
      <w:bookmarkEnd w:id="462"/>
      <w:r>
        <w:rPr>
          <w:rtl w:val="true"/>
        </w:rPr>
        <w:t>لابدّ من وجود ضوابط للقوّة</w:t>
      </w:r>
      <w:bookmarkEnd w:id="463"/>
    </w:p>
    <w:p>
      <w:pPr>
        <w:pStyle w:val="BookText"/>
        <w:rPr/>
      </w:pPr>
      <w:r>
        <w:rPr>
          <w:rFonts w:ascii="IRNazanin" w:hAnsi="IRNazanin" w:eastAsia="IRNazanin"/>
          <w:color w:val="111111"/>
          <w:sz w:val="28"/>
          <w:sz w:val="28"/>
          <w:szCs w:val="28"/>
          <w:rtl w:val="true"/>
          <w:lang w:bidi="fa-IR"/>
        </w:rPr>
        <w:t>وهذا حصل مع عبید اللّه بن زیاد حیث نهاه بعض جلسائه عن استخدام لغة القوّة مع السبایا لأنّهنّ نسوة ، وهذا یدل علی وجود ضوابط لاستخدام القوّة منذ الزمن الإسلامی القدیم ، بل حتّی فی زمن الجاهلیة کانت توجد أعراف قانونیة یتقیّد بها ، وقد ذکر القرآن لفظ الجاهلیة الأُولی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تَبَرَّجْنَ تَبَرُّجَ الْجاهِلِیَّةِ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والبعض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قد تتبّأ بوجود جاهلیة ثانیة</w:t>
      </w:r>
      <w:r>
        <w:rPr>
          <w:rStyle w:val="FootnoteAnchor"/>
          <w:rtl w:val="true"/>
        </w:rPr>
        <w:footnoteReference w:id="114"/>
      </w:r>
      <w:r>
        <w:rPr>
          <w:rFonts w:ascii="IRNazanin" w:hAnsi="IRNazanin" w:eastAsia="IRNazanin"/>
          <w:color w:val="111111"/>
          <w:sz w:val="28"/>
          <w:sz w:val="28"/>
          <w:szCs w:val="28"/>
          <w:rtl w:val="true"/>
          <w:lang w:bidi="fa-IR"/>
        </w:rPr>
        <w:t xml:space="preserve">، ویبدو أنّ الجاهلیة الأُولی کانت لها ضوابط أکثر من الجاهلیة الثانیة التی تمارس الفحشاء بلا حدود ، وتقنّن قوانینها بالخداع واللعب بالمصطلحات وتفسیرها تفسیراً مخادعاً </w:t>
      </w:r>
      <w:r>
        <w:rPr>
          <w:rFonts w:eastAsia="IRNazanin" w:cs="IRNazanin"/>
          <w:color w:val="111111"/>
          <w:sz w:val="28"/>
          <w:szCs w:val="28"/>
          <w:rtl w:val="true"/>
          <w:lang w:bidi="fa-IR"/>
        </w:rPr>
        <w:t>.</w:t>
      </w:r>
    </w:p>
    <w:p>
      <w:pPr>
        <w:pStyle w:val="Heading4"/>
        <w:numPr>
          <w:ilvl w:val="3"/>
          <w:numId w:val="1"/>
        </w:numPr>
        <w:rPr/>
      </w:pPr>
      <w:bookmarkStart w:id="464" w:name="__RefHeading___Toc477306_581953129"/>
      <w:bookmarkStart w:id="465" w:name="_Toc183"/>
      <w:bookmarkEnd w:id="464"/>
      <w:r>
        <w:rPr>
          <w:rtl w:val="true"/>
        </w:rPr>
        <w:t>قتل المدنیین فی الحروب مخالف لقوانین الحرب</w:t>
      </w:r>
      <w:bookmarkEnd w:id="46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هی أنّه لو احتجنا لاستخدام القوّة فنستخدمها ، ولکن ضمن ضوابط وحدود وأُطر تنظّم استخدام هذه القوّة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یقتل المدنیّون فی</w:t>
      </w:r>
      <w:bookmarkStart w:id="466" w:name="pg5261_55256"/>
    </w:p>
    <w:p>
      <w:pPr>
        <w:pStyle w:val="BookText"/>
        <w:rPr/>
      </w:pPr>
      <w:bookmarkEnd w:id="466"/>
      <w:r>
        <w:rPr>
          <w:rFonts w:ascii="IRNazanin" w:hAnsi="IRNazanin" w:eastAsia="IRNazanin"/>
          <w:color w:val="111111"/>
          <w:sz w:val="28"/>
          <w:sz w:val="28"/>
          <w:szCs w:val="28"/>
          <w:rtl w:val="true"/>
          <w:lang w:bidi="fa-IR"/>
        </w:rPr>
        <w:t xml:space="preserve">الحروب التی تکون بین دولة ودولة أُخری أو بین دولة وفئة معارضة داخل تلک الدولة أو خارجها ، یجب أن لا یُقتل المدنیّون الأبریاء فی هذه الحرب ، کما هو منصوص فی القوانین الدولیة ، ولا یقتل فی هذه الحرب إلّاالعسکریون ، ومن أمثلة هذه الضوابط إذا أرادت دولة مّا أن تلقی القبض علی إرهابیین فالقانون یرفض أن یکون المدنیّون من النسوة والأطفال والشیوخ وغیرهم ضحیّة فی هذه العملیة ، هذا ما یقوله القانون وإن کان حبراً علی ورق ، أمّا الواقع فالأمر مختلف </w:t>
      </w:r>
      <w:r>
        <w:rPr>
          <w:rFonts w:eastAsia="IRNazanin" w:cs="IRNazanin"/>
          <w:color w:val="111111"/>
          <w:sz w:val="28"/>
          <w:szCs w:val="28"/>
          <w:rtl w:val="true"/>
          <w:lang w:bidi="fa-IR"/>
        </w:rPr>
        <w:t>.</w:t>
      </w:r>
    </w:p>
    <w:p>
      <w:pPr>
        <w:pStyle w:val="Heading4"/>
        <w:numPr>
          <w:ilvl w:val="3"/>
          <w:numId w:val="1"/>
        </w:numPr>
        <w:rPr/>
      </w:pPr>
      <w:bookmarkStart w:id="467" w:name="__RefHeading___Toc477308_581953129"/>
      <w:bookmarkStart w:id="468" w:name="_Toc184"/>
      <w:bookmarkEnd w:id="467"/>
      <w:r>
        <w:rPr>
          <w:rtl w:val="true"/>
        </w:rPr>
        <w:t>استخدام الأسلحة الکیمیاویة والجرثومیة</w:t>
      </w:r>
      <w:bookmarkEnd w:id="468"/>
    </w:p>
    <w:p>
      <w:pPr>
        <w:pStyle w:val="BookText"/>
        <w:rPr/>
      </w:pPr>
      <w:r>
        <w:rPr>
          <w:rFonts w:ascii="IRNazanin" w:hAnsi="IRNazanin" w:eastAsia="IRNazanin"/>
          <w:color w:val="111111"/>
          <w:sz w:val="28"/>
          <w:sz w:val="28"/>
          <w:szCs w:val="28"/>
          <w:rtl w:val="true"/>
          <w:lang w:bidi="fa-IR"/>
        </w:rPr>
        <w:t xml:space="preserve">أو استخدام الأسلحة الکیمیاویة أو الجرثومیة أو استخدام الیورانیوم المخصّب أو استخدام الأسلحة التی تکون لها انعکاسات سلبیة علی البیئة والحالة الصحّیة للمجتمع ، فممارسة جمیع هذه الأُمور تندرج تحت عنوان الإرهاب ولیس تحت عنوان الحرب ؛ لأنّ الحرب لها أخلاقیاتها وأُصولها وقوانینها ، وهی تستهدف ردع القوّة الغضبیة عند الطرف الآخر </w:t>
      </w:r>
      <w:r>
        <w:rPr>
          <w:rFonts w:eastAsia="IRNazanin" w:cs="IRNazanin"/>
          <w:color w:val="111111"/>
          <w:sz w:val="28"/>
          <w:szCs w:val="28"/>
          <w:rtl w:val="true"/>
          <w:lang w:bidi="fa-IR"/>
        </w:rPr>
        <w:t>.</w:t>
      </w:r>
    </w:p>
    <w:p>
      <w:pPr>
        <w:pStyle w:val="Heading4"/>
        <w:numPr>
          <w:ilvl w:val="3"/>
          <w:numId w:val="1"/>
        </w:numPr>
        <w:rPr/>
      </w:pPr>
      <w:bookmarkStart w:id="469" w:name="__RefHeading___Toc477310_581953129"/>
      <w:bookmarkStart w:id="470" w:name="_Toc185"/>
      <w:bookmarkEnd w:id="469"/>
      <w:r>
        <w:rPr>
          <w:rtl w:val="true"/>
        </w:rPr>
        <w:t>الآثار السلبیة للانتقام</w:t>
      </w:r>
      <w:bookmarkEnd w:id="470"/>
    </w:p>
    <w:p>
      <w:pPr>
        <w:pStyle w:val="BookText"/>
        <w:rPr/>
      </w:pPr>
      <w:r>
        <w:rPr>
          <w:rFonts w:ascii="IRNazanin" w:hAnsi="IRNazanin" w:eastAsia="IRNazanin"/>
          <w:color w:val="111111"/>
          <w:sz w:val="28"/>
          <w:sz w:val="28"/>
          <w:szCs w:val="28"/>
          <w:rtl w:val="true"/>
          <w:lang w:bidi="fa-IR"/>
        </w:rPr>
        <w:t xml:space="preserve">ومن الخطأ مواجهة العدوان بعدوان أکبر ، والإرهاب بإرهاب أکثر ، ولهذا نجد أنّ الانتقام یحمل فی طیّاته الکثیر من السلبیات ؛ لأنّه یؤدّی إلی هذه النتیجة ، ومن هنا کان العفو أقرب للتقوی فی الموارد التی یمکن فیها العفو ؛ لأنّ القوّة الغضبیة کثیراً مّا تکون فی حالة الانفلات ، وعدم السیطرة عند الانتقام </w:t>
      </w:r>
      <w:r>
        <w:rPr>
          <w:rFonts w:eastAsia="IRNazanin" w:cs="IRNazanin"/>
          <w:color w:val="111111"/>
          <w:sz w:val="28"/>
          <w:szCs w:val="28"/>
          <w:rtl w:val="true"/>
          <w:lang w:bidi="fa-IR"/>
        </w:rPr>
        <w:t>.</w:t>
      </w:r>
    </w:p>
    <w:p>
      <w:pPr>
        <w:pStyle w:val="Heading4"/>
        <w:numPr>
          <w:ilvl w:val="3"/>
          <w:numId w:val="1"/>
        </w:numPr>
        <w:rPr/>
      </w:pPr>
      <w:bookmarkStart w:id="471" w:name="__RefHeading___Toc477312_581953129"/>
      <w:bookmarkStart w:id="472" w:name="_Toc186"/>
      <w:bookmarkEnd w:id="471"/>
      <w:r>
        <w:rPr>
          <w:rtl w:val="true"/>
        </w:rPr>
        <w:t>أقسام الإرهاب</w:t>
      </w:r>
      <w:bookmarkEnd w:id="4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الثالث للإرهاب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 الحربی والثوری والقمعی والمالی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وکأنّهم بصدد بیان أقسام الإرهاب </w:t>
      </w:r>
      <w:r>
        <w:rPr>
          <w:rFonts w:eastAsia="IRNazanin" w:cs="IRNazanin"/>
          <w:color w:val="111111"/>
          <w:sz w:val="28"/>
          <w:szCs w:val="28"/>
          <w:rtl w:val="true"/>
          <w:lang w:bidi="fa-IR"/>
        </w:rPr>
        <w:t>.</w:t>
      </w:r>
      <w:bookmarkStart w:id="473" w:name="pg5261_55257"/>
    </w:p>
    <w:p>
      <w:pPr>
        <w:pStyle w:val="Heading4"/>
        <w:numPr>
          <w:ilvl w:val="3"/>
          <w:numId w:val="1"/>
        </w:numPr>
        <w:rPr/>
      </w:pPr>
      <w:bookmarkStart w:id="474" w:name="__RefHeading___Toc477314_581953129"/>
      <w:bookmarkStart w:id="475" w:name="_Toc187"/>
      <w:bookmarkEnd w:id="473"/>
      <w:bookmarkEnd w:id="474"/>
      <w:r>
        <w:rPr>
          <w:rtl w:val="true"/>
        </w:rPr>
        <w:t>معنی الإرهاب الحربی</w:t>
      </w:r>
      <w:bookmarkEnd w:id="475"/>
    </w:p>
    <w:p>
      <w:pPr>
        <w:pStyle w:val="BookText"/>
        <w:rPr/>
      </w:pPr>
      <w:r>
        <w:rPr>
          <w:rFonts w:ascii="IRNazanin" w:hAnsi="IRNazanin" w:eastAsia="IRNazanin"/>
          <w:color w:val="111111"/>
          <w:sz w:val="28"/>
          <w:sz w:val="28"/>
          <w:szCs w:val="28"/>
          <w:rtl w:val="true"/>
          <w:lang w:bidi="fa-IR"/>
        </w:rPr>
        <w:t xml:space="preserve">فالإرهاب الحربی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ورقة الإرهاب ضمن تلک الحرب ، کإسقاط طائرة مدنیّة تابعة للدولة التی نحاربها بهدف الضغط النفسی ، وإضعاف القرار الإداری علی تلک الدولة ، إذن الحرب قد تتضمّن الإرهاب ، مع الالتفات إلی الفرق بین الحرب والإرهاب </w:t>
      </w:r>
      <w:r>
        <w:rPr>
          <w:rFonts w:eastAsia="IRNazanin" w:cs="IRNazanin"/>
          <w:color w:val="111111"/>
          <w:sz w:val="28"/>
          <w:szCs w:val="28"/>
          <w:rtl w:val="true"/>
          <w:lang w:bidi="fa-IR"/>
        </w:rPr>
        <w:t>.</w:t>
      </w:r>
    </w:p>
    <w:p>
      <w:pPr>
        <w:pStyle w:val="Heading4"/>
        <w:numPr>
          <w:ilvl w:val="3"/>
          <w:numId w:val="1"/>
        </w:numPr>
        <w:rPr/>
      </w:pPr>
      <w:bookmarkStart w:id="476" w:name="__RefHeading___Toc477316_581953129"/>
      <w:bookmarkStart w:id="477" w:name="_Toc188"/>
      <w:bookmarkEnd w:id="476"/>
      <w:r>
        <w:rPr>
          <w:rtl w:val="true"/>
        </w:rPr>
        <w:t>معنی الإرهاب القمعی</w:t>
      </w:r>
      <w:bookmarkEnd w:id="477"/>
    </w:p>
    <w:p>
      <w:pPr>
        <w:pStyle w:val="BookText"/>
        <w:rPr/>
      </w:pPr>
      <w:r>
        <w:rPr>
          <w:rFonts w:ascii="IRNazanin" w:hAnsi="IRNazanin" w:eastAsia="IRNazanin"/>
          <w:color w:val="111111"/>
          <w:sz w:val="28"/>
          <w:sz w:val="28"/>
          <w:szCs w:val="28"/>
          <w:rtl w:val="true"/>
          <w:lang w:bidi="fa-IR"/>
        </w:rPr>
        <w:t xml:space="preserve">والقسم الثانی هو الإرهاب القمعی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الإرهاب الذی تمارسه الدول والأنظمة الحاکمة ضدّ رعایاها أو ضدّ المعارضین لها ، من أحزاب وأفراد ، والإرهاب فی هذا القسم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القوانین الدولیة والعرفیة التی تنظّم علاقة الحاکم بالمحکوم ، کأن تعتقل مجموعة من الأبریاء وتعذّبهم من أجل إخافة المعارضین الحقیقیین الذین ربما لم ینکشفوا بعد ، وهی بهذا تختصر الطریق بتخویف المعارضین ، ولکن یدفع ثمن هذا الاختصار مجموعة من الضحایا الأبریاء ، وهذا أمر مُدان من التشریع الإسلامی والتقنین الدولی </w:t>
      </w:r>
      <w:r>
        <w:rPr>
          <w:rFonts w:eastAsia="IRNazanin" w:cs="IRNazanin"/>
          <w:color w:val="111111"/>
          <w:sz w:val="28"/>
          <w:szCs w:val="28"/>
          <w:rtl w:val="true"/>
          <w:lang w:bidi="fa-IR"/>
        </w:rPr>
        <w:t>.</w:t>
      </w:r>
    </w:p>
    <w:p>
      <w:pPr>
        <w:pStyle w:val="Heading4"/>
        <w:numPr>
          <w:ilvl w:val="3"/>
          <w:numId w:val="1"/>
        </w:numPr>
        <w:rPr/>
      </w:pPr>
      <w:bookmarkStart w:id="478" w:name="__RefHeading___Toc477318_581953129"/>
      <w:bookmarkStart w:id="479" w:name="_Toc189"/>
      <w:bookmarkEnd w:id="478"/>
      <w:r>
        <w:rPr>
          <w:rtl w:val="true"/>
        </w:rPr>
        <w:t>معنی الإرهاب الثوری</w:t>
      </w:r>
      <w:bookmarkEnd w:id="479"/>
    </w:p>
    <w:p>
      <w:pPr>
        <w:pStyle w:val="BookText"/>
        <w:rPr/>
      </w:pPr>
      <w:r>
        <w:rPr>
          <w:rFonts w:ascii="IRNazanin" w:hAnsi="IRNazanin" w:eastAsia="IRNazanin"/>
          <w:color w:val="111111"/>
          <w:sz w:val="28"/>
          <w:sz w:val="28"/>
          <w:szCs w:val="28"/>
          <w:rtl w:val="true"/>
          <w:lang w:bidi="fa-IR"/>
        </w:rPr>
        <w:t xml:space="preserve">أمّا الإرهاب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إرهاب مجموعة لدیها مطالب معیّنة تقوم بعملیات إرهابیة من أجل تحقیق هذه المطالب ، کما کانت المجموعات الیساریة تمارس هذه العملیات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تبرّر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فیتعرضون للأبریاء أو المؤسسات أو المصالح العامة أو الخاصّة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477320_581953129"/>
      <w:bookmarkStart w:id="481" w:name="_Toc190"/>
      <w:bookmarkEnd w:id="480"/>
      <w:r>
        <w:rPr>
          <w:rtl w:val="true"/>
        </w:rPr>
        <w:t>ارتباط ثورة الإمام الحسین علیه السلام بالشرع والمُثل والمبادیء والقیم فی کل مراحلها</w:t>
      </w:r>
      <w:bookmarkStart w:id="482" w:name="pg5261_55258"/>
      <w:bookmarkEnd w:id="481"/>
    </w:p>
    <w:p>
      <w:pPr>
        <w:pStyle w:val="BookText"/>
        <w:rPr/>
      </w:pPr>
      <w:bookmarkEnd w:id="482"/>
      <w:r>
        <w:rPr>
          <w:rFonts w:ascii="IRNazanin" w:hAnsi="IRNazanin" w:eastAsia="IRNazanin"/>
          <w:color w:val="111111"/>
          <w:sz w:val="28"/>
          <w:sz w:val="28"/>
          <w:szCs w:val="28"/>
          <w:rtl w:val="true"/>
          <w:lang w:bidi="fa-IR"/>
        </w:rPr>
        <w:t xml:space="preserve">والإمام الحسین علیه السلام رغم أنّه قام بهذه الثورة المقدّسة العظیمة إلّاأنّها لم تنفک عن أخلاقه وقیمه ومبادئه العظیمة ، بل کانت ملتزمة بحذافیر التشریع الإسلامی ، والمُثل العُلیا للدین ، وهذا ما یتجلّی فی سلوکه وسلوک أصحاب وأهل بیته وسفرائه ، کمسلم بن عقیل الذی رفض أن یغدر بعبید اللّه بن زیاد ، مع أنّ هذا الأمر کان أمراً مهمّاً ، وربما یغیّر مجری التاریخ ، مع ذلک رفضه مسلم بن عقیل ؛ لأنّه یتنافی مع مبادئه ، وقد أثنی الإمام الحسین علیه السلام علی مسلم بن عقیل ، فمع حرصهم علی الهدف الذی یجاهدون من أجله ، وهو وصول المعصوم إلی الحکم الذی هو حقّه ، ومع سموّ هدفهم ، إلّاأنّهم ما تجاوزوا حدودهم أبداً هذا مع رعونة الطرف الآخر وعدم تقیّده لا بالدین ولا بقیم العرب ولا بالأعراف الإنسانیة ، مع ذلک کله إلّا أنّه لا یُدفع الفساد بالفساد ، وإنّما یدفع الفساد بالصلاح </w:t>
      </w:r>
      <w:r>
        <w:rPr>
          <w:rFonts w:eastAsia="IRNazanin" w:cs="IRNazanin"/>
          <w:color w:val="111111"/>
          <w:sz w:val="28"/>
          <w:szCs w:val="28"/>
          <w:rtl w:val="true"/>
          <w:lang w:bidi="fa-IR"/>
        </w:rPr>
        <w:t>.</w:t>
      </w:r>
    </w:p>
    <w:p>
      <w:pPr>
        <w:pStyle w:val="Heading4"/>
        <w:numPr>
          <w:ilvl w:val="3"/>
          <w:numId w:val="1"/>
        </w:numPr>
        <w:rPr/>
      </w:pPr>
      <w:bookmarkStart w:id="483" w:name="__RefHeading___Toc477322_581953129"/>
      <w:bookmarkStart w:id="484" w:name="_Toc191"/>
      <w:bookmarkEnd w:id="483"/>
      <w:r>
        <w:rPr>
          <w:rtl w:val="true"/>
        </w:rPr>
        <w:t>الحکم لیس إلّاوسیلة لإقامة العدل</w:t>
      </w:r>
      <w:bookmarkEnd w:id="484"/>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لَهی أحبّ إلیّ من إمرتکم إلّاأقیم حقاً أو أدفع باطلاً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فالحکم فی منطق القرآن وأهل البیت علیهم السلام لیس إلّاوسیلة من وسائل الوصول إلی الحق ، أمّا إذا کان الحکم بنفسه غایة أو هدفاً نهائیاً فلا قیمة لهذا الحکم فی میزان القرآن وأهل البیت علیهم السلام </w:t>
      </w:r>
      <w:r>
        <w:rPr>
          <w:rFonts w:eastAsia="IRNazanin" w:cs="IRNazanin"/>
          <w:color w:val="111111"/>
          <w:sz w:val="28"/>
          <w:szCs w:val="28"/>
          <w:rtl w:val="true"/>
          <w:lang w:bidi="fa-IR"/>
        </w:rPr>
        <w:t>.</w:t>
      </w:r>
    </w:p>
    <w:p>
      <w:pPr>
        <w:pStyle w:val="Heading4"/>
        <w:numPr>
          <w:ilvl w:val="3"/>
          <w:numId w:val="1"/>
        </w:numPr>
        <w:rPr/>
      </w:pPr>
      <w:bookmarkStart w:id="485" w:name="__RefHeading___Toc477324_581953129"/>
      <w:bookmarkStart w:id="486" w:name="_Toc192"/>
      <w:bookmarkEnd w:id="485"/>
      <w:r>
        <w:rPr>
          <w:rtl w:val="true"/>
        </w:rPr>
        <w:t xml:space="preserve">أهل البیت علیهم السلام یرفضون قاعدة </w:t>
      </w:r>
      <w:r>
        <w:rPr>
          <w:rtl w:val="true"/>
        </w:rPr>
        <w:t>«</w:t>
      </w:r>
      <w:r>
        <w:rPr>
          <w:rtl w:val="true"/>
        </w:rPr>
        <w:t>ادفع الأفسد بالفاسد</w:t>
      </w:r>
      <w:r>
        <w:rPr>
          <w:rtl w:val="true"/>
        </w:rPr>
        <w:t>»</w:t>
      </w:r>
      <w:bookmarkEnd w:id="48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مذهب أهل البیت علیهم السلام لا تصح القاعدة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دفع الأفسد بالفاسد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وربما تبنّی هذا الرأی بعض المذاهب الإسلامیة ، ولکن مذهب أهل البیت علیهم السلام لا یوافق علیه ، لأنّ الأفسد قد فعله غیرک ، وهو مسؤول عنه ، وهذا لا</w:t>
      </w:r>
      <w:bookmarkStart w:id="487" w:name="pg5261_55259"/>
    </w:p>
    <w:p>
      <w:pPr>
        <w:pStyle w:val="BookText"/>
        <w:rPr/>
      </w:pPr>
      <w:bookmarkEnd w:id="487"/>
      <w:r>
        <w:rPr>
          <w:rFonts w:ascii="IRNazanin" w:hAnsi="IRNazanin" w:eastAsia="IRNazanin"/>
          <w:color w:val="111111"/>
          <w:sz w:val="28"/>
          <w:sz w:val="28"/>
          <w:szCs w:val="28"/>
          <w:rtl w:val="true"/>
          <w:lang w:bidi="fa-IR"/>
        </w:rPr>
        <w:t xml:space="preserve">یسقط عنک الحساب علی فعل الفساد ، ولا یبرّر لک أن تفعل الفاسد وإن کان من أجل دفع الأفسد </w:t>
      </w:r>
      <w:r>
        <w:rPr>
          <w:rFonts w:eastAsia="IRNazanin" w:cs="IRNazanin"/>
          <w:color w:val="111111"/>
          <w:sz w:val="28"/>
          <w:szCs w:val="28"/>
          <w:rtl w:val="true"/>
          <w:lang w:bidi="fa-IR"/>
        </w:rPr>
        <w:t>.</w:t>
      </w:r>
    </w:p>
    <w:p>
      <w:pPr>
        <w:pStyle w:val="Heading4"/>
        <w:numPr>
          <w:ilvl w:val="3"/>
          <w:numId w:val="1"/>
        </w:numPr>
        <w:rPr/>
      </w:pPr>
      <w:bookmarkStart w:id="488" w:name="__RefHeading___Toc477326_581953129"/>
      <w:bookmarkStart w:id="489" w:name="_Toc193"/>
      <w:bookmarkEnd w:id="488"/>
      <w:r>
        <w:rPr>
          <w:rtl w:val="true"/>
        </w:rPr>
        <w:t>إذا وصلت التقیّة إلی الدم فلا تقیّة</w:t>
      </w:r>
      <w:bookmarkEnd w:id="489"/>
    </w:p>
    <w:p>
      <w:pPr>
        <w:pStyle w:val="BookText"/>
        <w:rPr/>
      </w:pPr>
      <w:r>
        <w:rPr>
          <w:rFonts w:ascii="IRNazanin" w:hAnsi="IRNazanin" w:eastAsia="IRNazanin"/>
          <w:color w:val="111111"/>
          <w:sz w:val="28"/>
          <w:sz w:val="28"/>
          <w:szCs w:val="28"/>
          <w:rtl w:val="true"/>
          <w:lang w:bidi="fa-IR"/>
        </w:rPr>
        <w:t xml:space="preserve">ونحن عندنا فی مذهب أهل البیت علیهم السلام أنّ التقیّة شرّعت من أجل حقن الدماء ، أمّا إذا وصلت التقیّة إلی الدم فلا تقیّة ، بمعنی أنّه لو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زیداً وإن لم تقتله بأنّ ذلک الطاغی سیقتل عشرة ، فهنا التقیّة لا تجوز ، لأنّه لو قتل الطاغی العشرة فهو محاسب أمام اللّه ، أمّا أنت فستکون محاسب أمام اللّه إذا قتلت زیداً حتّی لو کان ذلک بحجّة بعنوان حفظ النفس ، لأنّها مرتبطة بقتل نفس أُخری ، نعم هناک بعض المسائل الشرعیة المنصوص علیها بنصوص خاصّة ، ومثالها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تترّس المشرکون ببعض المسلمین ، وکانت الضرورة تقتضی الهجوم علی المشرکین ، حینئذ یجوز الهجوم علیهم وحربهم حتّی لو کان أولئک المسلمون الذین تترّس بهم المشرکون من بین الضحایا </w:t>
      </w:r>
      <w:r>
        <w:rPr>
          <w:rFonts w:eastAsia="IRNazanin" w:cs="IRNazanin"/>
          <w:color w:val="111111"/>
          <w:sz w:val="28"/>
          <w:szCs w:val="28"/>
          <w:rtl w:val="true"/>
          <w:lang w:bidi="fa-IR"/>
        </w:rPr>
        <w:t>.</w:t>
      </w:r>
    </w:p>
    <w:p>
      <w:pPr>
        <w:pStyle w:val="Heading4"/>
        <w:numPr>
          <w:ilvl w:val="3"/>
          <w:numId w:val="1"/>
        </w:numPr>
        <w:rPr/>
      </w:pPr>
      <w:bookmarkStart w:id="490" w:name="__RefHeading___Toc477328_581953129"/>
      <w:bookmarkStart w:id="491" w:name="_Toc194"/>
      <w:bookmarkEnd w:id="490"/>
      <w:r>
        <w:rPr>
          <w:rtl w:val="true"/>
        </w:rPr>
        <w:t>العملیات الاستشهادیة لا تتدرج تحت عنوان ارتکاب المحرم</w:t>
      </w:r>
      <w:bookmarkEnd w:id="491"/>
    </w:p>
    <w:p>
      <w:pPr>
        <w:pStyle w:val="BookText"/>
        <w:rPr/>
      </w:pPr>
      <w:r>
        <w:rPr>
          <w:rFonts w:ascii="IRNazanin" w:hAnsi="IRNazanin" w:eastAsia="IRNazanin"/>
          <w:color w:val="111111"/>
          <w:sz w:val="28"/>
          <w:sz w:val="28"/>
          <w:szCs w:val="28"/>
          <w:rtl w:val="true"/>
          <w:lang w:bidi="fa-IR"/>
        </w:rPr>
        <w:t>بعض علماء الأزهر یُدرج العملیات الاستشهادیة التی یقوم بها الفلسطینیّون أو اللبنانیّون ضدّ العدو الصهیونی تحت عنوان ارتکاب المحرم من أجل الوصول إلی النصر ، وهذا الرأی خاطیء وسیأتی الردّ علیهم ، ثمّ أنّ تحدید الأفسد والفاسد ، فیه قیل وقال حتّی بین الفقهاء أنفسهم</w:t>
      </w:r>
    </w:p>
    <w:p>
      <w:pPr>
        <w:pStyle w:val="Heading4"/>
        <w:numPr>
          <w:ilvl w:val="3"/>
          <w:numId w:val="1"/>
        </w:numPr>
        <w:rPr/>
      </w:pPr>
      <w:bookmarkStart w:id="492" w:name="__RefHeading___Toc477330_581953129"/>
      <w:bookmarkStart w:id="493" w:name="_Toc195"/>
      <w:bookmarkEnd w:id="492"/>
      <w:r>
        <w:rPr>
          <w:rtl w:val="true"/>
        </w:rPr>
        <w:t>فصل الإمام الحسین علیه السلام عن القبائل الموالیة له</w:t>
      </w:r>
      <w:bookmarkEnd w:id="49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تستبعد أنّ الإمام الحسین علیه السلام قد اجتمع علیه سبعون ألفاً ، لأنّ الغرض من هذا العدد لیس مقاتلة الحسین علیه السلام قتالاً میدانیاً ، وإنّما تطویق الإمام الحسین علیه السلام بحیث لا یستطیع الالتقاء بالقبائل المجاورة وکسبها إلی جانبه ، ولکی یعرقل هذا</w:t>
      </w:r>
      <w:bookmarkStart w:id="494" w:name="pg5261_55261"/>
    </w:p>
    <w:p>
      <w:pPr>
        <w:pStyle w:val="BookText"/>
        <w:rPr/>
      </w:pPr>
      <w:bookmarkEnd w:id="494"/>
      <w:r>
        <w:rPr>
          <w:rFonts w:ascii="IRNazanin" w:hAnsi="IRNazanin" w:eastAsia="IRNazanin"/>
          <w:color w:val="111111"/>
          <w:sz w:val="28"/>
          <w:sz w:val="28"/>
          <w:szCs w:val="28"/>
          <w:rtl w:val="true"/>
          <w:lang w:bidi="fa-IR"/>
        </w:rPr>
        <w:t>العدد الهائل قدوم القبائل التی کانت توالی الإمام الحسین علیه السلام ، ولکی یضمن الحکم الأموی عدم قیام ثورة أو انتفاضة من قبل شیعة الکوفة الموالین للإمام الحسین علیه السلام ، فلولم یکن هذا العدد الضخم موجود لأتت القبائل الموالیة للحسین علیه السلام بهدف نصرته ، وقتال جیش بنی أُمیة</w:t>
      </w:r>
    </w:p>
    <w:p>
      <w:pPr>
        <w:pStyle w:val="Heading4"/>
        <w:numPr>
          <w:ilvl w:val="3"/>
          <w:numId w:val="1"/>
        </w:numPr>
        <w:rPr/>
      </w:pPr>
      <w:bookmarkStart w:id="495" w:name="__RefHeading___Toc477332_581953129"/>
      <w:bookmarkStart w:id="496" w:name="_Toc196"/>
      <w:bookmarkEnd w:id="495"/>
      <w:r>
        <w:rPr>
          <w:rtl w:val="true"/>
        </w:rPr>
        <w:t>معنی الإرهاب المالی</w:t>
      </w:r>
      <w:bookmarkEnd w:id="496"/>
    </w:p>
    <w:p>
      <w:pPr>
        <w:pStyle w:val="BookText"/>
        <w:rPr/>
      </w:pPr>
      <w:r>
        <w:rPr>
          <w:rFonts w:ascii="IRNazanin" w:hAnsi="IRNazanin" w:eastAsia="IRNazanin"/>
          <w:color w:val="111111"/>
          <w:sz w:val="28"/>
          <w:sz w:val="28"/>
          <w:szCs w:val="28"/>
          <w:rtl w:val="true"/>
          <w:lang w:bidi="fa-IR"/>
        </w:rPr>
        <w:t xml:space="preserve">أمّا الإرهاب المالی فمن 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عصابات المافیا التی تتمتع بقدرات هائلة تهدد الدول والحکومات من أجل الحصول علی مکاسب مالیة ، ومن الإرهاب المالی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ضغط أمریکا علی پاکستان من أجل إخضاع پاکستان للموافقة علی التواجد الأمریکی فی المنطقة ، کما صرّح بذلک الرئیس الپاکستانی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بلاده هُدّدت بضرب مفاعلها النووی فی حال معارضتها للوجود الأمریکی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احتفاظنا بالقنبلة النوویة مصدر عزّ لپاکستان والدول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فصارت القنبلة النوویة محفوظة بدل أن تکون حافظة ، وصارت موجبة للذلّ بدل أن تکون موجبة للعزّ ، وهذا هو الإرهاب المالی الذی مارسته أمریکا بتهدیدها للپاکستان باعتبار أنّ الأعیان التی تقوِّم الجانب الاقتصادی أو الجانب العسکری وما شابهه تکون تحت سیاط التهدید بالنسف والتدمیر ، ومن ثمّ تخضع للجانب القوی </w:t>
      </w:r>
      <w:r>
        <w:rPr>
          <w:rFonts w:eastAsia="IRNazanin" w:cs="IRNazanin"/>
          <w:color w:val="111111"/>
          <w:sz w:val="28"/>
          <w:szCs w:val="28"/>
          <w:rtl w:val="true"/>
          <w:lang w:bidi="fa-IR"/>
        </w:rPr>
        <w:t>.</w:t>
      </w:r>
    </w:p>
    <w:p>
      <w:pPr>
        <w:pStyle w:val="Heading4"/>
        <w:numPr>
          <w:ilvl w:val="3"/>
          <w:numId w:val="1"/>
        </w:numPr>
        <w:rPr/>
      </w:pPr>
      <w:bookmarkStart w:id="497" w:name="__RefHeading___Toc477334_581953129"/>
      <w:bookmarkStart w:id="498" w:name="_Toc197"/>
      <w:bookmarkEnd w:id="497"/>
      <w:r>
        <w:rPr>
          <w:rtl w:val="true"/>
        </w:rPr>
        <w:t>أسباب صالح الإمام الحسن علیه السلام</w:t>
      </w:r>
      <w:bookmarkEnd w:id="4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یتصل ببحث الإرهاب أنّ الکثیر ممن کانوا فی رکب الإمام الحسن علیه السلام ، ومنهم بعض أصحابه المخلصین حلّلوا ظاهرة الصلح التی أقدم علیها ، أنّه علیه السلام إنّما أقدم علی الصلح ؛ لأنّه قد وقع تحت ضغط الإرهاب والتهدیدات الأمویة ، وکانت مکاتبات معاویة تستخدم لغة الإرهاب والتخویف بشکل مکثّف ، وقال المسیب بن نجبة الفزاری وسلیمان بن صرد الخزاعی للحسن بن علی علیه السلام </w:t>
      </w:r>
      <w:r>
        <w:rPr>
          <w:rFonts w:eastAsia="IRNazanin" w:cs="IRNazanin"/>
          <w:color w:val="111111"/>
          <w:sz w:val="28"/>
          <w:szCs w:val="28"/>
          <w:rtl w:val="true"/>
          <w:lang w:bidi="fa-IR"/>
        </w:rPr>
        <w:t>:</w:t>
      </w:r>
      <w:bookmarkStart w:id="499" w:name="pg5261_55263"/>
    </w:p>
    <w:p>
      <w:pPr>
        <w:pStyle w:val="BookText"/>
        <w:rPr/>
      </w:pPr>
      <w:bookmarkEnd w:id="499"/>
      <w:r>
        <w:rPr>
          <w:rFonts w:ascii="IRNazanin" w:hAnsi="IRNazanin" w:eastAsia="IRNazanin"/>
          <w:color w:val="111111"/>
          <w:sz w:val="28"/>
          <w:sz w:val="28"/>
          <w:szCs w:val="28"/>
          <w:rtl w:val="true"/>
          <w:lang w:bidi="fa-IR"/>
        </w:rPr>
        <w:t>ما ینقض تعجبنا منک ، بایعت معاویة ومعک أربعون ألف مقاتل من الکوفة سوی أهل البصرة والحجاز</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منهم أنّ الإمام الحسن علیه السلام وقع تحت ضغط الإرهاب الأموی ، وهذا التحلیل خاطیء ؛ لأنّ الأرقام التاریخیّة تدلّل أنّ قبائل العراق التی کان أغلبها مهاجر من الجزیرة العربیة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ومضر وکندة کانت تقع تحت الإغراء الذی یقدّمه معاویة لکی تقف هذه القبائل مع معاویة وتتخلّی عن الإمام الحسن علیه السلام ، یضاف إلی ذلک وجود خیانات لدی بعض قوّاد الإمام الحسن علیه السلام کعبید اللّه بن العباس وغیره </w:t>
      </w:r>
      <w:r>
        <w:rPr>
          <w:rFonts w:eastAsia="IRNazanin" w:cs="IRNazanin"/>
          <w:color w:val="111111"/>
          <w:sz w:val="28"/>
          <w:szCs w:val="28"/>
          <w:rtl w:val="true"/>
          <w:lang w:bidi="fa-IR"/>
        </w:rPr>
        <w:t>.</w:t>
      </w:r>
    </w:p>
    <w:p>
      <w:pPr>
        <w:pStyle w:val="Heading4"/>
        <w:numPr>
          <w:ilvl w:val="3"/>
          <w:numId w:val="1"/>
        </w:numPr>
        <w:rPr/>
      </w:pPr>
      <w:bookmarkStart w:id="500" w:name="__RefHeading___Toc477336_581953129"/>
      <w:bookmarkStart w:id="501" w:name="_Toc198"/>
      <w:bookmarkEnd w:id="500"/>
      <w:r>
        <w:rPr>
          <w:rtl w:val="true"/>
        </w:rPr>
        <w:t>الفرق بین جیش الإمام علی وجیش الإمام الحسن علیهما السلام</w:t>
      </w:r>
      <w:bookmarkEnd w:id="501"/>
    </w:p>
    <w:p>
      <w:pPr>
        <w:pStyle w:val="BookText"/>
        <w:rPr/>
      </w:pPr>
      <w:r>
        <w:rPr>
          <w:rFonts w:ascii="IRNazanin" w:hAnsi="IRNazanin" w:eastAsia="IRNazanin"/>
          <w:color w:val="111111"/>
          <w:sz w:val="28"/>
          <w:sz w:val="28"/>
          <w:szCs w:val="28"/>
          <w:rtl w:val="true"/>
          <w:lang w:bidi="fa-IR"/>
        </w:rPr>
        <w:t xml:space="preserve">وهناک فرق بین جیش الإمام الحسن وجیش الإمام علی علیهما السلام فی نهایة أیامه ؛ لأنّ جیش الإمام علی علیه السلام کان معدّا لضرب معاویة ضربة نهائیة بعد شهر رمضان ، حیث کان جیشه هائلاً وقویّاً لولا أنّ اللّه تعالی اختار الإمام علی علیه السلام واستشهد ، أمّا جیش الإمام الحسن علیه السلام فهو جیش منخور تکثر فیه الخیانة والمیل لإغراءات معاویة ، بالإضافة إلی اختلاف موقع الإمام علی علیه السلام عن موقع الإمام الحسن علیه السلام فی عیون الناس </w:t>
      </w:r>
      <w:r>
        <w:rPr>
          <w:rFonts w:eastAsia="IRNazanin" w:cs="IRNazanin"/>
          <w:color w:val="111111"/>
          <w:sz w:val="28"/>
          <w:szCs w:val="28"/>
          <w:rtl w:val="true"/>
          <w:lang w:bidi="fa-IR"/>
        </w:rPr>
        <w:t>.</w:t>
      </w:r>
    </w:p>
    <w:p>
      <w:pPr>
        <w:pStyle w:val="Heading4"/>
        <w:numPr>
          <w:ilvl w:val="3"/>
          <w:numId w:val="1"/>
        </w:numPr>
        <w:rPr/>
      </w:pPr>
      <w:bookmarkStart w:id="502" w:name="__RefHeading___Toc477338_581953129"/>
      <w:bookmarkStart w:id="503" w:name="_Toc199"/>
      <w:bookmarkEnd w:id="502"/>
      <w:r>
        <w:rPr>
          <w:rtl w:val="true"/>
        </w:rPr>
        <w:t>الدولة تتکوّن من مجموعة من القوی</w:t>
      </w:r>
      <w:bookmarkEnd w:id="503"/>
    </w:p>
    <w:p>
      <w:pPr>
        <w:pStyle w:val="BookText"/>
        <w:rPr/>
      </w:pPr>
      <w:r>
        <w:rPr>
          <w:rFonts w:ascii="IRNazanin" w:hAnsi="IRNazanin" w:eastAsia="IRNazanin"/>
          <w:color w:val="111111"/>
          <w:sz w:val="28"/>
          <w:sz w:val="28"/>
          <w:szCs w:val="28"/>
          <w:rtl w:val="true"/>
          <w:lang w:bidi="fa-IR"/>
        </w:rPr>
        <w:t xml:space="preserve">الآن فی الدراسات الأکادیمیة السیاسیة یقول الباحثون فی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أیّ دولة فی العالم تتکوّن من مجموعة من النظم والدویلات داخل هذه الدولة فمثلاً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الولایات المتّحدة الأمریکیة تتکوّن من العدید من الولایات ، وکلها تجتمع فی دولة واحدة اسمها الولایات المتّحدة الأمریکیة ، وتسمی فیدرالیة ، والواقع أنّ کل الدول تتکوّن من مجموعة من الأنظمة تکوّن الدولة ؛ لأنّ الدولة تشتمل علی</w:t>
      </w:r>
      <w:bookmarkStart w:id="504" w:name="pg5261_55265"/>
    </w:p>
    <w:p>
      <w:pPr>
        <w:pStyle w:val="BookText"/>
        <w:rPr/>
      </w:pPr>
      <w:bookmarkEnd w:id="504"/>
      <w:r>
        <w:rPr>
          <w:rFonts w:ascii="IRNazanin" w:hAnsi="IRNazanin" w:eastAsia="IRNazanin"/>
          <w:color w:val="111111"/>
          <w:sz w:val="28"/>
          <w:sz w:val="28"/>
          <w:szCs w:val="28"/>
          <w:rtl w:val="true"/>
          <w:lang w:bidi="fa-IR"/>
        </w:rPr>
        <w:t xml:space="preserve">الأنظمة الأُسریة أو القبلیة أو الحزبیة أو المذهبیة وخصوصاً النظام المذهبی الذی له ضرائب خاصّة به ، وله تجمّعات وتکتّلات وآراء وأعراف اجتماعیة ومواقف معیّنة وثقافة خاصّة ، وکل هذه الأنظمة تساهم بشکل أو بآخر فی مجریات الأحداث فی تلک الدولة </w:t>
      </w:r>
      <w:r>
        <w:rPr>
          <w:rFonts w:eastAsia="IRNazanin" w:cs="IRNazanin"/>
          <w:color w:val="111111"/>
          <w:sz w:val="28"/>
          <w:szCs w:val="28"/>
          <w:rtl w:val="true"/>
          <w:lang w:bidi="fa-IR"/>
        </w:rPr>
        <w:t>.</w:t>
      </w:r>
    </w:p>
    <w:p>
      <w:pPr>
        <w:pStyle w:val="Heading4"/>
        <w:numPr>
          <w:ilvl w:val="3"/>
          <w:numId w:val="1"/>
        </w:numPr>
        <w:rPr/>
      </w:pPr>
      <w:bookmarkStart w:id="505" w:name="__RefHeading___Toc477340_581953129"/>
      <w:bookmarkStart w:id="506" w:name="_Toc200"/>
      <w:bookmarkEnd w:id="505"/>
      <w:r>
        <w:rPr>
          <w:rtl w:val="true"/>
        </w:rPr>
        <w:t>المرجعیة الشیعیة تعتبر شبه دولة</w:t>
      </w:r>
      <w:bookmarkEnd w:id="506"/>
    </w:p>
    <w:p>
      <w:pPr>
        <w:pStyle w:val="BookText"/>
        <w:rPr/>
      </w:pPr>
      <w:r>
        <w:rPr>
          <w:rFonts w:ascii="IRNazanin" w:hAnsi="IRNazanin" w:eastAsia="IRNazanin"/>
          <w:color w:val="111111"/>
          <w:sz w:val="28"/>
          <w:sz w:val="28"/>
          <w:szCs w:val="28"/>
          <w:rtl w:val="true"/>
          <w:lang w:bidi="fa-IR"/>
        </w:rPr>
        <w:t xml:space="preserve">ولذلک فالسیاسیون الغربیون یعتبرون المرجعیة الشیعیة شبه دولة باعتبار أنّ لها نظامها المالی الخاص ، ولها توجیهات معیّنة ، وجماهیر تتبعها ، ونفوذ فی القرار السیاسی والاقتصادی والعسکری والأُمور الأُخری ، وهذا ینطبق علی المرجعیات السنیّة إذا کانت لها قواعد جماهیریة أیضاً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النظام السیاسی ما هو إلّاتوازن لمجموعة من القوی والأنظمة فی المجتمع </w:t>
      </w:r>
      <w:r>
        <w:rPr>
          <w:rFonts w:eastAsia="IRNazanin" w:cs="IRNazanin"/>
          <w:color w:val="111111"/>
          <w:sz w:val="28"/>
          <w:szCs w:val="28"/>
          <w:rtl w:val="true"/>
          <w:lang w:bidi="fa-IR"/>
        </w:rPr>
        <w:t>.</w:t>
      </w:r>
    </w:p>
    <w:p>
      <w:pPr>
        <w:pStyle w:val="Heading4"/>
        <w:numPr>
          <w:ilvl w:val="3"/>
          <w:numId w:val="1"/>
        </w:numPr>
        <w:rPr/>
      </w:pPr>
      <w:bookmarkStart w:id="507" w:name="__RefHeading___Toc477342_581953129"/>
      <w:bookmarkStart w:id="508" w:name="_Toc201"/>
      <w:bookmarkEnd w:id="507"/>
      <w:r>
        <w:rPr>
          <w:rtl w:val="true"/>
        </w:rPr>
        <w:t>نفوذ الأئمة وقواعدهم الجماهیریة</w:t>
      </w:r>
      <w:bookmarkEnd w:id="508"/>
    </w:p>
    <w:p>
      <w:pPr>
        <w:pStyle w:val="BookText"/>
        <w:rPr/>
      </w:pPr>
      <w:r>
        <w:rPr>
          <w:rFonts w:ascii="IRNazanin" w:hAnsi="IRNazanin" w:eastAsia="IRNazanin"/>
          <w:color w:val="111111"/>
          <w:sz w:val="28"/>
          <w:sz w:val="28"/>
          <w:szCs w:val="28"/>
          <w:rtl w:val="true"/>
          <w:lang w:bidi="fa-IR"/>
        </w:rPr>
        <w:t xml:space="preserve">وما نرید أن نبیّنه فی ضوء هذا الکلام أنّ الأئمة علیهم السلام وإن لم یتسلّموا زمام الحکم إلّاأنّ لهم نفوذ واسع فی القواعد الجماهیریة فی العدید من الفترات التی عاشوها ، کما کان نفوذ واسع للإمام علی علیه السلام خلال الخمسة وعشرین سنة التی أعقبت وفاة النبی ، وقبل أن یستلّم الخلافة کان له شیعة وأنصار وأتباع ونفوذ ، وکان هؤلاء الأتباع والشیعة تحت نظام الإمام علی علیه السلام العقائدی والمالی والفکری والثقافی الخاص به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محمد بن إسماعیل لهارون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ظننت أنّ فی الأرض خلیفتین حتی رأیت عمّی موسی بن جعفر یسلّم علیه بالخلافة ، فأرسل هارون إلیه بمائة ألف درهم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509" w:name="pg5261_55267"/>
    </w:p>
    <w:p>
      <w:pPr>
        <w:pStyle w:val="BookText"/>
        <w:rPr/>
      </w:pPr>
      <w:bookmarkEnd w:id="509"/>
      <w:r>
        <w:rPr>
          <w:rFonts w:ascii="IRNazanin" w:hAnsi="IRNazanin" w:eastAsia="IRNazanin"/>
          <w:color w:val="111111"/>
          <w:sz w:val="28"/>
          <w:sz w:val="28"/>
          <w:szCs w:val="28"/>
          <w:rtl w:val="true"/>
          <w:lang w:bidi="fa-IR"/>
        </w:rPr>
        <w:t xml:space="preserve">وکلام صحیح ، کما یذهب إلی ذلک السیاسیون فی زماننا باعتبار أنّ وجود قواعد جماهیریة للإمام موسی الکاظم علیه السلام یشکّل شبه دولة لها قوّتها وتأثیرها ، وکان هذا النفوذ یشکّل هاجس وقلق فی الدولة الأمویة والدولة العباسیة اتجاه الإمام المعصوم الذی عاصرها </w:t>
      </w:r>
      <w:r>
        <w:rPr>
          <w:rFonts w:eastAsia="IRNazanin" w:cs="IRNazanin"/>
          <w:color w:val="111111"/>
          <w:sz w:val="28"/>
          <w:szCs w:val="28"/>
          <w:rtl w:val="true"/>
          <w:lang w:bidi="fa-IR"/>
        </w:rPr>
        <w:t>.</w:t>
      </w:r>
    </w:p>
    <w:p>
      <w:pPr>
        <w:pStyle w:val="Heading4"/>
        <w:numPr>
          <w:ilvl w:val="3"/>
          <w:numId w:val="1"/>
        </w:numPr>
        <w:rPr/>
      </w:pPr>
      <w:bookmarkStart w:id="510" w:name="__RefHeading___Toc477344_581953129"/>
      <w:bookmarkStart w:id="511" w:name="_Toc202"/>
      <w:bookmarkEnd w:id="510"/>
      <w:r>
        <w:rPr>
          <w:rtl w:val="true"/>
        </w:rPr>
        <w:t>من أهداف الإمام الحسن علیه السلام من الصلح الإبقاء علی نفوذه فی أتباعه</w:t>
      </w:r>
      <w:bookmarkEnd w:id="511"/>
    </w:p>
    <w:p>
      <w:pPr>
        <w:pStyle w:val="BookText"/>
        <w:rPr/>
      </w:pPr>
      <w:r>
        <w:rPr>
          <w:rFonts w:ascii="IRNazanin" w:hAnsi="IRNazanin" w:eastAsia="IRNazanin"/>
          <w:color w:val="111111"/>
          <w:sz w:val="28"/>
          <w:sz w:val="28"/>
          <w:szCs w:val="28"/>
          <w:rtl w:val="true"/>
          <w:lang w:bidi="fa-IR"/>
        </w:rPr>
        <w:t xml:space="preserve">فالإمام الحسن کان یدرک أنّ له نفوذ معیّن فی شیعته ، وکان حریصاً علی المحافظة علیه ، والذی فعله فی صالح معاویة هو أمر شبیه بالکرّ والفرّ الذی تقرضه التوازنات السیاسیة ، وأنّه لو حارب معاویة لهزم وفقد هذا النفوذ </w:t>
      </w:r>
      <w:r>
        <w:rPr>
          <w:rFonts w:eastAsia="IRNazanin" w:cs="IRNazanin"/>
          <w:color w:val="111111"/>
          <w:sz w:val="28"/>
          <w:szCs w:val="28"/>
          <w:rtl w:val="true"/>
          <w:lang w:bidi="fa-IR"/>
        </w:rPr>
        <w:t>.</w:t>
      </w:r>
    </w:p>
    <w:p>
      <w:pPr>
        <w:pStyle w:val="Heading4"/>
        <w:numPr>
          <w:ilvl w:val="3"/>
          <w:numId w:val="1"/>
        </w:numPr>
        <w:rPr/>
      </w:pPr>
      <w:bookmarkStart w:id="512" w:name="__RefHeading___Toc477346_581953129"/>
      <w:bookmarkStart w:id="513" w:name="_Toc203"/>
      <w:bookmarkEnd w:id="512"/>
      <w:r>
        <w:rPr>
          <w:rtl w:val="true"/>
        </w:rPr>
        <w:t>أحادیث نبویّة فی فضل الإمام الحسن علیه السلام</w:t>
      </w:r>
      <w:bookmarkEnd w:id="513"/>
    </w:p>
    <w:p>
      <w:pPr>
        <w:pStyle w:val="BookText"/>
        <w:rPr/>
      </w:pPr>
      <w:r>
        <w:rPr>
          <w:rFonts w:ascii="IRNazanin" w:hAnsi="IRNazanin" w:eastAsia="IRNazanin"/>
          <w:color w:val="111111"/>
          <w:sz w:val="28"/>
          <w:sz w:val="28"/>
          <w:szCs w:val="28"/>
          <w:rtl w:val="true"/>
          <w:lang w:bidi="fa-IR"/>
        </w:rPr>
        <w:t xml:space="preserve">ومع ما تمیّز به الإمام علی عن الإمام الحسن علیهما السلام من أنّ الإمام علی علیه السلام أوّل من أسلم بالإضافة لقتاله مع النبی ومنزلته وقربه منه إلّاأنّ الإمام الحسن علیه السلام له ممیّزات لم تکن علی علیه السلام ، لأنّه سبط النبی والسبطیّة لها مدلولاتها ومؤداها الخاص ، بمعنی الامتداد الشرعی لذلک النبی ، وهذا حدیث عقائدی لا أرید الخوض فیه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وهذا الحدیث رواه الترمذی</w:t>
      </w:r>
      <w:r>
        <w:rPr>
          <w:rStyle w:val="FootnoteAnchor"/>
          <w:rtl w:val="true"/>
        </w:rPr>
        <w:footnoteReference w:id="120"/>
      </w:r>
      <w:r>
        <w:rPr>
          <w:rFonts w:ascii="IRNazanin" w:hAnsi="IRNazanin" w:eastAsia="IRNazanin"/>
          <w:color w:val="111111"/>
          <w:sz w:val="28"/>
          <w:sz w:val="28"/>
          <w:szCs w:val="28"/>
          <w:rtl w:val="true"/>
          <w:lang w:bidi="fa-IR"/>
        </w:rPr>
        <w:t>وأحمد بن حنبل</w:t>
      </w:r>
      <w:r>
        <w:rPr>
          <w:rStyle w:val="FootnoteAnchor"/>
          <w:rtl w:val="true"/>
        </w:rPr>
        <w:footnoteReference w:id="121"/>
      </w:r>
      <w:r>
        <w:rPr>
          <w:rFonts w:ascii="IRNazanin" w:hAnsi="IRNazanin" w:eastAsia="IRNazanin"/>
          <w:color w:val="111111"/>
          <w:sz w:val="28"/>
          <w:sz w:val="28"/>
          <w:szCs w:val="28"/>
          <w:rtl w:val="true"/>
          <w:lang w:bidi="fa-IR"/>
        </w:rPr>
        <w:t xml:space="preserve">والحاکم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صحّ من أوجه کثیرة ، وأنا أتعجب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bookmarkStart w:id="514" w:name="pg5261_55269"/>
    </w:p>
    <w:p>
      <w:pPr>
        <w:pStyle w:val="BookText"/>
        <w:rPr/>
      </w:pPr>
      <w:bookmarkEnd w:id="514"/>
      <w:r>
        <w:rPr>
          <w:rFonts w:ascii="IRNazanin" w:hAnsi="IRNazanin" w:eastAsia="IRNazanin"/>
          <w:color w:val="111111"/>
          <w:sz w:val="28"/>
          <w:sz w:val="28"/>
          <w:szCs w:val="28"/>
          <w:rtl w:val="true"/>
          <w:lang w:bidi="fa-IR"/>
        </w:rPr>
        <w:t xml:space="preserve">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یخرجاه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 وقال الألبانی فی تصحیحاته الأخیرة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فالحدیث صحیح بلا ریب ، بل هو متواتر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 والألبانی من العلماء المعتمدین عند إخواننا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w:t>
      </w:r>
      <w:r>
        <w:rPr>
          <w:rStyle w:val="FootnoteAnchor"/>
          <w:rtl w:val="true"/>
        </w:rPr>
        <w:footnoteReference w:id="124"/>
      </w:r>
      <w:r>
        <w:rPr>
          <w:rFonts w:ascii="Amiri" w:hAnsi="Amiri" w:eastAsia="Amiri" w:cs="Amiri"/>
          <w:color w:val="111111"/>
          <w:sz w:val="28"/>
          <w:sz w:val="28"/>
          <w:szCs w:val="28"/>
          <w:rtl w:val="true"/>
          <w:lang w:bidi="ar-SA"/>
        </w:rPr>
        <w:t xml:space="preserve">، وقال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أُحبّهما فأحبّهما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البخاری</w:t>
      </w:r>
      <w:r>
        <w:rPr>
          <w:rStyle w:val="FootnoteAnchor"/>
          <w:rtl w:val="true"/>
        </w:rPr>
        <w:footnoteReference w:id="125"/>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 ، ولعل اللّه أنّ یصلح به بین فئتین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w:t>
      </w:r>
      <w:r>
        <w:rPr>
          <w:rStyle w:val="FootnoteAnchor"/>
          <w:rtl w:val="true"/>
        </w:rPr>
        <w:footnoteReference w:id="126"/>
      </w:r>
      <w:r>
        <w:rPr>
          <w:rFonts w:ascii="IRNazanin" w:hAnsi="IRNazanin" w:eastAsia="IRNazanin"/>
          <w:color w:val="111111"/>
          <w:sz w:val="28"/>
          <w:sz w:val="28"/>
          <w:szCs w:val="28"/>
          <w:rtl w:val="true"/>
          <w:lang w:bidi="fa-IR"/>
        </w:rPr>
        <w:t>، وقبل ذلک آیة المباهلة</w:t>
      </w:r>
      <w:r>
        <w:rPr>
          <w:rStyle w:val="FootnoteAnchor"/>
          <w:rtl w:val="true"/>
        </w:rPr>
        <w:footnoteReference w:id="127"/>
      </w:r>
      <w:r>
        <w:rPr>
          <w:rFonts w:ascii="IRNazanin" w:hAnsi="IRNazanin" w:eastAsia="IRNazanin"/>
          <w:color w:val="111111"/>
          <w:sz w:val="28"/>
          <w:sz w:val="28"/>
          <w:szCs w:val="28"/>
          <w:rtl w:val="true"/>
          <w:lang w:bidi="fa-IR"/>
        </w:rPr>
        <w:t xml:space="preserve">التی خصّ بها أهل البیت علیهم السلام </w:t>
      </w:r>
      <w:r>
        <w:rPr>
          <w:rFonts w:eastAsia="IRNazanin" w:cs="IRNazanin"/>
          <w:color w:val="111111"/>
          <w:sz w:val="28"/>
          <w:szCs w:val="28"/>
          <w:rtl w:val="true"/>
          <w:lang w:bidi="fa-IR"/>
        </w:rPr>
        <w:t>.</w:t>
      </w:r>
    </w:p>
    <w:p>
      <w:pPr>
        <w:pStyle w:val="Heading4"/>
        <w:numPr>
          <w:ilvl w:val="3"/>
          <w:numId w:val="1"/>
        </w:numPr>
        <w:rPr/>
      </w:pPr>
      <w:bookmarkStart w:id="515" w:name="__RefHeading___Toc477348_581953129"/>
      <w:bookmarkStart w:id="516" w:name="_Toc204"/>
      <w:bookmarkEnd w:id="515"/>
      <w:r>
        <w:rPr>
          <w:rtl w:val="true"/>
        </w:rPr>
        <w:t>ظروف الإمام الحسن علیه السلام تختلف عن ظروف الإمام علی علیه السلام</w:t>
      </w:r>
      <w:bookmarkEnd w:id="5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الحسن علیه السلام فی الکوفة یطعن فی شرعیّة معاویة ، وما کان الإمام الحسن علیه السلام لیفعل ذلک لولا نفوذه وقواعدة الجماهیریة ، وکان معاویة یحذر من الدخول فی تصعید سیاسی مع الإمام الحسن علیه السلام ، وما أتیح للإمام الحسن علیه السلام من فرصة فی الطعن فی شرعیّة معاویة لم یتح للإمام علی علیه السلام ، مع أنّه لم یکن یری شرعیّة الخلفاء بعد النی صلی الله علیه و آله إلّاأنّ المصلحة العامّة للمسلمین لم تسمح له بإعلان المعارضة لحکم من سبقه من الخلفاء ، فلم یکن المعارضة إلّافی فترات قصیرة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ومحدودة حسب ما سنحت له الفرصة کاحتجاجه علیه السلام مع الزهراء بعد وفاة النبی صلی الله علیه و آله أمام الصحابة</w:t>
      </w:r>
      <w:r>
        <w:rPr>
          <w:rStyle w:val="FootnoteAnchor"/>
          <w:rtl w:val="true"/>
        </w:rPr>
        <w:footnoteReference w:id="128"/>
      </w:r>
      <w:r>
        <w:rPr>
          <w:rFonts w:ascii="IRNazanin" w:hAnsi="IRNazanin" w:eastAsia="IRNazanin"/>
          <w:color w:val="111111"/>
          <w:sz w:val="28"/>
          <w:sz w:val="28"/>
          <w:szCs w:val="28"/>
          <w:rtl w:val="true"/>
          <w:lang w:bidi="fa-IR"/>
        </w:rPr>
        <w:t xml:space="preserve">، إذن صالح الإمام الحسن علیه السلام کان فیه حفاظ علی نفوذه فی قواعده الجماهیریة من خلال الصلح الذی أقدم علیه حتی یحافظ علی التوازن بینه وبین معاویة </w:t>
      </w:r>
      <w:r>
        <w:rPr>
          <w:rFonts w:eastAsia="IRNazanin" w:cs="IRNazanin"/>
          <w:color w:val="111111"/>
          <w:sz w:val="28"/>
          <w:szCs w:val="28"/>
          <w:rtl w:val="true"/>
          <w:lang w:bidi="fa-IR"/>
        </w:rPr>
        <w:t>.</w:t>
      </w:r>
      <w:bookmarkStart w:id="517" w:name="pg5261_55273"/>
    </w:p>
    <w:p>
      <w:pPr>
        <w:pStyle w:val="Heading3"/>
        <w:numPr>
          <w:ilvl w:val="2"/>
          <w:numId w:val="1"/>
        </w:numPr>
        <w:rPr/>
      </w:pPr>
      <w:bookmarkStart w:id="518" w:name="__RefHeading___Toc477350_581953129"/>
      <w:bookmarkStart w:id="519" w:name="_Toc205"/>
      <w:bookmarkEnd w:id="517"/>
      <w:bookmarkEnd w:id="518"/>
      <w:r>
        <w:rPr>
          <w:rtl w:val="true"/>
        </w:rPr>
        <w:t>المحاضرة التاسعة من یقف وراء مخططات الإرهاب ؟</w:t>
      </w:r>
      <w:bookmarkEnd w:id="519"/>
    </w:p>
    <w:p>
      <w:pPr>
        <w:pStyle w:val="Heading4"/>
        <w:numPr>
          <w:ilvl w:val="3"/>
          <w:numId w:val="1"/>
        </w:numPr>
        <w:rPr/>
      </w:pPr>
      <w:bookmarkStart w:id="520" w:name="__RefHeading___Toc477352_581953129"/>
      <w:bookmarkStart w:id="521" w:name="_Toc206"/>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إرهاب الدولة</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والإیدلوجیة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الصهیونی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الإسلام بالإرهاب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الخفیّة وراء عملیات الإرهاب العالمیة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تسلیط الأضواء الإعلامیة من أجل تمریر مخططات 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الإعلام الخطیر والمشبوه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إغفال عنصر الخفاء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المیزان والفیصل فی تحدید الإرهاب؟</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السامیة فی أعلی الإنسان </w:t>
      </w:r>
      <w:r>
        <w:rPr>
          <w:rFonts w:eastAsia="IRNazanin" w:cs="IRNazanin"/>
          <w:color w:val="111111"/>
          <w:sz w:val="28"/>
          <w:szCs w:val="28"/>
          <w:rtl w:val="true"/>
          <w:lang w:bidi="fa-IR"/>
        </w:rPr>
        <w:t>.</w:t>
      </w:r>
    </w:p>
    <w:p>
      <w:pPr>
        <w:pStyle w:val="Heading4"/>
        <w:numPr>
          <w:ilvl w:val="3"/>
          <w:numId w:val="1"/>
        </w:numPr>
        <w:rPr/>
      </w:pPr>
      <w:bookmarkStart w:id="522" w:name="__RefHeading___Toc477354_581953129"/>
      <w:bookmarkStart w:id="523" w:name="_Toc207"/>
      <w:bookmarkEnd w:id="522"/>
      <w:r>
        <w:rPr>
          <w:rtl w:val="true"/>
        </w:rPr>
        <w:t>إرهاب الدولة</w:t>
      </w:r>
      <w:bookmarkEnd w:id="5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الرابع للإرهاب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إعمال العنف المسلّح لأهداف سیاسیة أو أیدلوجیة أو دینیة باستخدام قنوات العنف المسلّح للتهدید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وبحسب هذا التعریف المفروض أن یدخل عنف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والإرهاب قد قسّم إلی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إرهاب فردی وإرهاب جماعة أو تنظیم ، وحاول البعض أن یقصر التقسیم علی هذین</w:t>
      </w:r>
      <w:bookmarkStart w:id="524" w:name="pg5261_55275"/>
    </w:p>
    <w:p>
      <w:pPr>
        <w:pStyle w:val="BookText"/>
        <w:rPr/>
      </w:pPr>
      <w:bookmarkEnd w:id="524"/>
      <w:r>
        <w:rPr>
          <w:rFonts w:ascii="IRNazanin" w:hAnsi="IRNazanin" w:eastAsia="IRNazanin"/>
          <w:color w:val="111111"/>
          <w:sz w:val="28"/>
          <w:sz w:val="28"/>
          <w:szCs w:val="28"/>
          <w:rtl w:val="true"/>
          <w:lang w:bidi="fa-IR"/>
        </w:rPr>
        <w:t xml:space="preserve">القسمین إلّاأنّ العدید من المحافل والدول أصرّت علی وجود إرهاب الدولة ، ویتضمّن إرهاب دولة لدولة أُخری أو إرهابها لشعبها ، والمعسکر الغربی یصرّ علی حذف هذا النوع من الإرهاب ، والسبب واضح ، وهو أنّهم یمارسون هذا النوع من الإرهاب بشکل خفی ، ویرفضون أن یدرج إرهاب الدولة فی تعریف الإرهاب ؛ لکی لا یدانوا بالإرهاب ، ولکن حسب التعریف السابق یندرج إرهاب الدولة فی تعریف الإرهاب ؛ لأنّهم لم یقیّدوا ، ولم یستثنوا من هذا التعریف إرهاب الدولة </w:t>
      </w:r>
      <w:r>
        <w:rPr>
          <w:rFonts w:eastAsia="IRNazanin" w:cs="IRNazanin"/>
          <w:color w:val="111111"/>
          <w:sz w:val="28"/>
          <w:szCs w:val="28"/>
          <w:rtl w:val="true"/>
          <w:lang w:bidi="fa-IR"/>
        </w:rPr>
        <w:t>.</w:t>
      </w:r>
    </w:p>
    <w:p>
      <w:pPr>
        <w:pStyle w:val="Heading4"/>
        <w:numPr>
          <w:ilvl w:val="3"/>
          <w:numId w:val="1"/>
        </w:numPr>
        <w:rPr/>
      </w:pPr>
      <w:bookmarkStart w:id="525" w:name="__RefHeading___Toc477356_581953129"/>
      <w:bookmarkStart w:id="526" w:name="_Toc208"/>
      <w:bookmarkEnd w:id="525"/>
      <w:r>
        <w:rPr>
          <w:rtl w:val="true"/>
        </w:rPr>
        <w:t>الإرهاب والإیدلوجیة</w:t>
      </w:r>
      <w:bookmarkEnd w:id="526"/>
    </w:p>
    <w:p>
      <w:pPr>
        <w:pStyle w:val="BookText"/>
        <w:rPr/>
      </w:pPr>
      <w:r>
        <w:rPr>
          <w:rFonts w:ascii="IRNazanin" w:hAnsi="IRNazanin" w:eastAsia="IRNazanin"/>
          <w:color w:val="111111"/>
          <w:sz w:val="28"/>
          <w:sz w:val="28"/>
          <w:szCs w:val="28"/>
          <w:rtl w:val="true"/>
          <w:lang w:bidi="fa-IR"/>
        </w:rPr>
        <w:t xml:space="preserve">التعریف الخامس للإرهاب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أیدلوجیة وقناعات تبرّر العنف الفتّاک لردع المعارض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التعریف التحیّز فیه واضح من قبل واضع القانون ؛ لأنّه یصف عقیدة مّا بأنّها إرهاب ، کأن یعتقد قوم أنّ دولة أُخری أو قومیّة أُخری یجب أن تباد ، فهذا التعریف یعتبر نفس هذه العقیدة قنبلة ملغومة أو سلاح فتّاک قد ینطلق فی أیّ وقت لإبادة الطرف الآخر ، ومن ثمّ فإنّ هذه الأیدلوجیة التی تبرّر العنف تجاه الطرف الآخر یطلق علیها إرهاب ، فإذا کان المقصود من الأیدلوجیة فی هذا التعریف الدین ، فسنبیّن فی ما یأتی ، ما هی ضابطة الإرهاب ، وما هو میزان الإرهاب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نقاش محتدم بین الدول حول تحدید الأُسس القانونیة لمفهوم الإرهاب ، وهناک الکثیر من المزایدات والمغالطات فی أروقة الأُمم المتّحدة أو فی الفضائیات أو غیرها من وسائل الإعلام التی تعمل علی إضفاء أجواء غائمة قاتمة حول مفهوم الإرهاب ، وعدم وضع النقاط علی الحروف فی ما هو غائم فی مفهوم الإرهاب </w:t>
      </w:r>
      <w:r>
        <w:rPr>
          <w:rFonts w:eastAsia="IRNazanin" w:cs="IRNazanin"/>
          <w:color w:val="111111"/>
          <w:sz w:val="28"/>
          <w:szCs w:val="28"/>
          <w:rtl w:val="true"/>
          <w:lang w:bidi="fa-IR"/>
        </w:rPr>
        <w:t>.</w:t>
      </w:r>
      <w:bookmarkStart w:id="527" w:name="pg5261_55277"/>
    </w:p>
    <w:p>
      <w:pPr>
        <w:pStyle w:val="Heading4"/>
        <w:numPr>
          <w:ilvl w:val="3"/>
          <w:numId w:val="1"/>
        </w:numPr>
        <w:rPr/>
      </w:pPr>
      <w:bookmarkStart w:id="528" w:name="__RefHeading___Toc477358_581953129"/>
      <w:bookmarkStart w:id="529" w:name="_Toc209"/>
      <w:bookmarkEnd w:id="527"/>
      <w:bookmarkEnd w:id="528"/>
      <w:r>
        <w:rPr>
          <w:rtl w:val="true"/>
        </w:rPr>
        <w:t>الإرهاب الصهیونی</w:t>
      </w:r>
      <w:bookmarkEnd w:id="529"/>
    </w:p>
    <w:p>
      <w:pPr>
        <w:pStyle w:val="BookText"/>
        <w:rPr/>
      </w:pPr>
      <w:r>
        <w:rPr>
          <w:rFonts w:ascii="IRNazanin" w:hAnsi="IRNazanin" w:eastAsia="IRNazanin"/>
          <w:color w:val="111111"/>
          <w:sz w:val="28"/>
          <w:sz w:val="28"/>
          <w:szCs w:val="28"/>
          <w:rtl w:val="true"/>
          <w:lang w:bidi="fa-IR"/>
        </w:rPr>
        <w:t xml:space="preserve">ولو أردنا أن نحکم علی أیدلوجیة معیّنة بأنّها إرهاب ، لکانت الأیدلوجیة الیهودیة الصهیونیة هی أکثر الأیدلوجیات إرهاباً فی العالم ، وقد تمّ بیان هذا المطلب فی المؤتمر الذی عُقد مؤخّراً فی جنوب أفریقیا حول موضوع العنصریّة ، وهذا جلّی وواضح من خلال البروتوکولات الصهیونیة ، أو حتّی فی التوراة المحرّفة ، والتی تدعو الیهود إلی إشاعة الرذیلة والاضطراب والفوضی والاستعباد فی المجتمع البشری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للناس أن یکونوا عبیداً للعنصر الیهودی باعتبارهم شعب اللّه المختار ، والذی یقرأ بروتوکولات الصهیونیة یستشف وجود نفسیّة معقّدة حاقدة تقف وراء هذه البروتوکولات ، وأنّها لیست مبنیّة علی أُسس عقلیّة ومنطقیّة صحیحة ، وهم یسعون بشتّی الطرق والوسائل لنشر التحلّل الخلقی ، وهم یقفون وراء التحلّل الأخلاقی فی أمریکا وأوروبا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سجّلت الإحصائیات أنّ أکثر دولة ینتشر فیها السطو المسلّح هی فرنسا ، وقد حاولت بعض الدراسات التعرّف علی الأسباب ، فکانت النتیجة هی تأثیر أفلام الجریمة الأمریکیة فی هذا المجال </w:t>
      </w:r>
      <w:r>
        <w:rPr>
          <w:rFonts w:eastAsia="IRNazanin" w:cs="IRNazanin"/>
          <w:color w:val="111111"/>
          <w:sz w:val="28"/>
          <w:szCs w:val="28"/>
          <w:rtl w:val="true"/>
          <w:lang w:bidi="fa-IR"/>
        </w:rPr>
        <w:t>.</w:t>
      </w:r>
    </w:p>
    <w:p>
      <w:pPr>
        <w:pStyle w:val="Heading4"/>
        <w:numPr>
          <w:ilvl w:val="3"/>
          <w:numId w:val="1"/>
        </w:numPr>
        <w:rPr/>
      </w:pPr>
      <w:bookmarkStart w:id="530" w:name="__RefHeading___Toc477360_581953129"/>
      <w:bookmarkStart w:id="531" w:name="_Toc210"/>
      <w:bookmarkEnd w:id="530"/>
      <w:r>
        <w:rPr>
          <w:rtl w:val="true"/>
        </w:rPr>
        <w:t>الهندوس والبوذیّون والثقافة المنحلّة</w:t>
      </w:r>
      <w:bookmarkEnd w:id="531"/>
    </w:p>
    <w:p>
      <w:pPr>
        <w:pStyle w:val="BookText"/>
        <w:rPr/>
      </w:pPr>
      <w:r>
        <w:rPr>
          <w:rFonts w:ascii="IRNazanin" w:hAnsi="IRNazanin" w:eastAsia="IRNazanin"/>
          <w:color w:val="111111"/>
          <w:sz w:val="28"/>
          <w:sz w:val="28"/>
          <w:szCs w:val="28"/>
          <w:rtl w:val="true"/>
          <w:lang w:bidi="fa-IR"/>
        </w:rPr>
        <w:t xml:space="preserve">وحتّی الهندوس والبوذیین فی الهند والیابان أیضاً ضجّوا خوفاً من اختراق هذه الثقاقة المنحلّة إلی مجتمعهم ، وهذه الثقافة تقف وراءها أصابع صهیونیة وبصمات إسرائیلیة التی تهدف إلی ترویج الشذوذ الجنسی والإجرام وعبادة الشیطان واختراع الأدیان الزائفة وتدمیر الأدیان الأُخری غیر الدین الیهودی </w:t>
      </w:r>
      <w:r>
        <w:rPr>
          <w:rFonts w:eastAsia="IRNazanin" w:cs="IRNazanin"/>
          <w:color w:val="111111"/>
          <w:sz w:val="28"/>
          <w:szCs w:val="28"/>
          <w:rtl w:val="true"/>
          <w:lang w:bidi="fa-IR"/>
        </w:rPr>
        <w:t>.</w:t>
      </w:r>
    </w:p>
    <w:p>
      <w:pPr>
        <w:pStyle w:val="Heading4"/>
        <w:numPr>
          <w:ilvl w:val="3"/>
          <w:numId w:val="1"/>
        </w:numPr>
        <w:rPr/>
      </w:pPr>
      <w:bookmarkStart w:id="532" w:name="__RefHeading___Toc477362_581953129"/>
      <w:bookmarkStart w:id="533" w:name="_Toc211"/>
      <w:bookmarkEnd w:id="532"/>
      <w:r>
        <w:rPr>
          <w:rtl w:val="true"/>
        </w:rPr>
        <w:t>لماذا غضّ النظر عن الإرهاب الصهیونی</w:t>
      </w:r>
      <w:bookmarkEnd w:id="5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نقول لمن وضع هذا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تحارب العقیدة الیهودیة التی تحمل</w:t>
      </w:r>
      <w:bookmarkStart w:id="534" w:name="pg5261_55279"/>
    </w:p>
    <w:p>
      <w:pPr>
        <w:pStyle w:val="BookText"/>
        <w:rPr/>
      </w:pPr>
      <w:bookmarkEnd w:id="534"/>
      <w:r>
        <w:rPr>
          <w:rFonts w:ascii="IRNazanin" w:hAnsi="IRNazanin" w:eastAsia="IRNazanin"/>
          <w:color w:val="111111"/>
          <w:sz w:val="28"/>
          <w:sz w:val="28"/>
          <w:szCs w:val="28"/>
          <w:rtl w:val="true"/>
          <w:lang w:bidi="fa-IR"/>
        </w:rPr>
        <w:t>هذه الأفکار الهدّامة؟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وقفت الدول الأروبیة لمساندة الکیان الصهیونی بکل وقاحة وصلافة وقلّة حیاء ، فلماذا یتنکّرون للمبادیء التی یعتقدونها ، والشعارات التی یرفعونها؟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انسحبوا من المؤتمر الذی یدین العنصریّة ، والذی اعتبر الکیان الصهیونی کیاناً عنصریاً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الأقویاء فی العالم یتلاعبون فی القوانین من أجل أن یستبّدوا بالضعفاء ، لا سیّما إذا کان هؤلاء الضعفاء لا یمتلکون وعیاً سیاسیاً وثقافة قانونیة </w:t>
      </w:r>
      <w:r>
        <w:rPr>
          <w:rFonts w:eastAsia="IRNazanin" w:cs="IRNazanin"/>
          <w:color w:val="111111"/>
          <w:sz w:val="28"/>
          <w:szCs w:val="28"/>
          <w:rtl w:val="true"/>
          <w:lang w:bidi="fa-IR"/>
        </w:rPr>
        <w:t>.</w:t>
      </w:r>
    </w:p>
    <w:p>
      <w:pPr>
        <w:pStyle w:val="Heading4"/>
        <w:numPr>
          <w:ilvl w:val="3"/>
          <w:numId w:val="1"/>
        </w:numPr>
        <w:rPr/>
      </w:pPr>
      <w:bookmarkStart w:id="535" w:name="__RefHeading___Toc477364_581953129"/>
      <w:bookmarkStart w:id="536" w:name="_Toc212"/>
      <w:bookmarkEnd w:id="535"/>
      <w:r>
        <w:rPr>
          <w:rtl w:val="true"/>
        </w:rPr>
        <w:t>اتهام الإسلام بالإرهاب</w:t>
      </w:r>
      <w:bookmarkEnd w:id="536"/>
    </w:p>
    <w:p>
      <w:pPr>
        <w:pStyle w:val="BookText"/>
        <w:rPr/>
      </w:pPr>
      <w:r>
        <w:rPr>
          <w:rFonts w:ascii="IRNazanin" w:hAnsi="IRNazanin" w:eastAsia="IRNazanin"/>
          <w:color w:val="111111"/>
          <w:sz w:val="28"/>
          <w:sz w:val="28"/>
          <w:szCs w:val="28"/>
          <w:rtl w:val="true"/>
          <w:lang w:bidi="fa-IR"/>
        </w:rPr>
        <w:t>ولماذا تمتد أصابع الاتهام للإسلام بأنّه یؤیّد الإرهاب ، ولا تمتد هذه الأصابع للرأسمالیة ودول الاستکبار بأنّها مدمّرة لسلام وأمن العالم علی المستوی الاقتصادی والمالی والخُلقی ، وتهدّد هویّات الدول والقومیات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یکیلون بمکیالین بحیث یطبّقون مصداق التعریف علی الإسلام ، وینکرون انطباقه علی الصهیونیة والأنظمة الغربیة </w:t>
      </w:r>
      <w:r>
        <w:rPr>
          <w:rFonts w:eastAsia="IRNazanin" w:cs="IRNazanin"/>
          <w:color w:val="111111"/>
          <w:sz w:val="28"/>
          <w:szCs w:val="28"/>
          <w:rtl w:val="true"/>
          <w:lang w:bidi="fa-IR"/>
        </w:rPr>
        <w:t>.</w:t>
      </w:r>
    </w:p>
    <w:p>
      <w:pPr>
        <w:pStyle w:val="Heading4"/>
        <w:numPr>
          <w:ilvl w:val="3"/>
          <w:numId w:val="1"/>
        </w:numPr>
        <w:rPr/>
      </w:pPr>
      <w:bookmarkStart w:id="537" w:name="__RefHeading___Toc477366_581953129"/>
      <w:bookmarkStart w:id="538" w:name="_Toc213"/>
      <w:bookmarkEnd w:id="537"/>
      <w:r>
        <w:rPr>
          <w:rtl w:val="true"/>
        </w:rPr>
        <w:t>القوی الخفیّة وراء عملیات الإرهاب العالمیة</w:t>
      </w:r>
      <w:bookmarkEnd w:id="538"/>
    </w:p>
    <w:p>
      <w:pPr>
        <w:pStyle w:val="BookText"/>
        <w:rPr/>
      </w:pPr>
      <w:r>
        <w:rPr>
          <w:rFonts w:ascii="IRNazanin" w:hAnsi="IRNazanin" w:eastAsia="IRNazanin"/>
          <w:color w:val="111111"/>
          <w:sz w:val="28"/>
          <w:sz w:val="28"/>
          <w:szCs w:val="28"/>
          <w:rtl w:val="true"/>
          <w:lang w:bidi="fa-IR"/>
        </w:rPr>
        <w:t>التعریف السادس للإرهاب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الإجرامی المصحوب بالرعب والفزع لغایة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تعریف عام یشمل إرهاب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المافیا الأمنیّة ، وهم مجموعة من المرتزقة الدولیین أو أشرار العالم ، الذین لا یحملون هویّة ولا مبدأ ،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یُؤسس هذه المافیا؟ فإن کانت غائبة عن الجهاز الأمنی فکیف تدّعی أجهزة الأمن الغربیة أنّها مسیطرة علی الوضع الأمنی العالمی ، وإذا کانت مطّلعة ومتمکّنة من اختراق هذه المجموعات فلماذا لا تخترقها؟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مافیا اغتیالات ، ومافیا إجرام لزعزعة الأمن فی الدول الأُخری بواسطة</w:t>
      </w:r>
      <w:bookmarkStart w:id="539" w:name="pg5261_55281"/>
    </w:p>
    <w:p>
      <w:pPr>
        <w:pStyle w:val="BookText"/>
        <w:rPr/>
      </w:pPr>
      <w:bookmarkEnd w:id="539"/>
      <w:r>
        <w:rPr>
          <w:rFonts w:ascii="IRNazanin" w:hAnsi="IRNazanin" w:eastAsia="IRNazanin"/>
          <w:color w:val="111111"/>
          <w:sz w:val="28"/>
          <w:sz w:val="28"/>
          <w:szCs w:val="28"/>
          <w:rtl w:val="true"/>
          <w:lang w:bidi="fa-IR"/>
        </w:rPr>
        <w:t>مافیا إعلامیة تربک الوضع الأمنی عبر إذاعة أو فضائیة أو برنامج معیّن یضرب علی أوتار حسّاسة</w:t>
      </w:r>
      <w:r>
        <w:rPr>
          <w:rFonts w:eastAsia="IRNazanin" w:cs="IRNazanin"/>
          <w:color w:val="111111"/>
          <w:sz w:val="28"/>
          <w:szCs w:val="28"/>
          <w:rtl w:val="true"/>
          <w:lang w:bidi="fa-IR"/>
        </w:rPr>
        <w:t>.</w:t>
      </w:r>
    </w:p>
    <w:p>
      <w:pPr>
        <w:pStyle w:val="Heading4"/>
        <w:numPr>
          <w:ilvl w:val="3"/>
          <w:numId w:val="1"/>
        </w:numPr>
        <w:rPr/>
      </w:pPr>
      <w:bookmarkStart w:id="540" w:name="__RefHeading___Toc477368_581953129"/>
      <w:bookmarkStart w:id="541" w:name="_Toc214"/>
      <w:bookmarkEnd w:id="540"/>
      <w:r>
        <w:rPr>
          <w:rtl w:val="true"/>
        </w:rPr>
        <w:t>تسلیط الأضواء الإعلامیة من أجل تمریر مخططات شیطانیة</w:t>
      </w:r>
      <w:bookmarkEnd w:id="541"/>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روابط بین ضرب العراق والاعتراف بإسرائیل ، ولذلک فهم یسلّطون الأضواء علی جانب معیّن من أجل أن یمرّروا مخططاتهم الشیطانیة فی جانب آخر ، والضجّة الإعلامیة هنا قد تخدم أغراضاً معیّنة هناک ،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4"/>
        <w:numPr>
          <w:ilvl w:val="3"/>
          <w:numId w:val="1"/>
        </w:numPr>
        <w:rPr/>
      </w:pPr>
      <w:bookmarkStart w:id="542" w:name="__RefHeading___Toc477370_581953129"/>
      <w:bookmarkStart w:id="543" w:name="_Toc215"/>
      <w:bookmarkEnd w:id="542"/>
      <w:r>
        <w:rPr>
          <w:rtl w:val="true"/>
        </w:rPr>
        <w:t>دور الإعلام الخطیر والمشبوه</w:t>
      </w:r>
      <w:bookmarkEnd w:id="543"/>
    </w:p>
    <w:p>
      <w:pPr>
        <w:pStyle w:val="BookText"/>
        <w:rPr/>
      </w:pPr>
      <w:r>
        <w:rPr>
          <w:rFonts w:ascii="IRNazanin" w:hAnsi="IRNazanin" w:eastAsia="IRNazanin"/>
          <w:color w:val="111111"/>
          <w:sz w:val="28"/>
          <w:sz w:val="28"/>
          <w:szCs w:val="28"/>
          <w:rtl w:val="true"/>
          <w:lang w:bidi="fa-IR"/>
        </w:rPr>
        <w:t xml:space="preserve">الإعلام الآن مرتبط بالتاریخ وبعلم النفس والسیاسة والأمن والجانب المالی والجانب الاجتماعی ، ویعمل علی إجراء غسیل لأدمغة الشعوب وغیرها ، کأن یقوم الإعلام بعملیة تلقین لشعب مّا أنّه شعب متخلّف ، وعندما یقتنع بأنّه شعب متخلّف سوف یبحث عن التحضّر والتقدّم ، ولکن أین یجد هذا التحضّر؟ یجده عند الجهة التی کانت تستخدم الإعلام لإقناع هذا الشعب بأنّه متخلّف ، وتکون النتیجة تبعیّة هذا الشعب لتلک الجهة فیعیش حالة التقهقر والانکسار والتراجع وعدم الثقة فی النفس </w:t>
      </w:r>
      <w:r>
        <w:rPr>
          <w:rFonts w:eastAsia="IRNazanin" w:cs="IRNazanin"/>
          <w:color w:val="111111"/>
          <w:sz w:val="28"/>
          <w:szCs w:val="28"/>
          <w:rtl w:val="true"/>
          <w:lang w:bidi="fa-IR"/>
        </w:rPr>
        <w:t>.</w:t>
      </w:r>
    </w:p>
    <w:p>
      <w:pPr>
        <w:pStyle w:val="Heading4"/>
        <w:numPr>
          <w:ilvl w:val="3"/>
          <w:numId w:val="1"/>
        </w:numPr>
        <w:rPr/>
      </w:pPr>
      <w:bookmarkStart w:id="544" w:name="__RefHeading___Toc477372_581953129"/>
      <w:bookmarkStart w:id="545" w:name="_Toc216"/>
      <w:bookmarkEnd w:id="544"/>
      <w:r>
        <w:rPr>
          <w:rtl w:val="true"/>
        </w:rPr>
        <w:t>نشر أخبار کاذبة لخدمة جهات معیّنة</w:t>
      </w:r>
      <w:bookmarkEnd w:id="5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خبر واحد یقلّب الأسعار فی سوق النفط والأسهم وغیرها ، ولا یستند هذا الخبر إلی حقائق ، بل إلی إشاعات وأوهام ، والقرآن الکریم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w:t>
      </w:r>
    </w:p>
    <w:p>
      <w:pPr>
        <w:pStyle w:val="BookText"/>
        <w:rPr/>
      </w:pPr>
      <w:r>
        <w:rPr>
          <w:rFonts w:ascii="IRNazanin" w:hAnsi="IRNazanin" w:eastAsia="IRNazanin"/>
          <w:color w:val="111111"/>
          <w:sz w:val="28"/>
          <w:sz w:val="28"/>
          <w:szCs w:val="28"/>
          <w:rtl w:val="true"/>
          <w:lang w:bidi="fa-IR"/>
        </w:rPr>
        <w:t xml:space="preserve">أَشَدُّ مِنَ الْقَتْلِ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فتکون الفتنة الإعلامیة أشدّ وقعاً من السلاح الحربی ، وذلک لأنّ البشر موجود ذو شعور وإدراک ، ویتأثّر بالفکر ، وعن طریق الفکر تستطیع أن تغیّر اتجاهات ، وتثیر حروب أو توقف حروب ، وأن تقلب الموازین هنا وهناک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الغربی یحتکر التطوّر ولا یکشف أسراره ، ولکن یصدّر الرذیلة والتلوّث البیئی والتلوّث الأخلاقی والتلوّث النفسی ، والبعض من المتأثّرین بالفکر الغربی یعیب علی الفقه الإسلامی بأنّه یحلّل ویحرّم ویتکلّم عن الطهارة والنجاسة وغیرها ، والآن تبیّن أنّ التشریع الإسلامی له دور کبیر فی حفظ المسلمین من الأمراض ، وأنّ أحکامه تحافظ علی البیئة وصحة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السابع للإرهاب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العنف الشدید ضدّ الأبریاء والمسالمین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تعریف صحیح ، وقد تکلّمنا عنه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الثامن للإرهاب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 غیر المشروع للقوّة والعنف والعدوان علی الأرواح والأموال العامّة والخاصّة ، وأنّه منهد نزاع عنیف یقصد الفاعل بمقتضاه ، وبواسطته الرغبة الناجمة إلی تغلیب رأیه السیاسی ، وسیطرته علی الطرف الآخر من مجتمع أو دولة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التعریف لا بأس به إلّاأنّه لا یبیّن مناط الشرعیة وعدم الشرعیة ، ومن هی الجهة التی تحدّد هذه الشرعیة؟ وعلی أیّ أُسس تحدّد هذه الممارسة أو تلک بأنّها شرعیة أو لیست شرعیة؟ وهل هی سلمیة ومنطقیة ودفاعیة أو أنّها إرهابیة وعدوانیة؟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الإرهاب الإعلامی تحاول الجهة القائمة علیه أن تمارس ضغوطاً معیّنة</w:t>
      </w:r>
      <w:bookmarkStart w:id="546" w:name="pg5261_55286"/>
    </w:p>
    <w:p>
      <w:pPr>
        <w:pStyle w:val="BookText"/>
        <w:rPr/>
      </w:pPr>
      <w:bookmarkEnd w:id="546"/>
      <w:r>
        <w:rPr>
          <w:rFonts w:ascii="IRNazanin" w:hAnsi="IRNazanin" w:eastAsia="IRNazanin"/>
          <w:color w:val="111111"/>
          <w:sz w:val="28"/>
          <w:sz w:val="28"/>
          <w:szCs w:val="28"/>
          <w:rtl w:val="true"/>
          <w:lang w:bidi="fa-IR"/>
        </w:rPr>
        <w:t xml:space="preserve">من أجل استمالة أطراف معیّنة ، وقد یحدث هذا فی الطائفة الواحدة من أجل تغییر بعض الموازین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مؤاخذتان علی هذه التعاریف التی ذکرناها </w:t>
      </w:r>
      <w:r>
        <w:rPr>
          <w:rFonts w:eastAsia="IRNazanin" w:cs="IRNazanin"/>
          <w:color w:val="111111"/>
          <w:sz w:val="28"/>
          <w:szCs w:val="28"/>
          <w:rtl w:val="true"/>
          <w:lang w:bidi="fa-IR"/>
        </w:rPr>
        <w:t>:</w:t>
      </w:r>
    </w:p>
    <w:p>
      <w:pPr>
        <w:pStyle w:val="Heading4"/>
        <w:numPr>
          <w:ilvl w:val="3"/>
          <w:numId w:val="1"/>
        </w:numPr>
        <w:rPr/>
      </w:pPr>
      <w:bookmarkStart w:id="547" w:name="__RefHeading___Toc477374_581953129"/>
      <w:bookmarkStart w:id="548" w:name="_Toc217"/>
      <w:bookmarkEnd w:id="547"/>
      <w:r>
        <w:rPr>
          <w:rtl w:val="true"/>
        </w:rPr>
        <w:t xml:space="preserve">المؤاخذة الأولی </w:t>
      </w:r>
      <w:r>
        <w:rPr>
          <w:rtl w:val="true"/>
        </w:rPr>
        <w:t xml:space="preserve">: </w:t>
      </w:r>
      <w:r>
        <w:rPr>
          <w:rtl w:val="true"/>
        </w:rPr>
        <w:t>إغفال عنصر الخفاء</w:t>
      </w:r>
      <w:r>
        <w:rPr>
          <w:rtl w:val="true"/>
        </w:rPr>
        <w:t>.</w:t>
      </w:r>
      <w:bookmarkEnd w:id="548"/>
    </w:p>
    <w:p>
      <w:pPr>
        <w:pStyle w:val="BookText"/>
        <w:rPr/>
      </w:pPr>
      <w:r>
        <w:rPr>
          <w:rFonts w:ascii="IRNazanin" w:hAnsi="IRNazanin" w:eastAsia="IRNazanin"/>
          <w:color w:val="111111"/>
          <w:sz w:val="28"/>
          <w:sz w:val="28"/>
          <w:szCs w:val="28"/>
          <w:rtl w:val="true"/>
          <w:lang w:bidi="fa-IR"/>
        </w:rPr>
        <w:t xml:space="preserve">أنّ هذه التعاریف أغفلت عنصر الخفاء ، مع أنّ العملیات الإرهابیة تقوم بها عناصر خفیّة وغیر معروفة ، ووراءها أصابع مشبوهة ، ولیست کالحرب التی یُعرف الطرفان المتنازعان فیها ، وإغفال عنصر الخفاء جاء متعمّداً حتّی لا تسلّط الأضواء علی القوی الکبری التی تعمل وتقف وراء العملیات الإرهابیة فی هذا البلد أو ذاک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الطائفیة فی پاکستان من الواضح أنّ هناک أصابع استکباریة تعمل من تحت الستار ، علی إذکاء هذه الفتنة الطائفیة التی لا طائل منها سوی تشویه الدین الإسلامی ، وإظهاره بصورة وحشیّة ، بل هم یعملون علی زرع ، وتأسیس الفکر المتطرّف ، کتأسیس حکومة طالبان ، وإمدادها بالسلاح لتشویه الإسلام ، والتشویش علی التجربة المشرقة فی الجمهوریة الإسلامیة الإیرانیة فی تطبیق الإسلام ، وقد انقلب السحر علی الساحر ، وتضرّرت أمریکا فی نهایة الأمر من تأسیس حرکة طالبان وحلفائها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الأمثلة علی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إثارة النعرات القومیّة للبربر فی المغرب العربی ، فنلاحظ أنّ إذاعة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ملفّات قدیمة عن البربر ، وعن تعلیم لغتهم ، والضرب علی أوتار حسّاسة حتّی لو جنوا الثمار بعد سنین متمادیة وهذا ما یحدث بالنسبة لنزاع الأقباط فی مصر مع المسلمین ، وفی کل بلد یشعلون فتنة مدمّرة ؛ لکی یضغطوا علی جهات معیّنة مستفیدین من تلک الفتنة التی حصلت</w:t>
      </w:r>
      <w:bookmarkStart w:id="549" w:name="pg5261_55288"/>
    </w:p>
    <w:p>
      <w:pPr>
        <w:pStyle w:val="BookText"/>
        <w:rPr/>
      </w:pPr>
      <w:bookmarkEnd w:id="549"/>
      <w:r>
        <w:rPr>
          <w:rFonts w:ascii="IRNazanin" w:hAnsi="IRNazanin" w:eastAsia="IRNazanin"/>
          <w:color w:val="111111"/>
          <w:sz w:val="28"/>
          <w:sz w:val="28"/>
          <w:szCs w:val="28"/>
          <w:rtl w:val="true"/>
          <w:lang w:bidi="fa-IR"/>
        </w:rPr>
        <w:t xml:space="preserve">هنا أو هناک ، وهذا هو إرهاب الدولة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إغفال عنصر الخفاء یمثّل ممالئة من قبل القانونیین إلی الدول التی تمارس الإرهاب </w:t>
      </w:r>
      <w:r>
        <w:rPr>
          <w:rFonts w:eastAsia="IRNazanin" w:cs="IRNazanin"/>
          <w:color w:val="111111"/>
          <w:sz w:val="28"/>
          <w:szCs w:val="28"/>
          <w:rtl w:val="true"/>
          <w:lang w:bidi="fa-IR"/>
        </w:rPr>
        <w:t>.</w:t>
      </w:r>
    </w:p>
    <w:p>
      <w:pPr>
        <w:pStyle w:val="Heading4"/>
        <w:numPr>
          <w:ilvl w:val="3"/>
          <w:numId w:val="1"/>
        </w:numPr>
        <w:rPr/>
      </w:pPr>
      <w:bookmarkStart w:id="550" w:name="__RefHeading___Toc477376_581953129"/>
      <w:bookmarkStart w:id="551" w:name="_Toc218"/>
      <w:bookmarkEnd w:id="550"/>
      <w:r>
        <w:rPr>
          <w:rtl w:val="true"/>
        </w:rPr>
        <w:t xml:space="preserve">المؤاخذة الثانیة </w:t>
      </w:r>
      <w:r>
        <w:rPr>
          <w:rtl w:val="true"/>
        </w:rPr>
        <w:t xml:space="preserve">: </w:t>
      </w:r>
      <w:r>
        <w:rPr>
          <w:rtl w:val="true"/>
        </w:rPr>
        <w:t>ما هو المیزان والفیصل فی تحدید الإرهاب ؟</w:t>
      </w:r>
      <w:bookmarkEnd w:id="551"/>
    </w:p>
    <w:p>
      <w:pPr>
        <w:pStyle w:val="BookText"/>
        <w:rPr/>
      </w:pPr>
      <w:r>
        <w:rPr>
          <w:rFonts w:ascii="Amiri" w:hAnsi="Amiri" w:eastAsia="Amiri" w:cs="Amiri"/>
          <w:color w:val="111111"/>
          <w:sz w:val="28"/>
          <w:sz w:val="28"/>
          <w:szCs w:val="28"/>
          <w:rtl w:val="true"/>
          <w:lang w:bidi="ar-SA"/>
        </w:rPr>
        <w:t>من الواضح أنّه لابد من استخدام القوّة فی بعض الموارد ، وأنّ وجود القوّة الغضبیة لها حکمة إلهیّة ، وهی ردع العدوان الذی یحصل من الطرف الآخر ، ولذلک یثنی القرآن الکریم علی الإرهاب الذی یکون هدفه صدّ الاعتداء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وکذلک مدح القرآن الکریم الرهبان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والراهب إنّما سمّی راهباً ؛ لأنّه یعیش الرهبة والخوف والخشیة من اللّه تعالی ، کما هو أحد وجوه التسمیة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المسلّم به أنّ هدف القانون الجنائی والجزائی أو تشریع فقه الحدود والقصاص هو ردع المتعدّی ، ومن ثم السیطرة علی شروره ، وقطع الطریق أمام أهدافه المدمّرة ، فهذا کله إرهاب محمود ، ویقبله العقل والشرع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الإرهاب المذموم فهو إرهاب العدوان والاستغلال والاستئصال وتجاوز الحدود ، ولیس منه ما یفعله الآن مجاهدو فلسطین ولبنان الذین یرهبون العدوان الصهیونی ، ویوقفون عدوان العدو </w:t>
      </w:r>
      <w:r>
        <w:rPr>
          <w:rFonts w:eastAsia="IRNazanin" w:cs="IRNazanin"/>
          <w:color w:val="111111"/>
          <w:sz w:val="28"/>
          <w:szCs w:val="28"/>
          <w:rtl w:val="true"/>
          <w:lang w:bidi="fa-IR"/>
        </w:rPr>
        <w:t>.</w:t>
      </w:r>
      <w:bookmarkStart w:id="552" w:name="pg5261_55290"/>
    </w:p>
    <w:p>
      <w:pPr>
        <w:pStyle w:val="Heading4"/>
        <w:numPr>
          <w:ilvl w:val="3"/>
          <w:numId w:val="1"/>
        </w:numPr>
        <w:rPr/>
      </w:pPr>
      <w:bookmarkStart w:id="553" w:name="__RefHeading___Toc477378_581953129"/>
      <w:bookmarkStart w:id="554" w:name="_Toc219"/>
      <w:bookmarkEnd w:id="552"/>
      <w:bookmarkEnd w:id="553"/>
      <w:r>
        <w:rPr>
          <w:rtl w:val="true"/>
        </w:rPr>
        <w:t>الضابطة فی قبول الإرهاب</w:t>
      </w:r>
      <w:bookmarkEnd w:id="554"/>
    </w:p>
    <w:p>
      <w:pPr>
        <w:pStyle w:val="BookText"/>
        <w:rPr/>
      </w:pPr>
      <w:r>
        <w:rPr>
          <w:rFonts w:ascii="IRNazanin" w:hAnsi="IRNazanin" w:eastAsia="IRNazanin"/>
          <w:color w:val="111111"/>
          <w:sz w:val="28"/>
          <w:sz w:val="28"/>
          <w:szCs w:val="28"/>
          <w:rtl w:val="true"/>
          <w:lang w:bidi="fa-IR"/>
        </w:rPr>
        <w:t xml:space="preserve">الضابطة فی قبول الإرهاب أو رفضه هو تجاوزه للحدود فإذا کان الإرهاب متجاوزاً للحدود وعدوانیاً کان إرهاباً غیر شرعی ومُداناً ، ویجب التصدی له ، أمّا إذا کان الإرهاب لردع العدوان فهو إرهاب إیجابی ، وردّ العدوان بالإرهاب الإعلامی أفضل من الحرب ؛ لأنّ الحرب تکون نتیجتها الضحایا والقتلی والخسائر المادیة والبشریة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الإرهاب لنیل الحقوق بدون التعدّی علی حقوق الآخرین فهو إرهاب ممدوح ، أمّا إذا کان الإرهاب للتعدّی علی الحقوق فهو إرهاب سلبی ، والشهید محمد باقر الصدر قدس سره له کلام فی قبح الظلم وحسن العدل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نعرّف الظلم؟ الظلم هو تجاوز حدود الآخرین ، والعدل هو أن تستوفی حقوقک من دون أن تتعدّی علی حقوق الآخرین </w:t>
      </w:r>
      <w:r>
        <w:rPr>
          <w:rFonts w:eastAsia="IRNazanin" w:cs="IRNazanin"/>
          <w:color w:val="111111"/>
          <w:sz w:val="28"/>
          <w:szCs w:val="28"/>
          <w:rtl w:val="true"/>
          <w:lang w:bidi="fa-IR"/>
        </w:rPr>
        <w:t>.</w:t>
      </w:r>
    </w:p>
    <w:p>
      <w:pPr>
        <w:pStyle w:val="Heading4"/>
        <w:numPr>
          <w:ilvl w:val="3"/>
          <w:numId w:val="1"/>
        </w:numPr>
        <w:rPr/>
      </w:pPr>
      <w:bookmarkStart w:id="555" w:name="__RefHeading___Toc477380_581953129"/>
      <w:bookmarkStart w:id="556" w:name="_Toc220"/>
      <w:bookmarkEnd w:id="555"/>
      <w:r>
        <w:rPr>
          <w:rtl w:val="true"/>
        </w:rPr>
        <w:t>الخلفیّة الحقوقیة والأخلاقیة والعقائدیة للقوانین</w:t>
      </w:r>
      <w:bookmarkEnd w:id="556"/>
    </w:p>
    <w:p>
      <w:pPr>
        <w:pStyle w:val="BookText"/>
        <w:rPr/>
      </w:pPr>
      <w:r>
        <w:rPr>
          <w:rFonts w:ascii="IRNazanin" w:hAnsi="IRNazanin" w:eastAsia="IRNazanin"/>
          <w:color w:val="111111"/>
          <w:sz w:val="28"/>
          <w:sz w:val="28"/>
          <w:szCs w:val="28"/>
          <w:rtl w:val="true"/>
          <w:lang w:bidi="fa-IR"/>
        </w:rPr>
        <w:t xml:space="preserve">والحقّ یقنّنه المشرّع ، وهنا نرجع إلی البحوث الأولی فی سلسلة بحوثنا هذه التی بیّنا فیها أنّ القانون یستند إلی خلفیّة حقوقیة ، والحقوق تستند إلی خلفیّة أخلاقیة ، والأخلاق تستند إلی رؤیة کونیة عقائدیة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فرض الحقوق التی تستند إلی رؤیة أخلاقیة ترجع إلی رؤیة عقائدیة مادیة علی من یعتقد بالرؤیة الکونیة والعقائدیة الإلهیة ؛ لأنّ المؤمن باللّه یعتقد بأنّ اللّه هو خالق الکون ، وهو أعلم به من غیره ،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یَعْلَمُ مَنْ خَلَقَ وَ هُوَ اللَّطِیفُ الْخَبِیرُ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وهؤلاء المادیین لا یعترفون بالخالق ، وإنّما یجعلون الفرد هو المحور ، ویرکّزون علی حریّته التی تطلق العنان لغرائزه وشهواته ونزواته ، وهکذا</w:t>
      </w:r>
      <w:bookmarkStart w:id="557" w:name="pg5261_55292"/>
    </w:p>
    <w:p>
      <w:pPr>
        <w:pStyle w:val="BookText"/>
        <w:rPr/>
      </w:pPr>
      <w:bookmarkEnd w:id="557"/>
      <w:r>
        <w:rPr>
          <w:rFonts w:ascii="IRNazanin" w:hAnsi="IRNazanin" w:eastAsia="IRNazanin"/>
          <w:color w:val="111111"/>
          <w:sz w:val="28"/>
          <w:sz w:val="28"/>
          <w:szCs w:val="28"/>
          <w:rtl w:val="true"/>
          <w:lang w:bidi="fa-IR"/>
        </w:rPr>
        <w:t>شعار تحریر المرأة ، حیث تکون النتیجة أن تصبح المرأة سلعة تباع وتشتری ، وفی أحد خطاباته ، قال الرئیس الأمریکی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سنحرّر العالم الإسلامی من البرقع ، وسنطلق الحقوق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قال إنّ ما یسمّیه الحقوق الجنسیة هی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مجموعة من الرذائل والسقوط الأخلاقی </w:t>
      </w:r>
      <w:r>
        <w:rPr>
          <w:rFonts w:eastAsia="IRNazanin" w:cs="IRNazanin"/>
          <w:color w:val="111111"/>
          <w:sz w:val="28"/>
          <w:szCs w:val="28"/>
          <w:rtl w:val="true"/>
          <w:lang w:bidi="fa-IR"/>
        </w:rPr>
        <w:t>.</w:t>
      </w:r>
    </w:p>
    <w:p>
      <w:pPr>
        <w:pStyle w:val="Heading4"/>
        <w:numPr>
          <w:ilvl w:val="3"/>
          <w:numId w:val="1"/>
        </w:numPr>
        <w:rPr/>
      </w:pPr>
      <w:bookmarkStart w:id="558" w:name="__RefHeading___Toc477382_581953129"/>
      <w:bookmarkStart w:id="559" w:name="_Toc221"/>
      <w:bookmarkEnd w:id="558"/>
      <w:r>
        <w:rPr>
          <w:rtl w:val="true"/>
        </w:rPr>
        <w:t>القوی السامیة فی أعلی الإنسان</w:t>
      </w:r>
      <w:bookmarkEnd w:id="559"/>
    </w:p>
    <w:p>
      <w:pPr>
        <w:pStyle w:val="BookText"/>
        <w:rPr/>
      </w:pPr>
      <w:r>
        <w:rPr>
          <w:rFonts w:ascii="IRNazanin" w:hAnsi="IRNazanin" w:eastAsia="IRNazanin"/>
          <w:color w:val="111111"/>
          <w:sz w:val="28"/>
          <w:sz w:val="28"/>
          <w:szCs w:val="28"/>
          <w:rtl w:val="true"/>
          <w:lang w:bidi="fa-IR"/>
        </w:rPr>
        <w:t xml:space="preserve">وهنا لفتة لطیفة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جعل القوی السامیة فی الإنسان فی أعلاه ، وجعل القوی السافلة فی أسفله فجعل القوی العقلیّة والبصر والسمع والنطق فی أعلاه ، والقوی الشهویة فی أسفله ، وهؤلاء یریدون أن یقلبوا الموازین بحیث یجعلون أسفله أعلاه وأعلاه أسفله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لو قلنا أنّ الفرد هو المحور فلماذا لا نرکّز علی القوی السامیة فی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إنّهم یرکّزون علی القوی الشهویة والغضبیة لا القوی العقلیّة </w:t>
      </w:r>
      <w:r>
        <w:rPr>
          <w:rFonts w:eastAsia="IRNazanin" w:cs="IRNazanin"/>
          <w:color w:val="111111"/>
          <w:sz w:val="28"/>
          <w:szCs w:val="28"/>
          <w:rtl w:val="true"/>
          <w:lang w:bidi="fa-IR"/>
        </w:rPr>
        <w:t>.</w:t>
      </w:r>
    </w:p>
    <w:p>
      <w:pPr>
        <w:pStyle w:val="Heading4"/>
        <w:numPr>
          <w:ilvl w:val="3"/>
          <w:numId w:val="1"/>
        </w:numPr>
        <w:rPr/>
      </w:pPr>
      <w:bookmarkStart w:id="560" w:name="__RefHeading___Toc477384_581953129"/>
      <w:bookmarkStart w:id="561" w:name="_Toc222"/>
      <w:bookmarkEnd w:id="560"/>
      <w:r>
        <w:rPr>
          <w:rtl w:val="true"/>
        </w:rPr>
        <w:t>لا للعبودیّة للاستکبار</w:t>
      </w:r>
      <w:bookmarkEnd w:id="56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أنّ الکبریاء للّه، والعظمة للّه، والحاکمیة للّه، والتشریع للّه ، وأنّ الملک للّه، والخلق عبیده ، ولا یمکن تحقیق العدالة فی کل جوانبها الاقتصادیة والقانونیة والسیاسیة إلّاإذا جعلنا المحور هو اللّه تعالی ، وأمّا إذا أصبحت الربوبیّة والألوهیة والملک والعظمة للجانب البشری فهنا تقع الکارثة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وتدبّ الفتن بین الناس ، وإذا ترکنا الأمر لتحدید الحدود بید البشر فإنّ کل جهة ستعمل علی تحقیق مصالحها ، کما هو حاصل الآن ، حیث یستخدم مصطلح الإرهاب لمحاربة جهات تجاهد من أجل تحریر أراضیها ، ولا یستخدم ضدّ المحتل العدوانی ، فهذا منطق تعسّفی </w:t>
      </w:r>
      <w:r>
        <w:rPr>
          <w:rFonts w:eastAsia="IRNazanin" w:cs="IRNazanin"/>
          <w:color w:val="111111"/>
          <w:sz w:val="28"/>
          <w:szCs w:val="28"/>
          <w:rtl w:val="true"/>
          <w:lang w:bidi="fa-IR"/>
        </w:rPr>
        <w:t>.</w:t>
      </w:r>
      <w:bookmarkStart w:id="562" w:name="pg5261_55296"/>
    </w:p>
    <w:p>
      <w:pPr>
        <w:pStyle w:val="Heading3"/>
        <w:numPr>
          <w:ilvl w:val="2"/>
          <w:numId w:val="1"/>
        </w:numPr>
        <w:rPr/>
      </w:pPr>
      <w:bookmarkStart w:id="563" w:name="__RefHeading___Toc477386_581953129"/>
      <w:bookmarkStart w:id="564" w:name="_Toc223"/>
      <w:bookmarkEnd w:id="562"/>
      <w:bookmarkEnd w:id="563"/>
      <w:r>
        <w:rPr>
          <w:rtl w:val="true"/>
        </w:rPr>
        <w:t>المحاضرة العاشرة الإمام الحسین علیه السلام اختار الشهادة ، ولم یرضخ للإرهاب</w:t>
      </w:r>
      <w:bookmarkEnd w:id="564"/>
    </w:p>
    <w:p>
      <w:pPr>
        <w:pStyle w:val="Heading4"/>
        <w:numPr>
          <w:ilvl w:val="3"/>
          <w:numId w:val="1"/>
        </w:numPr>
        <w:rPr/>
      </w:pPr>
      <w:bookmarkStart w:id="565" w:name="__RefHeading___Toc477388_581953129"/>
      <w:bookmarkStart w:id="566" w:name="_Toc224"/>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بعمل قوم أشرک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وضوح الموقف تجاه الحق والباطل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الإرهاب فی النصوص الدولیة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أسباب الإرهاب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الرضوخ للإرهاب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بین موقف النبی صلی الله علیه و آله وموقف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اختبرت نیّة أصحابک ؟</w:t>
      </w:r>
    </w:p>
    <w:p>
      <w:pPr>
        <w:pStyle w:val="Heading4"/>
        <w:numPr>
          <w:ilvl w:val="3"/>
          <w:numId w:val="1"/>
        </w:numPr>
        <w:rPr/>
      </w:pPr>
      <w:bookmarkStart w:id="567" w:name="__RefHeading___Toc477390_581953129"/>
      <w:bookmarkStart w:id="568" w:name="_Toc225"/>
      <w:bookmarkEnd w:id="567"/>
      <w:r>
        <w:rPr>
          <w:rtl w:val="true"/>
        </w:rPr>
        <w:t>من رضی بعمل قوم أشرک معهم</w:t>
      </w:r>
      <w:bookmarkEnd w:id="568"/>
    </w:p>
    <w:p>
      <w:pPr>
        <w:pStyle w:val="BookText"/>
        <w:rPr/>
      </w:pPr>
      <w:r>
        <w:rPr>
          <w:rFonts w:ascii="IRNazanin" w:hAnsi="IRNazanin" w:eastAsia="IRNazanin"/>
          <w:color w:val="111111"/>
          <w:sz w:val="28"/>
          <w:sz w:val="28"/>
          <w:szCs w:val="28"/>
          <w:rtl w:val="true"/>
          <w:lang w:bidi="fa-IR"/>
        </w:rPr>
        <w:t>نعزّی سید المرسلین صلی الله علیه و آله فی مصیبة ولده الإمام الحسین علیه السلام ، ونتبرّأ ممّن قتله وظلمه وانتهک حرمته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فإنّ هناک حقیقة قرآنیة یخاطب بها اللّه الیهود الذین عاصروا النبی صلی الله علیه و آله ، ویحمّلهم ما اقترفه آباؤهم قبل عدّة قرون ، فنلاحظ ذلک فی سورة البقرة</w:t>
      </w:r>
      <w:r>
        <w:rPr>
          <w:rStyle w:val="FootnoteAnchor"/>
          <w:rtl w:val="true"/>
        </w:rPr>
        <w:footnoteReference w:id="129"/>
      </w:r>
      <w:r>
        <w:rPr>
          <w:rFonts w:ascii="IRNazanin" w:hAnsi="IRNazanin" w:eastAsia="IRNazanin"/>
          <w:color w:val="111111"/>
          <w:sz w:val="28"/>
          <w:sz w:val="28"/>
          <w:szCs w:val="28"/>
          <w:rtl w:val="true"/>
          <w:lang w:bidi="fa-IR"/>
        </w:rPr>
        <w:t xml:space="preserve">، ومن ذلک قتل الأنبیاء وتحریف الکتاب وإعانة الظالمین ، وقد علّل المفسرون هذا الخطاب بأنّ الجیل الذی عاصر النبی صلی الله علیه و آله کان مقرّاً وراض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فعله أسلافه فی</w:t>
      </w:r>
      <w:bookmarkStart w:id="569" w:name="pg5261_55298"/>
    </w:p>
    <w:p>
      <w:pPr>
        <w:pStyle w:val="BookText"/>
        <w:rPr/>
      </w:pPr>
      <w:bookmarkEnd w:id="569"/>
      <w:r>
        <w:rPr>
          <w:rFonts w:ascii="IRNazanin" w:hAnsi="IRNazanin" w:eastAsia="IRNazanin"/>
          <w:color w:val="111111"/>
          <w:sz w:val="28"/>
          <w:sz w:val="28"/>
          <w:szCs w:val="28"/>
          <w:rtl w:val="true"/>
          <w:lang w:bidi="fa-IR"/>
        </w:rPr>
        <w:t xml:space="preserve">تلک القرون ، فلذلک فإنّ الغضب الإلهی الشدید للیهود الذین عاصروا النبی صلی الله علیه و آله وکأنهم هم أولئک الذین اقترفوا تلک الجرائم فی تلک العهود </w:t>
      </w:r>
      <w:r>
        <w:rPr>
          <w:rFonts w:eastAsia="IRNazanin" w:cs="IRNazanin"/>
          <w:color w:val="111111"/>
          <w:sz w:val="28"/>
          <w:szCs w:val="28"/>
          <w:rtl w:val="true"/>
          <w:lang w:bidi="fa-IR"/>
        </w:rPr>
        <w:t>.</w:t>
      </w:r>
    </w:p>
    <w:p>
      <w:pPr>
        <w:pStyle w:val="Heading4"/>
        <w:numPr>
          <w:ilvl w:val="3"/>
          <w:numId w:val="1"/>
        </w:numPr>
        <w:rPr/>
      </w:pPr>
      <w:bookmarkStart w:id="570" w:name="__RefHeading___Toc477392_581953129"/>
      <w:bookmarkStart w:id="571" w:name="_Toc226"/>
      <w:bookmarkEnd w:id="570"/>
      <w:r>
        <w:rPr>
          <w:rtl w:val="true"/>
        </w:rPr>
        <w:t>لابد من وضوح الموقف تجاه الحق والباطل</w:t>
      </w:r>
      <w:bookmarkEnd w:id="571"/>
    </w:p>
    <w:p>
      <w:pPr>
        <w:pStyle w:val="BookText"/>
        <w:rPr/>
      </w:pPr>
      <w:r>
        <w:rPr>
          <w:rFonts w:ascii="IRNazanin" w:hAnsi="IRNazanin" w:eastAsia="IRNazanin"/>
          <w:color w:val="111111"/>
          <w:sz w:val="28"/>
          <w:sz w:val="28"/>
          <w:szCs w:val="28"/>
          <w:rtl w:val="true"/>
          <w:lang w:bidi="fa-IR"/>
        </w:rPr>
        <w:t xml:space="preserve">ونحن نتعلّم من هذا درس أن نقف مع الحق وأن نتبرّأ من الباطل ، ویجب أن نوالی الحق ونسانده ونحبّه ، ومن هذا المنطلق یجب علی الأُمة الإسلامیة أن نتبرّأ مما فعله بنو أمیة من جرائم وفظائع وظلم لأهل البیت علیهم السلام ، وأن توالی سید الشهداء علیه السلام ؛ لأنّ موقفها هذا هو بمثابة الحضور فی ساحة کربلاء لنصرة الحسین علیه السلام ، أمّا الراضون بقتله فهم بمثابة الذین حضروا کربلاء لکی یقتلون سید الشهداء علیه السلام </w:t>
      </w:r>
      <w:r>
        <w:rPr>
          <w:rFonts w:eastAsia="IRNazanin" w:cs="IRNazanin"/>
          <w:color w:val="111111"/>
          <w:sz w:val="28"/>
          <w:szCs w:val="28"/>
          <w:rtl w:val="true"/>
          <w:lang w:bidi="fa-IR"/>
        </w:rPr>
        <w:t>.</w:t>
      </w:r>
    </w:p>
    <w:p>
      <w:pPr>
        <w:pStyle w:val="Heading4"/>
        <w:numPr>
          <w:ilvl w:val="3"/>
          <w:numId w:val="1"/>
        </w:numPr>
        <w:rPr/>
      </w:pPr>
      <w:bookmarkStart w:id="572" w:name="__RefHeading___Toc477394_581953129"/>
      <w:bookmarkStart w:id="573" w:name="_Toc227"/>
      <w:bookmarkEnd w:id="572"/>
      <w:r>
        <w:rPr>
          <w:rtl w:val="true"/>
        </w:rPr>
        <w:t xml:space="preserve">فی النصوص الدولیة یذکرون عدّة أسباب للإرهاب وهی </w:t>
      </w:r>
      <w:r>
        <w:rPr>
          <w:rtl w:val="true"/>
        </w:rPr>
        <w:t>:</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احترام حقوق الإنسان وحریاته الأساسیة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احترام حقوق الطوائف والأقلیات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الإقرار بحق الشعوب فی تقریر مصیرها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التمییز العنصری والطائفی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العدوان علی شعوب العالم الثالث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التدخّل فی الشؤون الداخلیة للدول المتحرّرة من قبل الدول العظمی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احتلال الأراضی </w:t>
      </w:r>
      <w:r>
        <w:rPr>
          <w:rFonts w:eastAsia="IRNazanin" w:cs="IRNazanin"/>
          <w:color w:val="111111"/>
          <w:sz w:val="28"/>
          <w:szCs w:val="28"/>
          <w:rtl w:val="true"/>
          <w:lang w:bidi="fa-IR"/>
        </w:rPr>
        <w:t>.</w:t>
      </w:r>
    </w:p>
    <w:p>
      <w:pPr>
        <w:pStyle w:val="Heading4"/>
        <w:numPr>
          <w:ilvl w:val="3"/>
          <w:numId w:val="1"/>
        </w:numPr>
        <w:rPr/>
      </w:pPr>
      <w:bookmarkStart w:id="574" w:name="__RefHeading___Toc477396_581953129"/>
      <w:bookmarkStart w:id="575" w:name="_Toc228"/>
      <w:bookmarkEnd w:id="574"/>
      <w:r>
        <w:rPr>
          <w:rtl w:val="true"/>
        </w:rPr>
        <w:t>معالجة أسباب الإرهاب</w:t>
      </w:r>
      <w:bookmarkEnd w:id="5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أحسنت إحدی الدول الإسلامیة عندما نصحت الدول الکبری بأنّ معالجة الإرهاب إنّما تتم بمعالجة أسبابه لا بالتصدّی لآثاره فإنّ هذا لن یحلّ المشکلة ، والحلّ یکمن فی إعطاء کل ذی حق حقه </w:t>
      </w:r>
      <w:r>
        <w:rPr>
          <w:rFonts w:eastAsia="IRNazanin" w:cs="IRNazanin"/>
          <w:color w:val="111111"/>
          <w:sz w:val="28"/>
          <w:szCs w:val="28"/>
          <w:rtl w:val="true"/>
          <w:lang w:bidi="fa-IR"/>
        </w:rPr>
        <w:t>.</w:t>
      </w:r>
      <w:bookmarkStart w:id="576" w:name="pg5261_55300"/>
    </w:p>
    <w:p>
      <w:pPr>
        <w:pStyle w:val="Heading4"/>
        <w:numPr>
          <w:ilvl w:val="3"/>
          <w:numId w:val="1"/>
        </w:numPr>
        <w:rPr/>
      </w:pPr>
      <w:bookmarkStart w:id="577" w:name="__RefHeading___Toc477398_581953129"/>
      <w:bookmarkStart w:id="578" w:name="_Toc229"/>
      <w:bookmarkEnd w:id="576"/>
      <w:bookmarkEnd w:id="577"/>
      <w:r>
        <w:rPr>
          <w:rtl w:val="true"/>
        </w:rPr>
        <w:t>عدم الرضوخ للإرهاب</w:t>
      </w:r>
      <w:bookmarkEnd w:id="578"/>
    </w:p>
    <w:p>
      <w:pPr>
        <w:pStyle w:val="BookText"/>
        <w:rPr/>
      </w:pPr>
      <w:r>
        <w:rPr>
          <w:rFonts w:ascii="IRNazanin" w:hAnsi="IRNazanin" w:eastAsia="IRNazanin"/>
          <w:color w:val="111111"/>
          <w:sz w:val="28"/>
          <w:sz w:val="28"/>
          <w:szCs w:val="28"/>
          <w:rtl w:val="true"/>
          <w:lang w:bidi="fa-IR"/>
        </w:rPr>
        <w:t xml:space="preserve">ولقد أعطانا الإمام الحسین علیه السلام درساً فی الصمود فی میدان المطالبة بالحق مهما بلغ بطش الطغاة ،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 بین السلّة والذلّة ، وهیهات منّا الذلّة یأبی اللّه لنا ذلک ورسوله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 والطاغی إنّما جعل له خیارین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الخضوع والذل والاستسلام ، وإمّا القتال والاستشهاد فاختار الإمام علیه السلام لغة القوّة وان لم یبتدء بها ، ولکنّه رفض الخضوع أمام القوّة والتهدید ، وهذا هو الدرس المستفاد من عاشوراء ، وهو عدم الاستسلام لبغی وبطش الدول الکبری علی حساب المبادیء والقیم والالتزام بالخط الإلهی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تکون مجابهة القوّة بالقوّة مجابهة مشروعة ، وکان الإمام الحسین علیه السلام له حدود لا یخرج عنها ، وله موازین لا یتعدّاها ، وهی الموازین الشرعیة الإسلامیة </w:t>
      </w:r>
      <w:r>
        <w:rPr>
          <w:rFonts w:eastAsia="IRNazanin" w:cs="IRNazanin"/>
          <w:color w:val="111111"/>
          <w:sz w:val="28"/>
          <w:szCs w:val="28"/>
          <w:rtl w:val="true"/>
          <w:lang w:bidi="fa-IR"/>
        </w:rPr>
        <w:t>.</w:t>
      </w:r>
    </w:p>
    <w:p>
      <w:pPr>
        <w:pStyle w:val="Heading4"/>
        <w:numPr>
          <w:ilvl w:val="3"/>
          <w:numId w:val="1"/>
        </w:numPr>
        <w:rPr/>
      </w:pPr>
      <w:bookmarkStart w:id="579" w:name="__RefHeading___Toc477400_581953129"/>
      <w:bookmarkStart w:id="580" w:name="_Toc230"/>
      <w:bookmarkEnd w:id="579"/>
      <w:r>
        <w:rPr>
          <w:rtl w:val="true"/>
        </w:rPr>
        <w:t>مقارنة بین موقف النبی صلی الله علیه و آله وموقف الإمام الحسین علیه السلام</w:t>
      </w:r>
      <w:bookmarkEnd w:id="5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أصحاب الحسین علیه السلام فی لیلة عاشوراء مستعدّین لتلک المواجهة الصعبة؟ ولماذا استمرّوا فی نصرة سید الشهداء ، مع أنّ الحسین علیه السلام قد برّأ ذمّتهم ، وجوّز لهم الانصراف؟ وحینها سیکون وحده یواجه هذا الجیش الجرّار ، وقد أمر اللّه النبی أن یجاهد الکفار حتّی لو وصل به الأمر أن یبقی لوحده فی المیدان ،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 فِی سَبِیلِ اللّهِ لا تُکَلَّفُ إِلاّ نَفْسَکَ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فالحسین مستعدّ للقتال حتّی لو کان ویحداً ، وهذا یدلّل علی أنّ موقف الحسین علیه السلام فی قتال بنی أمیة یضاهی ویماثل موقف النبی صلی الله علیه و آله فی قتال الکفار ، وهذا لم یکن للإمام علی علیه السلام ؛ لأنّ وظیفة</w:t>
      </w:r>
      <w:bookmarkStart w:id="581" w:name="pg5261_55302"/>
    </w:p>
    <w:p>
      <w:pPr>
        <w:pStyle w:val="BookText"/>
        <w:rPr/>
      </w:pPr>
      <w:bookmarkEnd w:id="581"/>
      <w:r>
        <w:rPr>
          <w:rFonts w:ascii="IRNazanin" w:hAnsi="IRNazanin" w:eastAsia="IRNazanin"/>
          <w:color w:val="111111"/>
          <w:sz w:val="28"/>
          <w:sz w:val="28"/>
          <w:szCs w:val="28"/>
          <w:rtl w:val="true"/>
          <w:lang w:bidi="fa-IR"/>
        </w:rPr>
        <w:t xml:space="preserve">الإمام علی علیه السلام ، وکذلک الإمام الحسن علیه السلام أن یستنصر المسلمین فی قتال أعدائه فإن نصروه جاهدهم وإن لم یفعلوا فلا یبقی لوحده فی المیدان ویسقط عنه التکلیف ، أمّا الإمام الحسین علیه السلام فوظیفته الشرعیة أن یبقی ولو کان وحده ، کما أمر اللّه نبیّه صلی الله علیه و آله فی الآیة الآنفة الذکر </w:t>
      </w:r>
      <w:r>
        <w:rPr>
          <w:rFonts w:eastAsia="IRNazanin" w:cs="IRNazanin"/>
          <w:color w:val="111111"/>
          <w:sz w:val="28"/>
          <w:szCs w:val="28"/>
          <w:rtl w:val="true"/>
          <w:lang w:bidi="fa-IR"/>
        </w:rPr>
        <w:t>.</w:t>
      </w:r>
    </w:p>
    <w:p>
      <w:pPr>
        <w:pStyle w:val="Heading4"/>
        <w:numPr>
          <w:ilvl w:val="3"/>
          <w:numId w:val="1"/>
        </w:numPr>
        <w:rPr/>
      </w:pPr>
      <w:bookmarkStart w:id="582" w:name="__RefHeading___Toc477402_581953129"/>
      <w:bookmarkStart w:id="583" w:name="_Toc231"/>
      <w:bookmarkEnd w:id="582"/>
      <w:r>
        <w:rPr>
          <w:rtl w:val="true"/>
        </w:rPr>
        <w:t>هل اختبرت نیّة أصحابک ؟</w:t>
      </w:r>
      <w:bookmarkEnd w:id="583"/>
    </w:p>
    <w:p>
      <w:pPr>
        <w:pStyle w:val="BookText"/>
        <w:rPr/>
      </w:pPr>
      <w:r>
        <w:rPr>
          <w:rFonts w:ascii="IRNazanin" w:hAnsi="IRNazanin" w:eastAsia="IRNazanin"/>
          <w:color w:val="111111"/>
          <w:sz w:val="28"/>
          <w:sz w:val="28"/>
          <w:szCs w:val="28"/>
          <w:rtl w:val="true"/>
          <w:lang w:bidi="fa-IR"/>
        </w:rPr>
        <w:t xml:space="preserve">وهکذا ثبت الإمام الحسین علیه السلام ، وثبت معه أهل بیته وأصحابه ، وکان الإمام علیه السلام قد ورث الشجاعة من جدّه صلی الله علیه و آله الذی کان الإمام علی علیه السلام یقول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رأیتنا یوم بدر ونحن نلوذ برسول اللّه صلی الله علیه و آله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 فإنّ له هیبتی وسؤددی ، وأمّا الحسین فإنّ له شجاعتی وجودی</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والملفت فی سیرة سید الشهداء علیه السلام أن غربل وصفّی واختبر أصحابه منذ خروجه من مکة المکرمة ، وهذا ما کان یثیر قلقاً عند الحوراء زینب علیها السلام حین قالت له فی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 هل استعملت من أصحابک نیاتهم فإنّی أخشی أن یسلّموک عند الوثبة واصطکاک الألسنة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ولکن الحسین علیه السلام کان مطمئناً من وقوف هؤلاء الأبطال فی هذا الزلزال الرهیب وقوف الجبال الرواسی ، وکانت المهمة صعبة ، وکربلاء لا ترضی أن یکون أبطالها إلّاعمالقة فی الإنسانیة ، وقمم فی الفضیلة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لا تجد باحثاً أخلاقیاً ، ولا باحثاً قانونیاً یستطیع أن یسجّل مخالفة أخلاقیة أو قانونیة ارتکبها أصحاب الإمام الحسین علیه السلام رغم صعوبة الظروف وشدّة الموقف </w:t>
      </w:r>
      <w:r>
        <w:rPr>
          <w:rFonts w:eastAsia="IRNazanin" w:cs="IRNazanin"/>
          <w:color w:val="111111"/>
          <w:sz w:val="28"/>
          <w:szCs w:val="28"/>
          <w:rtl w:val="true"/>
          <w:lang w:bidi="fa-IR"/>
        </w:rPr>
        <w:t>.</w:t>
      </w:r>
      <w:bookmarkStart w:id="584" w:name="pg5261_55320"/>
    </w:p>
    <w:p>
      <w:pPr>
        <w:pStyle w:val="Heading2"/>
        <w:numPr>
          <w:ilvl w:val="1"/>
          <w:numId w:val="1"/>
        </w:numPr>
        <w:rPr/>
      </w:pPr>
      <w:bookmarkStart w:id="585" w:name="__RefHeading___Toc477404_581953129"/>
      <w:bookmarkStart w:id="586" w:name="_Toc232"/>
      <w:bookmarkEnd w:id="584"/>
      <w:bookmarkEnd w:id="585"/>
      <w:r>
        <w:rPr/>
        <w:t>3</w:t>
      </w:r>
      <w:r>
        <w:rPr>
          <w:rtl w:val="true"/>
        </w:rPr>
        <w:t xml:space="preserve">- </w:t>
      </w:r>
      <w:r>
        <w:rPr>
          <w:rtl w:val="true"/>
        </w:rPr>
        <w:t>عاشوراء ومفهوم العولمة</w:t>
      </w:r>
      <w:bookmarkEnd w:id="5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477406_581953129"/>
      <w:bookmarkStart w:id="588" w:name="_Toc233"/>
      <w:bookmarkEnd w:id="587"/>
      <w:r>
        <w:rPr>
          <w:rtl w:val="true"/>
        </w:rPr>
        <w:t>اشارة</w:t>
      </w:r>
      <w:bookmarkStart w:id="589" w:name="pg5261_55324"/>
      <w:bookmarkEnd w:id="588"/>
    </w:p>
    <w:p>
      <w:pPr>
        <w:pStyle w:val="Heading3"/>
        <w:numPr>
          <w:ilvl w:val="2"/>
          <w:numId w:val="1"/>
        </w:numPr>
        <w:rPr/>
      </w:pPr>
      <w:bookmarkStart w:id="590" w:name="__RefHeading___Toc477408_581953129"/>
      <w:bookmarkStart w:id="591" w:name="_Toc234"/>
      <w:bookmarkEnd w:id="589"/>
      <w:bookmarkEnd w:id="590"/>
      <w:r>
        <w:rPr>
          <w:rtl w:val="true"/>
        </w:rPr>
        <w:t>المقدّمة</w:t>
      </w:r>
      <w:bookmarkEnd w:id="591"/>
    </w:p>
    <w:p>
      <w:pPr>
        <w:pStyle w:val="BookText"/>
        <w:rPr/>
      </w:pPr>
      <w:r>
        <w:rPr>
          <w:rFonts w:ascii="IRNazanin" w:hAnsi="IRNazanin" w:eastAsia="IRNazanin"/>
          <w:color w:val="111111"/>
          <w:sz w:val="28"/>
          <w:sz w:val="28"/>
          <w:szCs w:val="28"/>
          <w:rtl w:val="true"/>
          <w:lang w:bidi="fa-IR"/>
        </w:rPr>
        <w:t>بسم الله الحمن الرحیم</w:t>
      </w:r>
    </w:p>
    <w:p>
      <w:pPr>
        <w:pStyle w:val="BookText"/>
        <w:rPr/>
      </w:pPr>
      <w:r>
        <w:rPr>
          <w:rFonts w:ascii="IRNazanin" w:hAnsi="IRNazanin" w:eastAsia="IRNazanin"/>
          <w:color w:val="111111"/>
          <w:sz w:val="28"/>
          <w:sz w:val="28"/>
          <w:szCs w:val="28"/>
          <w:rtl w:val="true"/>
          <w:lang w:bidi="fa-IR"/>
        </w:rPr>
        <w:t xml:space="preserve">وصلّی اللّه علی أشرف الأنبیاء والمرسلین محمّد وآله الطیّبین الطاهرین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w:t>
      </w:r>
    </w:p>
    <w:p>
      <w:pPr>
        <w:pStyle w:val="BookText"/>
        <w:rPr/>
      </w:pPr>
      <w:r>
        <w:rPr>
          <w:rFonts w:ascii="IRNazanin" w:hAnsi="IRNazanin" w:eastAsia="IRNazanin"/>
          <w:color w:val="111111"/>
          <w:sz w:val="28"/>
          <w:sz w:val="28"/>
          <w:szCs w:val="28"/>
          <w:rtl w:val="true"/>
          <w:lang w:bidi="fa-IR"/>
        </w:rPr>
        <w:t xml:space="preserve">فهذه عدّة محاضرات ألقاها سماحة العلّامة الشیخ محمّد السند فی مأتم السّماکین فی المنامة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فی موسم عاشوراء ، وکانت بعنوان عاشوراء ومفهوم العولمة ، وقد کتبت هذه المحاضرات بعد أن سمعتها من قرص مدمج ، ولخّصت کل محاضرة علی حدة ، ووضعت محاورها فی عدّة نقاط ؛ لکی یتسنّی للقاریء معرفة المضامین التی تحتوی علیها المحاضرة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المحاضرات شرح سماحته معنی العولمة ، وذکر تحقق هذا المعنی فی الأُمم السابقة ، ووجود محاولات فی هذا المجال فی التاریخ البشری ، ثم قارن بین العولمة بالمفهوم الإسلامی ، والعولمة بالمفهوم غیر الإسلامی ، وبیان الثغور الواقعة فیه ، کما أنّه وضّح أنّ العولمة ینبغی أن تُبنی علی العامل الثقافی بالدرجة الأُولی ، وقد استشهد فی محاضراته بنصوص من القرآن الکریم ومن سیرة النبی صلی الله علیه و آله وأهل بیته علیهم السلام ، لا سیّما الإمام علی علیه السلام والإمام الحسین علیه السلام ، وقد تطرّق أیضاً إلی موضوع الأُمم المتّحدة ، وتقییم نموذجها من خلال مفهوم العولمة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طرح بعض الملاحظات علی أفکار العاملین فی مسیرة التقریب بین المذاهب الإسلامیة ، وما ینبغی أن یکون علیه الحوار بین هذه الطائفة وتلک ، ونوّه إلی بعض جوانب النقص والخلل فی هذه المسیرة ، کما أنّه أثنی علی القائمین علیها علی جهودهم لتوحید الصفّ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أتمنّی للقاریء العزیز أن یستفید من هذه المحاضرات المکتوبة ، وأن یضیف إلی سلّة معلوماته باقة جمیلة من العلم المفید ، ولا یفوتنی أن أشکر سماحة الشیخ علی تکلیفه لی بهذه المهمّة النبیلة ، وأسأل اللّه له ولنا التوفیق وصحبة محمّد وآله یوم لا ینفع مال ولا بنون إلّامن أتی اللّه بقلب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سید حسن الموسوی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bookmarkStart w:id="592" w:name="pg5261_55327"/>
    </w:p>
    <w:p>
      <w:pPr>
        <w:pStyle w:val="Heading3"/>
        <w:numPr>
          <w:ilvl w:val="2"/>
          <w:numId w:val="1"/>
        </w:numPr>
        <w:rPr/>
      </w:pPr>
      <w:bookmarkStart w:id="593" w:name="__RefHeading___Toc477410_581953129"/>
      <w:bookmarkStart w:id="594" w:name="_Toc235"/>
      <w:bookmarkEnd w:id="592"/>
      <w:bookmarkEnd w:id="593"/>
      <w:r>
        <w:rPr>
          <w:rtl w:val="true"/>
        </w:rPr>
        <w:t>عناوین المحاضرات</w:t>
      </w:r>
      <w:bookmarkEnd w:id="594"/>
    </w:p>
    <w:p>
      <w:pPr>
        <w:pStyle w:val="Heading4"/>
        <w:numPr>
          <w:ilvl w:val="3"/>
          <w:numId w:val="1"/>
        </w:numPr>
        <w:rPr/>
      </w:pPr>
      <w:bookmarkStart w:id="595" w:name="__RefHeading___Toc477412_581953129"/>
      <w:bookmarkStart w:id="596" w:name="_Toc236"/>
      <w:bookmarkEnd w:id="595"/>
      <w:r>
        <w:rPr>
          <w:rtl w:val="true"/>
        </w:rPr>
        <w:t>اشارة</w:t>
      </w:r>
      <w:bookmarkEnd w:id="596"/>
    </w:p>
    <w:p>
      <w:pPr>
        <w:pStyle w:val="BookText"/>
        <w:rPr/>
      </w:pPr>
      <w:r>
        <w:rPr>
          <w:rFonts w:ascii="IRNazanin" w:hAnsi="IRNazanin" w:eastAsia="IRNazanin"/>
          <w:color w:val="111111"/>
          <w:sz w:val="28"/>
          <w:sz w:val="28"/>
          <w:szCs w:val="28"/>
          <w:rtl w:val="true"/>
          <w:lang w:bidi="fa-IR"/>
        </w:rPr>
        <w:t>المحاضرة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من أحداث التاریخ وشخصیّاته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 حول الشعائر الحسینیة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والخطاب العولمی ، والعولمة فی العصور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الثقافیة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یعترف بالشعوب والقبائل ، ولکن لا یجعلها أساساً للمفاضلة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اهتمام المجتمع بقیمه ، ونتائج إهمالها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الحقیقی یوازن بین نقاط الاختلاف ونقاط 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علی الوحدة الإسلامیة مع وجود الخلاف فی الأصول والفروع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المحاضرة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وتهمة شقّ عصا المسلمین </w:t>
      </w:r>
      <w:r>
        <w:rPr>
          <w:rFonts w:eastAsia="IRNazanin" w:cs="IRNazanin"/>
          <w:color w:val="111111"/>
          <w:sz w:val="28"/>
          <w:szCs w:val="28"/>
          <w:rtl w:val="true"/>
          <w:lang w:bidi="fa-IR"/>
        </w:rPr>
        <w:t>.</w:t>
      </w:r>
      <w:bookmarkStart w:id="597" w:name="pg5261_55331"/>
    </w:p>
    <w:p>
      <w:pPr>
        <w:pStyle w:val="Heading4"/>
        <w:numPr>
          <w:ilvl w:val="3"/>
          <w:numId w:val="1"/>
        </w:numPr>
        <w:rPr/>
      </w:pPr>
      <w:bookmarkStart w:id="598" w:name="__RefHeading___Toc477414_581953129"/>
      <w:bookmarkStart w:id="599" w:name="_Toc237"/>
      <w:bookmarkEnd w:id="597"/>
      <w:bookmarkEnd w:id="598"/>
      <w:r>
        <w:rPr>
          <w:rtl w:val="true"/>
        </w:rPr>
        <w:t xml:space="preserve">المحاضرة الأُولی </w:t>
      </w:r>
      <w:r>
        <w:rPr>
          <w:rtl w:val="true"/>
        </w:rPr>
        <w:t>:</w:t>
      </w:r>
      <w:r>
        <w:rPr>
          <w:rtl w:val="true"/>
        </w:rPr>
        <w:t>الموقف من أحداث التاریخ وشخصیّاته</w:t>
      </w:r>
      <w:bookmarkEnd w:id="599"/>
    </w:p>
    <w:p>
      <w:pPr>
        <w:pStyle w:val="Heading5"/>
        <w:numPr>
          <w:ilvl w:val="4"/>
          <w:numId w:val="1"/>
        </w:numPr>
        <w:rPr/>
      </w:pPr>
      <w:bookmarkStart w:id="600" w:name="__RefHeading___Toc477416_581953129"/>
      <w:bookmarkStart w:id="601" w:name="_Toc238"/>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یحاکم الشخصیّات التاریخیة ، وکذلک السنّة المطهّرة والفطرة الإنسانیة والعقل البشری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الرثاء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القرآن الکریم من البدریین الذین کانوا مع 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مفهوم قرآنی یراد منه البراءة من الظالم ومساندة المظلوم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الموقف من أحداث التاریخ وشخصیّاته بناءً علی مفهوم انکار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المنکر التاریخی فی القرآن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أمّة رضیت بذلک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علی صعید العلاقات الدولیة </w:t>
      </w:r>
      <w:r>
        <w:rPr>
          <w:rFonts w:eastAsia="IRNazanin" w:cs="IRNazanin"/>
          <w:color w:val="111111"/>
          <w:sz w:val="28"/>
          <w:szCs w:val="28"/>
          <w:rtl w:val="true"/>
          <w:lang w:bidi="fa-IR"/>
        </w:rPr>
        <w:t>.</w:t>
      </w:r>
    </w:p>
    <w:p>
      <w:pPr>
        <w:pStyle w:val="Heading5"/>
        <w:numPr>
          <w:ilvl w:val="4"/>
          <w:numId w:val="1"/>
        </w:numPr>
        <w:rPr/>
      </w:pPr>
      <w:bookmarkStart w:id="602" w:name="__RefHeading___Toc477418_581953129"/>
      <w:bookmarkStart w:id="603" w:name="_Toc239"/>
      <w:bookmarkEnd w:id="602"/>
      <w:r>
        <w:rPr>
          <w:rtl w:val="true"/>
        </w:rPr>
        <w:t>القرآن الکریم یحاکم الشخصیّات التاریخیة ، وکذلک السنّة المطهّرة والفطرة الإنسانیة والعقل البشری</w:t>
      </w:r>
      <w:bookmarkEnd w:id="60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الاُمور التی تثیر الآخرین ، ویکثرون التساؤل عنها ، هی أنّ أتباع أهل البیت علیهم السلام یصرّون علی التنقیب فی التاریخ وعلی القضاء التاریخی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یتّخذون</w:t>
      </w:r>
      <w:bookmarkStart w:id="604" w:name="pg5261_55333"/>
    </w:p>
    <w:p>
      <w:pPr>
        <w:pStyle w:val="BookText"/>
        <w:rPr/>
      </w:pPr>
      <w:bookmarkEnd w:id="604"/>
      <w:r>
        <w:rPr>
          <w:rFonts w:ascii="IRNazanin" w:hAnsi="IRNazanin" w:eastAsia="IRNazanin"/>
          <w:color w:val="111111"/>
          <w:sz w:val="28"/>
          <w:sz w:val="28"/>
          <w:szCs w:val="28"/>
          <w:rtl w:val="true"/>
          <w:lang w:bidi="fa-IR"/>
        </w:rPr>
        <w:t>مواقف قضائیة تجاه الأحداث التاریخیة ، وهم یعترضون علی الشیعة بحجّة أنّ ذلک یوجب الشحناء والبغضاء فی صفوف الاُمّة الإسلامیة ، وإثارة النعرات الطائفیة فی وقت نحن أحوج ما نکون فیه إلی تألیف القلوب وتوحید الصفوف أمام التحدّیات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سنجیب علی هذا الإشکال ، وذلک من خلال الآیات القرآنیة الشریفة والسنّة المطهّرة والأدلة المتّفق علیها بین الفریقین والدلیل العقلی والقانون البشری ، کل هذه الأُمور تحثّ الإنسان علی نبش التاریخ والتنقیب عنه واتخاذ مواقف ممّا حدث فی التاریخ </w:t>
      </w:r>
      <w:r>
        <w:rPr>
          <w:rFonts w:eastAsia="IRNazanin" w:cs="IRNazanin"/>
          <w:color w:val="111111"/>
          <w:sz w:val="28"/>
          <w:szCs w:val="28"/>
          <w:rtl w:val="true"/>
          <w:lang w:bidi="fa-IR"/>
        </w:rPr>
        <w:t>.</w:t>
      </w:r>
    </w:p>
    <w:p>
      <w:pPr>
        <w:pStyle w:val="Heading5"/>
        <w:numPr>
          <w:ilvl w:val="4"/>
          <w:numId w:val="1"/>
        </w:numPr>
        <w:rPr/>
      </w:pPr>
      <w:bookmarkStart w:id="605" w:name="__RefHeading___Toc477420_581953129"/>
      <w:bookmarkStart w:id="606" w:name="_Toc240"/>
      <w:bookmarkEnd w:id="605"/>
      <w:r>
        <w:rPr>
          <w:rtl w:val="true"/>
        </w:rPr>
        <w:t>سنّة الرثاء فی القرآن الکریم</w:t>
      </w:r>
      <w:bookmarkEnd w:id="6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تکلّمت فی العالم الماضی عن سنّة قرآنیة عظیمة، ولم أقف علی من ذکر هذه السنّة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استقصائی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علی من آثار هذه الدلالة القرآنیة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علماء المذاهب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وهی استعراض القرآن الکریم للظلامات التاریخیة ابتداءً من قصّة هابیل وقابیل</w:t>
      </w:r>
      <w:r>
        <w:rPr>
          <w:rStyle w:val="FootnoteAnchor"/>
          <w:rtl w:val="true"/>
        </w:rPr>
        <w:footnoteReference w:id="134"/>
      </w:r>
      <w:r>
        <w:rPr>
          <w:rFonts w:ascii="IRNazanin" w:hAnsi="IRNazanin" w:eastAsia="IRNazanin"/>
          <w:color w:val="111111"/>
          <w:sz w:val="28"/>
          <w:sz w:val="28"/>
          <w:szCs w:val="28"/>
          <w:rtl w:val="true"/>
          <w:lang w:bidi="fa-IR"/>
        </w:rPr>
        <w:t>ومروراً بأصحاب الأُخدود</w:t>
      </w:r>
      <w:r>
        <w:rPr>
          <w:rStyle w:val="FootnoteAnchor"/>
          <w:rtl w:val="true"/>
        </w:rPr>
        <w:footnoteReference w:id="135"/>
      </w:r>
      <w:r>
        <w:rPr>
          <w:rFonts w:ascii="IRNazanin" w:hAnsi="IRNazanin" w:eastAsia="IRNazanin"/>
          <w:color w:val="111111"/>
          <w:sz w:val="28"/>
          <w:sz w:val="28"/>
          <w:szCs w:val="28"/>
          <w:rtl w:val="true"/>
          <w:lang w:bidi="fa-IR"/>
        </w:rPr>
        <w:t>وقتل الأنبیاء</w:t>
      </w:r>
      <w:r>
        <w:rPr>
          <w:rStyle w:val="FootnoteAnchor"/>
          <w:rtl w:val="true"/>
        </w:rPr>
        <w:footnoteReference w:id="136"/>
      </w:r>
      <w:r>
        <w:rPr>
          <w:rFonts w:ascii="IRNazanin" w:hAnsi="IRNazanin" w:eastAsia="IRNazanin"/>
          <w:color w:val="111111"/>
          <w:sz w:val="28"/>
          <w:sz w:val="28"/>
          <w:szCs w:val="28"/>
          <w:rtl w:val="true"/>
          <w:lang w:bidi="fa-IR"/>
        </w:rPr>
        <w:t>ومظلومیة النبی یوسف</w:t>
      </w:r>
      <w:r>
        <w:rPr>
          <w:rStyle w:val="FootnoteAnchor"/>
          <w:rtl w:val="true"/>
        </w:rPr>
        <w:footnoteReference w:id="137"/>
      </w:r>
      <w:r>
        <w:rPr>
          <w:rFonts w:ascii="IRNazanin" w:hAnsi="IRNazanin" w:eastAsia="IRNazanin"/>
          <w:color w:val="111111"/>
          <w:sz w:val="28"/>
          <w:sz w:val="28"/>
          <w:szCs w:val="28"/>
          <w:rtl w:val="true"/>
          <w:lang w:bidi="fa-IR"/>
        </w:rPr>
        <w:t>وأصحاب الکهف الذین وحّدوا اللّه بفطرتهم</w:t>
      </w:r>
      <w:r>
        <w:rPr>
          <w:rStyle w:val="FootnoteAnchor"/>
          <w:rtl w:val="true"/>
        </w:rPr>
        <w:footnoteReference w:id="138"/>
      </w:r>
      <w:r>
        <w:rPr>
          <w:rFonts w:ascii="IRNazanin" w:hAnsi="IRNazanin" w:eastAsia="IRNazanin"/>
          <w:color w:val="111111"/>
          <w:sz w:val="28"/>
          <w:sz w:val="28"/>
          <w:szCs w:val="28"/>
          <w:rtl w:val="true"/>
          <w:lang w:bidi="fa-IR"/>
        </w:rPr>
        <w:t xml:space="preserve">، ولم یکونوا ینتسبون إلی دین من الأدیان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أحد الآراء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وللأسف لم أسمع أحداً من الأُدباء من أتباع الإمامیة من طرق هذا الباب، وهذا السبق سبق أدبی وسبق قرآنی وسبق تربوی وسبق</w:t>
      </w:r>
      <w:bookmarkStart w:id="607" w:name="pg5261_55335"/>
    </w:p>
    <w:p>
      <w:pPr>
        <w:pStyle w:val="BookText"/>
        <w:rPr/>
      </w:pPr>
      <w:bookmarkEnd w:id="607"/>
      <w:r>
        <w:rPr>
          <w:rFonts w:ascii="IRNazanin" w:hAnsi="IRNazanin" w:eastAsia="IRNazanin"/>
          <w:color w:val="111111"/>
          <w:sz w:val="28"/>
          <w:sz w:val="28"/>
          <w:szCs w:val="28"/>
          <w:rtl w:val="true"/>
          <w:lang w:bidi="fa-IR"/>
        </w:rPr>
        <w:t xml:space="preserve">اجتماعی وسبق اعتقادی ، وهو وجود أدب الرثاء والندبة والعزاء فی القرآن الکریم، وللأسف لم یثر مفسّروا الإمامیة هذا الباب، وهو باب أدب الرثاء، مع أنّ القرآن الکریم یحمل الأُسلوب الرثائی بطریقة عاطفیّة جیّاشة، وهذا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الرثاء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إلی جانب أدب الحکم والمواعظ والأمثال والوعید والبشارة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والرثاء فی القرآن الکریم بأُسلوب عاطفی جیّاش یهدف إلی إیصال المستمع للقرآن إلی التضامن مع المظلوم، والتندید بالظلم والظالمین، ولو حلّلنا سورة البروج فی موضوع أصحاب الأُخدود، وحلّلنا قصّة هابیل وقابیل لرأینا أنّها فی منتهی الإثارة العاطفیّة للقاریء ، وهذا لیس أدب رثاء فقط ، ولکن کل ختمة نختمها من القرآن الکریم تتطوی علی العدید من المراثی والندب ، وهذا مطلب قرآنی یهدف إلی فتح الملفّات التاریخیة ، ومن الملفّات التی فتحها القرآن الکریم الملفّات التاریخیة المتعلّقة بالنبی وأصحابه ، فنری أنّ القرآن الکریم یفتح هذه الملفّات ویصنّف المحیطین بالنبی ، ویصفهم بأوصاف إیجابیة وسلبیة بدرجات مختلفة ، فیصف بعضهم بالمنافقین والمرجفین فی المدینة</w:t>
      </w:r>
      <w:r>
        <w:rPr>
          <w:rStyle w:val="FootnoteAnchor"/>
          <w:rtl w:val="true"/>
        </w:rPr>
        <w:footnoteReference w:id="139"/>
      </w:r>
      <w:r>
        <w:rPr>
          <w:rFonts w:ascii="IRNazanin" w:hAnsi="IRNazanin" w:eastAsia="IRNazanin"/>
          <w:color w:val="111111"/>
          <w:sz w:val="28"/>
          <w:sz w:val="28"/>
          <w:szCs w:val="28"/>
          <w:rtl w:val="true"/>
          <w:lang w:bidi="fa-IR"/>
        </w:rPr>
        <w:t>والمعوّقین والمبطئین والمتخلّفین</w:t>
      </w:r>
      <w:r>
        <w:rPr>
          <w:rStyle w:val="FootnoteAnchor"/>
          <w:rtl w:val="true"/>
        </w:rPr>
        <w:footnoteReference w:id="140"/>
      </w:r>
      <w:r>
        <w:rPr>
          <w:rFonts w:ascii="Amiri" w:hAnsi="Amiri" w:eastAsia="Amiri" w:cs="Amiri"/>
          <w:color w:val="111111"/>
          <w:sz w:val="28"/>
          <w:sz w:val="28"/>
          <w:szCs w:val="28"/>
          <w:rtl w:val="true"/>
          <w:lang w:bidi="ar-SA"/>
        </w:rPr>
        <w:t>، کما أنّ هناک أوصافاً إیجابیة تصفهم بأنّهم أشدّاء علی الکفّار رحماء بینهم تراهم رکَّعاً سجَّداً یبتغون فضلاً من ربّهم</w:t>
      </w:r>
      <w:r>
        <w:rPr>
          <w:rStyle w:val="FootnoteAnchor"/>
          <w:rtl w:val="true"/>
        </w:rPr>
        <w:footnoteReference w:id="141"/>
      </w:r>
    </w:p>
    <w:p>
      <w:pPr>
        <w:pStyle w:val="Heading5"/>
        <w:numPr>
          <w:ilvl w:val="4"/>
          <w:numId w:val="1"/>
        </w:numPr>
        <w:rPr/>
      </w:pPr>
      <w:bookmarkStart w:id="608" w:name="__RefHeading___Toc477422_581953129"/>
      <w:bookmarkStart w:id="609" w:name="_Toc241"/>
      <w:bookmarkEnd w:id="608"/>
      <w:r>
        <w:rPr>
          <w:rtl w:val="true"/>
        </w:rPr>
        <w:t>موقف القرآن الکریم من البدریین الذین کانوا مع النبی محمّد صلی الله علیه و آله</w:t>
      </w:r>
      <w:bookmarkEnd w:id="6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العام زرت مکان معرکة بدر الکبری ، والتی تبعد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 المدینة المنورة ببرکات النبی محمّد صلی الله علیه و آله وأئمة البقیع علیهم السلام والبضعة الطاهرة علیها السلام ، وهناک</w:t>
      </w:r>
    </w:p>
    <w:p>
      <w:pPr>
        <w:pStyle w:val="BookText"/>
        <w:rPr/>
      </w:pPr>
      <w:r>
        <w:rPr>
          <w:rFonts w:ascii="IRNazanin" w:hAnsi="IRNazanin" w:eastAsia="IRNazanin"/>
          <w:color w:val="111111"/>
          <w:sz w:val="28"/>
          <w:sz w:val="28"/>
          <w:szCs w:val="28"/>
          <w:rtl w:val="true"/>
          <w:lang w:bidi="fa-IR"/>
        </w:rPr>
        <w:t xml:space="preserve">رأینا أحد المشایخ ،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جئتم هنا إلی زیارة القبور؟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وإنّما أتیت هنا لأری مسرح المعرکة التی انتصر فیها المسلمون ، وکان لعلی علیه السلام دور أساسی ومحوری فی هذا النصر ، وهناک فتحنا القرآن ، وحاولنا معرفة مکان العدوة الدنیا والعدوة القصوی ومکان الرکب الموصوف فی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أَسْفَلَ مِنْکُمْ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حیث کان الإمام الصادق علیه السلام یوصی ابن أبی یعفور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 مشهد من مشاهد النبی إلّاواشهده</w:t>
      </w:r>
      <w:r>
        <w:rPr>
          <w:rStyle w:val="FootnoteAnchor"/>
          <w:rtl w:val="true"/>
        </w:rPr>
        <w:footnoteReference w:id="143"/>
      </w:r>
      <w:r>
        <w:rPr>
          <w:rFonts w:ascii="IRNazanin" w:hAnsi="IRNazanin" w:eastAsia="IRNazanin"/>
          <w:color w:val="111111"/>
          <w:sz w:val="28"/>
          <w:sz w:val="28"/>
          <w:szCs w:val="28"/>
          <w:rtl w:val="true"/>
          <w:lang w:bidi="fa-IR"/>
        </w:rPr>
        <w:t>، ولعلّ فی بعض الروایات وصلّ فیه رکعتین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وهناک ، ونحن ننظر إلی ساحة المعرکة ففتحنا القرآن ، وقرأنا فی سورة الأنفال، وقرأنا هذه الآیة أمام ذلک الشیخ الذی أنکر علینا زیارة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واستنتجنا من الآیة الکریمة أنّه کانت فئتان یذمّهما القرآن من بین البدریین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جمیع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الفئتان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والذین فی قلوبهم مرض، وعندما واجهنا ذلک الشیخ بهذه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بدر لم تکن مدینة مسکونة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لا یتکلّم عن سکّان بدر ، وإنّما یتکلّم عن بعض الصحابة الذین کانوا مع النبی یحاربون ولکنّهم کانوا منافقین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وعندها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مرتبط بعمل وأرید الانصراف </w:t>
      </w:r>
      <w:r>
        <w:rPr>
          <w:rFonts w:eastAsia="IRNazanin" w:cs="IRNazanin"/>
          <w:color w:val="111111"/>
          <w:sz w:val="28"/>
          <w:szCs w:val="28"/>
          <w:rtl w:val="true"/>
          <w:lang w:bidi="fa-IR"/>
        </w:rPr>
        <w:t>.</w:t>
      </w:r>
      <w:bookmarkStart w:id="610" w:name="pg5261_55339"/>
    </w:p>
    <w:p>
      <w:pPr>
        <w:pStyle w:val="BookText"/>
        <w:rPr/>
      </w:pPr>
      <w:bookmarkEnd w:id="610"/>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الطباطبائی فی المیزان فی ذیل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المنافقون ، وهم الذین أظهروا الإیمان وأبطنوا الکفر ، والذین فی قلوبهم مرض ، وهم الضعفاء فی الإیمان ممّن لا یخلو نفسه من الشکّ والارتیاب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مشیرین إلی المؤمنین إشارة تحقیر واستدلال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هؤلاء دینهم إذ لولا غرور دینهم لم یقدموا علی هذه المهلکة الظاهرة ، وهم شرذمة أذلّاء لا عدّة لهم ولا عُدّة ، وقریش علی ما بهم من العدّة والقوّة والشوکة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یندّد ببعض البدریین ، کما هو صریح الآیة المذکورة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نری بعض المسلمین یعتقدون أنّ کل أهل بدر مغفور لهم حتی لو ارتکبوا ما ارتکبوا ، ولعلّ اللّه عزّ وجلّ إطلع علی أهل بدر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إعملوا ما شئتم فقد غفرت لکم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والسید الطباطبائی یردّ علی هذه الروایة</w:t>
      </w:r>
      <w:r>
        <w:rPr>
          <w:rStyle w:val="FootnoteAnchor"/>
          <w:rtl w:val="true"/>
        </w:rPr>
        <w:footnoteReference w:id="147"/>
      </w:r>
      <w:r>
        <w:rPr>
          <w:rFonts w:ascii="IRNazanin" w:hAnsi="IRNazanin" w:eastAsia="IRNazanin"/>
          <w:color w:val="111111"/>
          <w:sz w:val="28"/>
          <w:sz w:val="28"/>
          <w:szCs w:val="28"/>
          <w:rtl w:val="true"/>
          <w:lang w:bidi="fa-IR"/>
        </w:rPr>
        <w:t xml:space="preserve">؛ لأنّها تخالف صریح القرآن الذی ندّد ببعض البدریین </w:t>
      </w:r>
      <w:r>
        <w:rPr>
          <w:rFonts w:eastAsia="IRNazanin" w:cs="IRNazanin"/>
          <w:color w:val="111111"/>
          <w:sz w:val="28"/>
          <w:szCs w:val="28"/>
          <w:rtl w:val="true"/>
          <w:lang w:bidi="fa-IR"/>
        </w:rPr>
        <w:t>.</w:t>
      </w:r>
    </w:p>
    <w:p>
      <w:pPr>
        <w:pStyle w:val="Heading5"/>
        <w:numPr>
          <w:ilvl w:val="4"/>
          <w:numId w:val="1"/>
        </w:numPr>
        <w:rPr/>
      </w:pPr>
      <w:bookmarkStart w:id="611" w:name="__RefHeading___Toc477424_581953129"/>
      <w:bookmarkStart w:id="612" w:name="_Toc242"/>
      <w:bookmarkEnd w:id="611"/>
      <w:r>
        <w:rPr>
          <w:rtl w:val="true"/>
        </w:rPr>
        <w:t>اللعن مفهوم قرآنی یراد منه البراءة من الظالم ومساندة المظلوم</w:t>
      </w:r>
      <w:bookmarkEnd w:id="6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نرکّز علی القرآن فضلاً عن کتب التاریخ والسیر والمراجع التی یعتمد علیها الفریقان ، القرآن یعلّمنا نبش التاریخ ومحاکمة الشخصیات التاریخیة واتخاذ المواقف منها، ونحن هنا نعلن شرعیة اللعن المتمثّل بالبراءة من الظالم والوقوف مع المظلوم ، واللعن لیس مفهوماً شیعیاً عصبیاً خرافیاً أُسطوریاً ناشئاً من العُقَد النفسیّة ، وإنّما هو مفهوم قرآنی إسلامی أصیل ، وحتی فی العرف القانونی</w:t>
      </w:r>
      <w:bookmarkStart w:id="613" w:name="pg5261_55341"/>
    </w:p>
    <w:p>
      <w:pPr>
        <w:pStyle w:val="BookText"/>
        <w:rPr/>
      </w:pPr>
      <w:bookmarkEnd w:id="613"/>
      <w:r>
        <w:rPr>
          <w:rFonts w:ascii="IRNazanin" w:hAnsi="IRNazanin" w:eastAsia="IRNazanin"/>
          <w:color w:val="111111"/>
          <w:sz w:val="28"/>
          <w:sz w:val="28"/>
          <w:szCs w:val="28"/>
          <w:rtl w:val="true"/>
          <w:lang w:bidi="fa-IR"/>
        </w:rPr>
        <w:t>الحدیث فیها اللعن بتسمیات أُخری ، وهی الاستنکار والشجب والإدانة ، وفی مقابلها التضامن والمساندة والتأیید والدعم ، وهذا هو التبرّی والتولّی ، ولکن بمصطلحات حدیثة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لا یدعو إلی نصرة المظلومین والمصلحین الشرفاء فحسب ، وإنّما یدعو إلی شجب وإدانة واستنکار ولعن الظالمین الذین لوّثوا التاریخ البشری ، وتعدّوا علی حق البشریة حتی لو صاروا رفاتاً وتراباً ، والاستنکار من صمیم الوجدان البشری ، ومن فطرة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حتی من المثقفین یستوحشون من اللعن ، والمشکلة لا تکمن فی حروف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فی مضمون اللعن ، واتخاذ الموقف المضاد للظالمین ، ولهذا فاللعن الوارد فی زیارة عاشوراء ینطلق من هذا المنطلق ، وهذا هو منطق القرآن‌الکریم </w:t>
      </w:r>
      <w:r>
        <w:rPr>
          <w:rFonts w:eastAsia="IRNazanin" w:cs="IRNazanin"/>
          <w:color w:val="111111"/>
          <w:sz w:val="28"/>
          <w:szCs w:val="28"/>
          <w:rtl w:val="true"/>
          <w:lang w:bidi="fa-IR"/>
        </w:rPr>
        <w:t>.</w:t>
      </w:r>
    </w:p>
    <w:p>
      <w:pPr>
        <w:pStyle w:val="Heading5"/>
        <w:numPr>
          <w:ilvl w:val="4"/>
          <w:numId w:val="1"/>
        </w:numPr>
        <w:rPr/>
      </w:pPr>
      <w:bookmarkStart w:id="614" w:name="__RefHeading___Toc477426_581953129"/>
      <w:bookmarkStart w:id="615" w:name="_Toc243"/>
      <w:bookmarkEnd w:id="614"/>
      <w:r>
        <w:rPr>
          <w:rtl w:val="true"/>
        </w:rPr>
        <w:t>اتخاذ الموقف من أحداث التاریخ وشخصیّاته بناءً علی مفهوم انکار المنکر</w:t>
      </w:r>
      <w:bookmarkEnd w:id="61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وأضیف لما ذکرته فی العام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القرآن کتاب رثاء وندبة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الکریم یدعو إلی اتخاذ الموقف ، ومحاکمة الأحداث التاریخیة وشخصیّاته ، ومن الضروریات الفقهیة المتسالم علیها بین الفریقین هی إنکار المنکر ، ویشمل مفهوم إنکار المنکر إنکار المنکر التاریخی ، والذی مرّ علیه زمان طویل ، ومن المعروف أنّ مراتب إنکار المنکر هی الإنکار بالقلب ثمّ باللسان ثمّ بالید ، وحیث إنّنا لا نتمکن من إنکار المنکر التاریخی بالید واللسان إلّاأنّنا نستطیع إنکاره بالقلب ، وأحداث التاریخ لها موضوع قائم فیجب إنکاره إنکاراً قلبیّاً ،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 ولا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 لأنّ اتخاذ الموقف من المنکر التاریخی ممکن بالقلب </w:t>
      </w:r>
      <w:r>
        <w:rPr>
          <w:rFonts w:eastAsia="IRNazanin" w:cs="IRNazanin"/>
          <w:color w:val="111111"/>
          <w:sz w:val="28"/>
          <w:szCs w:val="28"/>
          <w:rtl w:val="true"/>
          <w:lang w:bidi="fa-IR"/>
        </w:rPr>
        <w:t>.</w:t>
      </w:r>
      <w:bookmarkStart w:id="616" w:name="pg5261_55343"/>
    </w:p>
    <w:p>
      <w:pPr>
        <w:pStyle w:val="Heading5"/>
        <w:numPr>
          <w:ilvl w:val="4"/>
          <w:numId w:val="1"/>
        </w:numPr>
        <w:rPr/>
      </w:pPr>
      <w:bookmarkStart w:id="617" w:name="__RefHeading___Toc477428_581953129"/>
      <w:bookmarkStart w:id="618" w:name="_Toc244"/>
      <w:bookmarkEnd w:id="616"/>
      <w:bookmarkEnd w:id="617"/>
      <w:r>
        <w:rPr>
          <w:rtl w:val="true"/>
        </w:rPr>
        <w:t>انکار المنکر التاریخی فی القرآن الکریم</w:t>
      </w:r>
      <w:bookmarkEnd w:id="618"/>
    </w:p>
    <w:p>
      <w:pPr>
        <w:pStyle w:val="BookText"/>
        <w:rPr/>
      </w:pPr>
      <w:r>
        <w:rPr>
          <w:rFonts w:ascii="Amiri" w:hAnsi="Amiri" w:eastAsia="Amiri" w:cs="Amiri"/>
          <w:color w:val="111111"/>
          <w:sz w:val="28"/>
          <w:sz w:val="28"/>
          <w:szCs w:val="28"/>
          <w:rtl w:val="true"/>
          <w:lang w:bidi="ar-SA"/>
        </w:rPr>
        <w:t>وهذا الکلام له شاهد من القرآن الکریم ، فالقرآن الکریم یعاتب ویؤنّب ویندّد بالیهود المعاصرین للنبی محمّد صلی الله علیه و آله بما فعل أجدادهم قبل قرون عدیدة ؛ لأنّهم متعاطفون مع أجدادهم ، والقرآن الکریم لا یخاطبهم مخاطبة المتعاطف مع الظالم ، وإنّما یخاطبهم مخاطبة الظالم والمرتکب للجریمة ، وله شواهد عدیدة ،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الیهود المعاصرین للنبی صلی الله علیه و آله لم یقتلوا رسل اللّه ، ولکن اللّه خاطبهم بهذا الخطاب ؛ لأنّ هؤلاء رضوا بفعلهم ولم ینکروا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الیهود المعاصرین للنبی لیسوا هم الذین عبدوا العجل </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477430_581953129"/>
      <w:bookmarkStart w:id="620" w:name="_Toc245"/>
      <w:bookmarkEnd w:id="619"/>
      <w:r>
        <w:rPr>
          <w:rtl w:val="true"/>
        </w:rPr>
        <w:t>ولعن اللّه امّة رضیت بذلک</w:t>
      </w:r>
      <w:bookmarkEnd w:id="620"/>
    </w:p>
    <w:p>
      <w:pPr>
        <w:pStyle w:val="BookText"/>
        <w:rPr/>
      </w:pPr>
      <w:r>
        <w:rPr>
          <w:rFonts w:ascii="IRNazanin" w:hAnsi="IRNazanin" w:eastAsia="IRNazanin"/>
          <w:color w:val="111111"/>
          <w:sz w:val="28"/>
          <w:sz w:val="28"/>
          <w:szCs w:val="28"/>
          <w:rtl w:val="true"/>
          <w:lang w:bidi="fa-IR"/>
        </w:rPr>
        <w:t xml:space="preserve">ومن هذا المنطلق یحارب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بنی أُمیة باعتبار أنّهم رضوا بقتل الحسین علیه السلام ، وهذا ما فعله القرآن الکریم مع بنی إسرائیل المعاصرین للنبی صلی الله علیه و آله ، وحملهم مسؤولیة ما فعله أسلافهم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حدیث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بحشر المرء مع من أحب</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أمثال قابیل وقارون وفرعون؟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دلیل عقلی فطری یحسّن الحسن ویقبّح القبیح، فکیف نحارب فطرتنا ونطمسها؟</w:t>
      </w:r>
      <w:r>
        <w:rPr>
          <w:rFonts w:eastAsia="IRNazanin" w:cs="IRNazanin"/>
          <w:color w:val="111111"/>
          <w:sz w:val="28"/>
          <w:szCs w:val="28"/>
          <w:rtl w:val="true"/>
          <w:lang w:bidi="fa-IR"/>
        </w:rPr>
        <w:t>!</w:t>
      </w:r>
      <w:bookmarkStart w:id="621" w:name="pg5261_55345"/>
    </w:p>
    <w:p>
      <w:pPr>
        <w:pStyle w:val="Heading5"/>
        <w:numPr>
          <w:ilvl w:val="4"/>
          <w:numId w:val="1"/>
        </w:numPr>
        <w:rPr/>
      </w:pPr>
      <w:bookmarkStart w:id="622" w:name="__RefHeading___Toc477432_581953129"/>
      <w:bookmarkStart w:id="623" w:name="_Toc246"/>
      <w:bookmarkEnd w:id="621"/>
      <w:bookmarkEnd w:id="622"/>
      <w:r>
        <w:rPr>
          <w:rtl w:val="true"/>
        </w:rPr>
        <w:t>البراءة علی صعید العلاقات الدولیة</w:t>
      </w:r>
      <w:bookmarkEnd w:id="623"/>
    </w:p>
    <w:p>
      <w:pPr>
        <w:pStyle w:val="BookText"/>
        <w:rPr/>
      </w:pPr>
      <w:r>
        <w:rPr>
          <w:rFonts w:ascii="IRNazanin" w:hAnsi="IRNazanin" w:eastAsia="IRNazanin"/>
          <w:color w:val="111111"/>
          <w:sz w:val="28"/>
          <w:sz w:val="28"/>
          <w:szCs w:val="28"/>
          <w:rtl w:val="true"/>
          <w:lang w:bidi="fa-IR"/>
        </w:rPr>
        <w:t>أمّا علی صعید العلاقات الدولیة ، ففی مطلع هذا العام المیلادی زار الرئیس الیابانی قبور الجنرالات الیابانیین الذین شارکوا فی الحرب العالمیة فثارت ثائرة الصین وکوریا الجنوبیة ، فلِمَ ثارت ثائرتهم ونبشوا التاریخ؟ ولِمَ ینبش الرئیس الیابانی هذا التاریخ ؟</w:t>
      </w:r>
    </w:p>
    <w:p>
      <w:pPr>
        <w:pStyle w:val="BookText"/>
        <w:rPr/>
      </w:pPr>
      <w:r>
        <w:rPr>
          <w:rFonts w:ascii="IRNazanin" w:hAnsi="IRNazanin" w:eastAsia="IRNazanin"/>
          <w:color w:val="111111"/>
          <w:sz w:val="28"/>
          <w:sz w:val="28"/>
          <w:szCs w:val="28"/>
          <w:rtl w:val="true"/>
          <w:lang w:bidi="fa-IR"/>
        </w:rPr>
        <w:t>الصین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الجنرالات قد قاموا بجرائم فی حق الإنسانیة ، ویجب اتخاذ موقف سلبی منهم والبراءة منهم ، ومن غیر المناسب زیارة قبورهم ، بل طالب الصینیّون والکوریّون من الرئیس الیابانی الاعتذار من هذا الفعل الذی یعدّ مساندة للمجرمین فی حق الإنسانیة ، وأنّ هذا الفعل یربّی الشعب الیابانی علی الإجرام ، ویرسّخ التجاوزات التی یقوم بها المجرمون فی الأجیال القادمة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التاریخ یؤثّر فی النفوس ، وهو مجموعة من العلوم التی یمکن تطبیقها فی الواقع ، والتاریخ أبلغ تأثیراً فی صیاغة أفکار وعواطف المجتمع البشری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یتساوی عند الإنسان الظلم والعدل ، ولم یتخذ المواقف المناسبة منهما فإنّه یصبح ظالماً بصورة تلقائیة ، ولذلک یُرفض النازیّون والفاشیّون ، وتُرفض الإشادة بهتلر وموسیلینی ؛ لأنّ التضامن مع مثل هذه النماذج السیئة یسبّب أزمة فی المجتمع البشری ، ولهذا یرکّز القرآن علی الأحداث والسنن التاریخیة والاستفادة منها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التاریخ وعلم السیرة وتراجم الشخصیّات لیس تاریخاً قد مضی ، وإنّما هی عقیدة وعبرة وعظة وقراءة دینیة ، وعدم الاعتبار من التاریخ یسبّب تکرار الخطأ الذی قام به الأوّلون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الإنسان الحضاری هوالذی یتمسک بالتاریخ ویستفید منه فی جوّ هادیء ، وفی جوّ الحوار العلمی الموضوعی ، وتکرار الأخطاء قد یُعطی إنطباعاً أنّها لیست أخطاء ؛ لأنَّ الناس یتفاعلون معها بشکل طبیعی ویعتادون علیها ولا ینظرون إلی الجانب السلبی منها </w:t>
      </w:r>
      <w:r>
        <w:rPr>
          <w:rFonts w:eastAsia="IRNazanin" w:cs="IRNazanin"/>
          <w:color w:val="111111"/>
          <w:sz w:val="28"/>
          <w:szCs w:val="28"/>
          <w:rtl w:val="true"/>
          <w:lang w:bidi="fa-IR"/>
        </w:rPr>
        <w:t>.</w:t>
      </w:r>
      <w:bookmarkStart w:id="624" w:name="pg5261_55351"/>
    </w:p>
    <w:p>
      <w:pPr>
        <w:pStyle w:val="Heading4"/>
        <w:numPr>
          <w:ilvl w:val="3"/>
          <w:numId w:val="1"/>
        </w:numPr>
        <w:rPr/>
      </w:pPr>
      <w:bookmarkStart w:id="625" w:name="__RefHeading___Toc477434_581953129"/>
      <w:bookmarkStart w:id="626" w:name="_Toc247"/>
      <w:bookmarkEnd w:id="624"/>
      <w:bookmarkEnd w:id="625"/>
      <w:r>
        <w:rPr>
          <w:rtl w:val="true"/>
        </w:rPr>
        <w:t>المحاضرة الثانیة إشکالات حول الشعائر الحسینیة</w:t>
      </w:r>
      <w:bookmarkEnd w:id="626"/>
    </w:p>
    <w:p>
      <w:pPr>
        <w:pStyle w:val="Heading5"/>
        <w:numPr>
          <w:ilvl w:val="4"/>
          <w:numId w:val="1"/>
        </w:numPr>
        <w:rPr/>
      </w:pPr>
      <w:bookmarkStart w:id="627" w:name="__RefHeading___Toc477436_581953129"/>
      <w:bookmarkStart w:id="628" w:name="_Toc248"/>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 حول إحیاء الشعائر الحسینیة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الإشکالات لا تختص بالشعائر الحسینیة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فرض ثقافة علی الثقافات الأُخری وإلغاء خصوصیاتها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خطورة طرح العولمة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التقلید ما هو إیجابی ، ومنه ما هو سلبی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البکاء والحزن ظاهرة سلبیة وهدّامة؟</w:t>
      </w:r>
    </w:p>
    <w:p>
      <w:pPr>
        <w:pStyle w:val="Heading5"/>
        <w:numPr>
          <w:ilvl w:val="4"/>
          <w:numId w:val="1"/>
        </w:numPr>
        <w:rPr/>
      </w:pPr>
      <w:bookmarkStart w:id="629" w:name="__RefHeading___Toc477438_581953129"/>
      <w:bookmarkStart w:id="630" w:name="_Toc249"/>
      <w:bookmarkEnd w:id="629"/>
      <w:r>
        <w:rPr>
          <w:rtl w:val="true"/>
        </w:rPr>
        <w:t>إشکالات حول إحیاء الشعائر الحسینیة</w:t>
      </w:r>
      <w:bookmarkEnd w:id="630"/>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الشعائر الحسینیة عادات وتقالید ، وتمثّل موروثاً بشریّاً ، فمن المعروف أنّ العادات والتقالید قد تتغیّر أو تُلغی بحسب ما یملیه التطوّر البشری ؛ لأنّ العادات والتقالید تتأثّر بالبیئة وبالحضارات الأُخری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یطرحون هذه الإشکالات یطرحون بعض الشعائر الحسینیة ، ویربطونها ببعض الطقوس التی کانت تمارسها الأُمم الأُخری والحضارات الدینیة والحضارات التی لا ترتبط بدین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یری أنّ الشعائر الحسینیة تعتبر مجموعات أُسطوریة ترسمها وتشکّلها وتنتجها وتخلقها المخیّلة الإنسانیة المثالیّة أو النزعة فی الإنسان التی تنزع لحب البطل المثالی أو الشخصیّة النموذجیة المثالیّة التی تجذب الجمهور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عندما یطرحون هذا الإشکال لا یطرحونه باعتباره أمراً سلبیاً محضاً ، وإنّما یطرحونه باعتباره یحمل بعض الإیجابیات التی یتربّی من خلالها الجمهور الذی یستفید من سلوکیات هذه الشخصیة المثالیّة الأُسطوریة ، ویتعلّم منها النبل والشجاعة والإیثار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الإشکالات التی تطرحها مدارس علم النفس الحدیث ، هی ظاهرة الحزن والبکاء واللطم ، وبقیة المظاهر فی الشعائر الحسینیة ،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الشعائر ظاهرة سلبیة علی المستوی الفکری والنفسی والاجتماعی ؛ لأنّها تکبت المجتمع وتسبّب العُقَد النفسیّة وتشلّ حیویة ونشاط النفس وتقتل روح الأمل وتشیع حالة الیأس والقنوط والإحباط فی المجتمع ، ولها آثار سلبیة علی مستوی الروح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الرابع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لدینا رسالة نشر الإسلام ، ونشر مذهب أهل البیت علیهم السلام ، ومعارف الإسلام وأهل البیت علیهم السلام ، فإذا کانت هذه اللغة لغة غیر موصلة لمعارف أهل البیت علیهم السلام ، بل هی لغة مشوّهة وغیر مقبولة ، ولا یمکن أن یتفاعل معها الآخرون ، بل إنّهم ینفرون منها ویستوحشون ، فینبغی البحث عن وسائل ناجحة لنشر الإسلام ومعارف أهل البیت علیهم السلام ، وإجراء إصلاحات فی الخطاب الدینی وخطاب مدرسة أهل البیت علیهم السلام </w:t>
      </w:r>
      <w:r>
        <w:rPr>
          <w:rFonts w:eastAsia="IRNazanin" w:cs="IRNazanin"/>
          <w:color w:val="111111"/>
          <w:sz w:val="28"/>
          <w:szCs w:val="28"/>
          <w:rtl w:val="true"/>
          <w:lang w:bidi="fa-IR"/>
        </w:rPr>
        <w:t>.</w:t>
      </w:r>
      <w:bookmarkStart w:id="631" w:name="pg5261_55355"/>
    </w:p>
    <w:p>
      <w:pPr>
        <w:pStyle w:val="BookText"/>
        <w:rPr/>
      </w:pPr>
      <w:bookmarkEnd w:id="631"/>
      <w:r>
        <w:rPr>
          <w:rFonts w:ascii="IRNazanin" w:hAnsi="IRNazanin" w:eastAsia="IRNazanin"/>
          <w:color w:val="111111"/>
          <w:sz w:val="28"/>
          <w:sz w:val="28"/>
          <w:szCs w:val="28"/>
          <w:rtl w:val="true"/>
          <w:lang w:bidi="fa-IR"/>
        </w:rPr>
        <w:t xml:space="preserve">الإشکال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الطقوس تعتبر نوع من العقوبة التی یوقعها الإنسان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التکفیر عن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أتباع مذهب أهل البیت علیهم السلام یشعرون بالتقصیر فی نصرة الحسین علیه السلام وتخاذلهم فی الوقوف معه ، ولذلک فهم یوقعون بأنفسهم العقوبات البدنیّة والنفسیّة المتمثّلة فی إحیاء الشعائر الحسینیة ، ویستشهدون بثورة التوابین بقیادة سلیمان بن صرد الخزاعی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الشعائر الحسینیة لا تواکب الزمان ولا تناسب العصر ، ولماذا لا یتم تجدید الطقوس ونبذ الأسالیب القدیمة ودفنها فی مقابر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یطرح بعض أبنائنا هذا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اشکالات أُخری ، ولکنّنا نقتصر علی هذا المقدار </w:t>
      </w:r>
      <w:r>
        <w:rPr>
          <w:rFonts w:eastAsia="IRNazanin" w:cs="IRNazanin"/>
          <w:color w:val="111111"/>
          <w:sz w:val="28"/>
          <w:szCs w:val="28"/>
          <w:rtl w:val="true"/>
          <w:lang w:bidi="fa-IR"/>
        </w:rPr>
        <w:t>.</w:t>
      </w:r>
    </w:p>
    <w:p>
      <w:pPr>
        <w:pStyle w:val="Heading5"/>
        <w:numPr>
          <w:ilvl w:val="4"/>
          <w:numId w:val="1"/>
        </w:numPr>
        <w:rPr/>
      </w:pPr>
      <w:bookmarkStart w:id="632" w:name="__RefHeading___Toc477440_581953129"/>
      <w:bookmarkStart w:id="633" w:name="_Toc250"/>
      <w:bookmarkEnd w:id="632"/>
      <w:r>
        <w:rPr>
          <w:rtl w:val="true"/>
        </w:rPr>
        <w:t>هذه الإشکالات لا تختص بالشعائر الحسینیة</w:t>
      </w:r>
      <w:bookmarkEnd w:id="633"/>
    </w:p>
    <w:p>
      <w:pPr>
        <w:pStyle w:val="BookText"/>
        <w:rPr/>
      </w:pPr>
      <w:r>
        <w:rPr>
          <w:rFonts w:ascii="IRNazanin" w:hAnsi="IRNazanin" w:eastAsia="IRNazanin"/>
          <w:color w:val="111111"/>
          <w:sz w:val="28"/>
          <w:sz w:val="28"/>
          <w:szCs w:val="28"/>
          <w:rtl w:val="true"/>
          <w:lang w:bidi="fa-IR"/>
        </w:rPr>
        <w:t xml:space="preserve">هذه الإشکالات والتساؤلات لیست مطروحة علی الشعائر الحسینیة فحسب ، بل هی مطروحة علی عموم الشعائر الدینیة ، والآن یناقشها المفکّرون فی إطار حوار الحضارات ، وفی قضایا العولمة ، ولذلک اخترت هذه الإشکالات لتوطئة بحث العولمة ، والکلام لیس فی العادات والتقالید ؛ لأنّ العادات والتقالید آلیات ، ولکن المهم هو الفکرة التی تتضمننها العادات والتقالید </w:t>
      </w:r>
      <w:r>
        <w:rPr>
          <w:rFonts w:eastAsia="IRNazanin" w:cs="IRNazanin"/>
          <w:color w:val="111111"/>
          <w:sz w:val="28"/>
          <w:szCs w:val="28"/>
          <w:rtl w:val="true"/>
          <w:lang w:bidi="fa-IR"/>
        </w:rPr>
        <w:t>.</w:t>
      </w:r>
    </w:p>
    <w:p>
      <w:pPr>
        <w:pStyle w:val="Heading5"/>
        <w:numPr>
          <w:ilvl w:val="4"/>
          <w:numId w:val="1"/>
        </w:numPr>
        <w:rPr/>
      </w:pPr>
      <w:bookmarkStart w:id="634" w:name="__RefHeading___Toc477442_581953129"/>
      <w:bookmarkStart w:id="635" w:name="_Toc251"/>
      <w:bookmarkEnd w:id="634"/>
      <w:r>
        <w:rPr>
          <w:rtl w:val="true"/>
        </w:rPr>
        <w:t>لا یمکن فرض ثقافة علی الثقافات الأُخری وإلغاء خصوصیاتها</w:t>
      </w:r>
      <w:bookmarkEnd w:id="6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ما یعترض مسألة العولمة هی قضیة اختلاف العادات والتقالید والهویات القومیة واختلاف اللغة اللسانیة واللغة غیر اللسانیة المتمثلة بأفعال معیّنة تحمل معان معیّنة ؛ لأنّ الإنسان یحمل العدید من اللغات ، وکل تصرف یعمله</w:t>
      </w:r>
      <w:bookmarkStart w:id="636" w:name="pg5261_55357"/>
    </w:p>
    <w:p>
      <w:pPr>
        <w:pStyle w:val="BookText"/>
        <w:rPr/>
      </w:pPr>
      <w:bookmarkEnd w:id="636"/>
      <w:r>
        <w:rPr>
          <w:rFonts w:ascii="IRNazanin" w:hAnsi="IRNazanin" w:eastAsia="IRNazanin"/>
          <w:color w:val="111111"/>
          <w:sz w:val="28"/>
          <w:sz w:val="28"/>
          <w:szCs w:val="28"/>
          <w:rtl w:val="true"/>
          <w:lang w:bidi="fa-IR"/>
        </w:rPr>
        <w:t xml:space="preserve">یعتبر لغة توصل مفهوماً معیّناً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للشخص الآخر یدل علی الاحترام ، مع أنّ القیام فعل ولیس کلاماً، واختلاف الأعراف فی المجتمعات المختلفة قد یصل إلی مرحلة النقیض ، فیکون الفعل حسناً عند أُمّة ویکون هذا الفعل نفسه قبیحاً عند أمّة أُخری ، ولا یمکن تذویب اللغات المختلفة فی لغة واحدة ، وتذویب الآداب المختلفة فی أدب واحد ، وحمل الهویات المختلفة علی هویة واحدة ، وقد واجه هذا الطرح العدید من الاعتراضات من قبل العدید من الأُمم التی تخاف علی هویتها وعلی عاداتها وتقالیدها </w:t>
      </w:r>
      <w:r>
        <w:rPr>
          <w:rFonts w:eastAsia="IRNazanin" w:cs="IRNazanin"/>
          <w:color w:val="111111"/>
          <w:sz w:val="28"/>
          <w:szCs w:val="28"/>
          <w:rtl w:val="true"/>
          <w:lang w:bidi="fa-IR"/>
        </w:rPr>
        <w:t>.</w:t>
      </w:r>
    </w:p>
    <w:p>
      <w:pPr>
        <w:pStyle w:val="Heading5"/>
        <w:numPr>
          <w:ilvl w:val="4"/>
          <w:numId w:val="1"/>
        </w:numPr>
        <w:rPr/>
      </w:pPr>
      <w:bookmarkStart w:id="637" w:name="__RefHeading___Toc477444_581953129"/>
      <w:bookmarkStart w:id="638" w:name="_Toc252"/>
      <w:bookmarkEnd w:id="637"/>
      <w:r>
        <w:rPr>
          <w:rtl w:val="true"/>
        </w:rPr>
        <w:t>خطورة طرح العولمة</w:t>
      </w:r>
      <w:bookmarkEnd w:id="638"/>
    </w:p>
    <w:p>
      <w:pPr>
        <w:pStyle w:val="BookText"/>
        <w:rPr/>
      </w:pPr>
      <w:r>
        <w:rPr>
          <w:rFonts w:ascii="IRNazanin" w:hAnsi="IRNazanin" w:eastAsia="IRNazanin"/>
          <w:color w:val="111111"/>
          <w:sz w:val="28"/>
          <w:sz w:val="28"/>
          <w:szCs w:val="28"/>
          <w:rtl w:val="true"/>
          <w:lang w:bidi="fa-IR"/>
        </w:rPr>
        <w:t xml:space="preserve">وطرح العولمة یهدّد هویتنا الوطنیة والقومیة والدینیة والمذهبیة والفکریة والروحیة ؛ لأنّ لکل أُمّة عاداتها وتقالیدها بغض النظر عن إیجابیة هذه العادات والتقالید أو سلبیتها ، إلّاأنّها موجودة عند کل أُمّة من الأُمم ، وتعتبر جزءاً من هویة هذه الأُمّة ، ومن المستحیل أن تعیش أُمّة من دون عادات وتقالید ، ولا توجد أُمّة من الأُمم لم تتأثّر بأُمم أُخری </w:t>
      </w:r>
      <w:r>
        <w:rPr>
          <w:rFonts w:eastAsia="IRNazanin" w:cs="IRNazanin"/>
          <w:color w:val="111111"/>
          <w:sz w:val="28"/>
          <w:szCs w:val="28"/>
          <w:rtl w:val="true"/>
          <w:lang w:bidi="fa-IR"/>
        </w:rPr>
        <w:t>.</w:t>
      </w:r>
    </w:p>
    <w:p>
      <w:pPr>
        <w:pStyle w:val="Heading5"/>
        <w:numPr>
          <w:ilvl w:val="4"/>
          <w:numId w:val="1"/>
        </w:numPr>
        <w:rPr/>
      </w:pPr>
      <w:bookmarkStart w:id="639" w:name="__RefHeading___Toc477446_581953129"/>
      <w:bookmarkStart w:id="640" w:name="_Toc253"/>
      <w:bookmarkEnd w:id="639"/>
      <w:r>
        <w:rPr>
          <w:rtl w:val="true"/>
        </w:rPr>
        <w:t>من التقلید ما هو إیجابی ، ومنه ما هو سلبی</w:t>
      </w:r>
      <w:bookmarkEnd w:id="640"/>
    </w:p>
    <w:p>
      <w:pPr>
        <w:pStyle w:val="BookText"/>
        <w:rPr/>
      </w:pPr>
      <w:r>
        <w:rPr>
          <w:rFonts w:ascii="IRNazanin" w:hAnsi="IRNazanin" w:eastAsia="IRNazanin"/>
          <w:color w:val="111111"/>
          <w:sz w:val="28"/>
          <w:sz w:val="28"/>
          <w:szCs w:val="28"/>
          <w:rtl w:val="true"/>
          <w:lang w:bidi="fa-IR"/>
        </w:rPr>
        <w:t xml:space="preserve">إذن الأُمّة لابدّ لها من التقلید ، والتقلید لا یعتبر سلبیاً فی کل الأحوال ، بل هو إیجابی فی بعض الأحوال ، بل هو ضروری ولازم فی أحوال أُخری ، کما فی تقلید أهل التخصّص ، حیث لابدّ من توزیع التخصّصات والمهمّات وفق رؤیة علمیة صحیحة یستطیع الإنسان أن یرکن إلیها ، وذلک لأنّ الکائن البشری لا یستطیع أن یکون خبیراً فی کل شیء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وکلامنا هذا لا یقتصر علی التقلید الفقهی ، وإنّما یعم جمیع التخصّصات ؛ لأنّ التقلید منهج علمی شریطة أن یخضع لرؤیة علمیة سلیمة ، وموازین صحیحة تعتمد</w:t>
      </w:r>
    </w:p>
    <w:p>
      <w:pPr>
        <w:pStyle w:val="BookText"/>
        <w:rPr/>
      </w:pPr>
      <w:r>
        <w:rPr>
          <w:rFonts w:ascii="IRNazanin" w:hAnsi="IRNazanin" w:eastAsia="IRNazanin"/>
          <w:color w:val="111111"/>
          <w:sz w:val="28"/>
          <w:sz w:val="28"/>
          <w:szCs w:val="28"/>
          <w:rtl w:val="true"/>
          <w:lang w:bidi="fa-IR"/>
        </w:rPr>
        <w:t>علی کفاءة المقلَّد فی تخصّصه ، وأن لا تدخل المحسوبیات فی تقییم الشخصیّات المقلَّدة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یرفض التقلید بشکل تام یؤدّی رفضه إلی سدّ الطریق أمام العلم لکی لا یأخذ مجراه بشکل صحیح ، والقرآن إنّما ذمّ التقلید غیر المبنی علی العلم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والنزوع إلی التقلید أمر فطری ، والإنسان یقلّد مئات المرّات یومیاً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أخذ الشیعة بعض الآلیات من الأُمم الأُخری للتعبیر عن حزنهم علی سید الشهداء وأهل البیت علیهم السلام ، فإنّ ذلک لیس عیباً مادامت تلک الآلیة صحیحة وسلیمة ، وهذا یقع فی سیاق التبادل الثقافی والحضاری بین الأُمم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لیست المشکلة أنّ هذه الأسالیب الحسینیة مأخوذة من أُمم أُخری أم أنّها مبتکرة من أبناء الطائفة ، وإنّما المناط هو صحة الأُسلوب وعدم صحته ، فکون هذا الطقس مأخوذ من الأتراک أو من الهنود أو من غیرهم لا یطعن فی هذا الأُسلوب ، وکل الأُمم تتأثّر بالأُمم الأُخری فی أسالیبها ، ولکن المهم هو أن تبقی المعانی والمُثُل والقیم والمبادیء وإن اختلفت الأسالیب </w:t>
      </w:r>
      <w:r>
        <w:rPr>
          <w:rFonts w:eastAsia="IRNazanin" w:cs="IRNazanin"/>
          <w:color w:val="111111"/>
          <w:sz w:val="28"/>
          <w:szCs w:val="28"/>
          <w:rtl w:val="true"/>
          <w:lang w:bidi="fa-IR"/>
        </w:rPr>
        <w:t>.</w:t>
      </w:r>
      <w:bookmarkStart w:id="641" w:name="pg5261_55361"/>
    </w:p>
    <w:p>
      <w:pPr>
        <w:pStyle w:val="Heading5"/>
        <w:numPr>
          <w:ilvl w:val="4"/>
          <w:numId w:val="1"/>
        </w:numPr>
        <w:rPr/>
      </w:pPr>
      <w:bookmarkStart w:id="642" w:name="__RefHeading___Toc477448_581953129"/>
      <w:bookmarkStart w:id="643" w:name="_Toc254"/>
      <w:bookmarkEnd w:id="641"/>
      <w:bookmarkEnd w:id="642"/>
      <w:r>
        <w:rPr>
          <w:rtl w:val="true"/>
        </w:rPr>
        <w:t>هل البکاء والحزن ظاهرة سلبیة وهدّامة؟</w:t>
      </w:r>
      <w:bookmarkEnd w:id="643"/>
    </w:p>
    <w:p>
      <w:pPr>
        <w:pStyle w:val="BookText"/>
        <w:rPr/>
      </w:pPr>
      <w:r>
        <w:rPr>
          <w:rFonts w:ascii="IRNazanin" w:hAnsi="IRNazanin" w:eastAsia="IRNazanin"/>
          <w:color w:val="111111"/>
          <w:sz w:val="28"/>
          <w:sz w:val="28"/>
          <w:szCs w:val="28"/>
          <w:rtl w:val="true"/>
          <w:lang w:bidi="fa-IR"/>
        </w:rPr>
        <w:t xml:space="preserve">وأمّا الجواب عن الإشکال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الحزن ظاهرة هدّامة للمجتمع ، وتفتقد للحیویة والنشاط والهمم ، وتسبّب الکبت والتراجع النفسی والفکری والاجتماعی ، وأنّها عُقدة تکفیر الذنب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یطرح هذا الإشکال بعض أبناء المسلمین من المذاهب الأُخری ، فنقول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قلنا فی اللیلة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ظاهرة الحزن والبکاء ظاهرة قرآنیة یحث علیها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البروج وسورة یوسف وفی قصّة قابیل وهابیل ، بل إنّ القرآن الکریم یحثّ علی البکاء ویمتدح النفس اللوّامة فی بدایة سورة القیامة المبارکة ، ویذمّ الفرح حتی اعتقد البعض أنّ الفرح مذموم بصورة مطلقة ، وهذا لیس صحیحاً ؛ لأنّ القرآن یرفض الفرح فی بعض الحالات ، کتلک التی تؤدّی إلی بطر الإنسان ونسیانه للآخرة ، فالفرح مذموم ، ولکن لیس بصورة 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ووجود المجتمع المتدیّن یحدّ من الجریمة نتیجة وجود الحساب الداخلی والرقابة الذاتیة وتهذیب شراسة الشهوات والغرائز ، وهذا الأمر یعتمد علی التوازن بین الخوف والرجاء فی النفس الإنسانیة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من الخطأ رفض ظاهرة الحزن بشکل مطلق ، بل إنّنا فی أمسّ الحاجة لظاهرة الحزن والبکاء بالمقدار المطلوب وبشکل متوازن ، ومن المعروف أنّ الطائفة الشیعیة ، الاثنا عشریة لدیها محطّات أفراح تتمثل فی إحیاء موالید الأئمة علیهم السلام ، ونحن نفرح فی هذه المحطّات ، ویتم تعلیق الزینة ونشر مظاهر السرور فی مقابل الأحزان المتمثّلة فی البکاء والحزن فی الأیام التی توفّی فیها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الشعائر الدینیة تمثّل الإعلام الدینی ، والفرق بین الإعلام الدینی والإعلام غیر الدینی هو أنّ الإعلام الدینی إعلام مبدئی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وإنّنی أدعوا أبناءنا للتخصّص فی المجال الإعلامی ؛ لأنّه یشهد إفتقاراً کبیراً فی الطاقة البشریة ، فی مجال الصحافة والأدب والقصّة والروایة والمسرح وغیرها ، ولا یخفی علیکم أنّ الإعلام هو السلطة الرابعة ، بل قد یکون هو السلطة الأولی الذی یقرر الحرب والسلم فی کثیر من الأحیان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حدث فی العراق فی ذکری الأربعین السابقة</w:t>
      </w:r>
      <w:r>
        <w:rPr>
          <w:rStyle w:val="FootnoteAnchor"/>
          <w:rtl w:val="true"/>
        </w:rPr>
        <w:footnoteReference w:id="150"/>
      </w:r>
      <w:r>
        <w:rPr>
          <w:rFonts w:ascii="IRNazanin" w:hAnsi="IRNazanin" w:eastAsia="IRNazanin"/>
          <w:color w:val="111111"/>
          <w:sz w:val="28"/>
          <w:sz w:val="28"/>
          <w:szCs w:val="28"/>
          <w:rtl w:val="true"/>
          <w:lang w:bidi="fa-IR"/>
        </w:rPr>
        <w:t xml:space="preserve">بتوفیق من اللّه وببرکات الأئمة علیهم السلام فی المجتمع الملیونی الکبیر الذی أقل ما یقال عنه أنّه یضمّ ثلاثة إلی خمسة ملایین شخص لزیارة سید الشهداء علیه السلام ، وکان تنظیمهم عجیب فی ظلّ غیاب السلطة والدولة والشرطة والکهرباء والخدمات المدنیّة بدون حدوث أیّ حوادث قتل أو سرقة أو تدافع ، وقد تعجبت المحطّات الفضائیة من التنظیم العجیب لزّوار سید الشهداء علیه السلام ، ونحن ننشر الإسلام عن طریق نشر مبادیء وأهداف سید الشهداء الحسین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أحوج ما نکون إلی التقوِّی بالإعلام ، وأن یکون لنا إعلام قوی نستطیع من خلاله إیصال أفکارنا ، ونردّ علی إشکالات المخالفین بصورة ناجحة ومؤثرة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دعوی الأُسطوریة ، فیفنّدها حقیقة الوقائع الموثّقة فی کتب السیر والتاریخ والحدیث عن عظائم أحداث کربلاء وما رافقها من وقائع وشدّة الهول والمصائب النفسیة المقرحة صبغت منها أعظم حدث یقرح ضمیر الفطرة الإنسانیة لم ولن تشهد البشریة له مثیل ، والمصادر من الفریقین ، بل ومن غیر المسلمین ببابک ، وعلیک بالتتبع والتحرّی والفحص المضنی </w:t>
      </w:r>
      <w:r>
        <w:rPr>
          <w:rFonts w:eastAsia="IRNazanin" w:cs="IRNazanin"/>
          <w:color w:val="111111"/>
          <w:sz w:val="28"/>
          <w:szCs w:val="28"/>
          <w:rtl w:val="true"/>
          <w:lang w:bidi="fa-IR"/>
        </w:rPr>
        <w:t>.</w:t>
      </w:r>
      <w:bookmarkStart w:id="644" w:name="pg5261_55367"/>
    </w:p>
    <w:p>
      <w:pPr>
        <w:pStyle w:val="Heading4"/>
        <w:numPr>
          <w:ilvl w:val="3"/>
          <w:numId w:val="1"/>
        </w:numPr>
        <w:rPr/>
      </w:pPr>
      <w:bookmarkStart w:id="645" w:name="__RefHeading___Toc477450_581953129"/>
      <w:bookmarkStart w:id="646" w:name="_Toc255"/>
      <w:bookmarkEnd w:id="644"/>
      <w:bookmarkEnd w:id="645"/>
      <w:r>
        <w:rPr>
          <w:rtl w:val="true"/>
        </w:rPr>
        <w:t>المحاضرة الثالثة الحسین والخطاب العولمی والعولمة فی العصور السابقة</w:t>
      </w:r>
      <w:bookmarkEnd w:id="646"/>
    </w:p>
    <w:p>
      <w:pPr>
        <w:pStyle w:val="Heading5"/>
        <w:numPr>
          <w:ilvl w:val="4"/>
          <w:numId w:val="1"/>
        </w:numPr>
        <w:rPr/>
      </w:pPr>
      <w:bookmarkStart w:id="647" w:name="__RefHeading___Toc477452_581953129"/>
      <w:bookmarkStart w:id="648" w:name="_Toc256"/>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الحسینیة فی دائرة العولمة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الحسینیة تدعو إلی التضحیة والفداء لا إلی التقهقر والیأس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 زیارة الحسین علیه السلام فی أشدّ الظروف صعوبة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الهادی علیه السلام یأمر أبا هاشم الجعفری بزیارة الحسین علیه السلام فی عصر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یحملون أرقی نماذج العولمة</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نزعة البشر للتوحّد ، ونزعتهم للتفرّق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المتحدة مظهر من مظاهر الوحدة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العولمة فی العصور السابقة وحکومة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العولمة تصبّ فی عدّة مجاری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الأُمم المتّحدة للعولمة </w:t>
      </w:r>
      <w:r>
        <w:rPr>
          <w:rFonts w:eastAsia="IRNazanin" w:cs="IRNazanin"/>
          <w:color w:val="111111"/>
          <w:sz w:val="28"/>
          <w:szCs w:val="28"/>
          <w:rtl w:val="true"/>
          <w:lang w:bidi="fa-IR"/>
        </w:rPr>
        <w:t>.</w:t>
      </w:r>
    </w:p>
    <w:p>
      <w:pPr>
        <w:pStyle w:val="Heading5"/>
        <w:numPr>
          <w:ilvl w:val="4"/>
          <w:numId w:val="1"/>
        </w:numPr>
        <w:rPr/>
      </w:pPr>
      <w:bookmarkStart w:id="649" w:name="__RefHeading___Toc477454_581953129"/>
      <w:bookmarkStart w:id="650" w:name="_Toc257"/>
      <w:bookmarkEnd w:id="649"/>
      <w:r>
        <w:rPr>
          <w:rtl w:val="true"/>
        </w:rPr>
        <w:t>الشعائر الحسینیة فی دائرة العولمة</w:t>
      </w:r>
      <w:bookmarkEnd w:id="6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أردنا أن ندرس الشعائر الحسینیة دراسة 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ندرسها فی إطار بحث العولمة ، وذلک بسبب وجود حالة الانفتاح والحوار بین الأُمم ، ویمکننا أن ندرس الخطاب الحسینی فی إطار العولمة باعتبار أنَّ الإمام الحسین علیه السلام إمام</w:t>
      </w:r>
      <w:bookmarkStart w:id="651" w:name="pg5261_55369"/>
    </w:p>
    <w:p>
      <w:pPr>
        <w:pStyle w:val="BookText"/>
        <w:rPr/>
      </w:pPr>
      <w:bookmarkEnd w:id="651"/>
      <w:r>
        <w:rPr>
          <w:rFonts w:ascii="IRNazanin" w:hAnsi="IRNazanin" w:eastAsia="IRNazanin"/>
          <w:color w:val="111111"/>
          <w:sz w:val="28"/>
          <w:sz w:val="28"/>
          <w:szCs w:val="28"/>
          <w:rtl w:val="true"/>
          <w:lang w:bidi="fa-IR"/>
        </w:rPr>
        <w:t xml:space="preserve">معصوم ، وهو القرآن الناطق </w:t>
      </w:r>
      <w:r>
        <w:rPr>
          <w:rFonts w:eastAsia="IRNazanin" w:cs="IRNazanin"/>
          <w:color w:val="111111"/>
          <w:sz w:val="28"/>
          <w:szCs w:val="28"/>
          <w:rtl w:val="true"/>
          <w:lang w:bidi="fa-IR"/>
        </w:rPr>
        <w:t>.</w:t>
      </w:r>
    </w:p>
    <w:p>
      <w:pPr>
        <w:pStyle w:val="Heading5"/>
        <w:numPr>
          <w:ilvl w:val="4"/>
          <w:numId w:val="1"/>
        </w:numPr>
        <w:rPr/>
      </w:pPr>
      <w:bookmarkStart w:id="652" w:name="__RefHeading___Toc477456_581953129"/>
      <w:bookmarkStart w:id="653" w:name="_Toc258"/>
      <w:bookmarkEnd w:id="652"/>
      <w:r>
        <w:rPr>
          <w:rtl w:val="true"/>
        </w:rPr>
        <w:t>الشعائر الحسینیة وخطاب العولمة</w:t>
      </w:r>
      <w:bookmarkEnd w:id="653"/>
    </w:p>
    <w:p>
      <w:pPr>
        <w:pStyle w:val="BookText"/>
        <w:rPr/>
      </w:pPr>
      <w:r>
        <w:rPr>
          <w:rFonts w:ascii="IRNazanin" w:hAnsi="IRNazanin" w:eastAsia="IRNazanin"/>
          <w:color w:val="111111"/>
          <w:sz w:val="28"/>
          <w:sz w:val="28"/>
          <w:szCs w:val="28"/>
          <w:rtl w:val="true"/>
          <w:lang w:bidi="fa-IR"/>
        </w:rPr>
        <w:t>هل نستطیع أن نستخلص خطاباً حسینیاً عولمیاً یعطی حلولاً للبشریة ککل فی شتّی المجالات؟ وهل الکلمات الحسینیة والخطب الحسینیة تتضمّن الصفة العولمیة ، وتخاطب العالم خطاباً یضع یده علی الداء فیطیب؟</w:t>
      </w:r>
    </w:p>
    <w:p>
      <w:pPr>
        <w:pStyle w:val="Heading5"/>
        <w:numPr>
          <w:ilvl w:val="4"/>
          <w:numId w:val="1"/>
        </w:numPr>
        <w:rPr/>
      </w:pPr>
      <w:bookmarkStart w:id="654" w:name="__RefHeading___Toc477458_581953129"/>
      <w:bookmarkStart w:id="655" w:name="_Toc259"/>
      <w:bookmarkEnd w:id="654"/>
      <w:r>
        <w:rPr>
          <w:rtl w:val="true"/>
        </w:rPr>
        <w:t>الشعائر الحسینیة تدعو إلی التضحیة والفداء لا إلی التقهقر والیأس</w:t>
      </w:r>
      <w:bookmarkEnd w:id="655"/>
    </w:p>
    <w:p>
      <w:pPr>
        <w:pStyle w:val="BookText"/>
        <w:rPr/>
      </w:pPr>
      <w:r>
        <w:rPr>
          <w:rFonts w:ascii="IRNazanin" w:hAnsi="IRNazanin" w:eastAsia="IRNazanin"/>
          <w:color w:val="111111"/>
          <w:sz w:val="28"/>
          <w:sz w:val="28"/>
          <w:szCs w:val="28"/>
          <w:rtl w:val="true"/>
          <w:lang w:bidi="fa-IR"/>
        </w:rPr>
        <w:t>واستکمالاً لحدیث اللیلة الماضیة فی الردّ علی الإشکال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الشعائر الحسینیة شعائر تتضمّن عُقدة الذنب ، وإیقاع العقوبة علی النفس من أجل التکفیر عن الذنب ، وأنّها نتیجة الفشل والیأس والتقهقر والانتکاس الذی یعیشه الشیعة ، وقد مرّ علینا أنّه لابدّ أن ندرس الشعائر الحسینیة من حیث المضامین التی تنطوی علیها هذه الشعائر ، من الفداء والتضحیة والإباء والتغییر الإیجابی ورفض الظلم ، وتحشید الطاقات من أجل النهوض بالمعروف والنهی عن المنکر والجهاد وعدم الرکون للدنیا وزخرفها وزبرجها ، والثبات والصمود والاستبسال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الإعلام الحسینی ، مع أنّه ینطوی علی الحزن والجزع إلّاأنّه یضخّ فی وجدان الأُمّة وفکرها وروحها ، ویعمل علی تعبئة النفوس بمفاهیم التضحیة والفداء ، وهذا ما لا یتناسب مع الکسل والخمول والفشل والتراجع والیأس والتقهقر کما یطرحه ، هذا الإشکال وحالة تعبئة المقاتلین بالحماس ، وبحبّ الوطن حالة متعارفة عند أصحاب القتال والعسکریین </w:t>
      </w:r>
      <w:r>
        <w:rPr>
          <w:rFonts w:eastAsia="IRNazanin" w:cs="IRNazanin"/>
          <w:color w:val="111111"/>
          <w:sz w:val="28"/>
          <w:szCs w:val="28"/>
          <w:rtl w:val="true"/>
          <w:lang w:bidi="fa-IR"/>
        </w:rPr>
        <w:t>.</w:t>
      </w:r>
    </w:p>
    <w:p>
      <w:pPr>
        <w:pStyle w:val="Heading5"/>
        <w:numPr>
          <w:ilvl w:val="4"/>
          <w:numId w:val="1"/>
        </w:numPr>
        <w:rPr/>
      </w:pPr>
      <w:bookmarkStart w:id="656" w:name="__RefHeading___Toc477460_581953129"/>
      <w:bookmarkStart w:id="657" w:name="_Toc260"/>
      <w:bookmarkEnd w:id="656"/>
      <w:r>
        <w:rPr>
          <w:rtl w:val="true"/>
        </w:rPr>
        <w:t>الحثّ علی زیارة الحسین، فی أشدّ الظروف صعوبة</w:t>
      </w:r>
      <w:bookmarkEnd w:id="65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أنّ الحسینیین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یتمیّزون بالتفانی واسترخاص النفس وبذل الغالی والنفیس، وهناک العدید من الفقهاء یفتون بجواز زیارة</w:t>
      </w:r>
      <w:bookmarkStart w:id="658" w:name="pg5261_55371"/>
    </w:p>
    <w:p>
      <w:pPr>
        <w:pStyle w:val="BookText"/>
        <w:rPr/>
      </w:pPr>
      <w:bookmarkEnd w:id="658"/>
      <w:r>
        <w:rPr>
          <w:rFonts w:ascii="IRNazanin" w:hAnsi="IRNazanin" w:eastAsia="IRNazanin"/>
          <w:color w:val="111111"/>
          <w:sz w:val="28"/>
          <w:sz w:val="28"/>
          <w:szCs w:val="28"/>
          <w:rtl w:val="true"/>
          <w:lang w:bidi="fa-IR"/>
        </w:rPr>
        <w:t>الحسین علیه السلام حتّی مع وجود المخاطر والظروف الأمنیة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روایات مستفیضة تحثّ علی زیارة الحسین علیه السلام حتی فی الظروف الصعبة</w:t>
      </w:r>
      <w:r>
        <w:rPr>
          <w:rStyle w:val="FootnoteAnchor"/>
          <w:rtl w:val="true"/>
        </w:rPr>
        <w:footnoteReference w:id="151"/>
      </w:r>
      <w:r>
        <w:rPr>
          <w:rFonts w:ascii="IRNazanin" w:hAnsi="IRNazanin" w:eastAsia="IRNazanin"/>
          <w:color w:val="111111"/>
          <w:sz w:val="28"/>
          <w:sz w:val="28"/>
          <w:szCs w:val="28"/>
          <w:rtl w:val="true"/>
          <w:lang w:bidi="fa-IR"/>
        </w:rPr>
        <w:t xml:space="preserve">، وهناک العدید من شواهد التاریخ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یمکن قراءتها فی کتاب الوسائل فی نهایة کتاب الحج ، وفیها حثّ أکید شدید علی زیارة سید الشهداء علیه السلام من قبل الأئمة علیهم السلام فی ظل تشدید الدولة آنذاک علی الأئمة علیهم السلام ، حتّی أنّ الإمام الهادی والإمام العسکری علیهم السلام ، قد سجنا فی سجن عسکری ، ومن المعروف أنّ السجن العسکری فیه تشدید أکثر من السجن المدنی ؛ لأنّه یعتبر قاعدة عسکریة للجیش ، ولو دققنا فی الأمر لوجدنا أنّ الإمامین العسکریین علیهما السلام قد سجنا فی سجن عسکری فی سامراء ، مع أنّ الإمام موسی الکاظم علیه السلام قد سجن فی سجون مدنیّة ، ومع أنّها کانت ردیئة ومعاملتهم معه سیئة إلّاأنّ السجن العسکری للإمامین العسکریین یدلّ علی توتر الأجواء الأمنیّة، واستنفار الدولة العباسیة، وإلّا لما سجنت هذین الإمامین فی أکبر قاعدة عسکریة لأکبر دولة عظمی آنذاک ، وهذا یدل علی ترقب الدولة العباسیة لظهور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ولن نستغرق فی الکلام عن هذه النقطة المعترضة للحدیث </w:t>
      </w:r>
      <w:r>
        <w:rPr>
          <w:rFonts w:eastAsia="IRNazanin" w:cs="IRNazanin"/>
          <w:color w:val="111111"/>
          <w:sz w:val="28"/>
          <w:szCs w:val="28"/>
          <w:rtl w:val="true"/>
          <w:lang w:bidi="fa-IR"/>
        </w:rPr>
        <w:t>.</w:t>
      </w:r>
    </w:p>
    <w:p>
      <w:pPr>
        <w:pStyle w:val="Heading5"/>
        <w:numPr>
          <w:ilvl w:val="4"/>
          <w:numId w:val="1"/>
        </w:numPr>
        <w:rPr/>
      </w:pPr>
      <w:bookmarkStart w:id="659" w:name="__RefHeading___Toc477462_581953129"/>
      <w:bookmarkStart w:id="660" w:name="_Toc261"/>
      <w:bookmarkEnd w:id="659"/>
      <w:r>
        <w:rPr>
          <w:rtl w:val="true"/>
        </w:rPr>
        <w:t>الإمام الهادی علیه السلام یأمر أبا هاشم الجعفری بزیارة الحسین علیه السلام فی عصر</w:t>
      </w:r>
      <w:bookmarkEnd w:id="660"/>
    </w:p>
    <w:p>
      <w:pPr>
        <w:pStyle w:val="BookText"/>
        <w:rPr/>
      </w:pPr>
      <w:r>
        <w:rPr>
          <w:rFonts w:ascii="IRNazanin" w:hAnsi="IRNazanin" w:eastAsia="IRNazanin"/>
          <w:color w:val="111111"/>
          <w:sz w:val="28"/>
          <w:sz w:val="28"/>
          <w:szCs w:val="28"/>
          <w:rtl w:val="true"/>
          <w:lang w:bidi="fa-IR"/>
        </w:rPr>
        <w:t>المتوکل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یحدّثنا التاریخ عن مرض الإمام الهادی علیه السلام فی سامراء، ولم تکن سامراء مدینة کما نراها الآن ، بل کانت قاعدة عسکریة مدجّجة بالسلاح والجنود ، وقد</w:t>
      </w:r>
      <w:bookmarkStart w:id="661" w:name="pg5261_55373"/>
    </w:p>
    <w:p>
      <w:pPr>
        <w:pStyle w:val="BookText"/>
        <w:rPr/>
      </w:pPr>
      <w:bookmarkEnd w:id="661"/>
      <w:r>
        <w:rPr>
          <w:rFonts w:ascii="IRNazanin" w:hAnsi="IRNazanin" w:eastAsia="IRNazanin"/>
          <w:color w:val="111111"/>
          <w:sz w:val="28"/>
          <w:sz w:val="28"/>
          <w:szCs w:val="28"/>
          <w:rtl w:val="true"/>
          <w:lang w:bidi="fa-IR"/>
        </w:rPr>
        <w:t xml:space="preserve">انتدب الإمام الهادی علیه السلام داود أبا هاشم الجعفری ، وهو أحد کبار تلامیذ الإمام ، وهو فقیه من الفقهاء الکبار ، والذی کان من نسل جعفر الطیار ، وکان من تلامیذ الرضا والجواد والهادی علیهم السلام ، وهذا الشخص شخص عزیز لا یفرّط به ، مع ذلک انتدبه الإمام الهادی علیه السلام للدعاء له تحت قبة الحسین علیه السلام ، وکان ذلک فی زمن المتوکل المعروف ببغضه للحسین وأهل البیت علیهم السلام ، وفتکه بشیعتهم حتّی أنّه کان یقطع أیدی زوّار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إرسال الإمام الهادی علیه السلام لأبی هاشم الجعفری فی هذا الجو الخطر رغم مقامه العلمی الشامخ یدل علی اهتمام الإمام البالغ بزیارة الإمام الحسین علیه السلام ، وعندما استغرب أبو هاشم الجعفری من هذا الطلب من الإمام المعصوم المستجاب الدعوة ، قال له الإمام الهادی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للّه‌مواضع یحب أن یعبد فیها ، وحائر الحسین علیه السلام من تلک المواضع</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477464_581953129"/>
      <w:bookmarkStart w:id="663" w:name="_Toc262"/>
      <w:bookmarkEnd w:id="662"/>
      <w:r>
        <w:rPr>
          <w:rtl w:val="true"/>
        </w:rPr>
        <w:t>الأنبیاء یحملون أرقی نماذج العولمة</w:t>
      </w:r>
      <w:bookmarkEnd w:id="663"/>
    </w:p>
    <w:p>
      <w:pPr>
        <w:pStyle w:val="BookText"/>
        <w:rPr/>
      </w:pPr>
      <w:r>
        <w:rPr>
          <w:rFonts w:ascii="IRNazanin" w:hAnsi="IRNazanin" w:eastAsia="IRNazanin"/>
          <w:color w:val="111111"/>
          <w:sz w:val="28"/>
          <w:sz w:val="28"/>
          <w:szCs w:val="28"/>
          <w:rtl w:val="true"/>
          <w:lang w:bidi="fa-IR"/>
        </w:rPr>
        <w:t xml:space="preserve">العولمة تنطوی علی معنی التوحید فی الرؤیة والتجارة والقانون والاتصال والسیاسة والأمن والحاکمیة والثقافة والفکر ، وهی مضادّة للتفرقة والاختلاف والتمییز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مرّت البشریة بأدوار عدیدة ، مع وجود الرسل الذین کانوا یتمیّزون بوحدة الهدف ، ویحملون نفس المشروع الإصلاحی الإلهی علی الأرض ، وقد تکبّدت البشریة التی رفضت هذه الرسالات السماویة خسائر فادحة نتیجة عدم الاستجابة للأنبیاء ، فعانت من التفرقة والتمییز والعنصریة </w:t>
      </w:r>
      <w:r>
        <w:rPr>
          <w:rFonts w:eastAsia="IRNazanin" w:cs="IRNazanin"/>
          <w:color w:val="111111"/>
          <w:sz w:val="28"/>
          <w:szCs w:val="28"/>
          <w:rtl w:val="true"/>
          <w:lang w:bidi="fa-IR"/>
        </w:rPr>
        <w:t>.</w:t>
      </w:r>
      <w:bookmarkStart w:id="664" w:name="pg5261_55375"/>
    </w:p>
    <w:p>
      <w:pPr>
        <w:pStyle w:val="BookText"/>
        <w:rPr/>
      </w:pPr>
      <w:bookmarkEnd w:id="664"/>
      <w:r>
        <w:rPr>
          <w:rFonts w:ascii="IRNazanin" w:hAnsi="IRNazanin" w:eastAsia="IRNazanin"/>
          <w:color w:val="111111"/>
          <w:sz w:val="28"/>
          <w:sz w:val="28"/>
          <w:szCs w:val="28"/>
          <w:rtl w:val="true"/>
          <w:lang w:bidi="fa-IR"/>
        </w:rPr>
        <w:t xml:space="preserve">إذن الأنبیاء یحملون مشروع العولمة الإلهیة لجمیع البشر وهو یضمن لهم السعادة والنظام والعدل </w:t>
      </w:r>
      <w:r>
        <w:rPr>
          <w:rFonts w:eastAsia="IRNazanin" w:cs="IRNazanin"/>
          <w:color w:val="111111"/>
          <w:sz w:val="28"/>
          <w:szCs w:val="28"/>
          <w:rtl w:val="true"/>
          <w:lang w:bidi="fa-IR"/>
        </w:rPr>
        <w:t>.</w:t>
      </w:r>
    </w:p>
    <w:p>
      <w:pPr>
        <w:pStyle w:val="Heading5"/>
        <w:numPr>
          <w:ilvl w:val="4"/>
          <w:numId w:val="1"/>
        </w:numPr>
        <w:rPr/>
      </w:pPr>
      <w:bookmarkStart w:id="665" w:name="__RefHeading___Toc477466_581953129"/>
      <w:bookmarkStart w:id="666" w:name="_Toc263"/>
      <w:bookmarkEnd w:id="665"/>
      <w:r>
        <w:rPr>
          <w:rtl w:val="true"/>
        </w:rPr>
        <w:t>نزعة البشر للتوحّد ، ونزعتهم للتفرّق</w:t>
      </w:r>
      <w:bookmarkEnd w:id="666"/>
    </w:p>
    <w:p>
      <w:pPr>
        <w:pStyle w:val="BookText"/>
        <w:rPr/>
      </w:pPr>
      <w:r>
        <w:rPr>
          <w:rFonts w:ascii="IRNazanin" w:hAnsi="IRNazanin" w:eastAsia="IRNazanin"/>
          <w:color w:val="111111"/>
          <w:sz w:val="28"/>
          <w:sz w:val="28"/>
          <w:szCs w:val="28"/>
          <w:rtl w:val="true"/>
          <w:lang w:bidi="fa-IR"/>
        </w:rPr>
        <w:t>هناک نزعتان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للوحدة ، والأُخری للاختلاف والتکتل والتحزّب والتفرق ، ومن مظاهر النزوع للاختلافِ نظام الحکم الملکی والنظامِ السلطانی ونظام القبائل ونظام التمییز العرقی المنتشر فی إفریقیا ، بل فی الحضارات الغربیة ، فنسمع عن النازیة فی ألمانیا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وکذلک النظام القومی الذی برز فی ترکیا ودور أتاتورک فیها ، وإیران والقومیة الفارسیة ودور شاه ایران فیها ، والقومیّون العرب ، وهناک النظام الوطنی ، هذه أنظمة تضمن التوحّد فی الإطار الضیّق المتمثّل فی الوطن والعرق والقومیة ، ولکنها تمثّل تفرّقاً علی مستوی المجموع البشری والعالم ، فهی توحّد من جانب ، وتفرّق 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نری هذه التفرقة علی مستوی الطرح الرأسمالی التی تتجلّی فیه التفرقة بین طبقات المجتمع بصورة واضحة</w:t>
      </w:r>
      <w:r>
        <w:rPr>
          <w:rFonts w:eastAsia="IRNazanin" w:cs="IRNazanin"/>
          <w:color w:val="111111"/>
          <w:sz w:val="28"/>
          <w:szCs w:val="28"/>
          <w:rtl w:val="true"/>
          <w:lang w:bidi="fa-IR"/>
        </w:rPr>
        <w:t>.</w:t>
      </w:r>
    </w:p>
    <w:p>
      <w:pPr>
        <w:pStyle w:val="Heading5"/>
        <w:numPr>
          <w:ilvl w:val="4"/>
          <w:numId w:val="1"/>
        </w:numPr>
        <w:rPr/>
      </w:pPr>
      <w:bookmarkStart w:id="667" w:name="__RefHeading___Toc477468_581953129"/>
      <w:bookmarkStart w:id="668" w:name="_Toc264"/>
      <w:bookmarkEnd w:id="667"/>
      <w:r>
        <w:rPr>
          <w:rtl w:val="true"/>
        </w:rPr>
        <w:t>الأُمم المتحدة مظهر من مظاهر الوحدة</w:t>
      </w:r>
      <w:bookmarkEnd w:id="668"/>
    </w:p>
    <w:p>
      <w:pPr>
        <w:pStyle w:val="BookText"/>
        <w:rPr/>
      </w:pPr>
      <w:r>
        <w:rPr>
          <w:rFonts w:ascii="IRNazanin" w:hAnsi="IRNazanin" w:eastAsia="IRNazanin"/>
          <w:color w:val="111111"/>
          <w:sz w:val="28"/>
          <w:sz w:val="28"/>
          <w:szCs w:val="28"/>
          <w:rtl w:val="true"/>
          <w:lang w:bidi="fa-IR"/>
        </w:rPr>
        <w:t xml:space="preserve">ولو ألقینا نظرة علی الأُمم المتحدة التی بدأت بعد الحرب العالمیة الثانیة ، فکانت من مصادیق الوحدة علی عدّة محاور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الثقافی والتعلیم المتمثّل فی الیونیسکو ، وعلی محور القضاء محکمة لاهای الدولیة ، وعلی المحور الاقتصادی المتمثّل فی البنک الدولی ، وکذلک الوحدة فی الأمن المتمثّل فی مجلس الأمن ، والوحدة فی القانون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الفیتو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وظهرت قبل الأُمم المتحدة تحالفات سیاسیة وعسکریة کانت تمثّل توحّد نسبی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توحّد من جهة ضیّقة ، وتفرّق من جهة أُخری ، وهی الجهة التی</w:t>
      </w:r>
      <w:bookmarkStart w:id="669" w:name="pg5261_55377"/>
    </w:p>
    <w:p>
      <w:pPr>
        <w:pStyle w:val="BookText"/>
        <w:rPr/>
      </w:pPr>
      <w:bookmarkEnd w:id="669"/>
      <w:r>
        <w:rPr>
          <w:rFonts w:ascii="Amiri" w:hAnsi="Amiri" w:eastAsia="Amiri" w:cs="Amiri"/>
          <w:color w:val="111111"/>
          <w:sz w:val="28"/>
          <w:sz w:val="28"/>
          <w:szCs w:val="28"/>
          <w:rtl w:val="true"/>
          <w:lang w:bidi="ar-SA"/>
        </w:rPr>
        <w:t xml:space="preserve">تمثّل التوحّد العالمی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ترقّت مظاهر الوحدة إلی أن تجسّدت فی الأُمم المتحدة ، مع أنّها تعترف بأنّ لکل دولة قانونها الخاص بها </w:t>
      </w:r>
      <w:r>
        <w:rPr>
          <w:rFonts w:eastAsia="IRNazanin" w:cs="IRNazanin"/>
          <w:color w:val="111111"/>
          <w:sz w:val="28"/>
          <w:szCs w:val="28"/>
          <w:rtl w:val="true"/>
          <w:lang w:bidi="fa-IR"/>
        </w:rPr>
        <w:t>.</w:t>
      </w:r>
    </w:p>
    <w:p>
      <w:pPr>
        <w:pStyle w:val="Heading5"/>
        <w:numPr>
          <w:ilvl w:val="4"/>
          <w:numId w:val="1"/>
        </w:numPr>
        <w:rPr/>
      </w:pPr>
      <w:bookmarkStart w:id="670" w:name="__RefHeading___Toc477470_581953129"/>
      <w:bookmarkStart w:id="671" w:name="_Toc265"/>
      <w:bookmarkEnd w:id="670"/>
      <w:r>
        <w:rPr>
          <w:rtl w:val="true"/>
        </w:rPr>
        <w:t xml:space="preserve">الإمام المهدی </w:t>
      </w:r>
      <w:r>
        <w:rPr>
          <w:rtl w:val="true"/>
        </w:rPr>
        <w:t>(</w:t>
      </w:r>
      <w:r>
        <w:rPr>
          <w:rtl w:val="true"/>
        </w:rPr>
        <w:t>عجّل اللّه فرجه الشریف</w:t>
      </w:r>
      <w:r>
        <w:rPr>
          <w:rtl w:val="true"/>
        </w:rPr>
        <w:t xml:space="preserve">) </w:t>
      </w:r>
      <w:r>
        <w:rPr>
          <w:rtl w:val="true"/>
        </w:rPr>
        <w:t>سیقیم حکومة عالمیة</w:t>
      </w:r>
      <w:bookmarkEnd w:id="671"/>
    </w:p>
    <w:p>
      <w:pPr>
        <w:pStyle w:val="BookText"/>
        <w:rPr/>
      </w:pPr>
      <w:r>
        <w:rPr>
          <w:rFonts w:ascii="IRNazanin" w:hAnsi="IRNazanin" w:eastAsia="IRNazanin"/>
          <w:color w:val="111111"/>
          <w:sz w:val="28"/>
          <w:sz w:val="28"/>
          <w:szCs w:val="28"/>
          <w:rtl w:val="true"/>
          <w:lang w:bidi="fa-IR"/>
        </w:rPr>
        <w:t xml:space="preserve">والنزوع الی الوحدة فی البشریة مطلب بشری یتحقق فی حکومة عالمیة یقودها الإمام المهدی المنتظر عجل اللّه فرجه الشریف الذی سیقیم حکومة 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المسلمین بغض النظر عن بعض الفروقات الجانبیة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فی توحّدها أرقی من نظام الأُمم المتحدة التی تتعرّض إلی الکثیر من الانتقادات من هذه الجهة أو تلک ، وذلک لما تتمتع به حکومة الإمام المهدی عجل اللّه فرجه الشریف بقیادة معصومة تستمد نهجها من الخط الإلهی والنظرة الإلهیة للکون والإنسان </w:t>
      </w:r>
      <w:r>
        <w:rPr>
          <w:rFonts w:eastAsia="IRNazanin" w:cs="IRNazanin"/>
          <w:color w:val="111111"/>
          <w:sz w:val="28"/>
          <w:szCs w:val="28"/>
          <w:rtl w:val="true"/>
          <w:lang w:bidi="fa-IR"/>
        </w:rPr>
        <w:t>.</w:t>
      </w:r>
    </w:p>
    <w:p>
      <w:pPr>
        <w:pStyle w:val="Heading5"/>
        <w:numPr>
          <w:ilvl w:val="4"/>
          <w:numId w:val="1"/>
        </w:numPr>
        <w:rPr/>
      </w:pPr>
      <w:bookmarkStart w:id="672" w:name="__RefHeading___Toc477472_581953129"/>
      <w:bookmarkStart w:id="673" w:name="_Toc266"/>
      <w:bookmarkEnd w:id="672"/>
      <w:r>
        <w:rPr>
          <w:rtl w:val="true"/>
        </w:rPr>
        <w:t>العولمة تصبّ فی عدّة مجاری</w:t>
      </w:r>
      <w:bookmarkEnd w:id="67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النظام العالمی الواحد یتمثّل فی النظام السیاسی الذی یحکم العالم ، وهناک النظام العالمی العقائدی الذی یوحّد العالم فی العقیدة ، والبحث عن القواسم المشترکة بین المذاهب یصبّ فی هذا المجال باعتبار أنّ الحوار بین المذاهب مقدّمة للحوار بین الأدیان ، وهناک الوحدة التجاریة والاقتصادیة والمالیة ، وهناک عولمة جغرافیة ، وعولمة لغویة تجعل لغة واحدة تسود جمیع البشر باعتبارها اللغة الأقوی ، بل والعولمة فی الإعلام ووحدة مشهد الحدث ، حیث ینظر الجمیع إلی مشهد واحد من خلال وسائل الإعلام ، بل وحتّی وحدة الأزیاء والملابس والعادات والتقالید ، والإعلام له دور کبیر حتی فی الحروب لا یقل أهمیة عن الجوانب الأُخری فی کسب الأطراف ، وفی بیان أحقیّة الفئة التی تستخدم هذه</w:t>
      </w:r>
      <w:bookmarkStart w:id="674" w:name="pg5261_55379"/>
    </w:p>
    <w:p>
      <w:pPr>
        <w:pStyle w:val="BookText"/>
        <w:rPr/>
      </w:pPr>
      <w:bookmarkEnd w:id="674"/>
      <w:r>
        <w:rPr>
          <w:rFonts w:ascii="IRNazanin" w:hAnsi="IRNazanin" w:eastAsia="IRNazanin"/>
          <w:color w:val="111111"/>
          <w:sz w:val="28"/>
          <w:sz w:val="28"/>
          <w:szCs w:val="28"/>
          <w:rtl w:val="true"/>
          <w:lang w:bidi="fa-IR"/>
        </w:rPr>
        <w:t xml:space="preserve">الوسائل الإعلامیة فی صالحا ؛ لأنّ الإعلام یعتمد علی الفکر والفکر هوالذی یؤثّر فی صنع الرأی العام ، بل وفی اتخاذ الموقف العسکری المناسب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هناک سعی لحاکمیة النظام العالمی الموحّد ، وتذویب الأنظمة الصغیرة ، وجعلها خاضعة إلی النظام العالمی الکبیر </w:t>
      </w:r>
      <w:r>
        <w:rPr>
          <w:rFonts w:eastAsia="IRNazanin" w:cs="IRNazanin"/>
          <w:color w:val="111111"/>
          <w:sz w:val="28"/>
          <w:szCs w:val="28"/>
          <w:rtl w:val="true"/>
          <w:lang w:bidi="fa-IR"/>
        </w:rPr>
        <w:t>.</w:t>
      </w:r>
    </w:p>
    <w:p>
      <w:pPr>
        <w:pStyle w:val="Heading5"/>
        <w:numPr>
          <w:ilvl w:val="4"/>
          <w:numId w:val="1"/>
        </w:numPr>
        <w:rPr/>
      </w:pPr>
      <w:bookmarkStart w:id="675" w:name="__RefHeading___Toc477474_581953129"/>
      <w:bookmarkStart w:id="676" w:name="_Toc267"/>
      <w:bookmarkEnd w:id="675"/>
      <w:r>
        <w:rPr>
          <w:rtl w:val="true"/>
        </w:rPr>
        <w:t>العولمة نظام سبق له أن طبّق فی العصور السابقة</w:t>
      </w:r>
      <w:bookmarkEnd w:id="676"/>
    </w:p>
    <w:p>
      <w:pPr>
        <w:pStyle w:val="BookText"/>
        <w:rPr/>
      </w:pPr>
      <w:r>
        <w:rPr>
          <w:rFonts w:ascii="IRNazanin" w:hAnsi="IRNazanin" w:eastAsia="IRNazanin"/>
          <w:color w:val="111111"/>
          <w:sz w:val="28"/>
          <w:sz w:val="28"/>
          <w:szCs w:val="28"/>
          <w:rtl w:val="true"/>
          <w:lang w:bidi="fa-IR"/>
        </w:rPr>
        <w:t xml:space="preserve">علی الصعید الإسلامی نری أنّ نهضة سید المرسلین صلی الله علیه و آله وتبلیغه لرسالة الإسلام ونوع من أنواع العولمة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عاشت البشریة عدّة نماذج للعولمة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الإسکندر أو ذی القرنین کما یعبّر عنه القرآن الکریم ، وقد سمّی ذو القرنین ؛ لأنّه حکم المشرق والمغرب ، وقد اختلف المفسّرون فی أنّ الإسکندر هو ذو القرنین أم غیره ، وقد أسس ذو القرنین عولمة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النبی سلیمان علیه السلام قد أسس عولمة فی العصور السابقة ، حیث وردت روایات عن أهل البیت علیهم السلام فی أنّه لم یملک الدنیا إلّاأربعة ، وعدّت منهم النبی سلیمان علیه السلام</w:t>
      </w:r>
      <w:r>
        <w:rPr>
          <w:rStyle w:val="FootnoteAnchor"/>
          <w:rtl w:val="true"/>
        </w:rPr>
        <w:footnoteReference w:id="153"/>
      </w:r>
      <w:r>
        <w:rPr>
          <w:rFonts w:ascii="Amiri" w:hAnsi="Amiri" w:eastAsia="Amiri" w:cs="Amiri"/>
          <w:color w:val="111111"/>
          <w:sz w:val="28"/>
          <w:sz w:val="28"/>
          <w:szCs w:val="28"/>
          <w:rtl w:val="true"/>
          <w:lang w:bidi="ar-SA"/>
        </w:rPr>
        <w:t xml:space="preserve">الذی ورد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والأُمم المتحدة أغفلت هذه العولمة التی حدثت فی العصور السابقة؛ لأنّهم یعتمدون علی العلوم الحدیثة فقط مما یجعل طرحهم ناقصاً </w:t>
      </w:r>
      <w:r>
        <w:rPr>
          <w:rFonts w:eastAsia="IRNazanin" w:cs="IRNazanin"/>
          <w:color w:val="111111"/>
          <w:sz w:val="28"/>
          <w:szCs w:val="28"/>
          <w:rtl w:val="true"/>
          <w:lang w:bidi="fa-IR"/>
        </w:rPr>
        <w:t>.</w:t>
      </w:r>
      <w:bookmarkStart w:id="677" w:name="pg5261_55381"/>
    </w:p>
    <w:p>
      <w:pPr>
        <w:pStyle w:val="BookText"/>
        <w:rPr/>
      </w:pPr>
      <w:bookmarkEnd w:id="677"/>
      <w:r>
        <w:rPr>
          <w:rFonts w:ascii="IRNazanin" w:hAnsi="IRNazanin" w:eastAsia="IRNazanin"/>
          <w:color w:val="111111"/>
          <w:sz w:val="28"/>
          <w:sz w:val="28"/>
          <w:szCs w:val="28"/>
          <w:rtl w:val="true"/>
          <w:lang w:bidi="fa-IR"/>
        </w:rPr>
        <w:t>ونحن نعتقد أنّ الجانب الوحید من جوانب العولمة القادر علی التوحید هو الوحدة علی الصعید العقائدی</w:t>
      </w:r>
    </w:p>
    <w:p>
      <w:pPr>
        <w:pStyle w:val="Heading5"/>
        <w:numPr>
          <w:ilvl w:val="4"/>
          <w:numId w:val="1"/>
        </w:numPr>
        <w:rPr/>
      </w:pPr>
      <w:bookmarkStart w:id="678" w:name="__RefHeading___Toc477476_581953129"/>
      <w:bookmarkStart w:id="679" w:name="_Toc268"/>
      <w:bookmarkEnd w:id="678"/>
      <w:r>
        <w:rPr>
          <w:rtl w:val="true"/>
        </w:rPr>
        <w:t>تعریف الأُمم المتحدة للعولمة</w:t>
      </w:r>
      <w:bookmarkEnd w:id="679"/>
    </w:p>
    <w:p>
      <w:pPr>
        <w:pStyle w:val="BookText"/>
        <w:rPr/>
      </w:pPr>
      <w:r>
        <w:rPr>
          <w:rFonts w:ascii="IRNazanin" w:hAnsi="IRNazanin" w:eastAsia="IRNazanin"/>
          <w:color w:val="111111"/>
          <w:sz w:val="28"/>
          <w:sz w:val="28"/>
          <w:szCs w:val="28"/>
          <w:rtl w:val="true"/>
          <w:lang w:bidi="fa-IR"/>
        </w:rPr>
        <w:t xml:space="preserve">تعریف الأُمم المتحدة للعولمة ، وهل نحن نعترف بهذا التعریف الذی أُعدّ عام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 وهو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 الإقتصاد والسیاسة ونظم الإجتماع والثقافة والسلوک بإلغاء الحدود الجغرافیة والإجراءات الحکومیة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نحن نوافق علی هذا التعریف؟ وما هو رد فعل مدرسة أهل البیت علیهم السلام وکلمات سید الشهداء علیه السلام من هذا التعریف؟ هذا ما سنتعرّض له لاحقاً إن شاء اللّه </w:t>
      </w:r>
      <w:r>
        <w:rPr>
          <w:rFonts w:eastAsia="IRNazanin" w:cs="IRNazanin"/>
          <w:color w:val="111111"/>
          <w:sz w:val="28"/>
          <w:szCs w:val="28"/>
          <w:rtl w:val="true"/>
          <w:lang w:bidi="fa-IR"/>
        </w:rPr>
        <w:t>.</w:t>
      </w:r>
      <w:bookmarkStart w:id="680" w:name="pg5261_55383"/>
    </w:p>
    <w:p>
      <w:pPr>
        <w:pStyle w:val="Heading4"/>
        <w:numPr>
          <w:ilvl w:val="3"/>
          <w:numId w:val="1"/>
        </w:numPr>
        <w:rPr/>
      </w:pPr>
      <w:bookmarkStart w:id="681" w:name="__RefHeading___Toc477478_581953129"/>
      <w:bookmarkStart w:id="682" w:name="_Toc269"/>
      <w:bookmarkEnd w:id="680"/>
      <w:bookmarkEnd w:id="681"/>
      <w:r>
        <w:rPr>
          <w:rtl w:val="true"/>
        </w:rPr>
        <w:t>المحاضرة الرابعة الوحدة الثقافیة أوّلاً</w:t>
      </w:r>
      <w:bookmarkEnd w:id="682"/>
    </w:p>
    <w:p>
      <w:pPr>
        <w:pStyle w:val="Heading5"/>
        <w:numPr>
          <w:ilvl w:val="4"/>
          <w:numId w:val="1"/>
        </w:numPr>
        <w:rPr/>
      </w:pPr>
      <w:bookmarkStart w:id="683" w:name="__RefHeading___Toc477480_581953129"/>
      <w:bookmarkStart w:id="684" w:name="_Toc270"/>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آلیة تطبیق العولمة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أمثلة الوحدة فی العالم الغربی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المتحدة لا تمثّل نموذجاً متکاملاً للوحدة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الثقافیة أوّلاً ، والمجتمع الإسلامی قائم علی الوحدة الفکریة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العسکریة والإقتصادیة تزول بزوال ضغوطها</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الطاعة من نافذة تراث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 فی مقام فتح أفق الطاعة والعبادة أمام الإنسان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العامل الثقافی والاقتناع الفکری فی الطاعة والاتباع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نمتلک الفکر القوی ونفتقر إلی الإعلام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الغزو الثقافی ولیس الحوار الثقافی </w:t>
      </w:r>
      <w:r>
        <w:rPr>
          <w:rFonts w:eastAsia="IRNazanin" w:cs="IRNazanin"/>
          <w:color w:val="111111"/>
          <w:sz w:val="28"/>
          <w:szCs w:val="28"/>
          <w:rtl w:val="true"/>
          <w:lang w:bidi="fa-IR"/>
        </w:rPr>
        <w:t>.</w:t>
      </w:r>
    </w:p>
    <w:p>
      <w:pPr>
        <w:pStyle w:val="Heading5"/>
        <w:numPr>
          <w:ilvl w:val="4"/>
          <w:numId w:val="1"/>
        </w:numPr>
        <w:rPr/>
      </w:pPr>
      <w:bookmarkStart w:id="685" w:name="__RefHeading___Toc477482_581953129"/>
      <w:bookmarkStart w:id="686" w:name="_Toc271"/>
      <w:bookmarkEnd w:id="685"/>
      <w:r>
        <w:rPr>
          <w:rtl w:val="true"/>
        </w:rPr>
        <w:t>آلیة تطبیق العولمة</w:t>
      </w:r>
      <w:bookmarkEnd w:id="6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الأُمم المتحدة للعولمة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مزج الاقتصاد والسیاسة ونظم الاجتماع والثقافة والسلوک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والآلیة التی تؤدّی إلی هذه العولمة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إلغاء الحدود وتفکیک الحلقات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والمقصود بالحلقات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الأمنیة والحلقة الثقافیة والحلقة السیاسیة والحلقة الاقتصادیة </w:t>
      </w:r>
      <w:r>
        <w:rPr>
          <w:rFonts w:eastAsia="IRNazanin" w:cs="IRNazanin"/>
          <w:color w:val="111111"/>
          <w:sz w:val="28"/>
          <w:szCs w:val="28"/>
          <w:rtl w:val="true"/>
          <w:lang w:bidi="fa-IR"/>
        </w:rPr>
        <w:t>.</w:t>
      </w:r>
      <w:bookmarkStart w:id="687" w:name="pg5261_55385"/>
    </w:p>
    <w:p>
      <w:pPr>
        <w:pStyle w:val="BookText"/>
        <w:rPr/>
      </w:pPr>
      <w:bookmarkEnd w:id="687"/>
      <w:r>
        <w:rPr>
          <w:rFonts w:ascii="IRNazanin" w:hAnsi="IRNazanin" w:eastAsia="IRNazanin"/>
          <w:color w:val="111111"/>
          <w:sz w:val="28"/>
          <w:sz w:val="28"/>
          <w:szCs w:val="28"/>
          <w:rtl w:val="true"/>
          <w:lang w:bidi="fa-IR"/>
        </w:rPr>
        <w:t xml:space="preserve">إذن العولمة تزیل الحدود وتذیب السیاج القائم بین القومیات والأُمم الختلفة </w:t>
      </w:r>
      <w:r>
        <w:rPr>
          <w:rFonts w:eastAsia="IRNazanin" w:cs="IRNazanin"/>
          <w:color w:val="111111"/>
          <w:sz w:val="28"/>
          <w:szCs w:val="28"/>
          <w:rtl w:val="true"/>
          <w:lang w:bidi="fa-IR"/>
        </w:rPr>
        <w:t>.</w:t>
      </w:r>
    </w:p>
    <w:p>
      <w:pPr>
        <w:pStyle w:val="Heading5"/>
        <w:numPr>
          <w:ilvl w:val="4"/>
          <w:numId w:val="1"/>
        </w:numPr>
        <w:rPr/>
      </w:pPr>
      <w:bookmarkStart w:id="688" w:name="__RefHeading___Toc477484_581953129"/>
      <w:bookmarkStart w:id="689" w:name="_Toc272"/>
      <w:bookmarkEnd w:id="688"/>
      <w:r>
        <w:rPr>
          <w:rtl w:val="true"/>
        </w:rPr>
        <w:t>من أمثلة الوحدة فی العالم الغربی</w:t>
      </w:r>
      <w:bookmarkEnd w:id="689"/>
    </w:p>
    <w:p>
      <w:pPr>
        <w:pStyle w:val="BookText"/>
        <w:rPr/>
      </w:pPr>
      <w:r>
        <w:rPr>
          <w:rFonts w:ascii="IRNazanin" w:hAnsi="IRNazanin" w:eastAsia="IRNazanin"/>
          <w:color w:val="111111"/>
          <w:sz w:val="28"/>
          <w:sz w:val="28"/>
          <w:szCs w:val="28"/>
          <w:rtl w:val="true"/>
          <w:lang w:bidi="fa-IR"/>
        </w:rPr>
        <w:t xml:space="preserve">یمکن دراسة العولمة علی صعید النظریة أو علی صعید التطبیق ، وقد ضرب المفکّرون مثالاً فی الجانب الغربی أو غیر الإسلامی علی الاتحاد الفیدرالی القائم فی الولایات المتحدة الذی یضمّ ما یقارب من خمسین ولایة قائم علی وحدة سیاسیة وأمنیة ، أمّا الإتحاد الأوروبی فهو یشکّل وحدة قائمة علی الوحدة الاقتصادیة وإن کان البعض یری أنّ الوحدة القائمة فی أوروبا لیست قائمة علی أساس اقتصادی ، وإنّما علی أساس دینی مسیحی ، ولذلک رفض الاتحاد انضمام ترکیا إلی الاتحاد الأوروبی باعتبار أنّها بلد مسلم </w:t>
      </w:r>
      <w:r>
        <w:rPr>
          <w:rFonts w:eastAsia="IRNazanin" w:cs="IRNazanin"/>
          <w:color w:val="111111"/>
          <w:sz w:val="28"/>
          <w:szCs w:val="28"/>
          <w:rtl w:val="true"/>
          <w:lang w:bidi="fa-IR"/>
        </w:rPr>
        <w:t>.</w:t>
      </w:r>
    </w:p>
    <w:p>
      <w:pPr>
        <w:pStyle w:val="Heading5"/>
        <w:numPr>
          <w:ilvl w:val="4"/>
          <w:numId w:val="1"/>
        </w:numPr>
        <w:rPr/>
      </w:pPr>
      <w:bookmarkStart w:id="690" w:name="__RefHeading___Toc477486_581953129"/>
      <w:bookmarkStart w:id="691" w:name="_Toc273"/>
      <w:bookmarkEnd w:id="690"/>
      <w:r>
        <w:rPr>
          <w:rtl w:val="true"/>
        </w:rPr>
        <w:t>الأُمم المتحدة لا تشکّل نموذجاً متکاملاً للوحدة</w:t>
      </w:r>
      <w:bookmarkEnd w:id="691"/>
    </w:p>
    <w:p>
      <w:pPr>
        <w:pStyle w:val="BookText"/>
        <w:rPr/>
      </w:pPr>
      <w:r>
        <w:rPr>
          <w:rFonts w:ascii="IRNazanin" w:hAnsi="IRNazanin" w:eastAsia="IRNazanin"/>
          <w:color w:val="111111"/>
          <w:sz w:val="28"/>
          <w:sz w:val="28"/>
          <w:szCs w:val="28"/>
          <w:rtl w:val="true"/>
          <w:lang w:bidi="fa-IR"/>
        </w:rPr>
        <w:t xml:space="preserve">المهم أنّ البعض من منظّری العولمة یری أنّه یمکن تأسیس وحدة علی أساس أمنی أو اقتصادی ، والأُمم المتحدة تشکّل بذرة فی تکوین الوحدة فی النظام السیاسی والأمنی ، ولذلک حاول البعض إقامة نظام عالمی موحّد باعتبار أنّ الأُمم المتحدة لا تمثّل نظاماً عالمیاً موحّداً </w:t>
      </w:r>
      <w:r>
        <w:rPr>
          <w:rFonts w:eastAsia="IRNazanin" w:cs="IRNazanin"/>
          <w:color w:val="111111"/>
          <w:sz w:val="28"/>
          <w:szCs w:val="28"/>
          <w:rtl w:val="true"/>
          <w:lang w:bidi="fa-IR"/>
        </w:rPr>
        <w:t>.</w:t>
      </w:r>
    </w:p>
    <w:p>
      <w:pPr>
        <w:pStyle w:val="Heading5"/>
        <w:numPr>
          <w:ilvl w:val="4"/>
          <w:numId w:val="1"/>
        </w:numPr>
        <w:rPr/>
      </w:pPr>
      <w:bookmarkStart w:id="692" w:name="__RefHeading___Toc477488_581953129"/>
      <w:bookmarkStart w:id="693" w:name="_Toc274"/>
      <w:bookmarkEnd w:id="692"/>
      <w:r>
        <w:rPr>
          <w:rtl w:val="true"/>
        </w:rPr>
        <w:t>الوحدة الثقافیة أوّلاً ، والمجتمع الإسلامی قائم علی وحدة فکریة وعقائدیة</w:t>
      </w:r>
      <w:bookmarkEnd w:id="693"/>
    </w:p>
    <w:p>
      <w:pPr>
        <w:pStyle w:val="BookText"/>
        <w:rPr/>
      </w:pPr>
      <w:r>
        <w:rPr>
          <w:rFonts w:ascii="IRNazanin" w:hAnsi="IRNazanin" w:eastAsia="IRNazanin"/>
          <w:color w:val="111111"/>
          <w:sz w:val="28"/>
          <w:sz w:val="28"/>
          <w:szCs w:val="28"/>
          <w:rtl w:val="true"/>
          <w:lang w:bidi="fa-IR"/>
        </w:rPr>
        <w:t>والبعض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بالوحدة الاقتصادیة ، وتمثّل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الاقتصادیة نموذجاً لهذه الوحدة ، والبعض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الوحدة المنشودة هی الوحدة الثقافیة ، ولا یمکن لغیر هذه الوحدة أن تتحقق إلّاإذا تحققت الوحدة الثقافیة ، وذلک لأنّ التوحّد یحتاج إلی قانون ، والقانون یندرج تحت مظلّة الثقافیة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وتتکوّن السلطات فی الدولة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السلطة القضائیة والسلطة التشریعیة</w:t>
      </w:r>
      <w:bookmarkStart w:id="694" w:name="pg5261_55388"/>
    </w:p>
    <w:p>
      <w:pPr>
        <w:pStyle w:val="BookText"/>
        <w:rPr/>
      </w:pPr>
      <w:bookmarkEnd w:id="694"/>
      <w:r>
        <w:rPr>
          <w:rFonts w:ascii="IRNazanin" w:hAnsi="IRNazanin" w:eastAsia="IRNazanin"/>
          <w:color w:val="111111"/>
          <w:sz w:val="28"/>
          <w:sz w:val="28"/>
          <w:szCs w:val="28"/>
          <w:rtl w:val="true"/>
          <w:lang w:bidi="fa-IR"/>
        </w:rPr>
        <w:t xml:space="preserve">والسلطة التنفیذیة ، والقانون ملف ثقافی ، ولیس ملفّاً إقتصادیاً ولا سیاسیاً ، والفکر هوالذی یتحکّم فی شؤون الإنسان ، وفی غرائزه ومیوله ، وهذا ما ینطبق علی المجتمع حیث یستطیع الفکر أن یوحّد المجتمع ، ولذلک یری المفکّرون أنّ الوحدة الموجودة عند المجتمع الإسلامی رغم کل المعوّقات والمصاعب ، ورغم التمزّق السیاسی والأمنی والاقتصادی ، تعتبر وحدة قویّة جدّاً تستطیع أن تجمع المسلمین فی مشارق الأرض ومغاربها ؛ لأنّها قائمة علی أساس فکری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فلسفة القانون وعلم النفس وعلم الاجتماع والبحث العقلی الفلسفی یؤکّد أنّ الوحدة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الشامل للثقافة الذی یضمّ العقائد والأخلاق والآداب والقانون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تؤثّر علی الجانب السیاسی والأمنی والعسکری والاقتصادی باعتبار أنّ کل هذه الجوانب تتأثّر بالثقافة ، لا سیما بالجانب القانونی من الثقافة </w:t>
      </w:r>
      <w:r>
        <w:rPr>
          <w:rFonts w:eastAsia="IRNazanin" w:cs="IRNazanin"/>
          <w:color w:val="111111"/>
          <w:sz w:val="28"/>
          <w:szCs w:val="28"/>
          <w:rtl w:val="true"/>
          <w:lang w:bidi="fa-IR"/>
        </w:rPr>
        <w:t>.</w:t>
      </w:r>
    </w:p>
    <w:p>
      <w:pPr>
        <w:pStyle w:val="Heading5"/>
        <w:numPr>
          <w:ilvl w:val="4"/>
          <w:numId w:val="1"/>
        </w:numPr>
        <w:rPr/>
      </w:pPr>
      <w:bookmarkStart w:id="695" w:name="__RefHeading___Toc477490_581953129"/>
      <w:bookmarkStart w:id="696" w:name="_Toc275"/>
      <w:bookmarkEnd w:id="695"/>
      <w:r>
        <w:rPr>
          <w:rtl w:val="true"/>
        </w:rPr>
        <w:t>الوحدة العسکریة والاقتصادیة تزول بزوال ضغوطها</w:t>
      </w:r>
      <w:bookmarkEnd w:id="696"/>
    </w:p>
    <w:p>
      <w:pPr>
        <w:pStyle w:val="BookText"/>
        <w:rPr/>
      </w:pPr>
      <w:r>
        <w:rPr>
          <w:rFonts w:ascii="IRNazanin" w:hAnsi="IRNazanin" w:eastAsia="IRNazanin"/>
          <w:color w:val="111111"/>
          <w:sz w:val="28"/>
          <w:sz w:val="28"/>
          <w:szCs w:val="28"/>
          <w:rtl w:val="true"/>
          <w:lang w:bidi="fa-IR"/>
        </w:rPr>
        <w:t xml:space="preserve">لا یمکن أن تتحقق هذه الأُمور إلّابالجانب الثقافی ، وإذا تحققت بالقوّة والضغط فإنّها سرعان ما تتبدّل وتزول ، ولذلک حتی الإرهاب العسکری قد یستطیع أن یقهر الجانب الضعیف ، ولکن الأمر لا یبقی ، بل یزول بمجرد زوال القوّة العسکریة ، وهذا ما نراه متمثلاً فی الشروط التی یملیها صندوق النقد الدولی ، ونری أنّ الدول تستجیب إلی هذه الضغوط طمعاً فی المال أو خوفاً من الأزمات المالیة ، ولکن هذه الأُمور لا تتحرّک فی دائرة قناعة تلک الدولة بتلک الشروط التی أملاها صندوق النقد الدولی </w:t>
      </w:r>
      <w:r>
        <w:rPr>
          <w:rFonts w:eastAsia="IRNazanin" w:cs="IRNazanin"/>
          <w:color w:val="111111"/>
          <w:sz w:val="28"/>
          <w:szCs w:val="28"/>
          <w:rtl w:val="true"/>
          <w:lang w:bidi="fa-IR"/>
        </w:rPr>
        <w:t>.</w:t>
      </w:r>
    </w:p>
    <w:p>
      <w:pPr>
        <w:pStyle w:val="Heading5"/>
        <w:numPr>
          <w:ilvl w:val="4"/>
          <w:numId w:val="1"/>
        </w:numPr>
        <w:rPr/>
      </w:pPr>
      <w:bookmarkStart w:id="697" w:name="__RefHeading___Toc477492_581953129"/>
      <w:bookmarkStart w:id="698" w:name="_Toc276"/>
      <w:bookmarkEnd w:id="697"/>
      <w:r>
        <w:rPr>
          <w:rtl w:val="true"/>
        </w:rPr>
        <w:t>مفهوم الطاعة من نافذة تراث أهل البیت علیهم السلام</w:t>
      </w:r>
      <w:bookmarkEnd w:id="6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تراث أهل البیت علیهم السلام نری أنّ الطاعة قد تکون ناتجة عن الحب أو عن الطمع أو عن الخوف ، والطاعة التی تُبنی علی الحب والاقتناع هی الطاعة المثالیة</w:t>
      </w:r>
      <w:bookmarkStart w:id="699" w:name="pg5261_55390"/>
    </w:p>
    <w:p>
      <w:pPr>
        <w:pStyle w:val="BookText"/>
        <w:rPr/>
      </w:pPr>
      <w:bookmarkEnd w:id="699"/>
      <w:r>
        <w:rPr>
          <w:rFonts w:ascii="IRNazanin" w:hAnsi="IRNazanin" w:eastAsia="IRNazanin"/>
          <w:color w:val="111111"/>
          <w:sz w:val="28"/>
          <w:sz w:val="28"/>
          <w:szCs w:val="28"/>
          <w:rtl w:val="true"/>
          <w:lang w:bidi="fa-IR"/>
        </w:rPr>
        <w:t xml:space="preserve">والعلیا ، أمّا الطاعة التی تنتج عن الطمع فهی غیر مضمونة شأنها شأن الطاعة المبنیّة علی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تطبیق هذا الحدیث علی تعامل العبد مع باقی الناس ، مع أنّه یتکلّم عن طاعة العبد لربه ، حیث یقول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 ولا طمعاً فی جنّتک ، ولکن وجدتک أهلاً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وعبارة وجدتک أهلاً للعبادة فعبدتک تدلّل علی الحب والاقتناع المبنی علی الفکر والعلم والوجدان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نراه فی دعاء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یا الهی وسیّدی ومولای وربّی ، صبرت علی عذابک ، فکیف أصبر علی فراقک ، وهبنی صبرت علی حرّ نارک ، فکیف أصبر عن النظر إلی کرامتک ، أم کیف أسکن فی النار ورجائی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الخوف من انقطاع العلاقة مع اللّه أشدّ عندهم علیهم السلام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خرج الإمام زین العابدین علیه السلام فی لیلة باردة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مثل هذه الساعة علی هذه الهیئة 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مسجد جدی رسول اللّه صلی الله علیه و آله أخطب الحور العین إلی اللّه عزّ وجلّ</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وکان یعنی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وطاعة اللّه </w:t>
      </w:r>
      <w:r>
        <w:rPr>
          <w:rFonts w:eastAsia="IRNazanin" w:cs="IRNazanin"/>
          <w:color w:val="111111"/>
          <w:sz w:val="28"/>
          <w:szCs w:val="28"/>
          <w:rtl w:val="true"/>
          <w:lang w:bidi="fa-IR"/>
        </w:rPr>
        <w:t>.</w:t>
      </w:r>
    </w:p>
    <w:p>
      <w:pPr>
        <w:pStyle w:val="Heading5"/>
        <w:numPr>
          <w:ilvl w:val="4"/>
          <w:numId w:val="1"/>
        </w:numPr>
        <w:rPr/>
      </w:pPr>
      <w:bookmarkStart w:id="700" w:name="__RefHeading___Toc477494_581953129"/>
      <w:bookmarkStart w:id="701" w:name="_Toc277"/>
      <w:bookmarkEnd w:id="700"/>
      <w:r>
        <w:rPr>
          <w:rtl w:val="true"/>
        </w:rPr>
        <w:t>أهل البیت فی صدد بیان درجات الطاعة ، ولیس التقلیل من شأن الطمع</w:t>
      </w:r>
      <w:bookmarkEnd w:id="701"/>
    </w:p>
    <w:p>
      <w:pPr>
        <w:pStyle w:val="BookText"/>
        <w:rPr/>
      </w:pPr>
      <w:r>
        <w:rPr>
          <w:rFonts w:ascii="IRNazanin" w:hAnsi="IRNazanin" w:eastAsia="IRNazanin"/>
          <w:color w:val="111111"/>
          <w:sz w:val="28"/>
          <w:sz w:val="28"/>
          <w:szCs w:val="28"/>
          <w:rtl w:val="true"/>
          <w:lang w:bidi="fa-IR"/>
        </w:rPr>
        <w:t>والخوف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البیت علیهم السلام لیسوا فی صدد نکران الطاعة المبنیّة علی الخوف من اللّه أو التقلیل من شأن الاشتیاق إلی الجنّة ، ولکن فی صدد بیان درجات الطاعة ، وأنّ جمیع هذه الأنواع من العبادات هی عبادات منجیه ، وأنّه لابد للنفس البشریة أن تحفز بجاذبیة الجنّة ونور انیتها ولطافتها الأثیریة المتلألئة وبهجتها وبهائها وسنائها ونعیمها ، کما لا بد من الخوف من النار وعقاربها وزفیرها وشهیقها </w:t>
      </w:r>
      <w:r>
        <w:rPr>
          <w:rFonts w:eastAsia="IRNazanin" w:cs="IRNazanin"/>
          <w:color w:val="111111"/>
          <w:sz w:val="28"/>
          <w:szCs w:val="28"/>
          <w:rtl w:val="true"/>
          <w:lang w:bidi="fa-IR"/>
        </w:rPr>
        <w:t>.</w:t>
      </w:r>
      <w:bookmarkStart w:id="702" w:name="pg5261_55392"/>
    </w:p>
    <w:p>
      <w:pPr>
        <w:pStyle w:val="Heading5"/>
        <w:numPr>
          <w:ilvl w:val="4"/>
          <w:numId w:val="1"/>
        </w:numPr>
        <w:rPr/>
      </w:pPr>
      <w:bookmarkStart w:id="703" w:name="__RefHeading___Toc477496_581953129"/>
      <w:bookmarkStart w:id="704" w:name="_Toc278"/>
      <w:bookmarkEnd w:id="702"/>
      <w:bookmarkEnd w:id="703"/>
      <w:r>
        <w:rPr>
          <w:rtl w:val="true"/>
        </w:rPr>
        <w:t>الحب والطمع والخوف أُمور مطلوبة فی الإنسان المؤمن</w:t>
      </w:r>
      <w:bookmarkEnd w:id="704"/>
    </w:p>
    <w:p>
      <w:pPr>
        <w:pStyle w:val="BookText"/>
        <w:rPr/>
      </w:pPr>
      <w:r>
        <w:rPr>
          <w:rFonts w:ascii="IRNazanin" w:hAnsi="IRNazanin" w:eastAsia="IRNazanin"/>
          <w:color w:val="111111"/>
          <w:sz w:val="28"/>
          <w:sz w:val="28"/>
          <w:szCs w:val="28"/>
          <w:rtl w:val="true"/>
          <w:lang w:bidi="fa-IR"/>
        </w:rPr>
        <w:t xml:space="preserve">إذن جهة الحب وجهة الخوف وجهة الطمع کل هذه الجهات مطلوبة فی الإنسان وإن کان بینها تفاوت ، 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له ثلاثة أبعاد فالفکر یسبح فی عالم المعانی ، ولا یناسبه جمال البدن ، کما لا یناسبه لسع النار، فلابد أن یکون الداعی للفکر فی عبادته هو الحب الإلهی وجماله ، وهناک البعد السبعی الغضبی فی الإنسان ، وهذا لا یناسبه إلّاالتخویف من النار لکی نستطیع ترویض هذا الجانب ، وهناک غریزة حب التملک وجانب الشهوة الموجود عند الإنسان والتی یناسبها التشویق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 علیهم السلام لا یریدوننا أن نقتصر علی الخوف ونترک الحب والطمع</w:t>
      </w:r>
    </w:p>
    <w:p>
      <w:pPr>
        <w:pStyle w:val="BookText"/>
        <w:rPr/>
      </w:pPr>
      <w:r>
        <w:rPr>
          <w:rFonts w:ascii="IRNazanin" w:hAnsi="IRNazanin" w:eastAsia="IRNazanin"/>
          <w:color w:val="111111"/>
          <w:sz w:val="28"/>
          <w:sz w:val="28"/>
          <w:szCs w:val="28"/>
          <w:rtl w:val="true"/>
          <w:lang w:bidi="fa-IR"/>
        </w:rPr>
        <w:t>وتعبیر أهل البیت علیهم السلام عن الذین یعبدون اللّه خوفاً بأنّها عبادة العبید ، إنّما یریدون بها أنّه إذا اقتصر الإنسان فی عبادته للّه‌علی دافع الخوف وترک جانب الطمع والحب ، فإنّ هذه هی أدنی مرتبة من مراتب العبادة للّه</w:t>
      </w:r>
    </w:p>
    <w:p>
      <w:pPr>
        <w:pStyle w:val="BookText"/>
        <w:rPr/>
      </w:pPr>
      <w:r>
        <w:rPr>
          <w:rFonts w:ascii="IRNazanin" w:hAnsi="IRNazanin" w:eastAsia="IRNazanin"/>
          <w:color w:val="111111"/>
          <w:sz w:val="28"/>
          <w:sz w:val="28"/>
          <w:szCs w:val="28"/>
          <w:rtl w:val="true"/>
          <w:lang w:bidi="fa-IR"/>
        </w:rPr>
        <w:t>إذن فأهل البیت علیهم السلام لیسوا فی مقام ذمّ العبادة خوفاً من النار ، ولذلک نری الکثیر من النصوص الشرعیة ، من آیات القرآن الکریم</w:t>
      </w:r>
      <w:r>
        <w:rPr>
          <w:rStyle w:val="FootnoteAnchor"/>
          <w:rtl w:val="true"/>
        </w:rPr>
        <w:footnoteReference w:id="155"/>
      </w:r>
      <w:r>
        <w:rPr>
          <w:rFonts w:ascii="IRNazanin" w:hAnsi="IRNazanin" w:eastAsia="IRNazanin"/>
          <w:color w:val="111111"/>
          <w:sz w:val="28"/>
          <w:sz w:val="28"/>
          <w:szCs w:val="28"/>
          <w:rtl w:val="true"/>
          <w:lang w:bidi="fa-IR"/>
        </w:rPr>
        <w:t>وادعیة لأهل البیت علیهم السلام</w:t>
      </w:r>
      <w:r>
        <w:rPr>
          <w:rStyle w:val="FootnoteAnchor"/>
          <w:rtl w:val="true"/>
        </w:rPr>
        <w:footnoteReference w:id="156"/>
      </w:r>
      <w:r>
        <w:rPr>
          <w:rFonts w:ascii="IRNazanin" w:hAnsi="IRNazanin" w:eastAsia="IRNazanin"/>
          <w:color w:val="111111"/>
          <w:sz w:val="28"/>
          <w:sz w:val="28"/>
          <w:szCs w:val="28"/>
          <w:rtl w:val="true"/>
          <w:lang w:bidi="fa-IR"/>
        </w:rPr>
        <w:t xml:space="preserve">تحتوی علی کلمات مؤثّرة فی التخویف من النار </w:t>
      </w:r>
      <w:r>
        <w:rPr>
          <w:rFonts w:eastAsia="IRNazanin" w:cs="IRNazanin"/>
          <w:color w:val="111111"/>
          <w:sz w:val="28"/>
          <w:szCs w:val="28"/>
          <w:rtl w:val="true"/>
          <w:lang w:bidi="fa-IR"/>
        </w:rPr>
        <w:t>.</w:t>
      </w:r>
    </w:p>
    <w:p>
      <w:pPr>
        <w:pStyle w:val="Heading5"/>
        <w:numPr>
          <w:ilvl w:val="4"/>
          <w:numId w:val="1"/>
        </w:numPr>
        <w:rPr/>
      </w:pPr>
      <w:bookmarkStart w:id="705" w:name="__RefHeading___Toc477498_581953129"/>
      <w:bookmarkStart w:id="706" w:name="_Toc279"/>
      <w:bookmarkEnd w:id="705"/>
      <w:r>
        <w:rPr>
          <w:rtl w:val="true"/>
        </w:rPr>
        <w:t>أهل البیت علیهم السلام فی مقام فتح الأُفق أمام الإنسان المؤمن</w:t>
      </w:r>
      <w:bookmarkEnd w:id="7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أهل البیت علیهم السلام فی مقام فتح الأُفق أمام الإنسان لکی یطّلع علی أنواع العبادة الراقیة ، ویطبّقها جمیعاً فی حیاته ، وما قلناه فی عبادة العبید خوفاً من النار ینطبق علی عبادة التجار والطمع فی الجنّة والأعلی منهما وهو ذلک الذی یشتاق</w:t>
      </w:r>
      <w:bookmarkStart w:id="707" w:name="pg5261_55394"/>
    </w:p>
    <w:p>
      <w:pPr>
        <w:pStyle w:val="BookText"/>
        <w:rPr/>
      </w:pPr>
      <w:bookmarkEnd w:id="707"/>
      <w:r>
        <w:rPr>
          <w:rFonts w:ascii="IRNazanin" w:hAnsi="IRNazanin" w:eastAsia="IRNazanin"/>
          <w:color w:val="111111"/>
          <w:sz w:val="28"/>
          <w:sz w:val="28"/>
          <w:szCs w:val="28"/>
          <w:rtl w:val="true"/>
          <w:lang w:bidi="fa-IR"/>
        </w:rPr>
        <w:t xml:space="preserve">إلی الجنة ویخاف من النار ویتمتع بالحب الإلهی الذی یمثّل عبادة الأحرار ، فتتکامل عبادته فی جوانبها الثلاثة </w:t>
      </w:r>
      <w:r>
        <w:rPr>
          <w:rFonts w:eastAsia="IRNazanin" w:cs="IRNazanin"/>
          <w:color w:val="111111"/>
          <w:sz w:val="28"/>
          <w:szCs w:val="28"/>
          <w:rtl w:val="true"/>
          <w:lang w:bidi="fa-IR"/>
        </w:rPr>
        <w:t>.</w:t>
      </w:r>
    </w:p>
    <w:p>
      <w:pPr>
        <w:pStyle w:val="Heading5"/>
        <w:numPr>
          <w:ilvl w:val="4"/>
          <w:numId w:val="1"/>
        </w:numPr>
        <w:rPr/>
      </w:pPr>
      <w:bookmarkStart w:id="708" w:name="__RefHeading___Toc477500_581953129"/>
      <w:bookmarkStart w:id="709" w:name="_Toc280"/>
      <w:bookmarkEnd w:id="708"/>
      <w:r>
        <w:rPr>
          <w:rtl w:val="true"/>
        </w:rPr>
        <w:t>لابد من وجود الاقتناع والعامل الثقافی فی الطاعة والاتباع</w:t>
      </w:r>
      <w:bookmarkEnd w:id="709"/>
    </w:p>
    <w:p>
      <w:pPr>
        <w:pStyle w:val="BookText"/>
        <w:rPr/>
      </w:pPr>
      <w:r>
        <w:rPr>
          <w:rFonts w:ascii="IRNazanin" w:hAnsi="IRNazanin" w:eastAsia="IRNazanin"/>
          <w:color w:val="111111"/>
          <w:sz w:val="28"/>
          <w:sz w:val="28"/>
          <w:szCs w:val="28"/>
          <w:rtl w:val="true"/>
          <w:lang w:bidi="fa-IR"/>
        </w:rPr>
        <w:t xml:space="preserve">النظام العالمی الموحّد لا یستطیع أن یفرض نفسه بالقوّة العسکریة والأساطیل والجیوش ، ولا یستطیع أن یفرض نفسه عن طریق الضغط بالقوّة الاقتصادیة وبشروط بنک النقد الدولی ؛ لأنّ الطرف المقابل سیتمرّد بمجرد انتهاء هذه القوّة ، ولأنّه لا ینطلق من قناعات </w:t>
      </w:r>
      <w:r>
        <w:rPr>
          <w:rFonts w:eastAsia="IRNazanin" w:cs="IRNazanin"/>
          <w:color w:val="111111"/>
          <w:sz w:val="28"/>
          <w:szCs w:val="28"/>
          <w:rtl w:val="true"/>
          <w:lang w:bidi="fa-IR"/>
        </w:rPr>
        <w:t>.</w:t>
      </w:r>
    </w:p>
    <w:p>
      <w:pPr>
        <w:pStyle w:val="Heading5"/>
        <w:numPr>
          <w:ilvl w:val="4"/>
          <w:numId w:val="1"/>
        </w:numPr>
        <w:rPr/>
      </w:pPr>
      <w:bookmarkStart w:id="710" w:name="__RefHeading___Toc477502_581953129"/>
      <w:bookmarkStart w:id="711" w:name="_Toc281"/>
      <w:bookmarkEnd w:id="710"/>
      <w:r>
        <w:rPr>
          <w:rtl w:val="true"/>
        </w:rPr>
        <w:t>الحرب العراقیة الإیرانیة کنموذج</w:t>
      </w:r>
      <w:bookmarkEnd w:id="711"/>
    </w:p>
    <w:p>
      <w:pPr>
        <w:pStyle w:val="BookText"/>
        <w:rPr/>
      </w:pPr>
      <w:r>
        <w:rPr>
          <w:rFonts w:ascii="IRNazanin" w:hAnsi="IRNazanin" w:eastAsia="IRNazanin"/>
          <w:color w:val="111111"/>
          <w:sz w:val="28"/>
          <w:sz w:val="28"/>
          <w:szCs w:val="28"/>
          <w:rtl w:val="true"/>
          <w:lang w:bidi="fa-IR"/>
        </w:rPr>
        <w:t xml:space="preserve">وکشاهد علی 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الرئیس الأمریکی ، ولعلّه بوش الأب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انتهت الحرب البعثیة ضدّ الجمهوریة الإسلامیة الإیرانیة ، والتی دامت ثمان سنوات ، قال حینها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أخطأنا فی حربنا ؛ لأنّه بالعمل العسکری زاد عدوّنا قوّة ، وأنفقنا الکثیر واستهلکت طاقاتنا ، ولم نصل إلی النتائج المرجوّة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یطرح فی خطابه السنوی بدیلاً عن الحرب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ندخل لهم عن طریق الثقافة ، وتغییر الفکر الثقافی ، وهی وسیلة أقل تکلفّة ، وهی أسلم وأنجع وأنفع وأجدی وأکثر تأثیراً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ما یؤکّد أنّ الثقافة هی المقدّمة علی الجوانب العسکریة والأمنیة والاقتصادیة والمالیة </w:t>
      </w:r>
      <w:r>
        <w:rPr>
          <w:rFonts w:eastAsia="IRNazanin" w:cs="IRNazanin"/>
          <w:color w:val="111111"/>
          <w:sz w:val="28"/>
          <w:szCs w:val="28"/>
          <w:rtl w:val="true"/>
          <w:lang w:bidi="fa-IR"/>
        </w:rPr>
        <w:t>.</w:t>
      </w:r>
    </w:p>
    <w:p>
      <w:pPr>
        <w:pStyle w:val="Heading5"/>
        <w:numPr>
          <w:ilvl w:val="4"/>
          <w:numId w:val="1"/>
        </w:numPr>
        <w:rPr/>
      </w:pPr>
      <w:bookmarkStart w:id="712" w:name="__RefHeading___Toc477504_581953129"/>
      <w:bookmarkStart w:id="713" w:name="_Toc282"/>
      <w:bookmarkEnd w:id="712"/>
      <w:r>
        <w:rPr>
          <w:rtl w:val="true"/>
        </w:rPr>
        <w:t>نمتلک الفکر ونفتقد الإعلام ، أمّا هم فیمتلکون الإعلام ویفتقدون الفکر القوی</w:t>
      </w:r>
      <w:bookmarkEnd w:id="71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نحن نؤکّد علی الإعلام الذی هو أداة فتّاکة نفتقدها ویتمتّع بها عدوّنا ، وأهم وسیلة آلیّة فی العولمة وهو آلیّة تطبیقیة تنجز الوحدة الثقافیة ، والسلام</w:t>
      </w:r>
      <w:bookmarkStart w:id="714" w:name="pg5261_55396"/>
    </w:p>
    <w:p>
      <w:pPr>
        <w:pStyle w:val="BookText"/>
        <w:rPr/>
      </w:pPr>
      <w:bookmarkEnd w:id="714"/>
      <w:r>
        <w:rPr>
          <w:rFonts w:ascii="IRNazanin" w:hAnsi="IRNazanin" w:eastAsia="IRNazanin"/>
          <w:color w:val="111111"/>
          <w:sz w:val="28"/>
          <w:sz w:val="28"/>
          <w:szCs w:val="28"/>
          <w:rtl w:val="true"/>
          <w:lang w:bidi="fa-IR"/>
        </w:rPr>
        <w:t xml:space="preserve">الثقافی هو الإعلام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المفکّرون الغربیّون رغم أنّهم یمتلکون آلة إعلامیة فتّاکة إلّاأنّ فکرهم معرّض للاختراق ، ولا یستطیع الصمود أمام الفکر الإسلامی ، وفی المقابل فإنّ الفکر الإسلامی رغم أنّه یفتقد الوسائل الإعلامیة المناسبة لوسائل العدو إلّاأنّه یتمتّع بقوّة وقدرة علی معالجة المشاکل الاجتماعیة والثقافیة والفکریة والاقتصادیة وفی شتّی الجوانب والمجالات </w:t>
      </w:r>
      <w:r>
        <w:rPr>
          <w:rFonts w:eastAsia="IRNazanin" w:cs="IRNazanin"/>
          <w:color w:val="111111"/>
          <w:sz w:val="28"/>
          <w:szCs w:val="28"/>
          <w:rtl w:val="true"/>
          <w:lang w:bidi="fa-IR"/>
        </w:rPr>
        <w:t>.</w:t>
      </w:r>
    </w:p>
    <w:p>
      <w:pPr>
        <w:pStyle w:val="Heading5"/>
        <w:numPr>
          <w:ilvl w:val="4"/>
          <w:numId w:val="1"/>
        </w:numPr>
        <w:rPr/>
      </w:pPr>
      <w:bookmarkStart w:id="715" w:name="__RefHeading___Toc477506_581953129"/>
      <w:bookmarkStart w:id="716" w:name="_Toc283"/>
      <w:bookmarkEnd w:id="715"/>
      <w:r>
        <w:rPr>
          <w:rtl w:val="true"/>
        </w:rPr>
        <w:t>الغزو الثقافی ولیس الحوار الثقافی</w:t>
      </w:r>
      <w:bookmarkEnd w:id="716"/>
    </w:p>
    <w:p>
      <w:pPr>
        <w:pStyle w:val="BookText"/>
        <w:rPr/>
      </w:pPr>
      <w:r>
        <w:rPr>
          <w:rFonts w:ascii="IRNazanin" w:hAnsi="IRNazanin" w:eastAsia="IRNazanin"/>
          <w:color w:val="111111"/>
          <w:sz w:val="28"/>
          <w:sz w:val="28"/>
          <w:szCs w:val="28"/>
          <w:rtl w:val="true"/>
          <w:lang w:bidi="fa-IR"/>
        </w:rPr>
        <w:t xml:space="preserve">وفی الجانب التطبیقی لا یوجد حوار بین الأُمم وأمّا فی الجانب الثقافی الموجود هو الغزو الثقافی ، والإمام الحسین علیه السلام حینما حاول فتح حوار مع أعدائه إلّا أنّ أعداءه کانوا یغلقون هذا الباب ویفتحون باب الحرب والسهام والسیوف ؛ لأنّهم یعرفون أنّهم لن یصمدوا أمام حوار الحسین علیه السلام ، وکما قال الشاعر فی هذا الموقف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أنسه إذ قام فیهم خاطبافإذا هم لایملکون خطابا</w:t>
      </w:r>
    </w:p>
    <w:p>
      <w:pPr>
        <w:pStyle w:val="BookText"/>
        <w:rPr/>
      </w:pPr>
      <w:r>
        <w:rPr>
          <w:rFonts w:ascii="IRNazanin" w:hAnsi="IRNazanin" w:eastAsia="IRNazanin"/>
          <w:color w:val="111111"/>
          <w:sz w:val="28"/>
          <w:sz w:val="28"/>
          <w:szCs w:val="28"/>
          <w:rtl w:val="true"/>
          <w:lang w:bidi="fa-IR"/>
        </w:rPr>
        <w:t>یدعو ألست أنا ابن بنت نبیکموملاذکم إن صرف الدهر نابا</w:t>
      </w:r>
    </w:p>
    <w:p>
      <w:pPr>
        <w:pStyle w:val="BookText"/>
        <w:rPr/>
      </w:pPr>
      <w:r>
        <w:rPr>
          <w:rFonts w:ascii="IRNazanin" w:hAnsi="IRNazanin" w:eastAsia="IRNazanin"/>
          <w:color w:val="111111"/>
          <w:sz w:val="28"/>
          <w:sz w:val="28"/>
          <w:szCs w:val="28"/>
          <w:rtl w:val="true"/>
          <w:lang w:bidi="fa-IR"/>
        </w:rPr>
        <w:t>هل جئتُ فی دین النبی ببدعةٍ‌أم کنت فی أحکامهِ مرتاباً</w:t>
      </w:r>
    </w:p>
    <w:p>
      <w:pPr>
        <w:pStyle w:val="BookText"/>
        <w:rPr/>
      </w:pPr>
      <w:r>
        <w:rPr>
          <w:rFonts w:ascii="IRNazanin" w:hAnsi="IRNazanin" w:eastAsia="IRNazanin"/>
          <w:color w:val="111111"/>
          <w:sz w:val="28"/>
          <w:sz w:val="28"/>
          <w:szCs w:val="28"/>
          <w:rtl w:val="true"/>
          <w:lang w:bidi="fa-IR"/>
        </w:rPr>
        <w:t>أم لم یوص بنا النبی وأودع الث‌قلین فیکم عترة وکتابا</w:t>
      </w:r>
    </w:p>
    <w:p>
      <w:pPr>
        <w:pStyle w:val="BookText"/>
        <w:rPr/>
      </w:pPr>
      <w:r>
        <w:rPr>
          <w:rFonts w:ascii="IRNazanin" w:hAnsi="IRNazanin" w:eastAsia="IRNazanin"/>
          <w:color w:val="111111"/>
          <w:sz w:val="28"/>
          <w:sz w:val="28"/>
          <w:szCs w:val="28"/>
          <w:rtl w:val="true"/>
          <w:lang w:bidi="fa-IR"/>
        </w:rPr>
        <w:t>إن لم تدینوا بالمعاد فراجعواأحسابکم إن کنتم أعراباً</w:t>
      </w:r>
    </w:p>
    <w:p>
      <w:pPr>
        <w:pStyle w:val="BookText"/>
        <w:rPr/>
      </w:pPr>
      <w:r>
        <w:rPr>
          <w:rFonts w:ascii="Amiri" w:hAnsi="Amiri" w:eastAsia="Amiri" w:cs="Amiri"/>
          <w:color w:val="111111"/>
          <w:sz w:val="28"/>
          <w:sz w:val="28"/>
          <w:szCs w:val="28"/>
          <w:rtl w:val="true"/>
          <w:lang w:bidi="ar-SA"/>
        </w:rPr>
        <w:t>فغدوا حیاری لا یرونَ لوعظهِ‌إلّا الأسنّة والسهام جواباً</w:t>
      </w:r>
      <w:r>
        <w:rPr>
          <w:rStyle w:val="FootnoteAnchor"/>
          <w:rtl w:val="true"/>
        </w:rPr>
        <w:footnoteReference w:id="15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دین الأئمة علیهم السلام ، فالإمام علی علیه السلام فی صفین وفی باقی حروبه لم یبدأ بالحرب، بل بدأ الحرب الطرف المعادی له علیه السلام ، وکان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أکره قتالکم</w:t>
      </w:r>
      <w:bookmarkStart w:id="717" w:name="pg5261_55398"/>
    </w:p>
    <w:p>
      <w:pPr>
        <w:pStyle w:val="BookText"/>
        <w:rPr/>
      </w:pPr>
      <w:bookmarkEnd w:id="717"/>
      <w:r>
        <w:rPr>
          <w:rFonts w:ascii="IRNazanin" w:hAnsi="IRNazanin" w:eastAsia="IRNazanin"/>
          <w:color w:val="111111"/>
          <w:sz w:val="28"/>
          <w:sz w:val="28"/>
          <w:szCs w:val="28"/>
          <w:rtl w:val="true"/>
          <w:lang w:bidi="fa-IR"/>
        </w:rPr>
        <w:t>قبل الإعذار إلیکم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وکانت جمیع الحروب فی زمانه علیه السلام حروب مفروضة علیه ؛ لأنّ الطرف المعادی لا یمتلک قوّة الحوار والاقناع العلمی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ما یوجد الآن لیس حوار ؛ لأنّ الحوار یعتمد علی أن تطرح رأیک ویطرح غیرک رأیه بالتساوی والتوازی ، لا أن یفرض الطرف الآخر رأیه علیک باعتبار أنّه الطرف القوی وأنت الطرف الضعیف ، وهذا یسمّی الغزو الثقافی باعتبار أنّ الأسلامیین لا یمتلکون الآلیات الإعلامیة الکافیة لبیان آرائهم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اعتراض علی طرح العولمة الذی یسمح لأمریکا أن تفرض آراءها علی الآخرین حتی من قبل الدول الأوروبیة التی تخشی الغزو الثقافی الأمریکی ، وذلک لعدم وجود قناعات وآلیات متساویة بین الأطراف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وتفتقد هذه العولمة العدالة والمساواة بین الأطراف</w:t>
      </w:r>
    </w:p>
    <w:p>
      <w:pPr>
        <w:pStyle w:val="Heading5"/>
        <w:numPr>
          <w:ilvl w:val="4"/>
          <w:numId w:val="1"/>
        </w:numPr>
        <w:rPr/>
      </w:pPr>
      <w:bookmarkStart w:id="718" w:name="__RefHeading___Toc477508_581953129"/>
      <w:bookmarkStart w:id="719" w:name="_Toc284"/>
      <w:bookmarkEnd w:id="718"/>
      <w:r>
        <w:rPr>
          <w:rtl w:val="true"/>
        </w:rPr>
        <w:t>دعوة لمواجهة الغزو الثقافی المتمثّل فی الجنون الجنسی</w:t>
      </w:r>
      <w:bookmarkEnd w:id="719"/>
    </w:p>
    <w:p>
      <w:pPr>
        <w:pStyle w:val="BookText"/>
        <w:rPr/>
      </w:pPr>
      <w:r>
        <w:rPr>
          <w:rFonts w:ascii="IRNazanin" w:hAnsi="IRNazanin" w:eastAsia="IRNazanin"/>
          <w:color w:val="111111"/>
          <w:sz w:val="28"/>
          <w:sz w:val="28"/>
          <w:szCs w:val="28"/>
          <w:rtl w:val="true"/>
          <w:lang w:bidi="fa-IR"/>
        </w:rPr>
        <w:t xml:space="preserve">ومن المعروف أنّ الیهود یمتلکون الکثیر من النفوذ فی أمریکا ، ولهم ید فی قضیة العولمة ، ولهم أهداف ومآرب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آثار هذه العولمة هو نشر جنون الجنس وجنون الإثارة والهستیریا الجنسیة ولیس الجنس فقط ، وإنّ الآباء والأمهات والإخوان والأخوات مدعّوون لمواجهة هذه الهجمة الشرسة فی ظلّ غیاب الأمر بالمعروف والنهی عن المنکر </w:t>
      </w:r>
      <w:r>
        <w:rPr>
          <w:rFonts w:eastAsia="IRNazanin" w:cs="IRNazanin"/>
          <w:color w:val="111111"/>
          <w:sz w:val="28"/>
          <w:szCs w:val="28"/>
          <w:rtl w:val="true"/>
          <w:lang w:bidi="fa-IR"/>
        </w:rPr>
        <w:t>.</w:t>
      </w:r>
      <w:bookmarkStart w:id="720" w:name="pg5261_55400"/>
    </w:p>
    <w:p>
      <w:pPr>
        <w:pStyle w:val="Heading4"/>
        <w:numPr>
          <w:ilvl w:val="3"/>
          <w:numId w:val="1"/>
        </w:numPr>
        <w:rPr/>
      </w:pPr>
      <w:bookmarkStart w:id="721" w:name="__RefHeading___Toc477510_581953129"/>
      <w:bookmarkStart w:id="722" w:name="_Toc285"/>
      <w:bookmarkEnd w:id="720"/>
      <w:bookmarkEnd w:id="721"/>
      <w:r>
        <w:rPr>
          <w:rtl w:val="true"/>
        </w:rPr>
        <w:t>المحاضرة الخامسة الإسلام یعترف بالشعوب والقبائل ولکن لا یجعلها أساساً للمفاضلة</w:t>
      </w:r>
      <w:bookmarkEnd w:id="722"/>
    </w:p>
    <w:p>
      <w:pPr>
        <w:pStyle w:val="Heading5"/>
        <w:numPr>
          <w:ilvl w:val="4"/>
          <w:numId w:val="1"/>
        </w:numPr>
        <w:rPr/>
      </w:pPr>
      <w:bookmarkStart w:id="723" w:name="__RefHeading___Toc477512_581953129"/>
      <w:bookmarkStart w:id="724" w:name="_Toc286"/>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وخطاب العولمة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غریزة الوحدة ، ومنابع غریزة الفرقة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الکریم یشیر إلی نزعتین فی حیاة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الإسلامی لا یتنکّر لنزعة التفرقة عند الإنسان ، ولکن یهذّبها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یعترف بالوطنیة والقومیة ، ولکنه لا یجعلها أساساً للتفاضل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بالشعوب والقبائل فی القرآن الکریم ، والحکمة الإلهیة فی خلقها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التعارف بین الشعوب عولمة بالمصطلح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الاختصاص مدعوّون لخدمة الدین من خلال اختصاصهم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والجوهر مناط تقییم الإنسان ، لا المظاهر والترف المادی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الحکیم بین المظهر والجوهر </w:t>
      </w:r>
      <w:r>
        <w:rPr>
          <w:rFonts w:eastAsia="IRNazanin" w:cs="IRNazanin"/>
          <w:color w:val="111111"/>
          <w:sz w:val="28"/>
          <w:szCs w:val="28"/>
          <w:rtl w:val="true"/>
          <w:lang w:bidi="fa-IR"/>
        </w:rPr>
        <w:t>.</w:t>
      </w:r>
    </w:p>
    <w:p>
      <w:pPr>
        <w:pStyle w:val="Heading5"/>
        <w:numPr>
          <w:ilvl w:val="4"/>
          <w:numId w:val="1"/>
        </w:numPr>
        <w:rPr/>
      </w:pPr>
      <w:bookmarkStart w:id="725" w:name="__RefHeading___Toc477514_581953129"/>
      <w:bookmarkStart w:id="726" w:name="_Toc287"/>
      <w:bookmarkEnd w:id="725"/>
      <w:r>
        <w:rPr>
          <w:rtl w:val="true"/>
        </w:rPr>
        <w:t>الحسین علیه السلام وخطاب العولمة</w:t>
      </w:r>
      <w:bookmarkEnd w:id="72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ضمن خطابات سید الشهداء علیه السلام ، والتی سندرسها فی ظلّ خطاب العولمة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فلعمری ما الإمام إلّاالحاکم بالکتاب ، والقائم بالقسط ، والدّائن بدین</w:t>
      </w:r>
      <w:bookmarkStart w:id="727" w:name="pg5261_55402"/>
    </w:p>
    <w:p>
      <w:pPr>
        <w:pStyle w:val="BookText"/>
        <w:rPr/>
      </w:pPr>
      <w:bookmarkEnd w:id="727"/>
      <w:r>
        <w:rPr>
          <w:rFonts w:ascii="IRNazanin" w:hAnsi="IRNazanin" w:eastAsia="IRNazanin"/>
          <w:color w:val="111111"/>
          <w:sz w:val="28"/>
          <w:sz w:val="28"/>
          <w:szCs w:val="28"/>
          <w:rtl w:val="true"/>
          <w:lang w:bidi="fa-IR"/>
        </w:rPr>
        <w:t>الحقّ الحابس نفسه علی ذات اللّه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 والإمام هو تعبیر عن رئاسة البشریة المُنصّبة من قبل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أدعوکم إلی کتاب اللّه وسنّة نبیه ، فإنّ السنة قد أمیتت ، وإنّ البدعة قد أحییت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النبوة، ومعدن الرسالة، ومختلف الملائکة ، وبنا فتح اللّه ، وبنا ختم اللّه ، ویزید رجل فاسق شارب الخمر ، قاتل النفس المحرّمة ، معلن بالفسق ، ومثلی لا یبایع مثله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الحسین علیه السلام یؤسس محاور فی النظام الاجتماعی السیاسی للمسلمین وللبشریة ، حیث یقوم هذا النظام علی کتاب اللّه وسنّة نبیه صلی الله علیه و آله و سلم ، والعدل والقسط ، وهو متمسّک بهذه المبادیء فی صراعه مع بنی أُمیّة </w:t>
      </w:r>
      <w:r>
        <w:rPr>
          <w:rFonts w:eastAsia="IRNazanin" w:cs="IRNazanin"/>
          <w:color w:val="111111"/>
          <w:sz w:val="28"/>
          <w:szCs w:val="28"/>
          <w:rtl w:val="true"/>
          <w:lang w:bidi="fa-IR"/>
        </w:rPr>
        <w:t>.</w:t>
      </w:r>
    </w:p>
    <w:p>
      <w:pPr>
        <w:pStyle w:val="Heading5"/>
        <w:numPr>
          <w:ilvl w:val="4"/>
          <w:numId w:val="1"/>
        </w:numPr>
        <w:rPr/>
      </w:pPr>
      <w:bookmarkStart w:id="728" w:name="__RefHeading___Toc477516_581953129"/>
      <w:bookmarkStart w:id="729" w:name="_Toc288"/>
      <w:bookmarkEnd w:id="728"/>
      <w:r>
        <w:rPr>
          <w:rtl w:val="true"/>
        </w:rPr>
        <w:t>منابع غریزة الوحدة ، ومنابع غریزة الفرقة</w:t>
      </w:r>
      <w:bookmarkEnd w:id="72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منابع غریزة التفرقة عند الإنسان القوّة الغضبیة والقوّة الشهویة وحبّ التملّک والانتماء إلی العائلة والقبیلة والقومیّات والأعراق ، وهذا الانتماء یحثّ الإنسان علی التفرقة ، والنظر بعین مختلفة إلی الآخر ، وأمّا منابع غریزة الوحدة والتوحّد مع الآخرین عند الإنسان ، فهی روح الإنسان فلا یمکن تمییز روح عن روح ، فلا یمکن وصف الروح بأنّها فی ذاتها روح عربیة أو أعجمیة ، أو سوداء أو بیضاء ، أو شرقیة أو غربیة ، أو شمالیة أو جنوبیة ، أو روح أفریقیة أو آسیویة ، وهذه الوحدة الروحیة تشمل الذکر والأُنثی فکلها روح انسان </w:t>
      </w:r>
      <w:r>
        <w:rPr>
          <w:rFonts w:eastAsia="IRNazanin" w:cs="IRNazanin"/>
          <w:color w:val="111111"/>
          <w:sz w:val="28"/>
          <w:szCs w:val="28"/>
          <w:rtl w:val="true"/>
          <w:lang w:bidi="fa-IR"/>
        </w:rPr>
        <w:t>.</w:t>
      </w:r>
      <w:bookmarkStart w:id="730" w:name="pg5261_55404"/>
    </w:p>
    <w:p>
      <w:pPr>
        <w:pStyle w:val="BookText"/>
        <w:rPr/>
      </w:pPr>
      <w:bookmarkEnd w:id="730"/>
      <w:r>
        <w:rPr>
          <w:rFonts w:ascii="IRNazanin" w:hAnsi="IRNazanin" w:eastAsia="IRNazanin"/>
          <w:color w:val="111111"/>
          <w:sz w:val="28"/>
          <w:sz w:val="28"/>
          <w:szCs w:val="28"/>
          <w:rtl w:val="true"/>
          <w:lang w:bidi="fa-IR"/>
        </w:rPr>
        <w:t xml:space="preserve">إذن التفرقة من الأرض ، ومن الطین ، ومن الجغرافیا ، ومن الإنسان نفسه الذی یکبّل نفسه بأنواع من القیود والتفرقات ، والنزوع نحو التوحّد والوحدة کامن فی أصل خلق الروح الواحدة التی خلقها اللّه تعالی </w:t>
      </w:r>
      <w:r>
        <w:rPr>
          <w:rFonts w:eastAsia="IRNazanin" w:cs="IRNazanin"/>
          <w:color w:val="111111"/>
          <w:sz w:val="28"/>
          <w:szCs w:val="28"/>
          <w:rtl w:val="true"/>
          <w:lang w:bidi="fa-IR"/>
        </w:rPr>
        <w:t>.</w:t>
      </w:r>
    </w:p>
    <w:p>
      <w:pPr>
        <w:pStyle w:val="Heading5"/>
        <w:numPr>
          <w:ilvl w:val="4"/>
          <w:numId w:val="1"/>
        </w:numPr>
        <w:rPr/>
      </w:pPr>
      <w:bookmarkStart w:id="731" w:name="__RefHeading___Toc477518_581953129"/>
      <w:bookmarkStart w:id="732" w:name="_Toc289"/>
      <w:bookmarkEnd w:id="731"/>
      <w:r>
        <w:rPr>
          <w:rtl w:val="true"/>
        </w:rPr>
        <w:t>القرآن الکریم یشیر إلی نزعتین فی حیاة الإنسان</w:t>
      </w:r>
      <w:bookmarkEnd w:id="73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فالقرآن الکریم یشیر إلی أنّ الإنسان یحمل نزعتین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النزعة الأُولی تتمثّل فی نزعة العداوة المصاحبة للهبوط إلی الأرض ، وقال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العداوة مترتبة علی التعب والنصب والکدح التی تحتاج إلیها الحیاة الدنیا ، فیحتاج الإنسان إلی القوّة الغضبیة لکی یحمی نفسه ، ویحتاج إلی القوّة الشهویة لکی یأکل ویشرب وینکح ویتکاثر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القوّة عندما تُنظَّم تخدم الإنسان ، ولکن عندما تتفلت تسبّب الکوارث والحروب والاعتداءات وانتهاک الأعراض وسفک الدماء والفساد فی الأرض وغصب الأموال ونشر الظلم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وتشیر الآیة إلی أنّ هدی اللّه هو الضمان وصمّام الأمان للإنسان ، لکی یحافظ علی السلام والحب والعدل وخدمة البشر ، والاستقرار النفسی والروحی والسیطرة علی الغرائز والشهوات وتشیر إلی وجود هذه النزعة التابعة لهدایة</w:t>
      </w:r>
      <w:bookmarkStart w:id="733" w:name="pg5261_55406"/>
    </w:p>
    <w:p>
      <w:pPr>
        <w:pStyle w:val="BookText"/>
        <w:rPr/>
      </w:pPr>
      <w:bookmarkEnd w:id="733"/>
      <w:r>
        <w:rPr>
          <w:rFonts w:ascii="IRNazanin" w:hAnsi="IRNazanin" w:eastAsia="IRNazanin"/>
          <w:color w:val="111111"/>
          <w:sz w:val="28"/>
          <w:sz w:val="28"/>
          <w:szCs w:val="28"/>
          <w:rtl w:val="true"/>
          <w:lang w:bidi="fa-IR"/>
        </w:rPr>
        <w:t xml:space="preserve">السماء ، وقد یعبّر عنها فی سائر الآیات بالفطرة وإلهام التقوی والنفس المطمئنة واللّوامة ونحو ذلک </w:t>
      </w:r>
      <w:r>
        <w:rPr>
          <w:rFonts w:eastAsia="IRNazanin" w:cs="IRNazanin"/>
          <w:color w:val="111111"/>
          <w:sz w:val="28"/>
          <w:szCs w:val="28"/>
          <w:rtl w:val="true"/>
          <w:lang w:bidi="fa-IR"/>
        </w:rPr>
        <w:t>.</w:t>
      </w:r>
    </w:p>
    <w:p>
      <w:pPr>
        <w:pStyle w:val="Heading5"/>
        <w:numPr>
          <w:ilvl w:val="4"/>
          <w:numId w:val="1"/>
        </w:numPr>
        <w:rPr/>
      </w:pPr>
      <w:bookmarkStart w:id="734" w:name="__RefHeading___Toc477520_581953129"/>
      <w:bookmarkStart w:id="735" w:name="_Toc290"/>
      <w:bookmarkEnd w:id="734"/>
      <w:r>
        <w:rPr>
          <w:rtl w:val="true"/>
        </w:rPr>
        <w:t>الدین الإسلامی لا یتنکّر لنزعة التفرقة عند الإنسان ، ولکن یهذّبها</w:t>
      </w:r>
      <w:bookmarkEnd w:id="735"/>
    </w:p>
    <w:p>
      <w:pPr>
        <w:pStyle w:val="BookText"/>
        <w:rPr/>
      </w:pPr>
      <w:r>
        <w:rPr>
          <w:rFonts w:ascii="Amiri" w:hAnsi="Amiri" w:eastAsia="Amiri" w:cs="Amiri"/>
          <w:color w:val="111111"/>
          <w:sz w:val="28"/>
          <w:sz w:val="28"/>
          <w:szCs w:val="28"/>
          <w:rtl w:val="true"/>
          <w:lang w:bidi="ar-SA"/>
        </w:rPr>
        <w:t>الدین الإسلامی لا یتنکّر لنزعات التفرقة ، ولا یدعو إلی هدمها ، ویعتبرها من حکمة اللّه ، ولکنه یحذّر من الإفراط فیها أو التمادی فیها الذی یسبّب الحروب والکوارث والظلم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736" w:name="__RefHeading___Toc477522_581953129"/>
      <w:bookmarkStart w:id="737" w:name="_Toc291"/>
      <w:bookmarkEnd w:id="736"/>
      <w:r>
        <w:rPr>
          <w:rtl w:val="true"/>
        </w:rPr>
        <w:t>الإسلام یعترف بالوطنیة والقومیة ، ولکنه لا یجعلها أساساً للتفاضل</w:t>
      </w:r>
      <w:bookmarkEnd w:id="737"/>
    </w:p>
    <w:p>
      <w:pPr>
        <w:pStyle w:val="BookText"/>
        <w:rPr/>
      </w:pPr>
      <w:r>
        <w:rPr>
          <w:rFonts w:ascii="IRNazanin" w:hAnsi="IRNazanin" w:eastAsia="IRNazanin"/>
          <w:color w:val="111111"/>
          <w:sz w:val="28"/>
          <w:sz w:val="28"/>
          <w:szCs w:val="28"/>
          <w:rtl w:val="true"/>
          <w:lang w:bidi="fa-IR"/>
        </w:rPr>
        <w:t>وهل یعترف الإسلام بالقومیة والوطنیة والعنصریة والهویة أم أنّه ینفیها تماماً؟</w:t>
      </w:r>
    </w:p>
    <w:p>
      <w:pPr>
        <w:pStyle w:val="BookText"/>
        <w:rPr/>
      </w:pPr>
      <w:r>
        <w:rPr>
          <w:rFonts w:ascii="IRNazanin" w:hAnsi="IRNazanin" w:eastAsia="IRNazanin"/>
          <w:color w:val="111111"/>
          <w:sz w:val="28"/>
          <w:sz w:val="28"/>
          <w:szCs w:val="28"/>
          <w:rtl w:val="true"/>
          <w:lang w:bidi="fa-IR"/>
        </w:rPr>
        <w:t xml:space="preserve">القرآن الکریم لا یتنکّر ولا ینفی ولا یدعو إلی إزالة الهویّات ، والانتماء إلی الوطن أو العرق أو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نعتقد بخطأ رأی من قال من الکتّاب 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یعترف بالمواطنة أصلاً والقومیة والهویة التی یتّصف بها الإنسان</w:t>
      </w:r>
    </w:p>
    <w:p>
      <w:pPr>
        <w:pStyle w:val="BookText"/>
        <w:rPr/>
      </w:pPr>
      <w:r>
        <w:rPr>
          <w:rFonts w:ascii="IRNazanin" w:hAnsi="IRNazanin" w:eastAsia="IRNazanin"/>
          <w:color w:val="111111"/>
          <w:sz w:val="28"/>
          <w:sz w:val="28"/>
          <w:szCs w:val="28"/>
          <w:rtl w:val="true"/>
          <w:lang w:bidi="fa-IR"/>
        </w:rPr>
        <w:t>هناک إفراط وتفریط فی هذه المسألة عند البعض ، أمّا آیات سورة البقرة فتوازن بین الإفراط والتفریط فی هذه المسألة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یعترف بالمواطنة والهویة القومیة والعرقیة ، ولکنه یوازنها بجانب الوحدة المتمثّل فی الجانب الروحی الذی یتحرّک فی أجواء الهدایة التی تطرحها الآیات المذکورة ، والتقوی التی هی أساس التفاضل </w:t>
      </w:r>
      <w:r>
        <w:rPr>
          <w:rFonts w:eastAsia="IRNazanin" w:cs="IRNazanin"/>
          <w:color w:val="111111"/>
          <w:sz w:val="28"/>
          <w:szCs w:val="28"/>
          <w:rtl w:val="true"/>
          <w:lang w:bidi="fa-IR"/>
        </w:rPr>
        <w:t>.</w:t>
      </w:r>
      <w:bookmarkStart w:id="738" w:name="pg5261_55408"/>
    </w:p>
    <w:p>
      <w:pPr>
        <w:pStyle w:val="Heading5"/>
        <w:numPr>
          <w:ilvl w:val="4"/>
          <w:numId w:val="1"/>
        </w:numPr>
        <w:rPr/>
      </w:pPr>
      <w:bookmarkStart w:id="739" w:name="__RefHeading___Toc477524_581953129"/>
      <w:bookmarkStart w:id="740" w:name="_Toc292"/>
      <w:bookmarkEnd w:id="738"/>
      <w:bookmarkEnd w:id="739"/>
      <w:r>
        <w:rPr>
          <w:rtl w:val="true"/>
        </w:rPr>
        <w:t>القومیات والوطنیات آلیات للمعیشة ، ولیست أساساً لتقییم الإنسان</w:t>
      </w:r>
      <w:bookmarkEnd w:id="740"/>
    </w:p>
    <w:p>
      <w:pPr>
        <w:pStyle w:val="BookText"/>
        <w:rPr/>
      </w:pPr>
      <w:r>
        <w:rPr>
          <w:rFonts w:ascii="IRNazanin" w:hAnsi="IRNazanin" w:eastAsia="IRNazanin"/>
          <w:color w:val="111111"/>
          <w:sz w:val="28"/>
          <w:sz w:val="28"/>
          <w:szCs w:val="28"/>
          <w:rtl w:val="true"/>
          <w:lang w:bidi="fa-IR"/>
        </w:rPr>
        <w:t xml:space="preserve">القومیات والوطنیات والعنصریات والأعراق المختلفة هی آلیات للمعیشة ولیست أُسساً للتقییم ، فلا یمکن تقییم الإنسان وتفضیلة بموطنه أو قومیته أو عنصره أو عرقه </w:t>
      </w:r>
      <w:r>
        <w:rPr>
          <w:rFonts w:eastAsia="IRNazanin" w:cs="IRNazanin"/>
          <w:color w:val="111111"/>
          <w:sz w:val="28"/>
          <w:szCs w:val="28"/>
          <w:rtl w:val="true"/>
          <w:lang w:bidi="fa-IR"/>
        </w:rPr>
        <w:t>.</w:t>
      </w:r>
    </w:p>
    <w:p>
      <w:pPr>
        <w:pStyle w:val="Heading5"/>
        <w:numPr>
          <w:ilvl w:val="4"/>
          <w:numId w:val="1"/>
        </w:numPr>
        <w:rPr/>
      </w:pPr>
      <w:bookmarkStart w:id="741" w:name="__RefHeading___Toc477526_581953129"/>
      <w:bookmarkStart w:id="742" w:name="_Toc293"/>
      <w:bookmarkEnd w:id="741"/>
      <w:r>
        <w:rPr>
          <w:rtl w:val="true"/>
        </w:rPr>
        <w:t>الاعتراف بالشعوب والقبائل فی القرآن الکریم ، والحکمة الإلهیة فی خلقها</w:t>
      </w:r>
      <w:bookmarkEnd w:id="74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الآیة عدّة ملاحظات ، الملاحظة الأُولی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خاطبت الناس جمیعاً ، والملاحظة الثانیة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ساوت بین جمیع البشر من خلال رجوعهم جمیعاً إلی آدم وحواء ، فالمصدر واحد ، ولا تفاضل بین هذا وذاک ، والملاحظة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الآیة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شعب ، إذن الآیة تعترف بتعدد الشعوب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وتعترف بتعدد القبائل وتعدد الأوطان وتعدد الأنساب ،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اعترفت الآیة بکل هذه النزعات التی تمیّز البشر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من خلق الإنسان فی مجموعات تمثّلها الشعوب والقبائل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المفسّرون لکی یعرف کل منّا صاحبه ، فلو کان کل البشر بنفس اللون ونفس القالب ونفس الشکل فسیستحیل النظام الاجتماعی ، ویزول الأمن البشری ، ولا تعرف حینها مع من تعاملت ، وإلی من أحسنت ، وإلی من أسَأت ، ومن تزوجت ، وممن</w:t>
      </w:r>
      <w:bookmarkStart w:id="743" w:name="pg5261_55410"/>
    </w:p>
    <w:p>
      <w:pPr>
        <w:pStyle w:val="BookText"/>
        <w:rPr/>
      </w:pPr>
      <w:bookmarkEnd w:id="743"/>
      <w:r>
        <w:rPr>
          <w:rFonts w:ascii="IRNazanin" w:hAnsi="IRNazanin" w:eastAsia="IRNazanin"/>
          <w:color w:val="111111"/>
          <w:sz w:val="28"/>
          <w:sz w:val="28"/>
          <w:szCs w:val="28"/>
          <w:rtl w:val="true"/>
          <w:lang w:bidi="fa-IR"/>
        </w:rPr>
        <w:t>اشتریت ، وممن بعت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477528_581953129"/>
      <w:bookmarkStart w:id="745" w:name="_Toc294"/>
      <w:bookmarkEnd w:id="744"/>
      <w:r>
        <w:rPr>
          <w:rtl w:val="true"/>
        </w:rPr>
        <w:t>التعارف بین الشعوب عولمة بالمصطلح القرآنی</w:t>
      </w:r>
      <w:bookmarkEnd w:id="745"/>
    </w:p>
    <w:p>
      <w:pPr>
        <w:pStyle w:val="BookText"/>
        <w:rPr/>
      </w:pPr>
      <w:r>
        <w:rPr>
          <w:rFonts w:ascii="IRNazanin" w:hAnsi="IRNazanin" w:eastAsia="IRNazanin"/>
          <w:color w:val="111111"/>
          <w:sz w:val="28"/>
          <w:sz w:val="28"/>
          <w:szCs w:val="28"/>
          <w:rtl w:val="true"/>
          <w:lang w:bidi="fa-IR"/>
        </w:rPr>
        <w:t xml:space="preserve">وهناک رأی آخر ذکره المفسّرون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یتبادل بعضکم بعضاً الخبرات والتجارب ، وهذه هی العولمة ، والقرآن الکریم بحث موضوع العولمة المبنیّة علی الحوار وتبادل الاستفادة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والکثیر من الشباب الجامعیین والمثقفین یسمعون بأبحاث جدیدة ، ویدّعون أنّ الدین لم یعالج 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لعدم اطلاعهم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فیصیبهم الإحباط والتراجع عن الفکر الدینی ، والانبهار بالغرب ، وما یطرحه من أفکار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المهم أن نعرف المرادفة اللغویة بین اللغة العصریة وبین لغة الدین ولغة القرآن ، ومن المهم البحث عن المصطلحات المترادفة التی تعبّر عن معنی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جوانب ثابتة وجوانب متغیّرة فی الإنسان ، فالبیئة والوطن والعرق جوانب متغیّرة ، أمّا جانب الروح وکمالات الروح والأُمور التی تُصلح الروح وتُفسدها والقیم الأخلاقیة فهذه أُمور ثابتة ولیست متغیّرة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غریزة الأکل والشرب والغضب والشهوة والعقل کل هذه الأُمور ثابتة فی کل زمان ومکان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تتغیّر البیئات ، ولکن المعانی هی هی لم تتغیّر ، وهناک معالجات عدیدة یطرحها القرآن الکریم بلغته وبمصطلحاته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اللعن ومرادفاته الحدیثة المتمثّلة فی</w:t>
      </w:r>
      <w:bookmarkStart w:id="746" w:name="pg5261_55411"/>
    </w:p>
    <w:p>
      <w:pPr>
        <w:pStyle w:val="BookText"/>
        <w:rPr/>
      </w:pPr>
      <w:bookmarkEnd w:id="746"/>
      <w:r>
        <w:rPr>
          <w:rFonts w:ascii="IRNazanin" w:hAnsi="IRNazanin" w:eastAsia="IRNazanin"/>
          <w:color w:val="111111"/>
          <w:sz w:val="28"/>
          <w:sz w:val="28"/>
          <w:szCs w:val="28"/>
          <w:rtl w:val="true"/>
          <w:lang w:bidi="fa-IR"/>
        </w:rPr>
        <w:t>الشجب والاستنکار والرفض والبراءة من الطرف الظالم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البحوث تعالجها البحوث المقارنة التی تقارن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Heading5"/>
        <w:numPr>
          <w:ilvl w:val="4"/>
          <w:numId w:val="1"/>
        </w:numPr>
        <w:rPr/>
      </w:pPr>
      <w:bookmarkStart w:id="747" w:name="__RefHeading___Toc477530_581953129"/>
      <w:bookmarkStart w:id="748" w:name="_Toc295"/>
      <w:bookmarkEnd w:id="747"/>
      <w:r>
        <w:rPr>
          <w:rtl w:val="true"/>
        </w:rPr>
        <w:t>أهل الاختصاص مدعّوون لخدمة الدین من خلال اختصاصهم</w:t>
      </w:r>
      <w:bookmarkEnd w:id="748"/>
    </w:p>
    <w:p>
      <w:pPr>
        <w:pStyle w:val="BookText"/>
        <w:rPr/>
      </w:pPr>
      <w:r>
        <w:rPr>
          <w:rFonts w:ascii="IRNazanin" w:hAnsi="IRNazanin" w:eastAsia="IRNazanin"/>
          <w:color w:val="111111"/>
          <w:sz w:val="28"/>
          <w:sz w:val="28"/>
          <w:szCs w:val="28"/>
          <w:rtl w:val="true"/>
          <w:lang w:bidi="fa-IR"/>
        </w:rPr>
        <w:t xml:space="preserve">ونحن نوجّه عتبنا علی النخب المتخصّصة ؛ لأنّ بإمکانهم المساهمة فی خدمة الدین من خلال تخصّصاتهم المختلفة ، فالأطباء مدعوّون لبحث الطب الدینی ، والباحث فی علم النفس مدعو إلی الاطلاع علی التراث الدینی وأحادیث أهل البیت علیهم السلام فی معالجة المشاکل النفسیة ، والاقتصادیون مدعوّون إلی الإطلاع علی توصیات الدین فی الجانب الاقتصادی ، ویستطیعون خدمة الفقهاء فی مجال تخصّصهم ، وهکذا بالنسبة للسیاسیین والإداریین أیضاً مدعوّون أیضاً لدراسة عهد الإمام علی علیه السلام لمالک الأشتر ، ونلاحظ أنّ کوفی عنان الأمین العام للامم المتحدة ، ذلک المسیحی الذی لا صلة له بعلی علیه السلام لا فی اللغة ولا فی القوم ولا فی الدین ، مع ذلک طالب بأن تکون قولة الإمام علی علیه السلام لمالک الأشتر ، فإنّهم صنفان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أخٌ لک فی الدین ، أو نظیر لک فی الخالق</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هذه المقولة ینبغی أن تکون شعاراً لجمیع المنظّمات الحقوقیة فی العالم ، وطالب أن تصوّت دول العالم علی أن یکون عهد علی علیه السلام لمالک الأشتر مصدراً من مصادر الأُمم المتحدة ، وفعلاً صوّتوا علی ذلک ، فأین نحن من هذا التراث ، وماذا قدّمنا له؟ وقد سمعت أنّ الأُمم المتحدة تعتمد علی تراث الإمام علی علیه السلام فی بعض تشریعاتها ، ونحن مطالبون</w:t>
      </w:r>
      <w:bookmarkStart w:id="749" w:name="pg5261_55413"/>
    </w:p>
    <w:p>
      <w:pPr>
        <w:pStyle w:val="BookText"/>
        <w:rPr/>
      </w:pPr>
      <w:bookmarkEnd w:id="749"/>
      <w:r>
        <w:rPr>
          <w:rFonts w:ascii="IRNazanin" w:hAnsi="IRNazanin" w:eastAsia="IRNazanin"/>
          <w:color w:val="111111"/>
          <w:sz w:val="28"/>
          <w:sz w:val="28"/>
          <w:szCs w:val="28"/>
          <w:rtl w:val="true"/>
          <w:lang w:bidi="fa-IR"/>
        </w:rPr>
        <w:t xml:space="preserve">بإقامة مؤتمر أو حفل تکریم لهذا الرجل الذی کرّم تراث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نرجو أن نحقق أعلی مراتب العلم ، والوصول إلی النجومیة العلمیة فی کلّ المجالات ، لکی نرسم صورة مشرفة لدیننا ومذهبنا ووطننا </w:t>
      </w:r>
      <w:r>
        <w:rPr>
          <w:rFonts w:eastAsia="IRNazanin" w:cs="IRNazanin"/>
          <w:color w:val="111111"/>
          <w:sz w:val="28"/>
          <w:szCs w:val="28"/>
          <w:rtl w:val="true"/>
          <w:lang w:bidi="fa-IR"/>
        </w:rPr>
        <w:t>.</w:t>
      </w:r>
    </w:p>
    <w:p>
      <w:pPr>
        <w:pStyle w:val="Heading5"/>
        <w:numPr>
          <w:ilvl w:val="4"/>
          <w:numId w:val="1"/>
        </w:numPr>
        <w:rPr/>
      </w:pPr>
      <w:bookmarkStart w:id="750" w:name="__RefHeading___Toc477532_581953129"/>
      <w:bookmarkStart w:id="751" w:name="_Toc296"/>
      <w:bookmarkEnd w:id="750"/>
      <w:r>
        <w:rPr>
          <w:rtl w:val="true"/>
        </w:rPr>
        <w:t>التقوی والجوهر مناط تقییم الإنسان ، لا المظاهر والترف المادی</w:t>
      </w:r>
      <w:bookmarkEnd w:id="751"/>
    </w:p>
    <w:p>
      <w:pPr>
        <w:pStyle w:val="BookText"/>
        <w:rPr/>
      </w:pPr>
      <w:r>
        <w:rPr>
          <w:rFonts w:ascii="IRNazanin" w:hAnsi="IRNazanin" w:eastAsia="IRNazanin"/>
          <w:color w:val="111111"/>
          <w:sz w:val="28"/>
          <w:sz w:val="28"/>
          <w:szCs w:val="28"/>
          <w:rtl w:val="true"/>
          <w:lang w:bidi="fa-IR"/>
        </w:rPr>
        <w:t xml:space="preserve">إذن قیمة الإنسان فی تقواه ، کما أشارت الآیة الکریمة من سورة الحجرات ، والقرآن الکریم یهذّب وجود التعدد ، ویطالب بعلومة الهدایة والتقوی ، واعتبارها أساساً للتفاضل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یطلق کلمة القری علی المدن التی لا تتمتع بالعنایة الروحیة ، ویطلق کلمة المدینة علی القریة التی تعتنی بالروح وتهذّب النفس ؛ لأنّ القرآن الکریم ینظر إلی المدنیّة الروحیة ویعطیها الجانب المتقدّم علی المدنیّة المادیة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وحضارة البدن والصناعة مطلوبة ، ولکنها لا تستطیع أن تسمو بالإنسان إلی الدرجات العالیة والقرب من اللّه ، والتخلّف قد یکون تخلّفاً روحیاً ، وقد یکون تخلّفاً مادیاً ، وهناک عدّة شواهد علی أنّ الحضارة الغربیة رغم ما توصلت إلیه من مستویً راقٍ فی المستوی الروحی إلّاأنّها تعیش فی صحراء روحیة قاتلة </w:t>
      </w:r>
      <w:r>
        <w:rPr>
          <w:rFonts w:eastAsia="IRNazanin" w:cs="IRNazanin"/>
          <w:color w:val="111111"/>
          <w:sz w:val="28"/>
          <w:szCs w:val="28"/>
          <w:rtl w:val="true"/>
          <w:lang w:bidi="fa-IR"/>
        </w:rPr>
        <w:t>.</w:t>
      </w:r>
    </w:p>
    <w:p>
      <w:pPr>
        <w:pStyle w:val="Heading5"/>
        <w:numPr>
          <w:ilvl w:val="4"/>
          <w:numId w:val="1"/>
        </w:numPr>
        <w:rPr/>
      </w:pPr>
      <w:bookmarkStart w:id="752" w:name="__RefHeading___Toc477534_581953129"/>
      <w:bookmarkStart w:id="753" w:name="_Toc297"/>
      <w:bookmarkEnd w:id="752"/>
      <w:r>
        <w:rPr>
          <w:rtl w:val="true"/>
        </w:rPr>
        <w:t>لقمان الحکیم بین المظهر والجوهر</w:t>
      </w:r>
      <w:bookmarkEnd w:id="753"/>
    </w:p>
    <w:p>
      <w:pPr>
        <w:pStyle w:val="BookText"/>
        <w:rPr/>
      </w:pPr>
      <w:r>
        <w:rPr>
          <w:rFonts w:ascii="IRNazanin" w:hAnsi="IRNazanin" w:eastAsia="IRNazanin"/>
          <w:color w:val="111111"/>
          <w:sz w:val="28"/>
          <w:sz w:val="28"/>
          <w:szCs w:val="28"/>
          <w:rtl w:val="true"/>
          <w:lang w:bidi="fa-IR"/>
        </w:rPr>
        <w:t xml:space="preserve">لقمان الحکیم کان حبشیاً أسوداً ، وکان من أقبح الناس وجهاً ، ومع ذلک خیره اللّه بین النبوة والحکمة فاختار الحکمة ، وکان یأنس النبی داود علیه السلام به ، مع أنّ النبی داود کان بهیّ المظهر ، وله السؤدد علی بنی إسرائیل والملک العظیم ، کان یأنس بلقمان ویجالسه ویستمع الحکمة منه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فالمظهر لیس کل شیء ، بل هو لا یمثّل شیء إذا لم یستند إلی الجمال الروحی ، ولذلک فالآیات السابقة علی الآیة التی ذکرناها فی سورة الحجرات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w:t>
      </w:r>
    </w:p>
    <w:p>
      <w:pPr>
        <w:pStyle w:val="BookText"/>
        <w:rPr/>
      </w:pPr>
      <w:r>
        <w:rPr>
          <w:rFonts w:ascii="Amiri" w:hAnsi="Amiri" w:eastAsia="Amiri" w:cs="Amiri"/>
          <w:color w:val="111111"/>
          <w:sz w:val="28"/>
          <w:sz w:val="28"/>
          <w:szCs w:val="28"/>
          <w:rtl w:val="true"/>
          <w:lang w:bidi="ar-SA"/>
        </w:rPr>
        <w:t xml:space="preserve">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النهی هنا عن الاستهزاء ، وذلک لأنّ المظهر قد یکون مظهراً بسیطاً ، والجوهر یکون جوهراً عظیماً ، ولذلک نهت الروایات عن الاستهزاء بشخص ما ، فقد یکون هذا الشخص عبداً مقرّباً من اللّه فیغضب اللّه 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یشیر إلی نظریة بالغة الأهمیة فی الحضارة والثقافة ، ونحن نعیش تحدّیاتها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الأُمم أو الأقوام أو الدول تعیش بینها التحقیر والاستنقاص والسخریة والاستهزاء والتوهین والإهانة والتناکر والتهکّم والتنفّر والتقبیح والطعن والتذمّر والنبز والغمز واللمز ، وفی مقابلة التحسین والمعاضدة والتعارف والاحترام والتجمیل والاستصلاح والانجذاب والتوقیر والتبجیل والمیل </w:t>
      </w:r>
      <w:r>
        <w:rPr>
          <w:rFonts w:eastAsia="IRNazanin" w:cs="IRNazanin"/>
          <w:color w:val="111111"/>
          <w:sz w:val="28"/>
          <w:szCs w:val="28"/>
          <w:rtl w:val="true"/>
          <w:lang w:bidi="fa-IR"/>
        </w:rPr>
        <w:t>.</w:t>
      </w:r>
      <w:bookmarkStart w:id="754" w:name="pg5261_55419"/>
    </w:p>
    <w:p>
      <w:pPr>
        <w:pStyle w:val="Heading4"/>
        <w:numPr>
          <w:ilvl w:val="3"/>
          <w:numId w:val="1"/>
        </w:numPr>
        <w:rPr/>
      </w:pPr>
      <w:bookmarkStart w:id="755" w:name="__RefHeading___Toc477536_581953129"/>
      <w:bookmarkStart w:id="756" w:name="_Toc298"/>
      <w:bookmarkEnd w:id="754"/>
      <w:bookmarkEnd w:id="755"/>
      <w:r>
        <w:rPr>
          <w:rtl w:val="true"/>
        </w:rPr>
        <w:t>المحاضرة السادسة نتائج اهتمام المجتمع بقیمه ، ونتائج إهمالها</w:t>
      </w:r>
      <w:bookmarkEnd w:id="756"/>
    </w:p>
    <w:p>
      <w:pPr>
        <w:pStyle w:val="Heading5"/>
        <w:numPr>
          <w:ilvl w:val="4"/>
          <w:numId w:val="1"/>
        </w:numPr>
        <w:rPr/>
      </w:pPr>
      <w:bookmarkStart w:id="757" w:name="__RefHeading___Toc477538_581953129"/>
      <w:bookmarkStart w:id="758" w:name="_Toc299"/>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التی تتفشّی من خلالها القیم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استهزء المجتمع بقیمة مّا ، فإنّه یتخلّص منها ویبعدها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العمل بالحق ، وعدم التناهی عن الباطل هو سبب ثورة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نطمئن إلی الفطرة الجماعیة والعقل الجماعی إذا کانا ملوّثین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أبعاد الأمر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مسؤول عن الحفاظ علی قیم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یأمر بالإصلاح المبنی علی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العولمة فی مرحلة التطبیق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العولمة الإسلامیة قائمة علی الحوار والاقتناع الفکری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یحیی دین النبی ویعید مبادءه </w:t>
      </w:r>
      <w:r>
        <w:rPr>
          <w:rFonts w:eastAsia="IRNazanin" w:cs="IRNazanin"/>
          <w:color w:val="111111"/>
          <w:sz w:val="28"/>
          <w:szCs w:val="28"/>
          <w:rtl w:val="true"/>
          <w:lang w:bidi="fa-IR"/>
        </w:rPr>
        <w:t>.</w:t>
      </w:r>
    </w:p>
    <w:p>
      <w:pPr>
        <w:pStyle w:val="Heading5"/>
        <w:numPr>
          <w:ilvl w:val="4"/>
          <w:numId w:val="1"/>
        </w:numPr>
        <w:rPr/>
      </w:pPr>
      <w:bookmarkStart w:id="759" w:name="__RefHeading___Toc477540_581953129"/>
      <w:bookmarkStart w:id="760" w:name="_Toc300"/>
      <w:bookmarkEnd w:id="759"/>
      <w:r>
        <w:rPr>
          <w:rtl w:val="true"/>
        </w:rPr>
        <w:t>شعر منسوب إلی الحسین علیه السلام</w:t>
      </w:r>
      <w:bookmarkEnd w:id="760"/>
    </w:p>
    <w:p>
      <w:pPr>
        <w:pStyle w:val="BookText"/>
        <w:rPr/>
      </w:pPr>
      <w:r>
        <w:rPr>
          <w:rFonts w:ascii="IRNazanin" w:hAnsi="IRNazanin" w:eastAsia="IRNazanin"/>
          <w:color w:val="111111"/>
          <w:sz w:val="28"/>
          <w:sz w:val="28"/>
          <w:szCs w:val="28"/>
          <w:rtl w:val="true"/>
          <w:lang w:bidi="fa-IR"/>
        </w:rPr>
        <w:t xml:space="preserve">من الأشعار التی تُؤثر عن سید الشهداء علیه السلام ظهر عاشوراء ،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علی الحر من آل هاشمکفانی بهذا مفخر حین أفخرُ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 أمی ثم جدی محمدٌوعمی یدعی ذا الجناحین جعفرُ</w:t>
      </w:r>
      <w:bookmarkStart w:id="761" w:name="pg5261_55421"/>
    </w:p>
    <w:p>
      <w:pPr>
        <w:pStyle w:val="BookText"/>
        <w:rPr/>
      </w:pPr>
      <w:bookmarkEnd w:id="761"/>
      <w:r>
        <w:rPr>
          <w:rFonts w:ascii="IRNazanin" w:hAnsi="IRNazanin" w:eastAsia="IRNazanin"/>
          <w:color w:val="111111"/>
          <w:sz w:val="28"/>
          <w:sz w:val="28"/>
          <w:szCs w:val="28"/>
          <w:rtl w:val="true"/>
          <w:lang w:bidi="fa-IR"/>
        </w:rPr>
        <w:t>ونحن ولاة الحوض نسقی محبنا بکأس رسول اللّه ما لیس ینکرُ</w:t>
      </w:r>
    </w:p>
    <w:p>
      <w:pPr>
        <w:pStyle w:val="BookText"/>
        <w:rPr/>
      </w:pPr>
      <w:r>
        <w:rPr>
          <w:rFonts w:ascii="IRNazanin" w:hAnsi="IRNazanin" w:eastAsia="IRNazanin"/>
          <w:color w:val="111111"/>
          <w:sz w:val="28"/>
          <w:sz w:val="28"/>
          <w:szCs w:val="28"/>
          <w:rtl w:val="true"/>
          <w:lang w:bidi="fa-IR"/>
        </w:rPr>
        <w:t>إذا ما أتی یوم القیامة ظامئاً إلی الحوض یسقیه بکفیه حیدرُ</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فهل یعتبر هذا النوع من الفخر من التعصّب للحسب 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فخر بالدین ، والقرب من رب العالمین ، ومن رسول اللّه علیه السلام وما أعطاه اللّه لأهل البیت علیه السلام یوم القیامة ، وقد قلنا أنّ الدین لا یلغی النسب والقبیلة والانتماء إلی الوطن ، ولکنه یرفض أن تکون هی مناط التفاضل ، بل یجعل التقوی هی المناط فی التفاضل بین البشر </w:t>
      </w:r>
      <w:r>
        <w:rPr>
          <w:rFonts w:eastAsia="IRNazanin" w:cs="IRNazanin"/>
          <w:color w:val="111111"/>
          <w:sz w:val="28"/>
          <w:szCs w:val="28"/>
          <w:rtl w:val="true"/>
          <w:lang w:bidi="fa-IR"/>
        </w:rPr>
        <w:t>.</w:t>
      </w:r>
    </w:p>
    <w:p>
      <w:pPr>
        <w:pStyle w:val="Heading5"/>
        <w:numPr>
          <w:ilvl w:val="4"/>
          <w:numId w:val="1"/>
        </w:numPr>
        <w:rPr/>
      </w:pPr>
      <w:bookmarkStart w:id="762" w:name="__RefHeading___Toc477542_581953129"/>
      <w:bookmarkStart w:id="763" w:name="_Toc301"/>
      <w:bookmarkEnd w:id="762"/>
      <w:r>
        <w:rPr>
          <w:rtl w:val="true"/>
        </w:rPr>
        <w:t>الأفعال التی تتفشّی من خلالها القیم الاجتماعیة</w:t>
      </w:r>
      <w:bookmarkEnd w:id="763"/>
    </w:p>
    <w:p>
      <w:pPr>
        <w:pStyle w:val="BookText"/>
        <w:rPr/>
      </w:pPr>
      <w:r>
        <w:rPr>
          <w:rFonts w:ascii="IRNazanin" w:hAnsi="IRNazanin" w:eastAsia="IRNazanin"/>
          <w:color w:val="111111"/>
          <w:sz w:val="28"/>
          <w:sz w:val="28"/>
          <w:szCs w:val="28"/>
          <w:rtl w:val="true"/>
          <w:lang w:bidi="fa-IR"/>
        </w:rPr>
        <w:t xml:space="preserve">وهناک عدّة أفعال یمارسها البشر تتفشّی من خلالها القیم الاجتماعیة الصحیحة أو الخاطئة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التنافر ویقابله التعارف ، والتحسین ویقابله التقبیح ، والاستنقاص ویقابله الامتداح ، والسخریة والاستهزاء والتهکّم ویقابلها الاحترام والتوقیر والتبجیل ، واللمز والغمز والطعن ویقابله الفخر والتعریف والتجمیل ، النبز ویقابله الاستصلاح ، التذمّر والتنفّر ویقابله الانجذاب والمیل ، التوهین والإهانة ویقابله المعاضدة والمساندة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الأفعال عندما یمارسها المجتمع ، فهی تشیر إلی تفشّی وانسیاب وتمحور قیمة معیّنة فی المجتمع ، وعندما یقبّح المجتمع معنیً معیّناً فإنّ فی هذا دلیل علی أنّ هذا المعنی قد سلب من هذا المجتمع ، إذن القیم قد توجد فی هذا المجتمع ، وقد تفقد من هذا المجتمع سواءً کانت هذه القیم قیماً سامیة تمثّل الفضیلة أم قیماً هابطة تمثّل الرذیلة</w:t>
      </w:r>
      <w:bookmarkStart w:id="764" w:name="pg5261_55423"/>
    </w:p>
    <w:p>
      <w:pPr>
        <w:pStyle w:val="Heading5"/>
        <w:numPr>
          <w:ilvl w:val="4"/>
          <w:numId w:val="1"/>
        </w:numPr>
        <w:rPr/>
      </w:pPr>
      <w:bookmarkStart w:id="765" w:name="__RefHeading___Toc477544_581953129"/>
      <w:bookmarkStart w:id="766" w:name="_Toc302"/>
      <w:bookmarkEnd w:id="764"/>
      <w:bookmarkEnd w:id="765"/>
      <w:r>
        <w:rPr>
          <w:rtl w:val="true"/>
        </w:rPr>
        <w:t>إذا استهزء المجتمع بقیمة ما ، فإنّه یتخلّص منها ویبعدها</w:t>
      </w:r>
      <w:bookmarkEnd w:id="766"/>
    </w:p>
    <w:p>
      <w:pPr>
        <w:pStyle w:val="BookText"/>
        <w:rPr/>
      </w:pPr>
      <w:r>
        <w:rPr>
          <w:rFonts w:ascii="IRNazanin" w:hAnsi="IRNazanin" w:eastAsia="IRNazanin"/>
          <w:color w:val="111111"/>
          <w:sz w:val="28"/>
          <w:sz w:val="28"/>
          <w:szCs w:val="28"/>
          <w:rtl w:val="true"/>
          <w:lang w:bidi="fa-IR"/>
        </w:rPr>
        <w:t>الآیة المذکورة فی سورة الحجرات التی تتکلّم عن الاستهزاء ، والتی ذکرناها فی المحاضرة السابقة یمکن الاستفادة منها ، أنّه إذا استهزء مجتمع ما بقیمة معیّنة ، فإنّ هذه القیمة تذبّل وتتلاشی وتبتعد عن هذا المجتمع ، وفی المقابل فإنّ الفخر والتضامن والاحترام والتبجیل والمساندة والمعاضدة والتجمیل والتحسین والاستصلاح والتوقیر کل هذه الأُمور تبعث علی ترکیز القیمة فی المجتمع ، فإن کانت هذه القیمة قیمة حسنة ، فإنّ تثبیت هذه القیمة من خلال احترامها وتبجیلها ومساندتها أمر حسن وممدوح ویرضی اللّه تعالی ، أمّا إذا کانت القیمة التی احترمها ذلک المجتمع قیمة هابطة ورذیلة ، فإنّ هذا الأمر یبعث علی غضب اللّه ، وفساد الفرد والمجتمع ، وستتبدل هویة المجتمع من مجتمع صالح إلی مجتمع فاسد</w:t>
      </w:r>
    </w:p>
    <w:p>
      <w:pPr>
        <w:pStyle w:val="Heading5"/>
        <w:numPr>
          <w:ilvl w:val="4"/>
          <w:numId w:val="1"/>
        </w:numPr>
        <w:rPr/>
      </w:pPr>
      <w:bookmarkStart w:id="767" w:name="__RefHeading___Toc477546_581953129"/>
      <w:bookmarkStart w:id="768" w:name="_Toc303"/>
      <w:bookmarkEnd w:id="767"/>
      <w:r>
        <w:rPr>
          <w:rtl w:val="true"/>
        </w:rPr>
        <w:t>عدم العمل بالحق ، وعدم التناهی عن الباطل هو سبب ثورة الحسین علیه السلام</w:t>
      </w:r>
      <w:bookmarkEnd w:id="768"/>
    </w:p>
    <w:p>
      <w:pPr>
        <w:pStyle w:val="BookText"/>
        <w:rPr/>
      </w:pPr>
      <w:r>
        <w:rPr>
          <w:rFonts w:ascii="IRNazanin" w:hAnsi="IRNazanin" w:eastAsia="IRNazanin"/>
          <w:color w:val="111111"/>
          <w:sz w:val="28"/>
          <w:sz w:val="28"/>
          <w:szCs w:val="28"/>
          <w:rtl w:val="true"/>
          <w:lang w:bidi="fa-IR"/>
        </w:rPr>
        <w:t>وهذا الأمر نفسه کان سبباً رئیسیاً فی ثورة سید الشهداء علیه السلام ،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 وأنّ الباطل لا یتناهی عنه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فهو یشیر علیه السلام إلی لزوم تأصیل قیم الحق والخیر فی المجتمع ، وإزالة قیم الباطل والشر عن البیئة الاجتماعیة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یَسْخَرْ قَوْمٌ مِنْ قَوْمٍ عَسی أَنْ یَکُونُوا خَیْراً مِنْهُمْ وَ لا نِساءٌ مِنْ نِساءٍ عَسی أَنْ یَکُنَّ خَیْراً مِنْهُنَّ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ما هو معیار الخیریّة ومعیار الشریّة ، ومعیار الحسن ومعیار القبح ، وهل هو الفطرة والعقل الاجتماعی؟</w:t>
      </w:r>
      <w:bookmarkStart w:id="769" w:name="pg5261_55425"/>
    </w:p>
    <w:p>
      <w:pPr>
        <w:pStyle w:val="Heading5"/>
        <w:numPr>
          <w:ilvl w:val="4"/>
          <w:numId w:val="1"/>
        </w:numPr>
        <w:rPr/>
      </w:pPr>
      <w:bookmarkStart w:id="770" w:name="__RefHeading___Toc477548_581953129"/>
      <w:bookmarkStart w:id="771" w:name="_Toc304"/>
      <w:bookmarkEnd w:id="769"/>
      <w:bookmarkEnd w:id="770"/>
      <w:r>
        <w:rPr>
          <w:rtl w:val="true"/>
        </w:rPr>
        <w:t>لا یمکن أن نطمئن إلی الفطرة الجماعیة والعقل الجماعی إذا کانا ملوّثین</w:t>
      </w:r>
      <w:bookmarkEnd w:id="771"/>
    </w:p>
    <w:p>
      <w:pPr>
        <w:pStyle w:val="BookText"/>
        <w:rPr/>
      </w:pPr>
      <w:r>
        <w:rPr>
          <w:rFonts w:ascii="IRNazanin" w:hAnsi="IRNazanin" w:eastAsia="IRNazanin"/>
          <w:color w:val="111111"/>
          <w:sz w:val="28"/>
          <w:sz w:val="28"/>
          <w:szCs w:val="28"/>
          <w:rtl w:val="true"/>
          <w:lang w:bidi="fa-IR"/>
        </w:rPr>
        <w:t xml:space="preserve">المدارس المنطقیة المختلفة قد تعتمد فی تصویب الأمر المعیّن أو تخطئته فی أیّ علم من العلوم حتی فی العلوم الإنسانیة والاجتماعیة ، علی الجانب الفکری فقط ، ویستنتجون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استنتاجٌ عقلیٌ لا ریب فیه ، أمّا فی مدرسة المنطق التی تنتمی إلی فکر الإسلام وأهل البیت علیهم السلام ، فإنّها تعتمد علی أنّ النفس الإنسانیة لیست جانباً فکریاً تجریبیاً فقط ، بل إنّ النفس الإنسانیة تؤثّر فیها مجموعة قواها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أحدکم شیئاً أصمه وأعمی بصره ، کما أنّ بغض الشیء یُعمی ویُصم ، وکذلک تربیة الإنسان تؤثّر فی تفکیره وإدراکه لما هو حسن وما هو قبیح ، ولا یمکن أن نطمئن لاستنتاجاتنا إذا کانت نفوسنا لیست فی حالة الطهارة ؛ لأنّه حتی البدیهیات والفطرة الإنسانیة تکون ممسوخة ومقلوبة ، وحتی العقل الجماعی فی المجتمع غیر المؤمن یکون عقلاً مقلوباً منکوساً ، وحینها تتبدل الأعراف والسیر الإنسانیة ، وحینها یأتی آتٍ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عامل متغیّر فی المجتمع ، فیجب قراءة النص علی وفق العقل الجماعی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وکیف نستطیع التعامل مع عقل منکوس ومقلوب وممسوخ ، ونغیّر النص إلی فکر منحرف ، وحیث إنّ المجتمع قد احترم القیم الهابطة أصبح مجتمعاً هابطاً فاسداً فلابدّ أن یکون تقییمه وعقله وقضاؤه وآراؤه فاسدة ، وحینها تکون قراءة النص وفق نظرة المجتمع المنحرف انحرافاً ، ولا یجدی التبریر بأنّ الدین یجب أن یواکب العصر والأعراف المختلفة والتغیّرات الاجتماعیة ؛ لأنّ الدین یواکب المتغیّرات إذا لم تکن تصطدم مع ثوابته ، ولا یمکنه أن یواکب قیم الانحراف والهبوط الفکری والأخلاقی والرذیلة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ولتنهون عن المنکر أو لیستعملنّ علیکم</w:t>
      </w:r>
      <w:bookmarkStart w:id="772" w:name="pg5261_55427"/>
    </w:p>
    <w:p>
      <w:pPr>
        <w:pStyle w:val="BookText"/>
        <w:rPr/>
      </w:pPr>
      <w:bookmarkEnd w:id="772"/>
      <w:r>
        <w:rPr>
          <w:rFonts w:ascii="IRNazanin" w:hAnsi="IRNazanin" w:eastAsia="IRNazanin"/>
          <w:color w:val="111111"/>
          <w:sz w:val="28"/>
          <w:sz w:val="28"/>
          <w:szCs w:val="28"/>
          <w:rtl w:val="true"/>
          <w:lang w:bidi="fa-IR"/>
        </w:rPr>
        <w:t>شرارکم فیدعوا خیارکم فلا یستجاب لهم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 ، فما یزال علیها حتّی یعرب عنها لسانه فأبواه یهوّدانه أو ینصّرانه أو یمجّسانه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إذن الفطرة قد تتلوّث فتصیر فطرة منکوسة ، وهکذا بالنسبة للعقل الجماعی </w:t>
      </w:r>
      <w:r>
        <w:rPr>
          <w:rFonts w:eastAsia="IRNazanin" w:cs="IRNazanin"/>
          <w:color w:val="111111"/>
          <w:sz w:val="28"/>
          <w:szCs w:val="28"/>
          <w:rtl w:val="true"/>
          <w:lang w:bidi="fa-IR"/>
        </w:rPr>
        <w:t>.</w:t>
      </w:r>
    </w:p>
    <w:p>
      <w:pPr>
        <w:pStyle w:val="Heading5"/>
        <w:numPr>
          <w:ilvl w:val="4"/>
          <w:numId w:val="1"/>
        </w:numPr>
        <w:rPr/>
      </w:pPr>
      <w:bookmarkStart w:id="773" w:name="__RefHeading___Toc477550_581953129"/>
      <w:bookmarkStart w:id="774" w:name="_Toc305"/>
      <w:bookmarkEnd w:id="773"/>
      <w:r>
        <w:rPr>
          <w:rtl w:val="true"/>
        </w:rPr>
        <w:t>من أبعاد الأمر بالمعروف والنهی عن المنکر</w:t>
      </w:r>
      <w:bookmarkEnd w:id="774"/>
    </w:p>
    <w:p>
      <w:pPr>
        <w:pStyle w:val="BookText"/>
        <w:rPr/>
      </w:pPr>
      <w:r>
        <w:rPr>
          <w:rFonts w:ascii="IRNazanin" w:hAnsi="IRNazanin" w:eastAsia="IRNazanin"/>
          <w:color w:val="111111"/>
          <w:sz w:val="28"/>
          <w:sz w:val="28"/>
          <w:szCs w:val="28"/>
          <w:rtl w:val="true"/>
          <w:lang w:bidi="fa-IR"/>
        </w:rPr>
        <w:t xml:space="preserve">إذن من أبعاد الأمر بالمعروف والنهی عن المنکر أن نقبّح القبیح وأن لا نستحسن القبیح أو نحترم القبیح أو نجمّل القبیح ، حیث إنّ الأمر بالمعروف والنهی عن المنکر لا یقتصر علی کلمة نطلقها هنا أو هناک ، بل هو تقبیح القبیح والاستهزاء به ونبذه ورفضه ونکرانه والتهکّم به والسخریة به وطعنه ولمزه وغمزه ، وهذا ضمن الحدود الشرعیة ، لأنّنا لسنا فی مقام الدعوة إلی إسقاط شخصیات بغیر مبرر شرعی </w:t>
      </w:r>
      <w:r>
        <w:rPr>
          <w:rFonts w:eastAsia="IRNazanin" w:cs="IRNazanin"/>
          <w:color w:val="111111"/>
          <w:sz w:val="28"/>
          <w:szCs w:val="28"/>
          <w:rtl w:val="true"/>
          <w:lang w:bidi="fa-IR"/>
        </w:rPr>
        <w:t>.</w:t>
      </w:r>
    </w:p>
    <w:p>
      <w:pPr>
        <w:pStyle w:val="Heading5"/>
        <w:numPr>
          <w:ilvl w:val="4"/>
          <w:numId w:val="1"/>
        </w:numPr>
        <w:rPr/>
      </w:pPr>
      <w:bookmarkStart w:id="775" w:name="__RefHeading___Toc477552_581953129"/>
      <w:bookmarkStart w:id="776" w:name="_Toc306"/>
      <w:bookmarkEnd w:id="775"/>
      <w:r>
        <w:rPr>
          <w:rtl w:val="true"/>
        </w:rPr>
        <w:t>المجتمع مسؤول عن الحفاظ علی قیم المعروف</w:t>
      </w:r>
      <w:bookmarkEnd w:id="776"/>
    </w:p>
    <w:p>
      <w:pPr>
        <w:pStyle w:val="BookText"/>
        <w:rPr/>
      </w:pPr>
      <w:r>
        <w:rPr>
          <w:rFonts w:ascii="IRNazanin" w:hAnsi="IRNazanin" w:eastAsia="IRNazanin"/>
          <w:color w:val="111111"/>
          <w:sz w:val="28"/>
          <w:sz w:val="28"/>
          <w:szCs w:val="28"/>
          <w:rtl w:val="true"/>
          <w:lang w:bidi="fa-IR"/>
        </w:rPr>
        <w:t xml:space="preserve">الأمر بالمعروف یعنی أنّه هناک مجموعة من القیم السامیة الإلهیة یکون المجتمع مسؤول عنها وعن الحفاظ علیها وعن تسلیمها للأجیال القادمة بنقائها وصفائها ، وأن نفتخر بالمعروف ونعزّزه فی المجتمع وندعوا إلیه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والاستهزاء بالمنکر ورفضه ونبذه یشکّل مصداقاً من مصادیق النهی عن المنکر ، وإذا افتقد المجتمع هذه الحالة فإنّه یمر فی حالة خطیرة جدّاً تهدّد علاقته باللّه تعالی وبمبادیء الدین وقیمه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الحجرات تعالج</w:t>
      </w:r>
      <w:bookmarkStart w:id="777" w:name="pg5261_55429"/>
    </w:p>
    <w:p>
      <w:pPr>
        <w:pStyle w:val="BookText"/>
        <w:rPr/>
      </w:pPr>
      <w:bookmarkEnd w:id="777"/>
      <w:r>
        <w:rPr>
          <w:rFonts w:ascii="IRNazanin" w:hAnsi="IRNazanin" w:eastAsia="IRNazanin"/>
          <w:color w:val="111111"/>
          <w:sz w:val="28"/>
          <w:sz w:val="28"/>
          <w:szCs w:val="28"/>
          <w:rtl w:val="true"/>
          <w:lang w:bidi="fa-IR"/>
        </w:rPr>
        <w:t xml:space="preserve">موضوع العولمة من جهات مختلفة ، وتوازن بین جهات الوفاق وجهات الاختلاف </w:t>
      </w:r>
      <w:r>
        <w:rPr>
          <w:rFonts w:eastAsia="IRNazanin" w:cs="IRNazanin"/>
          <w:color w:val="111111"/>
          <w:sz w:val="28"/>
          <w:szCs w:val="28"/>
          <w:rtl w:val="true"/>
          <w:lang w:bidi="fa-IR"/>
        </w:rPr>
        <w:t>.</w:t>
      </w:r>
    </w:p>
    <w:p>
      <w:pPr>
        <w:pStyle w:val="Heading5"/>
        <w:numPr>
          <w:ilvl w:val="4"/>
          <w:numId w:val="1"/>
        </w:numPr>
        <w:rPr/>
      </w:pPr>
      <w:bookmarkStart w:id="778" w:name="__RefHeading___Toc477554_581953129"/>
      <w:bookmarkStart w:id="779" w:name="_Toc307"/>
      <w:bookmarkEnd w:id="778"/>
      <w:r>
        <w:rPr>
          <w:rtl w:val="true"/>
        </w:rPr>
        <w:t>القرآن الکریم یأمر بالإصلاح المبنی علی العدل</w:t>
      </w:r>
      <w:bookmarkEnd w:id="779"/>
    </w:p>
    <w:p>
      <w:pPr>
        <w:pStyle w:val="BookText"/>
        <w:rPr/>
      </w:pPr>
      <w:r>
        <w:rPr>
          <w:rFonts w:ascii="Amiri" w:hAnsi="Amiri" w:eastAsia="Amiri" w:cs="Amiri"/>
          <w:color w:val="111111"/>
          <w:sz w:val="28"/>
          <w:sz w:val="28"/>
          <w:szCs w:val="28"/>
          <w:rtl w:val="true"/>
          <w:lang w:bidi="ar-SA"/>
        </w:rPr>
        <w:t>ومن الآیات التی تکلّمت حول بحث العولمة ، 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 قیّد القرآن الکریم الإصلاح بالعدل؟ وهو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إنهاء القتال والمواجهة العسکریة ، والتراضی لا عن طریق الضغط العسکری أو الضغط الإعلامی ، والقرآن لایدعو إلی الصلح بأیّ طریقة ، وإنّما الصلح القائم علی العدل والقسط </w:t>
      </w:r>
      <w:r>
        <w:rPr>
          <w:rFonts w:eastAsia="IRNazanin" w:cs="IRNazanin"/>
          <w:color w:val="111111"/>
          <w:sz w:val="28"/>
          <w:szCs w:val="28"/>
          <w:rtl w:val="true"/>
          <w:lang w:bidi="fa-IR"/>
        </w:rPr>
        <w:t>.</w:t>
      </w:r>
    </w:p>
    <w:p>
      <w:pPr>
        <w:pStyle w:val="Heading5"/>
        <w:numPr>
          <w:ilvl w:val="4"/>
          <w:numId w:val="1"/>
        </w:numPr>
        <w:rPr/>
      </w:pPr>
      <w:bookmarkStart w:id="780" w:name="__RefHeading___Toc477556_581953129"/>
      <w:bookmarkStart w:id="781" w:name="_Toc308"/>
      <w:bookmarkEnd w:id="780"/>
      <w:r>
        <w:rPr>
          <w:rtl w:val="true"/>
        </w:rPr>
        <w:t>العولمة فی مرحلة التطبیق الإسلامی</w:t>
      </w:r>
      <w:bookmarkEnd w:id="781"/>
    </w:p>
    <w:p>
      <w:pPr>
        <w:pStyle w:val="BookText"/>
        <w:rPr/>
      </w:pPr>
      <w:r>
        <w:rPr>
          <w:rFonts w:ascii="IRNazanin" w:hAnsi="IRNazanin" w:eastAsia="IRNazanin"/>
          <w:color w:val="111111"/>
          <w:sz w:val="28"/>
          <w:sz w:val="28"/>
          <w:szCs w:val="28"/>
          <w:rtl w:val="true"/>
          <w:lang w:bidi="fa-IR"/>
        </w:rPr>
        <w:t xml:space="preserve">النبی صلی الله علیه و آله فی السنة الثالثة من الهجرة دعا المقوقس ملک القبط ، ودعا هرقل ملک الروم ، ودعا کسری ملک الفرس ، ودعا النجاشی ملک الحبشة إلی الإسلام ، وکان خطاب النبی صلی الله علیه و آله لهم بهذا الشکل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عبده ورسوله إلی هرقل عظیم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علی من اتّبع الهدی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أمّآ بعد فإنّی أدعوک برعایة الإسلام أسلم تسلم</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وذکر النبی فی رسالته إلی هرقل والمقوقس ،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w:t>
      </w:r>
      <w:bookmarkStart w:id="782" w:name="pg5261_55432"/>
    </w:p>
    <w:p>
      <w:pPr>
        <w:pStyle w:val="BookText"/>
        <w:rPr/>
      </w:pPr>
      <w:bookmarkEnd w:id="782"/>
      <w:r>
        <w:rPr>
          <w:rFonts w:ascii="Amiri" w:hAnsi="Amiri" w:eastAsia="Amiri" w:cs="Amiri"/>
          <w:color w:val="111111"/>
          <w:sz w:val="28"/>
          <w:sz w:val="28"/>
          <w:szCs w:val="28"/>
          <w:rtl w:val="true"/>
          <w:lang w:bidi="ar-SA"/>
        </w:rPr>
        <w:t xml:space="preserve">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783" w:name="__RefHeading___Toc477558_581953129"/>
      <w:bookmarkStart w:id="784" w:name="_Toc309"/>
      <w:bookmarkEnd w:id="783"/>
      <w:r>
        <w:rPr>
          <w:rtl w:val="true"/>
        </w:rPr>
        <w:t>العولمة الإسلامیة قائمة علی الحوار والاقتناع الفکری</w:t>
      </w:r>
      <w:bookmarkEnd w:id="784"/>
    </w:p>
    <w:p>
      <w:pPr>
        <w:pStyle w:val="BookText"/>
        <w:rPr/>
      </w:pPr>
      <w:r>
        <w:rPr>
          <w:rFonts w:ascii="IRNazanin" w:hAnsi="IRNazanin" w:eastAsia="IRNazanin"/>
          <w:color w:val="111111"/>
          <w:sz w:val="28"/>
          <w:sz w:val="28"/>
          <w:szCs w:val="28"/>
          <w:rtl w:val="true"/>
          <w:lang w:bidi="fa-IR"/>
        </w:rPr>
        <w:t>هذه هی العولمة الإسلامیة التی خاطب بها النبی صلی الله علیه و آله والأُمم الأُخری ، العولمة المنطلقة من مفاهیم القرآن الکریم القائمة علی المساواة والحوار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رفع القرآن الکریم فی زمان کانت البشریة ترزح تحت نیر العبودیة والتفرقة العنصریة والتخلّف العلمی والحضاری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الحوار لا علی فرض الآراء بالقوّة العسکریة أو الاقتصادیة ، بل من العولمة المنطلقة من الاقتناع الفکری والعامل الثقافی ، لا من الترهیب والترغیب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والآیة تشیر إلی عدّة أُمور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السواء ، ثانیاً ، العبودیة للّه، ثالثاً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رفض التسلّط من قبل بعض البشر علی بعض ، ووجود الحریة للبشر ، وعدم خضوع بعضهم 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القرآن جعل لغة العولمة هی لغة الحوار ، وهذا منطق متمدّن راق طرحه القرآن فی تلک الأزمة المتخلّفة علی صعید النظریة ، وعلی صعید التطبیق فکان النبی صلی الله علیه و آله یساوی بین بلال الحبشی وصهیب الرومی وسلمان الفارسی وبین العرب ، بل إنّه قد فضّل سلمان الفارسی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لا لعنصره ، وإنّما للمستوی الروحی الذی ملکه وتمیّز به </w:t>
      </w:r>
      <w:r>
        <w:rPr>
          <w:rFonts w:eastAsia="IRNazanin" w:cs="IRNazanin"/>
          <w:color w:val="111111"/>
          <w:sz w:val="28"/>
          <w:szCs w:val="28"/>
          <w:rtl w:val="true"/>
          <w:lang w:bidi="fa-IR"/>
        </w:rPr>
        <w:t>.</w:t>
      </w:r>
    </w:p>
    <w:p>
      <w:pPr>
        <w:pStyle w:val="Heading5"/>
        <w:numPr>
          <w:ilvl w:val="4"/>
          <w:numId w:val="1"/>
        </w:numPr>
        <w:rPr/>
      </w:pPr>
      <w:bookmarkStart w:id="785" w:name="__RefHeading___Toc477560_581953129"/>
      <w:bookmarkStart w:id="786" w:name="_Toc310"/>
      <w:bookmarkEnd w:id="785"/>
      <w:r>
        <w:rPr>
          <w:rtl w:val="true"/>
        </w:rPr>
        <w:t>أخلاق النبی صلی الله علیه و آله وسیاسته ومبادئه عامل أساسی فی العولمة الإسلامیة</w:t>
      </w:r>
      <w:bookmarkEnd w:id="7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المستشرقون یعترفون أنّ العامل الأساسی فی نشر الإسلام هو أنّ أهالی البلدان المفتوحة کانوا یساعدون المسلمین علی فتح بلدانهم ؛ لأنّهم کانوا یعانون</w:t>
      </w:r>
      <w:bookmarkStart w:id="787" w:name="pg5261_55434"/>
    </w:p>
    <w:p>
      <w:pPr>
        <w:pStyle w:val="BookText"/>
        <w:rPr/>
      </w:pPr>
      <w:bookmarkEnd w:id="787"/>
      <w:r>
        <w:rPr>
          <w:rFonts w:ascii="IRNazanin" w:hAnsi="IRNazanin" w:eastAsia="IRNazanin"/>
          <w:color w:val="111111"/>
          <w:sz w:val="28"/>
          <w:sz w:val="28"/>
          <w:szCs w:val="28"/>
          <w:rtl w:val="true"/>
          <w:lang w:bidi="fa-IR"/>
        </w:rPr>
        <w:t>من أنظمة دکتاتوریة ظالمة تضطهدهم وتذیقهم أنواع الذل والظلم ، وأنّ سیرة النبی الأعظم البسیطة وتواضعه ومساواته بین المسلمین کان لها الأثر الأکبر فی تقبّل الناس لهذا الدین ، والنبی لم یلغ القبائل ولم یحلها ، بل أبقی النظام القبلی کآلیّة للمعیشة ، ولکنه لم یجعل هذا الانتماء لهذه القبیلة أو تلک معیاراً للتفاضل والتفاخر والاستعلاء علی الآخرین ، وعلی الرغم من أنّ المنهج الإسلامی الذی أسس له النبی محمّد صلی الله علیه و آله سرعان ما تعرّض إلی التشویه والانحراف الذی کان یمارسه ملوک بنی أمیة وبنی العباس إلّاأنّه رغم ذلک استطاع أن یحقق الکثیر ، وأن یجذب النفوس ، وأن یستقطب قطاعات واسعة من المجتمعات المختلفة</w:t>
      </w:r>
    </w:p>
    <w:p>
      <w:pPr>
        <w:pStyle w:val="Heading5"/>
        <w:numPr>
          <w:ilvl w:val="4"/>
          <w:numId w:val="1"/>
        </w:numPr>
        <w:rPr/>
      </w:pPr>
      <w:bookmarkStart w:id="788" w:name="__RefHeading___Toc477562_581953129"/>
      <w:bookmarkStart w:id="789" w:name="_Toc311"/>
      <w:bookmarkEnd w:id="788"/>
      <w:r>
        <w:rPr>
          <w:rtl w:val="true"/>
        </w:rPr>
        <w:t>اختلاف المنهج بعد النبی صلی الله علیه و آله</w:t>
      </w:r>
      <w:bookmarkEnd w:id="789"/>
    </w:p>
    <w:p>
      <w:pPr>
        <w:pStyle w:val="BookText"/>
        <w:rPr/>
      </w:pPr>
      <w:r>
        <w:rPr>
          <w:rFonts w:ascii="IRNazanin" w:hAnsi="IRNazanin" w:eastAsia="IRNazanin"/>
          <w:color w:val="111111"/>
          <w:sz w:val="28"/>
          <w:sz w:val="28"/>
          <w:szCs w:val="28"/>
          <w:rtl w:val="true"/>
          <w:lang w:bidi="fa-IR"/>
        </w:rPr>
        <w:t xml:space="preserve">وهناک مؤاخذات تؤخذ علی الخلفاء الثلاثة بعد النبی تخالف سیرته صلی الله علیه و آله ، ونحن نطرح هذه الأُمور من باب البحث العلمی ، لا من باب التعصّب المذهبی ،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سبیل المثال لا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التفرقة فی السیاسة المالیة ، حیث فرّق فی العطاء بین الموالی والعرب ، وبین قریش وغیر قریش ، ومنع الموالی من دخول المدینة ، وأنّ ولاة الأمصار لایمکن أن یکونوا من الموالی</w:t>
      </w:r>
      <w:r>
        <w:rPr>
          <w:rStyle w:val="FootnoteAnchor"/>
          <w:rtl w:val="true"/>
        </w:rPr>
        <w:footnoteReference w:id="172"/>
      </w:r>
      <w:r>
        <w:rPr>
          <w:rFonts w:ascii="IRNazanin" w:hAnsi="IRNazanin" w:eastAsia="IRNazanin"/>
          <w:color w:val="111111"/>
          <w:sz w:val="28"/>
          <w:sz w:val="28"/>
          <w:szCs w:val="28"/>
          <w:rtl w:val="true"/>
          <w:lang w:bidi="fa-IR"/>
        </w:rPr>
        <w:t xml:space="preserve">، حتی أنّ الشعوب الأُخری غیر العربیة صار لدیها ردود فعل تجاه العرب ، وظهر تیار الشعوبیة المعادی للعرب کردّ فعل علی تصرفات کانت بعیدة عن منهج النبی محمّد صلی الله علیه و آله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أنّ المهاجرین والأنصار طالبوا علیاً علیه السلام بأن یمیّز هم بالعطاء ، ولکنه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نصرتهم للنبی محمّد لها أجرها الأُخروی ، ولیس من حقّهم المطالبة بالتمیّز علی الآخرین فی الدنیا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790" w:name="pg5261_55436"/>
    </w:p>
    <w:p>
      <w:pPr>
        <w:pStyle w:val="BookText"/>
        <w:rPr/>
      </w:pPr>
      <w:bookmarkEnd w:id="790"/>
      <w:r>
        <w:rPr>
          <w:rFonts w:ascii="IRNazanin" w:hAnsi="IRNazanin" w:eastAsia="IRNazanin"/>
          <w:color w:val="111111"/>
          <w:sz w:val="28"/>
          <w:sz w:val="28"/>
          <w:szCs w:val="28"/>
          <w:rtl w:val="true"/>
          <w:lang w:bidi="fa-IR"/>
        </w:rPr>
        <w:t xml:space="preserve">وعندما جاء علی علیه السلام لم یشأ أن یتوسّع فی رقعة البلاد الإسلامیة ، والداخل الإسلامی یعانی من الخواء والفساد ، فتوجّه إلی الإصلاح الداخلی ، وللأسف فقد واجهه أصحاب الجمل ، وواجه العصبیات القبلیة ، والعصبیات القرشیة ، والأحزاب التی لم یکن یروق لها عدل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ودوافع حرب الجمل معروفة </w:t>
      </w:r>
      <w:r>
        <w:rPr>
          <w:rFonts w:eastAsia="IRNazanin" w:cs="IRNazanin"/>
          <w:color w:val="111111"/>
          <w:sz w:val="28"/>
          <w:szCs w:val="28"/>
          <w:rtl w:val="true"/>
          <w:lang w:bidi="fa-IR"/>
        </w:rPr>
        <w:t>.</w:t>
      </w:r>
    </w:p>
    <w:p>
      <w:pPr>
        <w:pStyle w:val="Heading5"/>
        <w:numPr>
          <w:ilvl w:val="4"/>
          <w:numId w:val="1"/>
        </w:numPr>
        <w:rPr/>
      </w:pPr>
      <w:bookmarkStart w:id="791" w:name="__RefHeading___Toc477564_581953129"/>
      <w:bookmarkStart w:id="792" w:name="_Toc312"/>
      <w:bookmarkEnd w:id="791"/>
      <w:r>
        <w:rPr>
          <w:rtl w:val="true"/>
        </w:rPr>
        <w:t>الحسین علیه السلام یحیی دین النبی ویعید مبادءه</w:t>
      </w:r>
      <w:bookmarkEnd w:id="792"/>
    </w:p>
    <w:p>
      <w:pPr>
        <w:pStyle w:val="BookText"/>
        <w:rPr/>
      </w:pPr>
      <w:r>
        <w:rPr>
          <w:rFonts w:ascii="IRNazanin" w:hAnsi="IRNazanin" w:eastAsia="IRNazanin"/>
          <w:color w:val="111111"/>
          <w:sz w:val="28"/>
          <w:sz w:val="28"/>
          <w:szCs w:val="28"/>
          <w:rtl w:val="true"/>
          <w:lang w:bidi="fa-IR"/>
        </w:rPr>
        <w:t xml:space="preserve">ومنهج النبی محمّد صلی الله علیه و آله نراه عند سبطه الإمام الحسین علیه السلام فی یوم عاشوراء الذی أخذ علی عاتقه إحیاء مبادیء جدّه محمّد صلی الله علیه و آله التی تعرّضت للتشویه والانحراف علی أیدی بنی أمیة ، فنری أنّ الحسین بن علی علیه السلام فی یوم عاشوراء یضع خدّه علی خدّ جون ذلک العبد ، وهذا نوع عظیم من أنواع الاحترام عند العرب ، ویساوی الحسین علیه السلام بین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علی الأکبر ، السید القرشی الذی ینتسب لرسول اللّه صلی الله علیه و آله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ومبدأ العدل متجذّر فی مذهب أهل البیت علیهم السلام الذی یرفض أن یکون الخروج علی ولی الأمر حراماً ، کما هو فی المذاهب الأُخری ، والإمامیة تضع شروطاً للإمام أشدّ ممّا تنشده البشریة ، فنحن نعتقد أنّه معصوم ، فیتوصل إلی النظام الحقوقی العدل ، والنظام المالی العادل ، والنظام القضائی العادل ، والنظام السیاسی العادل ، والسیرة العادلة بدون أیّ تفرقة بین مؤمن ومؤمن ، وأنّ الحاکم لیس الإمام المعصوم أو الرسول ، بل الحاکم الأوّل هو اللّه ، وأنّه لیس من حق الرسول صلی الله علیه و آله أو الإمام التشریع بدون أمر اللّه ونهیه ، وأنّ الإمام المعصوم لا یشاء إلّا ما یشاء اللّه ، ولا یفعل ما لا یرضی اللّه تعالی ، إذن حاکمیة اللّه تتجلّی فی فعل المعصومین الذین هم عباد مکرمون لا یعصون اللّه ما أمرهم ، ویفعلون ما یؤمرون ، وهذا لیس مغالاة ، بل هو التوحید فی الحاکمیة الذی یتمیّز به مذهب أهل البیت علیهم السلام </w:t>
      </w:r>
      <w:r>
        <w:rPr>
          <w:rFonts w:eastAsia="IRNazanin" w:cs="IRNazanin"/>
          <w:color w:val="111111"/>
          <w:sz w:val="28"/>
          <w:szCs w:val="28"/>
          <w:rtl w:val="true"/>
          <w:lang w:bidi="fa-IR"/>
        </w:rPr>
        <w:t>.</w:t>
      </w:r>
      <w:bookmarkStart w:id="793" w:name="pg5261_55440"/>
    </w:p>
    <w:p>
      <w:pPr>
        <w:pStyle w:val="Heading4"/>
        <w:numPr>
          <w:ilvl w:val="3"/>
          <w:numId w:val="1"/>
        </w:numPr>
        <w:rPr/>
      </w:pPr>
      <w:bookmarkStart w:id="794" w:name="__RefHeading___Toc477566_581953129"/>
      <w:bookmarkStart w:id="795" w:name="_Toc313"/>
      <w:bookmarkEnd w:id="793"/>
      <w:bookmarkEnd w:id="794"/>
      <w:r>
        <w:rPr>
          <w:rtl w:val="true"/>
        </w:rPr>
        <w:t>المحاضرة السابعة الحوار الحقیقی یوازن بین نقاط الاختلاف ونقاط الاتفاق</w:t>
      </w:r>
      <w:bookmarkEnd w:id="795"/>
    </w:p>
    <w:p>
      <w:pPr>
        <w:pStyle w:val="Heading5"/>
        <w:numPr>
          <w:ilvl w:val="4"/>
          <w:numId w:val="1"/>
        </w:numPr>
        <w:rPr/>
      </w:pPr>
      <w:bookmarkStart w:id="796" w:name="__RefHeading___Toc477568_581953129"/>
      <w:bookmarkStart w:id="797" w:name="_Toc314"/>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یجب أن یکون متوازناً بین نقاط الاختلاف ونقاط 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تکون نقاط الاتفاق حقیقیة وواقعیة لا مختلقة ولا مصطنعة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یعالج الحوار أسباب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یشمل الحوار جمیع الطوائف فی مؤتمرات التقریب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الاتفاق بین المجتمعات الإنسانیة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واحد بین جمیع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وأرکان فروع الدین وأُصول المحرّمات ثابتة فی کل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الآیات التی تدل علی أنَّ کل الأنبیاء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الأنبیاء أنصار النبی محمّد صلی الله علیه و آله </w:t>
      </w:r>
      <w:r>
        <w:rPr>
          <w:rFonts w:eastAsia="IRNazanin" w:cs="IRNazanin"/>
          <w:color w:val="111111"/>
          <w:sz w:val="28"/>
          <w:szCs w:val="28"/>
          <w:rtl w:val="true"/>
          <w:lang w:bidi="fa-IR"/>
        </w:rPr>
        <w:t>.</w:t>
      </w:r>
    </w:p>
    <w:p>
      <w:pPr>
        <w:pStyle w:val="Heading5"/>
        <w:numPr>
          <w:ilvl w:val="4"/>
          <w:numId w:val="1"/>
        </w:numPr>
        <w:rPr/>
      </w:pPr>
      <w:bookmarkStart w:id="798" w:name="__RefHeading___Toc477570_581953129"/>
      <w:bookmarkStart w:id="799" w:name="_Toc315"/>
      <w:bookmarkEnd w:id="798"/>
      <w:r>
        <w:rPr>
          <w:rtl w:val="true"/>
        </w:rPr>
        <w:t>الحوار یجب أن یکون متوازناً بین نقاط الخلاف ونقاط الاتفاق</w:t>
      </w:r>
      <w:bookmarkEnd w:id="799"/>
    </w:p>
    <w:p>
      <w:pPr>
        <w:pStyle w:val="BookText"/>
        <w:rPr/>
      </w:pPr>
      <w:r>
        <w:rPr>
          <w:rFonts w:ascii="IRNazanin" w:hAnsi="IRNazanin" w:eastAsia="IRNazanin"/>
          <w:color w:val="111111"/>
          <w:sz w:val="28"/>
          <w:sz w:val="28"/>
          <w:szCs w:val="28"/>
          <w:rtl w:val="true"/>
          <w:lang w:bidi="fa-IR"/>
        </w:rPr>
        <w:t xml:space="preserve">الباحث فی الأدیان تنتابه وتعتوره نزعة للوحدة ، وکذلک تنتابه نزعة خلافیّة بین هذا الدین وذاک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أیضاً نؤکّد علی التوازن بین هاتین النزعتین عند الباحث ، فإذا غلبت نزعة الوحدة ، فإنّها ستحاول إلغاء معالم هذا الدین وذاک ، وستتنکّر لنقاط</w:t>
      </w:r>
      <w:bookmarkStart w:id="800" w:name="pg5261_55441"/>
    </w:p>
    <w:p>
      <w:pPr>
        <w:pStyle w:val="BookText"/>
        <w:rPr/>
      </w:pPr>
      <w:bookmarkEnd w:id="800"/>
      <w:r>
        <w:rPr>
          <w:rFonts w:ascii="IRNazanin" w:hAnsi="IRNazanin" w:eastAsia="IRNazanin"/>
          <w:color w:val="111111"/>
          <w:sz w:val="28"/>
          <w:sz w:val="28"/>
          <w:szCs w:val="28"/>
          <w:rtl w:val="true"/>
          <w:lang w:bidi="fa-IR"/>
        </w:rPr>
        <w:t xml:space="preserve">الخلاف ، إذن الإفراط فی نقاط الاتفاق یعمی عن نقاط الاختلاف ، وإذا غلبت نزعة الفرقة ربما اتهمت الدین الآخر بما لیس فیه من أجل إسقاطه وتوهینه ، ویکون الإفراط فی نقاط الاختلاف یعمی عن نقاط الاتفاق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قلناه فی الخلاف بین الأدیان نقوله فی التقریب بین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لسنا بصدد رفض حوار الأدیان أو تقریب المذاهب ، ولکن یجب أن یکون هذا الحوار وهذا التقریب مبنیّاً علی حالة التوازن والموضوعیة، فالتعدّد فی الآراء والقناعات والمسائل العقلیة والعقائدیة ، وفی مقابل هذا التعدّد هناک نقاط مشترکة بین المذاهب والأدیان ، وکذلک علی الصعید الإنسانی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وغیاب الحوار له آثار سلبیة علی البشریة،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توتر العلاقات بین المسلمین والمسیحیین فی أکثر من بلد نتیجة وجود خلافات، وغیاب حالة الحوار التی تحافظ علی أرواح وأموال الناس من هاتین الدیانتین </w:t>
      </w:r>
      <w:r>
        <w:rPr>
          <w:rFonts w:eastAsia="IRNazanin" w:cs="IRNazanin"/>
          <w:color w:val="111111"/>
          <w:sz w:val="28"/>
          <w:szCs w:val="28"/>
          <w:rtl w:val="true"/>
          <w:lang w:bidi="fa-IR"/>
        </w:rPr>
        <w:t>.</w:t>
      </w:r>
    </w:p>
    <w:p>
      <w:pPr>
        <w:pStyle w:val="Heading5"/>
        <w:numPr>
          <w:ilvl w:val="4"/>
          <w:numId w:val="1"/>
        </w:numPr>
        <w:rPr/>
      </w:pPr>
      <w:bookmarkStart w:id="801" w:name="__RefHeading___Toc477572_581953129"/>
      <w:bookmarkStart w:id="802" w:name="_Toc316"/>
      <w:bookmarkEnd w:id="801"/>
      <w:r>
        <w:rPr>
          <w:rtl w:val="true"/>
        </w:rPr>
        <w:t>یجب أن تکون نقاط الاتفاق حقیقیة وواقعیة لا مختلقة ولا مصطنعة</w:t>
      </w:r>
      <w:bookmarkEnd w:id="802"/>
    </w:p>
    <w:p>
      <w:pPr>
        <w:pStyle w:val="BookText"/>
        <w:rPr/>
      </w:pPr>
      <w:r>
        <w:rPr>
          <w:rFonts w:ascii="IRNazanin" w:hAnsi="IRNazanin" w:eastAsia="IRNazanin"/>
          <w:color w:val="111111"/>
          <w:sz w:val="28"/>
          <w:sz w:val="28"/>
          <w:szCs w:val="28"/>
          <w:rtl w:val="true"/>
          <w:lang w:bidi="fa-IR"/>
        </w:rPr>
        <w:t xml:space="preserve">یجب أن لا نفتعل نقاط اشتراک وهی غیر موجودة ، وذلک لخلق حالة الحوار ؛ لأنّها لیست واقعیة وحقیقیة ، فیکون الحوار قائماً علی أساس هش ، ومن الصعب الاستمرار علی حوار قائم علی أساس غیر واقعی ، ومن الأُمور الصحیحة أن نعترف بنقاط الاختلاف بصورة واقعیة وجدّیة ، وأن نرکّز علی نقاط الاشتراک الواقعیة والصحیحة لا المختلقة والمصطنعة ، ونحن لا ننفی أنّ المجاملة فی الحوار لها ثمرة طیّبة ، وتعمل علی إزالة أجواء التوتّر وإخماد الفتنة ، وتخلق جوّاً من الود ، ولکننا ندعوا أن یکون الحوار مبنیّاً علی أُسس صحیحة </w:t>
      </w:r>
      <w:r>
        <w:rPr>
          <w:rFonts w:eastAsia="IRNazanin" w:cs="IRNazanin"/>
          <w:color w:val="111111"/>
          <w:sz w:val="28"/>
          <w:szCs w:val="28"/>
          <w:rtl w:val="true"/>
          <w:lang w:bidi="fa-IR"/>
        </w:rPr>
        <w:t>.</w:t>
      </w:r>
    </w:p>
    <w:p>
      <w:pPr>
        <w:pStyle w:val="Heading5"/>
        <w:numPr>
          <w:ilvl w:val="4"/>
          <w:numId w:val="1"/>
        </w:numPr>
        <w:rPr/>
      </w:pPr>
      <w:bookmarkStart w:id="803" w:name="__RefHeading___Toc477574_581953129"/>
      <w:bookmarkStart w:id="804" w:name="_Toc317"/>
      <w:bookmarkEnd w:id="803"/>
      <w:r>
        <w:rPr>
          <w:rtl w:val="true"/>
        </w:rPr>
        <w:t>یجب أن یعالج الحوار أسباب الفتنة</w:t>
      </w:r>
      <w:bookmarkEnd w:id="8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الحوار یجب أن یبحث عن أسباب الفتن وبؤر التوترات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من</w:t>
      </w:r>
      <w:bookmarkStart w:id="805" w:name="pg5261_55443"/>
    </w:p>
    <w:p>
      <w:pPr>
        <w:pStyle w:val="BookText"/>
        <w:rPr/>
      </w:pPr>
      <w:bookmarkEnd w:id="805"/>
      <w:r>
        <w:rPr>
          <w:rFonts w:ascii="IRNazanin" w:hAnsi="IRNazanin" w:eastAsia="IRNazanin"/>
          <w:color w:val="111111"/>
          <w:sz w:val="28"/>
          <w:sz w:val="28"/>
          <w:szCs w:val="28"/>
          <w:rtl w:val="true"/>
          <w:lang w:bidi="fa-IR"/>
        </w:rPr>
        <w:t>مجازر فی پاکستان ، ومن قبلها أفغانستان ، وما یحدث من تقاتل بین المسلمین والمسیحیین ، والکتب التی تکفّر المسلمین وتبیح دماءهم ، ونحن لا ندعوا إلی الاصطدام بهؤلاء وتصفیتهم ، وإنّما نرکّز الجهود لمنعهم من هذه الأعمال وإیقافهم عند حدّهم ، فهؤلاء یغضّون بصرهم عن الفسق والفساد المنتشر فی الأسواق والمجمّعات والجامعات التی تعجّ وتضجّ بالسلوکیات الهابطة، ویثیرون الفتن حتّی فی المناهج الدراسیة التی تطعن الطائفة ، وتعتبرها طائفة تمارس البدع، مع أنّ هذه الطائفة هی الأکثریة فی هذا البلد ، وهم الذین ساهموا بشکل فعّال ، وبفضلهم حققت البحرین استقلالها من خلال التصویت علی الاستقلال عن إیران فی بدایة السبعینیات من القرن الماضی الذی أقامته الأُمم المتحدة ، فکیف تحتوی المناهج الدراسیة فی هذا البلد علی طعن واضح یعتبر التوسّل بالأولیاء بدعة ، ولا یتم الالتفات إلی هذه المشکلة</w:t>
      </w:r>
    </w:p>
    <w:p>
      <w:pPr>
        <w:pStyle w:val="BookText"/>
        <w:rPr/>
      </w:pPr>
      <w:r>
        <w:rPr>
          <w:rFonts w:ascii="IRNazanin" w:hAnsi="IRNazanin" w:eastAsia="IRNazanin"/>
          <w:color w:val="111111"/>
          <w:sz w:val="28"/>
          <w:sz w:val="28"/>
          <w:szCs w:val="28"/>
          <w:rtl w:val="true"/>
          <w:lang w:bidi="fa-IR"/>
        </w:rPr>
        <w:t xml:space="preserve">فی أفغانستان بعد سقوط حکومة طالبان ، الدستور یعترف بوجود مذهبین ، المذهب الحنفی والمذهب الجعفری ، مع أنّ الجعفریین یمثّلون الثلث ، والأحناف یمثّلون الثلثین ، ویدرّس المذهب الجعفری هناک إلی جانب المذهب الحنفی ، فکیف بنا ونحن فی البحرین ونحن أکثریة تطعننا المناهج الدراسیة ولا تراعی مذهبنا ، وحتی لولم نتکلّم باعتبارنا أکثریة ، یجب علی وزارة التربیة والتعلیم أن تحترم مذهبنا کما احترمت باقی المذاهب الإسلامیة فی البحرین ، وأن لا تسمح للأقلام المدسوسة أن تنخر فی الوحدة بین السنة والشیعة فی البحرین ، وخصوصاً أنّ البحرین احتضنت مؤخّراً مؤتمراً للتقریب بین المذاهب ، وهذا السلوک فی وزارة التربیة والتعلیم لا یناسب هذا التوجّه </w:t>
      </w:r>
      <w:r>
        <w:rPr>
          <w:rFonts w:eastAsia="IRNazanin" w:cs="IRNazanin"/>
          <w:color w:val="111111"/>
          <w:sz w:val="28"/>
          <w:szCs w:val="28"/>
          <w:rtl w:val="true"/>
          <w:lang w:bidi="fa-IR"/>
        </w:rPr>
        <w:t>.</w:t>
      </w:r>
    </w:p>
    <w:p>
      <w:pPr>
        <w:pStyle w:val="Heading5"/>
        <w:numPr>
          <w:ilvl w:val="4"/>
          <w:numId w:val="1"/>
        </w:numPr>
        <w:rPr/>
      </w:pPr>
      <w:bookmarkStart w:id="806" w:name="__RefHeading___Toc477576_581953129"/>
      <w:bookmarkStart w:id="807" w:name="_Toc318"/>
      <w:bookmarkEnd w:id="806"/>
      <w:r>
        <w:rPr>
          <w:rtl w:val="true"/>
        </w:rPr>
        <w:t>یجب أن یشمل الحوار جمیع الطوائف فی مؤتمرات التقریب</w:t>
      </w:r>
      <w:bookmarkEnd w:id="80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أنّ مؤتمرات التقریب تستبعد الإسماعیلیین ، مع أنَّ أعدادهم کبیرة</w:t>
      </w:r>
      <w:bookmarkStart w:id="808" w:name="pg5261_55445"/>
    </w:p>
    <w:p>
      <w:pPr>
        <w:pStyle w:val="BookText"/>
        <w:rPr/>
      </w:pPr>
      <w:bookmarkEnd w:id="808"/>
      <w:r>
        <w:rPr>
          <w:rFonts w:ascii="IRNazanin" w:hAnsi="IRNazanin" w:eastAsia="IRNazanin"/>
          <w:color w:val="111111"/>
          <w:sz w:val="28"/>
          <w:sz w:val="28"/>
          <w:szCs w:val="28"/>
          <w:rtl w:val="true"/>
          <w:lang w:bidi="fa-IR"/>
        </w:rPr>
        <w:t>جدّاً ، وکذلک تستبعد طائفة العلویین ، وهم یمثّلون ثلاثاً وعشرین ملیوناً فی ترکیا ، بل بعض المؤتمرات استبعدت حتی الفرقة الزیدیة ، والأکثر من ذلک استبعاد قیادات الفرقة الصوفیة التی تمثّل عدداً هائلاً جدّاً من إخواننا السنّة الذین ینتشرون فی مصر وتونس والجزائر والسودان وأندونیسیا ومالیزیا والهند ، فلماذا هذا التغییب لطوائف عدیدة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یکرّس الفرقة ، ولا یکرّس الوحدة ؛ لأنّ هؤلاء المغیّبون یشعرون بأنّهم مستبعدون من الصف الإسلامی </w:t>
      </w:r>
      <w:r>
        <w:rPr>
          <w:rFonts w:eastAsia="IRNazanin" w:cs="IRNazanin"/>
          <w:color w:val="111111"/>
          <w:sz w:val="28"/>
          <w:szCs w:val="28"/>
          <w:rtl w:val="true"/>
          <w:lang w:bidi="fa-IR"/>
        </w:rPr>
        <w:t>.</w:t>
      </w:r>
    </w:p>
    <w:p>
      <w:pPr>
        <w:pStyle w:val="Heading5"/>
        <w:numPr>
          <w:ilvl w:val="4"/>
          <w:numId w:val="1"/>
        </w:numPr>
        <w:rPr/>
      </w:pPr>
      <w:bookmarkStart w:id="809" w:name="__RefHeading___Toc477578_581953129"/>
      <w:bookmarkStart w:id="810" w:name="_Toc319"/>
      <w:bookmarkEnd w:id="809"/>
      <w:r>
        <w:rPr>
          <w:rtl w:val="true"/>
        </w:rPr>
        <w:t>جهات الاتفاق بین المجتمعات الإنسانیة</w:t>
      </w:r>
      <w:bookmarkEnd w:id="810"/>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هناک بعض الباحثین فی الحوزة العلمیة یعتبرون أنّ هذه الآیة تمثّل أصلاً قانونیاً من أُسس التقنین الإسلامی ، وهو أنّ الأصل فی الإنسان أن یکون محترماً ، وأن تکون له حرمة إلّاما أخرجه الدلیل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الذی یرتکب جریمة أو إثماً فیکون له عقاب یحدّده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آیة الفطرة ،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ونشیر إلی أنّ الکثیر من التشریعات عند الأُمم الأُخری تراعی الفطرة الإنسانیة ، وقد لاتکون فی تفاصیلها مطابقة للحکم الإسلامی ، ولکنها تراعی الفطرة </w:t>
      </w:r>
      <w:r>
        <w:rPr>
          <w:rFonts w:eastAsia="IRNazanin" w:cs="IRNazanin"/>
          <w:color w:val="111111"/>
          <w:sz w:val="28"/>
          <w:szCs w:val="28"/>
          <w:rtl w:val="true"/>
          <w:lang w:bidi="fa-IR"/>
        </w:rPr>
        <w:t>.</w:t>
      </w:r>
    </w:p>
    <w:p>
      <w:pPr>
        <w:pStyle w:val="Heading5"/>
        <w:numPr>
          <w:ilvl w:val="4"/>
          <w:numId w:val="1"/>
        </w:numPr>
        <w:rPr/>
      </w:pPr>
      <w:bookmarkStart w:id="811" w:name="__RefHeading___Toc477580_581953129"/>
      <w:bookmarkStart w:id="812" w:name="_Toc320"/>
      <w:bookmarkEnd w:id="811"/>
      <w:r>
        <w:rPr>
          <w:rtl w:val="true"/>
        </w:rPr>
        <w:t>الدین واحد بین جمیع الأنبیاء</w:t>
      </w:r>
      <w:bookmarkEnd w:id="8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یقرر أنّ الدین دین واحد ، وأنّ جمیع الأنبیاء قد جاؤوا بدین</w:t>
      </w:r>
      <w:bookmarkStart w:id="813" w:name="pg5261_55447"/>
    </w:p>
    <w:p>
      <w:pPr>
        <w:pStyle w:val="BookText"/>
        <w:rPr/>
      </w:pPr>
      <w:bookmarkEnd w:id="813"/>
      <w:r>
        <w:rPr>
          <w:rFonts w:ascii="IRNazanin" w:hAnsi="IRNazanin" w:eastAsia="IRNazanin"/>
          <w:color w:val="111111"/>
          <w:sz w:val="28"/>
          <w:sz w:val="28"/>
          <w:szCs w:val="28"/>
          <w:rtl w:val="true"/>
          <w:lang w:bidi="fa-IR"/>
        </w:rPr>
        <w:t xml:space="preserve">واحد ، والشرائع هی المتغیّرة من نبی إلی آخر ، وهذا الدین بعث به أولوا العزم الخمسیة ، وهم نوح وإبراهیم وموسی وعیسی ومحمد صلی الله علیه و آله ، وقد وقع بعض الباحثین فی إشکال ، وهو أنّ النبی آدم لم یبعث بشریعة ، إذن لم یبعث بدین ، إذن لم یکن آدم نبیاً ، والمشکلة أنّ هولاء لم یفرّقوا بین الدین والشریعة ، ولذلک وقعوا فی هذا الإشکال ، والصحیح أنّ الأنبیاء قد بعثوا بالشرائع ، والدین لا یتعدّد </w:t>
      </w:r>
      <w:r>
        <w:rPr>
          <w:rFonts w:eastAsia="IRNazanin" w:cs="IRNazanin"/>
          <w:color w:val="111111"/>
          <w:sz w:val="28"/>
          <w:szCs w:val="28"/>
          <w:rtl w:val="true"/>
          <w:lang w:bidi="fa-IR"/>
        </w:rPr>
        <w:t>.</w:t>
      </w:r>
    </w:p>
    <w:p>
      <w:pPr>
        <w:pStyle w:val="Heading5"/>
        <w:numPr>
          <w:ilvl w:val="4"/>
          <w:numId w:val="1"/>
        </w:numPr>
        <w:rPr/>
      </w:pPr>
      <w:bookmarkStart w:id="814" w:name="__RefHeading___Toc477582_581953129"/>
      <w:bookmarkStart w:id="815" w:name="_Toc321"/>
      <w:bookmarkEnd w:id="814"/>
      <w:r>
        <w:rPr>
          <w:rtl w:val="true"/>
        </w:rPr>
        <w:t>أُصول الدین وأرکان فروع الدین وأُصول المحرّمات ثابتة فی کل الشرائع</w:t>
      </w:r>
      <w:bookmarkEnd w:id="815"/>
    </w:p>
    <w:p>
      <w:pPr>
        <w:pStyle w:val="BookText"/>
        <w:rPr/>
      </w:pPr>
      <w:r>
        <w:rPr>
          <w:rFonts w:ascii="IRNazanin" w:hAnsi="IRNazanin" w:eastAsia="IRNazanin"/>
          <w:color w:val="111111"/>
          <w:sz w:val="28"/>
          <w:sz w:val="28"/>
          <w:szCs w:val="28"/>
          <w:rtl w:val="true"/>
          <w:lang w:bidi="fa-IR"/>
        </w:rPr>
        <w:t xml:space="preserve">الدین یمثّل أُصول الاعتقاد وأرکان الفروع ، کالصلاة والصوم والحج والزکاة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صلّی وزکّی وحجّ وصام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تختلف تفاصیل الصلاة أو تفاصیل الحجّ أو الصوم ، ولکنها فی نفسها ثابتة لکل الأنبیاء ، ولایمکن نسخ الاعتقادات ؛ لأنّها مرتبطة بتوحید اللّه والعدل والآخرة ، ولا یمکن أن یبعث نبی بصلاة ولا یبعث نبی آخر بصلاة ، وهکذا بالنسبة لأُصول المحرّمات والمنکرات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واللواط والسحاق وتحریم الربا ، ولا یمکن أن یحلّها نبی ویحرّمها نبی آخر ، فکلّ هذه الأُمور أُمور فطریة ، والفطرة البشریة ترفض هذه الممارسات التی تحوّل المجتمع الإنسانی إلی غابة الإباحة الجنسیة التی تهدم الکیان الإنسانی ، وکلّما ابتعد الإنسان عن فطرته کلّما انتشرت الرذیلة والفواحش ، وکلّما انتشر الرعب والخوف ، سلب الأمن والاستقرار علی صعید الفرد والمجتمع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 وَ لا تَتَّبِعْ أَهْواءَهُمْ عَمّا جاءَکَ مِنَ الْحَقِّ لِکُلٍّ</w:t>
      </w:r>
      <w:bookmarkStart w:id="816" w:name="pg5261_55449"/>
    </w:p>
    <w:p>
      <w:pPr>
        <w:pStyle w:val="BookText"/>
        <w:rPr/>
      </w:pPr>
      <w:bookmarkEnd w:id="816"/>
      <w:r>
        <w:rPr>
          <w:rFonts w:ascii="Amiri" w:hAnsi="Amiri" w:eastAsia="Amiri" w:cs="Amiri"/>
          <w:color w:val="111111"/>
          <w:sz w:val="28"/>
          <w:sz w:val="28"/>
          <w:szCs w:val="28"/>
          <w:rtl w:val="true"/>
          <w:lang w:bidi="ar-SA"/>
        </w:rPr>
        <w:t>جَعَلْنا مِنْکُمْ شِرْعَةً وَ 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477584_581953129"/>
      <w:bookmarkStart w:id="818" w:name="_Toc322"/>
      <w:bookmarkEnd w:id="817"/>
      <w:r>
        <w:rPr>
          <w:rtl w:val="true"/>
        </w:rPr>
        <w:t>بعض الآیات التی تدل علی أنَّ کل الأنبیاء مسلمون</w:t>
      </w:r>
      <w:bookmarkEnd w:id="818"/>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الإسلام لیس دین محمّد صلی الله علیه و آله فقط ، وإنّما هو دین کل الأنبیاء ، ومن هذا المنطلق یکون التعبیر عن شریعة سیّد المرسلین صلی الله علیه و آله بالشریعة المحمّدیة صلی الله علیه و آله أدق من التعبیر عنها بالشریعة الإسلامیة ؛ لأنّ الإسلام هو دین الأنبیاء جمیعاً ، ولا یختص بالنبی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رَبَّنا وَ اجْعَلْنا مُسْلِمَیْنِ لَکَ وَ مِنْ ذُرِّیَّتِنا أُمَّةً مُسْلِمَةً لَکَ وَ أَرِنا مَناسِکَنا وَ تُبْ عَلَیْنا إِنَّکَ أَنْتَ التَّوّابُ الرَّحِیمُ رَبَّنا وَ ابْعَثْ فِیهِمْ رَسُولاً مِنْهُمْ یَتْلُوا عَلَیْهِمْ آیاتِکَ وَ یُعَلِّمُهُمُ الْکِتابَ وَ الْحِکْمَةَ وَ یُزَکِّیهِمْ إِنَّکَ أَنْتَ الْعَزِیزُ الْحَکِیمُ وَ مَنْ یَرْغَبُ عَنْ مِلَّةِ إِبْراهِیمَ إِلاّ مَنْ سَفِهَ نَفْسَهُ وَ لَقَدِ اصْطَفَیْناهُ فِی الدُّنْیا وَ إِنَّهُ فِی الْآخِرَةِ لَمِنَ الصّالِحِینَ إِذْ قالَ لَهُ رَبُّهُ أَسْلِمْ قالَ أَسْلَمْتُ لِرَبِّ الْعالَمِینَ 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الآیات من القرآن الکریم تبیّن بوضوح أنّ هؤلاء الأنبیاء جمیعاً مسلمون ، ودینهم الإسلام ، والأنبیاء جمیعاً یتحرّکون فی خط واحد ، ویعبدون إلهاً واحداً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رضی اللّه عن الدین بإمامة علی علیه السلام فی یوم الغدیر ،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ولذلک فإمامة</w:t>
      </w:r>
      <w:bookmarkStart w:id="819" w:name="pg5261_55451"/>
    </w:p>
    <w:p>
      <w:pPr>
        <w:pStyle w:val="BookText"/>
        <w:rPr/>
      </w:pPr>
      <w:bookmarkEnd w:id="819"/>
      <w:r>
        <w:rPr>
          <w:rFonts w:ascii="IRNazanin" w:hAnsi="IRNazanin" w:eastAsia="IRNazanin"/>
          <w:color w:val="111111"/>
          <w:sz w:val="28"/>
          <w:sz w:val="28"/>
          <w:szCs w:val="28"/>
          <w:rtl w:val="true"/>
          <w:lang w:bidi="fa-IR"/>
        </w:rPr>
        <w:t xml:space="preserve">علی علیه السلام جزء من الإسلام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 وهذا لا یعنی تکفیر من لا یقول بإمامته علیه السلام ، ونحن نعترف ونقرّ أنّ الذین لا یقولون بإمامته علیه السلام جمیعاً مسلمون ، وإنّما هذا یقع فی بحث الإیمان </w:t>
      </w:r>
      <w:r>
        <w:rPr>
          <w:rFonts w:eastAsia="IRNazanin" w:cs="IRNazanin"/>
          <w:color w:val="111111"/>
          <w:sz w:val="28"/>
          <w:szCs w:val="28"/>
          <w:rtl w:val="true"/>
          <w:lang w:bidi="fa-IR"/>
        </w:rPr>
        <w:t>.</w:t>
      </w:r>
    </w:p>
    <w:p>
      <w:pPr>
        <w:pStyle w:val="Heading5"/>
        <w:numPr>
          <w:ilvl w:val="4"/>
          <w:numId w:val="1"/>
        </w:numPr>
        <w:rPr/>
      </w:pPr>
      <w:bookmarkStart w:id="820" w:name="__RefHeading___Toc477586_581953129"/>
      <w:bookmarkStart w:id="821" w:name="_Toc323"/>
      <w:bookmarkEnd w:id="820"/>
      <w:r>
        <w:rPr>
          <w:rtl w:val="true"/>
        </w:rPr>
        <w:t>جمیع الأنبیاء أنصار النبی محمّد صلی الله علیه و آله</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الملاحظ أنّ القرآن الکریم قد أخذ علی النبیین میثاقاً لنصرة سیّد المرسلین صلی الله علیه و آله ، وجمیع الأنبیاء أنصار لمحمّد صلی الله علیه و آله ، وقد أقرّوا بذلک ، أمّا بالنسبة للنبی فلم یؤخذ علیه المیثاق احتراماً له ، مع أنّ القرآن ینص بصراحة أنّ النبی یؤمن بالسابقین من الأنبیاء والمرسلین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نذکر ملاحظة ، وهی أنّه لا یصح أن ننکر ونرفض کل ما ورد فی التوراة والإنجیل ، صحیحٌ أنّهما قد تعرّضا للتحریف ، ولا یمکن الاعتماد علیهما کمصدر سلیم تماماً ؛ لأنّ هناک بعض ممّا ذکر فی التوراة والإنجیل صحیح ، ولا یصح أن نرفضه کله تماماً ولا نقبل بأیّ شیء ، بل ما ورد یجب أن نغربله ونعرضه علی الأدلة ، ونری هل هو صحیح أم لا؟ وهل یتعارض مع القرآن الکریم أم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الکثیر من الأُمور المشترکة بین الدین الإسلامی وشریعة النبی محمّد صلی الله علیه و آله وبین ما ذکر فی التوراة والإنجیل </w:t>
      </w:r>
      <w:r>
        <w:rPr>
          <w:rFonts w:eastAsia="IRNazanin" w:cs="IRNazanin"/>
          <w:color w:val="111111"/>
          <w:sz w:val="28"/>
          <w:szCs w:val="28"/>
          <w:rtl w:val="true"/>
          <w:lang w:bidi="fa-IR"/>
        </w:rPr>
        <w:t>.</w:t>
      </w:r>
      <w:bookmarkStart w:id="822" w:name="pg5261_55455"/>
    </w:p>
    <w:p>
      <w:pPr>
        <w:pStyle w:val="Heading4"/>
        <w:numPr>
          <w:ilvl w:val="3"/>
          <w:numId w:val="1"/>
        </w:numPr>
        <w:rPr/>
      </w:pPr>
      <w:bookmarkStart w:id="823" w:name="__RefHeading___Toc477588_581953129"/>
      <w:bookmarkStart w:id="824" w:name="_Toc324"/>
      <w:bookmarkEnd w:id="822"/>
      <w:bookmarkEnd w:id="823"/>
      <w:r>
        <w:rPr>
          <w:rtl w:val="true"/>
        </w:rPr>
        <w:t>المحاضرة الثامنة الحفاظ علی الوحدة الإسلامیة مع وجود الخلاف فی الأُصول والفروع</w:t>
      </w:r>
      <w:bookmarkEnd w:id="824"/>
    </w:p>
    <w:p>
      <w:pPr>
        <w:pStyle w:val="Heading5"/>
        <w:numPr>
          <w:ilvl w:val="4"/>
          <w:numId w:val="1"/>
        </w:numPr>
        <w:rPr/>
      </w:pPr>
      <w:bookmarkStart w:id="825" w:name="__RefHeading___Toc477590_581953129"/>
      <w:bookmarkStart w:id="826" w:name="_Toc325"/>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محاور المحاضرة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فی الخلاف بین المذاهب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بین المذاهب واقع فی العقائد کما هو واقع فی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التفریق بین الإسلام والإیمان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یعتبرون من المسلمین ؛ لأنّهم یظهرون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مرتبة أرقی من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والعدل من أُصول الدین عند أتباع مذهب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فی مرتبة الإیمان تختلف عن أُصول الدین فی مرتبة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تتضمّن مفهوم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توصل إلی طاعة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النظری والإیمان العملی فی سورة الحمد </w:t>
      </w:r>
      <w:r>
        <w:rPr>
          <w:rFonts w:eastAsia="IRNazanin" w:cs="IRNazanin"/>
          <w:color w:val="111111"/>
          <w:sz w:val="28"/>
          <w:szCs w:val="28"/>
          <w:rtl w:val="true"/>
          <w:lang w:bidi="fa-IR"/>
        </w:rPr>
        <w:t>.</w:t>
      </w:r>
    </w:p>
    <w:p>
      <w:pPr>
        <w:pStyle w:val="Heading5"/>
        <w:numPr>
          <w:ilvl w:val="4"/>
          <w:numId w:val="1"/>
        </w:numPr>
        <w:rPr/>
      </w:pPr>
      <w:bookmarkStart w:id="827" w:name="__RefHeading___Toc477592_581953129"/>
      <w:bookmarkStart w:id="828" w:name="_Toc326"/>
      <w:bookmarkEnd w:id="827"/>
      <w:r>
        <w:rPr>
          <w:rtl w:val="true"/>
        </w:rPr>
        <w:t>آراء فی الخلاف بین المذاهب الإسلامیة</w:t>
      </w:r>
      <w:bookmarkEnd w:id="8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التی نود الإشارة لها فی إطار التقریب بین المذاهب الإسلامیة ، هو أنّ البعض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المذاهب الإسلامیة قائمة علی الاجتهادات المحضة المستندة</w:t>
      </w:r>
      <w:bookmarkStart w:id="829" w:name="pg5261_55457"/>
    </w:p>
    <w:p>
      <w:pPr>
        <w:pStyle w:val="BookText"/>
        <w:rPr/>
      </w:pPr>
      <w:bookmarkEnd w:id="829"/>
      <w:r>
        <w:rPr>
          <w:rFonts w:ascii="IRNazanin" w:hAnsi="IRNazanin" w:eastAsia="IRNazanin"/>
          <w:color w:val="111111"/>
          <w:sz w:val="28"/>
          <w:sz w:val="28"/>
          <w:szCs w:val="28"/>
          <w:rtl w:val="true"/>
          <w:lang w:bidi="fa-IR"/>
        </w:rPr>
        <w:t xml:space="preserve">إلی الأدلة الظنیة التی قد تکون معتبرة عند هذا المجتهد وقد لا تکون معتبرة عند ذاک المجتهد ، والبعض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بین المذاهب خلاف فقهی ولیس عقائدی ، والبعض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أُصول الدین عند کل المسلمین واحدة ولا خلاف بین المذاهب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نعتقد أنّ هذه الأُمور لا تخدم مسیرة التقریب التی نتمنی لها کل التوفیق ، وذلک لأنّ هذه الأُمور بعیدة عن الواقع والحقیقة ، ونحن تهمّنا الوحدة الإسلامیة وکل الأُمة الاسلامیة من منطلق أنَّ الإمام الحسین علیه السلام قد أعلن أنّ الإصلاح فی أُمّة جدّه ، هو هدف الثورة الحسینیة ، ولم یقل الإصلاح فی شیعة أبیه ، ممّا یدل علی اهتمام الحسین علیه السلام بعموم الأُمة الإسلامیة لا بفئة دون فئة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یجب أن تکون الصراحة والبحث عن الحقیقة وعدم التنکّر لها هی مدار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والآراء الحقیقیة لا تتنافی مع البحث عن المشترکات ، ویمکن للحوار أن یشق طریقه بصراحة وعلی أُسس واقعیة ، والقفز علی الحقیقة قد یخلق من الطائفتین طائفة ثالثة تزید من حدّة الشقاق والخلاف </w:t>
      </w:r>
      <w:r>
        <w:rPr>
          <w:rFonts w:eastAsia="IRNazanin" w:cs="IRNazanin"/>
          <w:color w:val="111111"/>
          <w:sz w:val="28"/>
          <w:szCs w:val="28"/>
          <w:rtl w:val="true"/>
          <w:lang w:bidi="fa-IR"/>
        </w:rPr>
        <w:t>.</w:t>
      </w:r>
    </w:p>
    <w:p>
      <w:pPr>
        <w:pStyle w:val="Heading5"/>
        <w:numPr>
          <w:ilvl w:val="4"/>
          <w:numId w:val="1"/>
        </w:numPr>
        <w:rPr/>
      </w:pPr>
      <w:bookmarkStart w:id="830" w:name="__RefHeading___Toc477594_581953129"/>
      <w:bookmarkStart w:id="831" w:name="_Toc327"/>
      <w:bookmarkEnd w:id="830"/>
      <w:r>
        <w:rPr>
          <w:rtl w:val="true"/>
        </w:rPr>
        <w:t>الخلاف بین المذاهب واقع فی العقائد ، کما هو واقع فی الفقه</w:t>
      </w:r>
      <w:bookmarkEnd w:id="831"/>
    </w:p>
    <w:p>
      <w:pPr>
        <w:pStyle w:val="BookText"/>
        <w:rPr/>
      </w:pPr>
      <w:r>
        <w:rPr>
          <w:rFonts w:ascii="IRNazanin" w:hAnsi="IRNazanin" w:eastAsia="IRNazanin"/>
          <w:color w:val="111111"/>
          <w:sz w:val="28"/>
          <w:sz w:val="28"/>
          <w:szCs w:val="28"/>
          <w:rtl w:val="true"/>
          <w:lang w:bidi="fa-IR"/>
        </w:rPr>
        <w:t xml:space="preserve">البعض یعتقد أنّه إذا أقرّ أنّ المذاهب الإسلامیة تعیش الخلاف العقائدی فیما بینها ، فإنّ ذلک سیؤدّی إلی تکفیر طائفة لأُخری ، وأنّ أصحاب المذهب المعیّن یری أنّ أدلته قطعیة ویقینیة ، وحینها سوف یکفّر أتباع المذاهب الأُخری بناءً علی أدلته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من أجل أن یتخلّصوا من هذه العقدة نفوا أنّ هناک خلاف عقائدی بین المذاهب الإسلامیة ، ولکننا نری أنّ الخلاف العقائدی موجود ، مع أنّه لا یستلزم تکفیر طائفة لأُخری </w:t>
      </w:r>
      <w:r>
        <w:rPr>
          <w:rFonts w:eastAsia="IRNazanin" w:cs="IRNazanin"/>
          <w:color w:val="111111"/>
          <w:sz w:val="28"/>
          <w:szCs w:val="28"/>
          <w:rtl w:val="true"/>
          <w:lang w:bidi="fa-IR"/>
        </w:rPr>
        <w:t>.</w:t>
      </w:r>
      <w:bookmarkStart w:id="832" w:name="pg5261_55459"/>
    </w:p>
    <w:p>
      <w:pPr>
        <w:pStyle w:val="Heading5"/>
        <w:numPr>
          <w:ilvl w:val="4"/>
          <w:numId w:val="1"/>
        </w:numPr>
        <w:rPr/>
      </w:pPr>
      <w:bookmarkStart w:id="833" w:name="__RefHeading___Toc477596_581953129"/>
      <w:bookmarkStart w:id="834" w:name="_Toc328"/>
      <w:bookmarkEnd w:id="832"/>
      <w:bookmarkEnd w:id="833"/>
      <w:r>
        <w:rPr>
          <w:rtl w:val="true"/>
        </w:rPr>
        <w:t>ضرورة التفریق بین الإسلام والإیمان</w:t>
      </w:r>
      <w:bookmarkEnd w:id="834"/>
    </w:p>
    <w:p>
      <w:pPr>
        <w:pStyle w:val="BookText"/>
        <w:rPr/>
      </w:pPr>
      <w:r>
        <w:rPr>
          <w:rFonts w:ascii="IRNazanin" w:hAnsi="IRNazanin" w:eastAsia="IRNazanin"/>
          <w:color w:val="111111"/>
          <w:sz w:val="28"/>
          <w:sz w:val="28"/>
          <w:szCs w:val="28"/>
          <w:rtl w:val="true"/>
          <w:lang w:bidi="fa-IR"/>
        </w:rPr>
        <w:t xml:space="preserve">الدین یتضمّن مرتبتین ، المرتبة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الإسلام الذی یتضمّن الإقرار بالشهادتین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باللّه والرسول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والإیمان بالمعاد وبعض ضرورات الدین ، کمودّة أهل البیت علیهم السلام والصلاة وغیرها من ضرورات الدین ، ومن وصل إلی هذه المرتبة ، فله ما للمسلمین وعلیه ما علی المسلمین ، ویحرم دمه وماله وعرضه ، وله حقوق المواطنة الإسلامیة فی الأحوال الشخصیة والمعاملات ، وهذا لیس رأی مدرسة أهل البیت علیهم السلام ، بل هذا هو رأی المسلمین جمیعاً إذا استثنینا التکفیریین منهم </w:t>
      </w:r>
      <w:r>
        <w:rPr>
          <w:rFonts w:eastAsia="IRNazanin" w:cs="IRNazanin"/>
          <w:color w:val="111111"/>
          <w:sz w:val="28"/>
          <w:szCs w:val="28"/>
          <w:rtl w:val="true"/>
          <w:lang w:bidi="fa-IR"/>
        </w:rPr>
        <w:t>.</w:t>
      </w:r>
    </w:p>
    <w:p>
      <w:pPr>
        <w:pStyle w:val="Heading5"/>
        <w:numPr>
          <w:ilvl w:val="4"/>
          <w:numId w:val="1"/>
        </w:numPr>
        <w:rPr/>
      </w:pPr>
      <w:bookmarkStart w:id="835" w:name="__RefHeading___Toc477598_581953129"/>
      <w:bookmarkStart w:id="836" w:name="_Toc329"/>
      <w:bookmarkEnd w:id="835"/>
      <w:r>
        <w:rPr>
          <w:rtl w:val="true"/>
        </w:rPr>
        <w:t>المنافقون یعتبرون من المسلمین ؛ لأنّهم یظهرون الإسلام</w:t>
      </w:r>
      <w:bookmarkEnd w:id="836"/>
    </w:p>
    <w:p>
      <w:pPr>
        <w:pStyle w:val="BookText"/>
        <w:rPr/>
      </w:pPr>
      <w:r>
        <w:rPr>
          <w:rFonts w:ascii="Amiri" w:hAnsi="Amiri" w:eastAsia="Amiri" w:cs="Amiri"/>
          <w:color w:val="111111"/>
          <w:sz w:val="28"/>
          <w:sz w:val="28"/>
          <w:szCs w:val="28"/>
          <w:rtl w:val="true"/>
          <w:lang w:bidi="ar-SA"/>
        </w:rPr>
        <w:t>ویندرج تحت اسم المسلمین المنافقون الذین یظهرون الإسلام ویبطنون الکفر ، وهذه الفئة التی توعّدها اللّه تعالی بأشدّ العذاب ، وأنزل فیهم سورة کاملة فی القرآن الکریم ، والذین فتحت ملفّاتهم فی سورة البراءة التی تتضمّن ثلاثة عشر فرقة تناویء النبی صلی الله علیه و آله ، مع ذلک لم یخرجهم النبی صلی الله علیه و آله من ظاهر الإسلام ومن دائرة المسلمین ، وهذا الطرح یسانده القرآن الکریم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فالقرآن الکریم یفرّق بوضوح بین المسلمین والمؤمنین ، وهذه حقائق قرآنیة لا یمکن معارضتها ، کما لا یوجد أیّ کتاب کلامی ینکر التفریق بین المسلمین والمؤمنین ، وهذا ممّا أجمعت علیه الأُمّة الإسلامیة </w:t>
      </w:r>
      <w:r>
        <w:rPr>
          <w:rFonts w:eastAsia="IRNazanin" w:cs="IRNazanin"/>
          <w:color w:val="111111"/>
          <w:sz w:val="28"/>
          <w:szCs w:val="28"/>
          <w:rtl w:val="true"/>
          <w:lang w:bidi="fa-IR"/>
        </w:rPr>
        <w:t>.</w:t>
      </w:r>
    </w:p>
    <w:p>
      <w:pPr>
        <w:pStyle w:val="Heading5"/>
        <w:numPr>
          <w:ilvl w:val="4"/>
          <w:numId w:val="1"/>
        </w:numPr>
        <w:rPr/>
      </w:pPr>
      <w:bookmarkStart w:id="837" w:name="__RefHeading___Toc477600_581953129"/>
      <w:bookmarkStart w:id="838" w:name="_Toc330"/>
      <w:bookmarkEnd w:id="837"/>
      <w:r>
        <w:rPr>
          <w:rtl w:val="true"/>
        </w:rPr>
        <w:t>الإیمان مرتبة أرقی من الإسلام</w:t>
      </w:r>
      <w:bookmarkEnd w:id="83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والمرتبة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المرتبة الأرقی ، وهی مرتبة الإیمان ، والإیمان هو</w:t>
      </w:r>
      <w:bookmarkStart w:id="839" w:name="pg5261_55461"/>
    </w:p>
    <w:p>
      <w:pPr>
        <w:pStyle w:val="BookText"/>
        <w:rPr/>
      </w:pPr>
      <w:bookmarkEnd w:id="839"/>
      <w:r>
        <w:rPr>
          <w:rFonts w:ascii="IRNazanin" w:hAnsi="IRNazanin" w:eastAsia="IRNazanin"/>
          <w:color w:val="111111"/>
          <w:sz w:val="28"/>
          <w:sz w:val="28"/>
          <w:szCs w:val="28"/>
          <w:rtl w:val="true"/>
          <w:lang w:bidi="fa-IR"/>
        </w:rPr>
        <w:t xml:space="preserve">الإسلام الحقیقی الواقعی فی الظاهر والباطن ، وهی المرتبة التی تؤهّل الإنسان المؤمن للوصول إلی رضا اللّه تعالی ، ودخول الجنّة ، والحصول علی ثواب اللّه تعالی </w:t>
      </w:r>
      <w:r>
        <w:rPr>
          <w:rFonts w:eastAsia="IRNazanin" w:cs="IRNazanin"/>
          <w:color w:val="111111"/>
          <w:sz w:val="28"/>
          <w:szCs w:val="28"/>
          <w:rtl w:val="true"/>
          <w:lang w:bidi="fa-IR"/>
        </w:rPr>
        <w:t>.</w:t>
      </w:r>
    </w:p>
    <w:p>
      <w:pPr>
        <w:pStyle w:val="Heading5"/>
        <w:numPr>
          <w:ilvl w:val="4"/>
          <w:numId w:val="1"/>
        </w:numPr>
        <w:rPr/>
      </w:pPr>
      <w:bookmarkStart w:id="840" w:name="__RefHeading___Toc477602_581953129"/>
      <w:bookmarkStart w:id="841" w:name="_Toc331"/>
      <w:bookmarkEnd w:id="840"/>
      <w:r>
        <w:rPr>
          <w:rtl w:val="true"/>
        </w:rPr>
        <w:t>الإمامة والعدل من أُصول الدین عند أتباع مذهب أهل البیت علیهم السلام</w:t>
      </w:r>
      <w:bookmarkEnd w:id="841"/>
    </w:p>
    <w:p>
      <w:pPr>
        <w:pStyle w:val="BookText"/>
        <w:rPr/>
      </w:pPr>
      <w:r>
        <w:rPr>
          <w:rFonts w:ascii="Amiri" w:hAnsi="Amiri" w:eastAsia="Amiri" w:cs="Amiri"/>
          <w:color w:val="111111"/>
          <w:sz w:val="28"/>
          <w:sz w:val="28"/>
          <w:szCs w:val="28"/>
          <w:rtl w:val="true"/>
          <w:lang w:bidi="ar-SA"/>
        </w:rPr>
        <w:t xml:space="preserve">أتباع مدرسة أهل البیت علیهم السلام یعتقدون أنّ العدل والإمامة من أُصول الدین ، ویستندون إلی أدلة قطعیة کما یعتقدون ، منها علی سبیل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فالدین الذی یتضمّن التوحید والعدل والنبوة والمعاد لم یتم إلّاوالمعاد لم یتم إلّا بعد إثبات إمامة علی علیه السلام یوم الغدیر ، فکیف لا نجعل الإمامة من أُصول الدین ، والدین لم یکن مرضیاً عند اللّه تعالی إلّابالإمامة؟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آیة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الدین فی کفّه بما یتضمّنه من توحید وعدل ونبوة ومعاد ، ومودة أهل البیت علیهم السلام فی کفّة أُخری ، فهل من المناسب أن تکون الإمامة ومودّة أهل البیت علیهم السلام من ضمن فروع الدین وهی أجر الرسالة وجهد النبی صلی الله علیه و آله وهذه حقائق قرآنیة ولیست من باب المغالاة ، کما یتّهمنا البعض </w:t>
      </w:r>
      <w:r>
        <w:rPr>
          <w:rFonts w:eastAsia="IRNazanin" w:cs="IRNazanin"/>
          <w:color w:val="111111"/>
          <w:sz w:val="28"/>
          <w:szCs w:val="28"/>
          <w:rtl w:val="true"/>
          <w:lang w:bidi="fa-IR"/>
        </w:rPr>
        <w:t>.</w:t>
      </w:r>
    </w:p>
    <w:p>
      <w:pPr>
        <w:pStyle w:val="Heading5"/>
        <w:numPr>
          <w:ilvl w:val="4"/>
          <w:numId w:val="1"/>
        </w:numPr>
        <w:rPr/>
      </w:pPr>
      <w:bookmarkStart w:id="842" w:name="__RefHeading___Toc477604_581953129"/>
      <w:bookmarkStart w:id="843" w:name="_Toc332"/>
      <w:bookmarkEnd w:id="842"/>
      <w:r>
        <w:rPr>
          <w:rtl w:val="true"/>
        </w:rPr>
        <w:t>أُصول الدین فی مرتبة الإیمان تختلف عن أُصول الدین فی مرتبة الإسلام</w:t>
      </w:r>
      <w:bookmarkEnd w:id="8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مدرسة أهل البیت علیهم السلام هناک أُصول الدین فی مرتبة الإیمان ، وتتکوّن من التوحید والعدل والنبوة والإمامة والمعاد یوم القیامة ، أمّا أُصول الدین فی مرتبة الإسلام ، فتتضمّن التوحید والنبوة والمعاد ، وهی الأُمور التی إذا أظهرها إنسان</w:t>
      </w:r>
      <w:bookmarkStart w:id="844" w:name="pg5261_55463"/>
    </w:p>
    <w:p>
      <w:pPr>
        <w:pStyle w:val="BookText"/>
        <w:rPr/>
      </w:pPr>
      <w:bookmarkEnd w:id="844"/>
      <w:r>
        <w:rPr>
          <w:rFonts w:ascii="IRNazanin" w:hAnsi="IRNazanin" w:eastAsia="IRNazanin"/>
          <w:color w:val="111111"/>
          <w:sz w:val="28"/>
          <w:sz w:val="28"/>
          <w:szCs w:val="28"/>
          <w:rtl w:val="true"/>
          <w:lang w:bidi="fa-IR"/>
        </w:rPr>
        <w:t xml:space="preserve">معیّن أصبح مسلماً فی الظاهر </w:t>
      </w:r>
      <w:r>
        <w:rPr>
          <w:rFonts w:eastAsia="IRNazanin" w:cs="IRNazanin"/>
          <w:color w:val="111111"/>
          <w:sz w:val="28"/>
          <w:szCs w:val="28"/>
          <w:rtl w:val="true"/>
          <w:lang w:bidi="fa-IR"/>
        </w:rPr>
        <w:t>.</w:t>
      </w:r>
    </w:p>
    <w:p>
      <w:pPr>
        <w:pStyle w:val="Heading5"/>
        <w:numPr>
          <w:ilvl w:val="4"/>
          <w:numId w:val="1"/>
        </w:numPr>
        <w:rPr/>
      </w:pPr>
      <w:bookmarkStart w:id="845" w:name="__RefHeading___Toc477606_581953129"/>
      <w:bookmarkStart w:id="846" w:name="_Toc333"/>
      <w:bookmarkEnd w:id="845"/>
      <w:r>
        <w:rPr>
          <w:rtl w:val="true"/>
        </w:rPr>
        <w:t>أُصول الدین تتضمّن مفهوم التوحید</w:t>
      </w:r>
      <w:bookmarkEnd w:id="846"/>
    </w:p>
    <w:p>
      <w:pPr>
        <w:pStyle w:val="BookText"/>
        <w:rPr/>
      </w:pPr>
      <w:r>
        <w:rPr>
          <w:rFonts w:ascii="IRNazanin" w:hAnsi="IRNazanin" w:eastAsia="IRNazanin"/>
          <w:color w:val="111111"/>
          <w:sz w:val="28"/>
          <w:sz w:val="28"/>
          <w:szCs w:val="28"/>
          <w:rtl w:val="true"/>
          <w:lang w:bidi="fa-IR"/>
        </w:rPr>
        <w:t xml:space="preserve">أُصول الدین کلها تتضمّن مفهوم التوحید ، فهناک توحید فی الذات وتوحید فی الصفات ، والنبوة توحید فی التشریع ، والإمامة توحید فی الحاکمیة السیاسیة والحاکمیة القضائیة والحاکمیة التنفیذیة ، ونحن نعتقد أنّ الإمام مرتبط باللّه فی کل شیء ، ابتداءً من الأُمور الجزئیة وانتهاءً بالأُمور الکلیة ؛ لأنّ الإمام یمثّل مشیئة اللّه لا یعصی اللّه ما أمره ویفعل ما یؤمر </w:t>
      </w:r>
      <w:r>
        <w:rPr>
          <w:rFonts w:eastAsia="IRNazanin" w:cs="IRNazanin"/>
          <w:color w:val="111111"/>
          <w:sz w:val="28"/>
          <w:szCs w:val="28"/>
          <w:rtl w:val="true"/>
          <w:lang w:bidi="fa-IR"/>
        </w:rPr>
        <w:t>.</w:t>
      </w:r>
    </w:p>
    <w:p>
      <w:pPr>
        <w:pStyle w:val="Heading5"/>
        <w:numPr>
          <w:ilvl w:val="4"/>
          <w:numId w:val="1"/>
        </w:numPr>
        <w:rPr/>
      </w:pPr>
      <w:bookmarkStart w:id="847" w:name="__RefHeading___Toc477608_581953129"/>
      <w:bookmarkStart w:id="848" w:name="_Toc334"/>
      <w:bookmarkEnd w:id="847"/>
      <w:r>
        <w:rPr>
          <w:rtl w:val="true"/>
        </w:rPr>
        <w:t>الإمامة توصل إلی طاعة اللّه</w:t>
      </w:r>
      <w:bookmarkEnd w:id="848"/>
    </w:p>
    <w:p>
      <w:pPr>
        <w:pStyle w:val="BookText"/>
        <w:rPr/>
      </w:pPr>
      <w:r>
        <w:rPr>
          <w:rFonts w:ascii="Amiri" w:hAnsi="Amiri" w:eastAsia="Amiri" w:cs="Amiri"/>
          <w:color w:val="111111"/>
          <w:sz w:val="28"/>
          <w:sz w:val="28"/>
          <w:szCs w:val="28"/>
          <w:rtl w:val="true"/>
          <w:lang w:bidi="ar-SA"/>
        </w:rPr>
        <w:t>الإمامة توصل إلی طاعة اللّه فی الأُمور الدینیة والشؤون المالیة والقضایا السیاسیة والعسکریة والتشریعیة ، وفی کل الأُمور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ففی کل سنة یتنزّل البرنامج السنوی الذی یتضمّن کل أمر من اللّه علی الإمام فی لیلة القدر </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477610_581953129"/>
      <w:bookmarkStart w:id="850" w:name="_Toc335"/>
      <w:bookmarkEnd w:id="849"/>
      <w:r>
        <w:rPr>
          <w:rtl w:val="true"/>
        </w:rPr>
        <w:t>الإیمان النظری والإیمان العملی فی سورة الحمد</w:t>
      </w:r>
      <w:bookmarkEnd w:id="850"/>
    </w:p>
    <w:p>
      <w:pPr>
        <w:pStyle w:val="BookText"/>
        <w:rPr/>
      </w:pPr>
      <w:r>
        <w:rPr>
          <w:rFonts w:ascii="Amiri" w:hAnsi="Amiri" w:eastAsia="Amiri" w:cs="Amiri"/>
          <w:color w:val="111111"/>
          <w:sz w:val="28"/>
          <w:sz w:val="28"/>
          <w:szCs w:val="28"/>
          <w:rtl w:val="true"/>
          <w:lang w:bidi="ar-SA"/>
        </w:rPr>
        <w:t xml:space="preserve">سورة الحمد تتضمّن جزئین ،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یتضمّن الإیمان النظری والتوحید والنبوة والمعاد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یتضمّن الإیمان العملی ، ویتضمّن مفهوم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w:t>
      </w:r>
      <w:bookmarkStart w:id="851" w:name="pg5261_55465"/>
    </w:p>
    <w:p>
      <w:pPr>
        <w:pStyle w:val="BookText"/>
        <w:rPr/>
      </w:pPr>
      <w:bookmarkEnd w:id="851"/>
      <w:r>
        <w:rPr>
          <w:rFonts w:ascii="Amiri" w:hAnsi="Amiri" w:eastAsia="Amiri" w:cs="Amiri"/>
          <w:color w:val="111111"/>
          <w:sz w:val="28"/>
          <w:sz w:val="28"/>
          <w:szCs w:val="28"/>
          <w:rtl w:val="true"/>
          <w:lang w:bidi="ar-SA"/>
        </w:rPr>
        <w:t xml:space="preserve">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الصراط هم أهل البیت علیهم السلام ؛ لأنّهم مطهّرون ومعصومون ، فهم صراط مستقیم ، وهذا الصراط لیس صراط النبی صلی الله علیه و آله لوحده ؛ لأنّ الآیة لم 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الَّذِینَ أَنْعَمْتَ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 فهم أهل البیت المعصومین علیهم السلام الذین لا یصحّ وصفهم مطلقاً بأنّهم مغضوب علیهم أو أنّهم ضالین ، أمّا غیر المعصوم فقد یغضب اللّه علیه إذا عصی ، وقد یضل کما یضل الآخرون ؛ لأنّه غیر معصوم ، وأهل البیت علیهم السلام هم الذین باهل بهم النبی نصاری نجران ، واختارهم من بین جمیع الأُمّة بما فیها الصحابة وزوجات النبی صلی الله علیه و آله ، ولو تتبعنا تاریخ أهل البیت علیهم السلام لما رأینا أنّهم ضلّوا فی أیّ جانب من جوانب الحیاة ، أو أنّهم ظلموا أحداً ، أو غضب اللّه علیهم ، أو أنّهم عبدوا وثناً ، أو شربوا خمراً ، أو عصوا اللّه ، أو أشرکوا به طرفة عین أبداً </w:t>
      </w:r>
      <w:r>
        <w:rPr>
          <w:rFonts w:eastAsia="IRNazanin" w:cs="IRNazanin"/>
          <w:color w:val="111111"/>
          <w:sz w:val="28"/>
          <w:szCs w:val="28"/>
          <w:rtl w:val="true"/>
          <w:lang w:bidi="fa-IR"/>
        </w:rPr>
        <w:t>.</w:t>
      </w:r>
    </w:p>
    <w:p>
      <w:pPr>
        <w:pStyle w:val="Heading5"/>
        <w:numPr>
          <w:ilvl w:val="4"/>
          <w:numId w:val="1"/>
        </w:numPr>
        <w:rPr/>
      </w:pPr>
      <w:bookmarkStart w:id="852" w:name="__RefHeading___Toc477612_581953129"/>
      <w:bookmarkStart w:id="853" w:name="_Toc336"/>
      <w:bookmarkEnd w:id="852"/>
      <w:r>
        <w:rPr>
          <w:rtl w:val="true"/>
        </w:rPr>
        <w:t>حدیث الفرقة الناجیة کدلیل علی ما نقول</w:t>
      </w:r>
      <w:bookmarkEnd w:id="853"/>
    </w:p>
    <w:p>
      <w:pPr>
        <w:pStyle w:val="BookText"/>
        <w:rPr/>
      </w:pPr>
      <w:r>
        <w:rPr>
          <w:rFonts w:ascii="IRNazanin" w:hAnsi="IRNazanin" w:eastAsia="IRNazanin"/>
          <w:color w:val="111111"/>
          <w:sz w:val="28"/>
          <w:sz w:val="28"/>
          <w:szCs w:val="28"/>
          <w:rtl w:val="true"/>
          <w:lang w:bidi="fa-IR"/>
        </w:rPr>
        <w:t xml:space="preserve">وفی حدیث الفرقة الناجیة الذی رواه المسلمون ، واتّفقوا علیه ، والذی یتضمّن هذا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أُمتی علی ثلاث وسبعین فرقة ، فرقة منها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الحدیث یستفاد منه ما ذکرناه من التفریق بین الإسلام والإیمان ، فهو لم یخرج غیر الناجین من الإسلام ، ولکنه اعتبرهم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المسلمین ، مع أنّهم من غیر الناجین ، ومن غیر المعقول أن تکون النجاة التی اعتمدت علیها الفرقة الناجیة هی نجاة تعتمد علی فرع من الفروع ، ولیس علی أصل من الأُصول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إخوانناً أهل السنة والجماعة یرون أنّ من لا یعتقد بفضائل الخلفاء الثلاثة</w:t>
      </w:r>
    </w:p>
    <w:p>
      <w:pPr>
        <w:pStyle w:val="BookText"/>
        <w:rPr/>
      </w:pPr>
      <w:r>
        <w:rPr>
          <w:rFonts w:ascii="IRNazanin" w:hAnsi="IRNazanin" w:eastAsia="IRNazanin"/>
          <w:color w:val="111111"/>
          <w:sz w:val="28"/>
          <w:sz w:val="28"/>
          <w:szCs w:val="28"/>
          <w:rtl w:val="true"/>
          <w:lang w:bidi="fa-IR"/>
        </w:rPr>
        <w:t>الذین حکموا بعد النبی صلی الله علیه و آله ، أو فضائل زوجات النبی ، ومن ینتقد هؤلاء وینکر علیهم أفعالهم ، یعتقدون أنّ هذا الشخص لیس مؤمناً ، وإنّما هو مسلم فقط ، وإن کانوا یعتقدون بأنّ الخلافة من فروع الدین ، ولیست من أُصول الدین ، کما ذهب إلی هذا الرأی التفتازانی فی شرح المقاصد</w:t>
      </w:r>
      <w:r>
        <w:rPr>
          <w:rStyle w:val="FootnoteAnchor"/>
          <w:rtl w:val="true"/>
        </w:rPr>
        <w:footnoteReference w:id="174"/>
      </w:r>
      <w:r>
        <w:rPr>
          <w:rFonts w:ascii="IRNazanin" w:hAnsi="IRNazanin" w:eastAsia="IRNazanin"/>
          <w:color w:val="111111"/>
          <w:sz w:val="28"/>
          <w:sz w:val="28"/>
          <w:szCs w:val="28"/>
          <w:rtl w:val="true"/>
          <w:lang w:bidi="fa-IR"/>
        </w:rPr>
        <w:t>، والشریف الجرجانی فی شرح المواقف</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أهل السنّة یبنون العقیدة علی ما حدث بعد النبی صلی الله علیه و آله ، وهم یعتقدون أنّ فضائل الثلاثة الذین حکموا بعد النبی صلی الله علیه و آله أدلتها قطعیة ، وینفون الإیمان عمّن لا یعتقد بها ، ولکن لا یقولون بکفره ، هذا إذا استثنینا التکفیر بین المتعصّبین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أهل البیت علیهم السلام یعتقد أنّ أدلة إمامة الأئمة علیهم السلام واعتبار الإمامة من أُصول الدین تستند إلی أدلة قطعیة ، وأنّها من لوازم الإیمان إلّاأنّهم لا یکفّرون من لا یعتقد بها ، بل یعتبرونه مسلماً ، ولکنه لیس مؤمناً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المرتضی والشیخ الطوسی والشیخ المفید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تارة یکون نصّاً جلیّاً ، وتارة یکون نصّاً خفیّاً ، والمنکر للنّص الجلی یخرج عن ظاهر الإسلام ، أمّا المنکر للنصّ الخفی ، فلا یخرج عن ظاهر الإسلام ؛ لأنّه ربما یعذر لعدم فهمه للنصّ الخفی ، وقد یکون النصّ خفیاً ومع ذلک یحمل فی طیّاته دلیلاً یقینیاً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ملاحظة نود الإشارة إلیها ، وهی أنّه قد یرد تعبیر الکفر لبعض المسلمین ، ولکن لا یعتبر تکفیراً فی مقابل الإسلام أو أنّه إخراج من الدین الإسلامی ؛ لأنّ الکفر علی درجات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الکفر تعبیراً عن عدّة معانی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 نشکر روّاد الوحدة الإسلامیة ، والتقریب بین المذاهب علی جهودهم المبارکة فی توحید الأُمّة الإسلامیة نلفت نظرهم إلی هذه المسائل المهمّة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وفقهاء أهل البیت وکتبهم شاهدة علی أنّهم یحترمون المسلمین ، ویدعون إلی حفظ دمائهم وأموالهم وحقوقهم ، وکذلک علماء أهل السنّة یقولون بهذا الرأی فی کتبهم الفقهیة ، ولکن یجب التصدّی لأولئک المتعصّبین الظالمین الذین یثیرون الفتن الطائفیة فی پاکستان وأفغانستان وفی باقی بلاد المسلمین </w:t>
      </w:r>
      <w:r>
        <w:rPr>
          <w:rFonts w:eastAsia="IRNazanin" w:cs="IRNazanin"/>
          <w:color w:val="111111"/>
          <w:sz w:val="28"/>
          <w:szCs w:val="28"/>
          <w:rtl w:val="true"/>
          <w:lang w:bidi="fa-IR"/>
        </w:rPr>
        <w:t>.</w:t>
      </w:r>
      <w:bookmarkStart w:id="854" w:name="pg5261_55470"/>
    </w:p>
    <w:p>
      <w:pPr>
        <w:pStyle w:val="Heading4"/>
        <w:numPr>
          <w:ilvl w:val="3"/>
          <w:numId w:val="1"/>
        </w:numPr>
        <w:rPr/>
      </w:pPr>
      <w:bookmarkStart w:id="855" w:name="__RefHeading___Toc477614_581953129"/>
      <w:bookmarkStart w:id="856" w:name="_Toc337"/>
      <w:bookmarkEnd w:id="854"/>
      <w:bookmarkEnd w:id="855"/>
      <w:r>
        <w:rPr>
          <w:rtl w:val="true"/>
        </w:rPr>
        <w:t>المحاضرة التاسعة الحسین علیه السلام وتهمة شقّ عصا المسلمین</w:t>
      </w:r>
      <w:bookmarkEnd w:id="856"/>
    </w:p>
    <w:p>
      <w:pPr>
        <w:pStyle w:val="Heading5"/>
        <w:numPr>
          <w:ilvl w:val="4"/>
          <w:numId w:val="1"/>
        </w:numPr>
        <w:rPr/>
      </w:pPr>
      <w:bookmarkStart w:id="857" w:name="__RefHeading___Toc477616_581953129"/>
      <w:bookmarkStart w:id="858" w:name="_Toc338"/>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یقرّر الخروج علی السلطان الجائر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کانوا یسمّون المنتمین إلی حکوماتهم الجائزة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مصطلح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طاعة الخلیفة لا یعتبر ردّة عن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شقّ عصا المسلمین حجّة واهیة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صعوبة الظروف التی مرّ بها النبی صلی الله علیه و آله فی مواجهة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فقأت عین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یشقّ عصا الأُمّة من اختاره اللّه للمباهلة دون کبار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نجحت فی إزالة الشرعیة عن سلطات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یفرحون لحزن رسول اللّه صلی الله علیه و آله </w:t>
      </w:r>
      <w:r>
        <w:rPr>
          <w:rFonts w:eastAsia="IRNazanin" w:cs="IRNazanin"/>
          <w:color w:val="111111"/>
          <w:sz w:val="28"/>
          <w:szCs w:val="28"/>
          <w:rtl w:val="true"/>
          <w:lang w:bidi="fa-IR"/>
        </w:rPr>
        <w:t>.</w:t>
      </w:r>
    </w:p>
    <w:p>
      <w:pPr>
        <w:pStyle w:val="Heading5"/>
        <w:numPr>
          <w:ilvl w:val="4"/>
          <w:numId w:val="1"/>
        </w:numPr>
        <w:rPr/>
      </w:pPr>
      <w:bookmarkStart w:id="859" w:name="__RefHeading___Toc477618_581953129"/>
      <w:bookmarkStart w:id="860" w:name="_Toc339"/>
      <w:bookmarkEnd w:id="859"/>
      <w:r>
        <w:rPr>
          <w:rtl w:val="true"/>
        </w:rPr>
        <w:t>الحسین علیه السلام یقرّر الخروج علی السلطان الجائر</w:t>
      </w:r>
      <w:bookmarkEnd w:id="860"/>
    </w:p>
    <w:p>
      <w:pPr>
        <w:pStyle w:val="BookText"/>
        <w:rPr/>
      </w:pPr>
      <w:r>
        <w:rPr>
          <w:rFonts w:ascii="IRNazanin" w:hAnsi="IRNazanin" w:eastAsia="IRNazanin"/>
          <w:color w:val="111111"/>
          <w:sz w:val="28"/>
          <w:sz w:val="28"/>
          <w:szCs w:val="28"/>
          <w:rtl w:val="true"/>
          <w:lang w:bidi="fa-IR"/>
        </w:rPr>
        <w:t xml:space="preserve">قال الإمام الحسین علیه السلام نقلاً عن جدّه المصطفی صلی الله علیه و آله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منکم سلطاناً جائراً مستحلاً لحرم اللّه ، ناکثاً لعهد اللّه ، مخالفاً لسنّة رسول اللّه ، یعمل فی عباد اللّه بالإثم والعدوان ثمّ لم یغیّر بقول ولا فعل ، کان حقیقاً علی اللّه أن یدخل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علمتم أنّ هؤلاء القوم قد لزموا طاعة الشیطان، وتوّلوا عن طاعة الرحمن، وأظهروا الفساد وعطّلوا الحدود ، واستأثروا</w:t>
      </w:r>
      <w:bookmarkStart w:id="861" w:name="pg5261_55472"/>
    </w:p>
    <w:p>
      <w:pPr>
        <w:pStyle w:val="BookText"/>
        <w:rPr/>
      </w:pPr>
      <w:bookmarkEnd w:id="861"/>
      <w:r>
        <w:rPr>
          <w:rFonts w:ascii="IRNazanin" w:hAnsi="IRNazanin" w:eastAsia="IRNazanin"/>
          <w:color w:val="111111"/>
          <w:sz w:val="28"/>
          <w:sz w:val="28"/>
          <w:szCs w:val="28"/>
          <w:rtl w:val="true"/>
          <w:lang w:bidi="fa-IR"/>
        </w:rPr>
        <w:t>بالفیء ، وأحلّو حرام اللّه ، وحرّموا حلاله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ونادی رسول والی یزید علی مکة عمرو بن سعید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علیه السلام حینما أراد الخروج إلی کربلاء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ألا تتق اللّه؟ تخرج من الجماعة ، وتفرّق بین الاُمّة بعد اجتماع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الإمام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عملی ولکم عملکم أنتم بریئون مما أعمل وأنا بریء مما تعملون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477620_581953129"/>
      <w:bookmarkStart w:id="863" w:name="_Toc340"/>
      <w:bookmarkEnd w:id="862"/>
      <w:r>
        <w:rPr>
          <w:rtl w:val="true"/>
        </w:rPr>
        <w:t xml:space="preserve">بنو أُمیة کانوا یسمّون المنتمین إلی حکوماتهم الجائرة ب </w:t>
      </w:r>
      <w:r>
        <w:rPr>
          <w:rtl w:val="true"/>
        </w:rPr>
        <w:t>«</w:t>
      </w:r>
      <w:r>
        <w:rPr>
          <w:rtl w:val="true"/>
        </w:rPr>
        <w:t>الجماعة</w:t>
      </w:r>
      <w:r>
        <w:rPr>
          <w:rtl w:val="true"/>
        </w:rPr>
        <w:t>»</w:t>
      </w:r>
      <w:bookmarkEnd w:id="863"/>
    </w:p>
    <w:p>
      <w:pPr>
        <w:pStyle w:val="BookText"/>
        <w:rPr/>
      </w:pPr>
      <w:r>
        <w:rPr>
          <w:rFonts w:ascii="IRNazanin" w:hAnsi="IRNazanin" w:eastAsia="IRNazanin"/>
          <w:color w:val="111111"/>
          <w:sz w:val="28"/>
          <w:sz w:val="28"/>
          <w:szCs w:val="28"/>
          <w:rtl w:val="true"/>
          <w:lang w:bidi="fa-IR"/>
        </w:rPr>
        <w:t xml:space="preserve">وکان التعبیر بالجماعة یشیر إلی السلطات الأمویة الحاکمة ، وإلی الخلافة المسیطرة علی أُمور المسلمین ، وکذلک عمرو بن الحجاج الذی کان أبرز معاونی عمر بن سعد ، قال وهو یستنفر جیوش الظلم الأمویة ضدّ سید الشهداء الحسین بن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طاعتکم وجماعتکم ولا ترتابوا فی قتل من مرق من الدین وخالف الإمام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 الأمویّون یعتقدون أنّ السلطات الحاکمة الظالمة هی التی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الخروج علیها مروق من الدین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المؤسف أنّ إبراهیم بن یعقوب بن إسحاق السعدی الجوزجانی الذی کان یسکن فی الشام ، وکان ورده سب ولعن علی بن أبی طالب علیه السلام یُعبّر عنه بأنّه صلب فی السنّة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ولا ندری کیف یکون من کان ورده سب علی علیه السلام صلباً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رأی رأی الخوارج فأخذ ینکر علی السلطان وإن لم یعتقد بوجوب الخروج علیه </w:t>
      </w:r>
      <w:r>
        <w:rPr>
          <w:rFonts w:eastAsia="IRNazanin" w:cs="IRNazanin"/>
          <w:color w:val="111111"/>
          <w:sz w:val="28"/>
          <w:szCs w:val="28"/>
          <w:rtl w:val="true"/>
          <w:lang w:bidi="fa-IR"/>
        </w:rPr>
        <w:t>.</w:t>
      </w:r>
      <w:bookmarkStart w:id="864" w:name="pg5261_55474"/>
    </w:p>
    <w:p>
      <w:pPr>
        <w:pStyle w:val="BookText"/>
        <w:rPr/>
      </w:pPr>
      <w:bookmarkEnd w:id="864"/>
      <w:r>
        <w:rPr>
          <w:rFonts w:ascii="IRNazanin" w:hAnsi="IRNazanin" w:eastAsia="IRNazanin"/>
          <w:color w:val="111111"/>
          <w:sz w:val="28"/>
          <w:sz w:val="28"/>
          <w:szCs w:val="28"/>
          <w:rtl w:val="true"/>
          <w:lang w:bidi="fa-IR"/>
        </w:rPr>
        <w:t xml:space="preserve">فنلاحظ أنّ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الجماعة کان له جذور تمثّل الانتماء والولاء للسلطات الحاکمة والجهات التی تعادی أهل البیت علیهم السلام ، ومن أراد أن یراجع فلیراجع کتب رجال الحدیث حول ما کتبته عن هذا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یعقوب</w:t>
      </w:r>
      <w:r>
        <w:rPr>
          <w:rFonts w:eastAsia="IRNazanin" w:cs="IRNazanin"/>
          <w:color w:val="111111"/>
          <w:sz w:val="28"/>
          <w:szCs w:val="28"/>
          <w:rtl w:val="true"/>
          <w:lang w:bidi="fa-IR"/>
        </w:rPr>
        <w:t>» .</w:t>
      </w:r>
    </w:p>
    <w:p>
      <w:pPr>
        <w:pStyle w:val="Heading5"/>
        <w:numPr>
          <w:ilvl w:val="4"/>
          <w:numId w:val="1"/>
        </w:numPr>
        <w:rPr/>
      </w:pPr>
      <w:bookmarkStart w:id="865" w:name="__RefHeading___Toc477622_581953129"/>
      <w:bookmarkStart w:id="866" w:name="_Toc341"/>
      <w:bookmarkEnd w:id="865"/>
      <w:r>
        <w:rPr>
          <w:rtl w:val="true"/>
        </w:rPr>
        <w:t xml:space="preserve">بدایة مصطلح </w:t>
      </w:r>
      <w:r>
        <w:rPr>
          <w:rtl w:val="true"/>
        </w:rPr>
        <w:t>«</w:t>
      </w:r>
      <w:r>
        <w:rPr>
          <w:rtl w:val="true"/>
        </w:rPr>
        <w:t>الجماعة</w:t>
      </w:r>
      <w:r>
        <w:rPr>
          <w:rtl w:val="true"/>
        </w:rPr>
        <w:t>»</w:t>
      </w:r>
      <w:bookmarkEnd w:id="866"/>
    </w:p>
    <w:p>
      <w:pPr>
        <w:pStyle w:val="BookText"/>
        <w:rPr/>
      </w:pPr>
      <w:r>
        <w:rPr>
          <w:rFonts w:ascii="IRNazanin" w:hAnsi="IRNazanin" w:eastAsia="IRNazanin"/>
          <w:color w:val="111111"/>
          <w:sz w:val="28"/>
          <w:sz w:val="28"/>
          <w:szCs w:val="28"/>
          <w:rtl w:val="true"/>
          <w:lang w:bidi="fa-IR"/>
        </w:rPr>
        <w:t xml:space="preserve">أمّا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فابتدیء به منذ ما سمّی بحروب الردّة فی زمن الخلیفة الأوّل ، صحیح أنّ الردّة کانت موجودة ، وکان یقودها مسیلمة الکذّاب وغیره ، إلّا أنّ الواقع أنّه لیس کل من رفض حکم الخلیفة الأوّل هو مرتد ، فقبائل حضر موت وکندة والبحرین لم تکن مرتدّة عن الدین ، ولم تتخلّی عن أصل من أُصول الدین أو فروعه ، إلّاأنّها لم تعط الزکاة للخلیفة الأوّل ، لا لأنّها تنکر وجوب الزکاة ، وإنّما رفضت الطاعة للخلیفة الأوّل ؛ لأنّها لا تعتقد بأحقیّته بالخلافة ، وهذه الأُمور مذکورة فی مصادر التاریخ ، ککتاب ابن أعثم</w:t>
      </w:r>
      <w:r>
        <w:rPr>
          <w:rStyle w:val="FootnoteAnchor"/>
          <w:rtl w:val="true"/>
        </w:rPr>
        <w:footnoteReference w:id="181"/>
      </w:r>
      <w:r>
        <w:rPr>
          <w:rFonts w:ascii="IRNazanin" w:hAnsi="IRNazanin" w:eastAsia="IRNazanin"/>
          <w:color w:val="111111"/>
          <w:sz w:val="28"/>
          <w:sz w:val="28"/>
          <w:szCs w:val="28"/>
          <w:rtl w:val="true"/>
          <w:lang w:bidi="fa-IR"/>
        </w:rPr>
        <w:t>والمسعودی</w:t>
      </w:r>
      <w:r>
        <w:rPr>
          <w:rStyle w:val="FootnoteAnchor"/>
          <w:rtl w:val="true"/>
        </w:rPr>
        <w:footnoteReference w:id="182"/>
      </w:r>
      <w:r>
        <w:rPr>
          <w:rFonts w:ascii="IRNazanin" w:hAnsi="IRNazanin" w:eastAsia="IRNazanin"/>
          <w:color w:val="111111"/>
          <w:sz w:val="28"/>
          <w:sz w:val="28"/>
          <w:szCs w:val="28"/>
          <w:rtl w:val="true"/>
          <w:lang w:bidi="fa-IR"/>
        </w:rPr>
        <w:t>والیعقوبی</w:t>
      </w:r>
      <w:r>
        <w:rPr>
          <w:rStyle w:val="FootnoteAnchor"/>
          <w:rtl w:val="true"/>
        </w:rPr>
        <w:footnoteReference w:id="183"/>
      </w:r>
      <w:r>
        <w:rPr>
          <w:rFonts w:ascii="IRNazanin" w:hAnsi="IRNazanin" w:eastAsia="IRNazanin"/>
          <w:color w:val="111111"/>
          <w:sz w:val="28"/>
          <w:sz w:val="28"/>
          <w:szCs w:val="28"/>
          <w:rtl w:val="true"/>
          <w:lang w:bidi="fa-IR"/>
        </w:rPr>
        <w:t xml:space="preserve">وغیرها من 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الأدلّة علی أنّهم لم یرتدّوا أنّ جهاز الخلافة لم یقتل أسری هذه القبائل ؛ لأنّهم لم یرتدّوا عن الدین ، وإنّما أبوا طاعة السلطان ، ومن المعروف أنّ حکم المرتد القتل </w:t>
      </w:r>
      <w:r>
        <w:rPr>
          <w:rFonts w:eastAsia="IRNazanin" w:cs="IRNazanin"/>
          <w:color w:val="111111"/>
          <w:sz w:val="28"/>
          <w:szCs w:val="28"/>
          <w:rtl w:val="true"/>
          <w:lang w:bidi="fa-IR"/>
        </w:rPr>
        <w:t>.</w:t>
      </w:r>
    </w:p>
    <w:p>
      <w:pPr>
        <w:pStyle w:val="Heading5"/>
        <w:numPr>
          <w:ilvl w:val="4"/>
          <w:numId w:val="1"/>
        </w:numPr>
        <w:rPr/>
      </w:pPr>
      <w:bookmarkStart w:id="867" w:name="__RefHeading___Toc477624_581953129"/>
      <w:bookmarkStart w:id="868" w:name="_Toc342"/>
      <w:bookmarkEnd w:id="867"/>
      <w:r>
        <w:rPr>
          <w:rtl w:val="true"/>
        </w:rPr>
        <w:t>عدم طاعة الخلیفة لا یعتبر ردّة عن الدین</w:t>
      </w:r>
      <w:bookmarkEnd w:id="8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نعتقد أنّ الذی لا یعتقد بأحقیّة خلیفة معیّن لیس مرتدّاً ، وأنَّ هؤلاء لیسوا مرتدّین ، ولا ندری لم یحکم البعض بردّتهم ؛ لأنّهم رفضوا حکم الخلیفة الأوّل ،</w:t>
      </w:r>
      <w:bookmarkStart w:id="869" w:name="pg5261_55477"/>
    </w:p>
    <w:p>
      <w:pPr>
        <w:pStyle w:val="BookText"/>
        <w:rPr/>
      </w:pPr>
      <w:bookmarkEnd w:id="869"/>
      <w:r>
        <w:rPr>
          <w:rFonts w:ascii="IRNazanin" w:hAnsi="IRNazanin" w:eastAsia="IRNazanin"/>
          <w:color w:val="111111"/>
          <w:sz w:val="28"/>
          <w:sz w:val="28"/>
          <w:szCs w:val="28"/>
          <w:rtl w:val="true"/>
          <w:lang w:bidi="fa-IR"/>
        </w:rPr>
        <w:t>ولا یعتبر من خرجوا علی حکم الإمام علی علیه السلام فی الجمل وصفین والنهروان من 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الباء هناک تجر ، وهنا لا 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المعروف أنّ أهل السنّة لا یعتقدون أنّ الخلافة من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 یحکم علی من لا یعتقد بحکم خلیفة مّا بأنّه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تعبیر سنّة الجماعة یطلق علی السلطات الحاکمة والجهات المناوئة لأهل البیت علیهم السلام ، کما رأینا فی مقالة عمرو بن سعید ، وفی ترجمة إبراهیم بن یعقوب </w:t>
      </w:r>
      <w:r>
        <w:rPr>
          <w:rFonts w:eastAsia="IRNazanin" w:cs="IRNazanin"/>
          <w:color w:val="111111"/>
          <w:sz w:val="28"/>
          <w:szCs w:val="28"/>
          <w:rtl w:val="true"/>
          <w:lang w:bidi="fa-IR"/>
        </w:rPr>
        <w:t>.</w:t>
      </w:r>
    </w:p>
    <w:p>
      <w:pPr>
        <w:pStyle w:val="Heading5"/>
        <w:numPr>
          <w:ilvl w:val="4"/>
          <w:numId w:val="1"/>
        </w:numPr>
        <w:rPr/>
      </w:pPr>
      <w:bookmarkStart w:id="870" w:name="__RefHeading___Toc477626_581953129"/>
      <w:bookmarkStart w:id="871" w:name="_Toc343"/>
      <w:bookmarkEnd w:id="870"/>
      <w:r>
        <w:rPr>
          <w:rtl w:val="true"/>
        </w:rPr>
        <w:t>حجّة شقّ عصا المسلمین حجّة واهیة</w:t>
      </w:r>
      <w:bookmarkEnd w:id="871"/>
    </w:p>
    <w:p>
      <w:pPr>
        <w:pStyle w:val="BookText"/>
        <w:rPr/>
      </w:pPr>
      <w:r>
        <w:rPr>
          <w:rFonts w:ascii="IRNazanin" w:hAnsi="IRNazanin" w:eastAsia="IRNazanin"/>
          <w:color w:val="111111"/>
          <w:sz w:val="28"/>
          <w:sz w:val="28"/>
          <w:szCs w:val="28"/>
          <w:rtl w:val="true"/>
          <w:lang w:bidi="fa-IR"/>
        </w:rPr>
        <w:t>ومن هنا استنکر البعض خروج الحسین علیه السلام علی حکم یزید بن معاویة</w:t>
      </w:r>
      <w:r>
        <w:rPr>
          <w:rStyle w:val="FootnoteAnchor"/>
          <w:rtl w:val="true"/>
        </w:rPr>
        <w:footnoteReference w:id="184"/>
      </w:r>
      <w:r>
        <w:rPr>
          <w:rFonts w:ascii="IRNazanin" w:hAnsi="IRNazanin" w:eastAsia="IRNazanin"/>
          <w:color w:val="111111"/>
          <w:sz w:val="28"/>
          <w:sz w:val="28"/>
          <w:szCs w:val="28"/>
          <w:rtl w:val="true"/>
          <w:lang w:bidi="fa-IR"/>
        </w:rPr>
        <w:t xml:space="preserve">، وکانوا قد أنکروا علی علی بن أبی طالب علیه السلام حربه مع معاویة بن أبی سفیان وأصحاب الجمل ، ولِمَ لمْ یساوم الإمام علی علیه السلام معاویة؟ ویبقیه فی الحکم ، ویخضع لأطماع الطامعین ، ویتنازل عن مبادئة ، ولا یطبّقها بهذه الحدّة والشدّة ؛ لکی یوحّد الأُمة ویحفظ دماءها </w:t>
      </w:r>
      <w:r>
        <w:rPr>
          <w:rFonts w:eastAsia="IRNazanin" w:cs="IRNazanin"/>
          <w:color w:val="111111"/>
          <w:sz w:val="28"/>
          <w:szCs w:val="28"/>
          <w:rtl w:val="true"/>
          <w:lang w:bidi="fa-IR"/>
        </w:rPr>
        <w:t>.</w:t>
      </w:r>
    </w:p>
    <w:p>
      <w:pPr>
        <w:pStyle w:val="Heading5"/>
        <w:numPr>
          <w:ilvl w:val="4"/>
          <w:numId w:val="1"/>
        </w:numPr>
        <w:rPr/>
      </w:pPr>
      <w:bookmarkStart w:id="872" w:name="__RefHeading___Toc477628_581953129"/>
      <w:bookmarkStart w:id="873" w:name="_Toc344"/>
      <w:bookmarkEnd w:id="872"/>
      <w:r>
        <w:rPr>
          <w:rtl w:val="true"/>
        </w:rPr>
        <w:t>صعوبة الظروف التی مرّ بها النبی صلی الله علیه و آله فی مواجهة قریش</w:t>
      </w:r>
      <w:bookmarkEnd w:id="87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 آله عندما بدأ حرکته فی مکة کان یواجه قریش ، ولم تکن قریش تعبد الأصنام ، بل هم علی ملّة إبراهیم الحنیفیّة ، ومن نسل إبراهیم وإسماعیل ، وهم أهل الکعبة ، ولهم حرمة خاصّة ، والنبی صلی الله علیه و آله کان یواجه معادلة صعبة فی فرض الإسلام بدلاً من الحنیفیّة الإبراهیمیّة ، حتی أنّ بعض المسلمین کانوا یتخوّفون من مواجهة فکریّة أو مواجهة عسکریّة ، حتی قال بعضهم ، حینما سألهم النبی صلی الله علیه و آله عن رأیهم فی حرب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قریش وخیلاءها ، ما أمنت منذ</w:t>
      </w:r>
      <w:bookmarkStart w:id="874" w:name="pg5261_55479"/>
    </w:p>
    <w:p>
      <w:pPr>
        <w:pStyle w:val="BookText"/>
        <w:rPr/>
      </w:pPr>
      <w:bookmarkEnd w:id="874"/>
      <w:r>
        <w:rPr>
          <w:rFonts w:ascii="Amiri" w:hAnsi="Amiri" w:eastAsia="Amiri" w:cs="Amiri"/>
          <w:color w:val="111111"/>
          <w:sz w:val="28"/>
          <w:sz w:val="28"/>
          <w:szCs w:val="28"/>
          <w:rtl w:val="true"/>
          <w:lang w:bidi="ar-SA"/>
        </w:rPr>
        <w:t>کفرت ، ولا ذلّت منذ عزّت</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سفیان کان یعتبر أنّ النبی صلی الله علیه و آله یخرّب الدین ، ویعنی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الملّة الحنیفیّة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واجهت النبی صلی الله علیه و آله نظم قومیّة وإقلیمیّة ؛ لأنّ مکّة کانت مهدّدة من الحبشة ، کما دلّلت علی هذا سورة الفیل وقصّة أبرهة الحبشی ، وکذلک تهدیدات من کسری الفرس ، ومن الروم ، فی الوقت الذی بقت فیه قریش علی دین إبراهیم الحنیف ، إذن کان النبی صلی الله علیه و آله یواجه تهدیدات قبلیّة من قبل قریش ، وإقلیمیة من قبل دول أُخری ، وتهدیدات عسکریة ، وتهدیدات دینیّة من قبل الدیانات الأُخری ، وکانت الوضعیّة الجغرافیة لمکّة وضعیّة تجعلها محاطة بالأعداء الأقویاء </w:t>
      </w:r>
      <w:r>
        <w:rPr>
          <w:rFonts w:eastAsia="IRNazanin" w:cs="IRNazanin"/>
          <w:color w:val="111111"/>
          <w:sz w:val="28"/>
          <w:szCs w:val="28"/>
          <w:rtl w:val="true"/>
          <w:lang w:bidi="fa-IR"/>
        </w:rPr>
        <w:t>.</w:t>
      </w:r>
    </w:p>
    <w:p>
      <w:pPr>
        <w:pStyle w:val="Heading5"/>
        <w:numPr>
          <w:ilvl w:val="4"/>
          <w:numId w:val="1"/>
        </w:numPr>
        <w:rPr/>
      </w:pPr>
      <w:bookmarkStart w:id="875" w:name="__RefHeading___Toc477630_581953129"/>
      <w:bookmarkStart w:id="876" w:name="_Toc345"/>
      <w:bookmarkEnd w:id="875"/>
      <w:r>
        <w:rPr>
          <w:rtl w:val="true"/>
        </w:rPr>
        <w:t>أسلم بنوا أُمیة تحت ضغط السیف ، ولمّا سنحت لهم الفرصة عاودوا حرب</w:t>
      </w:r>
      <w:bookmarkEnd w:id="876"/>
    </w:p>
    <w:p>
      <w:pPr>
        <w:pStyle w:val="BookText"/>
        <w:rPr/>
      </w:pPr>
      <w:r>
        <w:rPr>
          <w:rFonts w:ascii="IRNazanin" w:hAnsi="IRNazanin" w:eastAsia="IRNazanin"/>
          <w:color w:val="111111"/>
          <w:sz w:val="28"/>
          <w:sz w:val="28"/>
          <w:szCs w:val="28"/>
          <w:rtl w:val="true"/>
          <w:lang w:bidi="fa-IR"/>
        </w:rPr>
        <w:t>الإمام علی علیه السلام</w:t>
      </w:r>
    </w:p>
    <w:p>
      <w:pPr>
        <w:pStyle w:val="BookText"/>
        <w:rPr/>
      </w:pPr>
      <w:r>
        <w:rPr>
          <w:rFonts w:ascii="IRNazanin" w:hAnsi="IRNazanin" w:eastAsia="IRNazanin"/>
          <w:color w:val="111111"/>
          <w:sz w:val="28"/>
          <w:sz w:val="28"/>
          <w:szCs w:val="28"/>
          <w:rtl w:val="true"/>
          <w:lang w:bidi="fa-IR"/>
        </w:rPr>
        <w:t xml:space="preserve">النبی صلی الله علیه و آله لم یبدأ بالحروب ، وإنّما کانت حروبه دفاعیّة ، وأنّه اعتمد لغة الحوار ، ولکن الحوار لا یعنی الذوبان فی الباطل ، فدافع النبی صلی الله علیه و آله عن الإسلام ، وکان النبی صلی الله علیه و آله یعتمد علی سیف علی علیه السلام ، هذا السیف الذی جعل بنی أُمیة یسلمون فی عام الفتح بالضغط ، وأسلم بنوا أمیة فی الظاهر ، ولکن بلا روح ؛ ولذلک حاربوا علیاً بعد النبی صلی الله علیه و آله وواجهوا سیفه ؛ لأنّهم لا یمتلکون الإیمان الحقیقی ، ولو کانوا مؤمنین حقاً لم یفعلوا ذلک </w:t>
      </w:r>
      <w:r>
        <w:rPr>
          <w:rFonts w:eastAsia="IRNazanin" w:cs="IRNazanin"/>
          <w:color w:val="111111"/>
          <w:sz w:val="28"/>
          <w:szCs w:val="28"/>
          <w:rtl w:val="true"/>
          <w:lang w:bidi="fa-IR"/>
        </w:rPr>
        <w:t>.</w:t>
      </w:r>
    </w:p>
    <w:p>
      <w:pPr>
        <w:pStyle w:val="Heading5"/>
        <w:numPr>
          <w:ilvl w:val="4"/>
          <w:numId w:val="1"/>
        </w:numPr>
        <w:rPr/>
      </w:pPr>
      <w:bookmarkStart w:id="877" w:name="__RefHeading___Toc477632_581953129"/>
      <w:bookmarkStart w:id="878" w:name="_Toc346"/>
      <w:bookmarkEnd w:id="877"/>
      <w:r>
        <w:rPr>
          <w:rtl w:val="true"/>
        </w:rPr>
        <w:t>الحجج التی طرحها أعداء الإمام علی علیه السلام</w:t>
      </w:r>
      <w:bookmarkEnd w:id="87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السیف الذی شیّد بناء الإسلام هو السیف الذی فرض اللّه علیه أن یشیّد الإیمان فی حروبه الثلاثة التی خاضها فی زمن خلافته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النبی صلی الله علیه و آله قد واجه</w:t>
      </w:r>
      <w:bookmarkStart w:id="879" w:name="pg5261_55481"/>
    </w:p>
    <w:p>
      <w:pPr>
        <w:pStyle w:val="BookText"/>
        <w:rPr/>
      </w:pPr>
      <w:bookmarkEnd w:id="879"/>
      <w:r>
        <w:rPr>
          <w:rFonts w:ascii="IRNazanin" w:hAnsi="IRNazanin" w:eastAsia="IRNazanin"/>
          <w:color w:val="111111"/>
          <w:sz w:val="28"/>
          <w:sz w:val="28"/>
          <w:szCs w:val="28"/>
          <w:rtl w:val="true"/>
          <w:lang w:bidi="fa-IR"/>
        </w:rPr>
        <w:t xml:space="preserve">حجج قریش باعتبارهم من أتباع دین إبراهیم الحنیف ، وأنّهم أهل حرم اللّه ، کذلک واجه الإمام علی علیه السلام حجج المخالفین له بأنّ من المخالفین له أُمّ المؤمنین ، ووجود کبار الصحابة کطلحة والزبیر فی الجیش المناویء له ، أمّا الخوارج فکانت حجّتهم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فی‌حین أنّنا نعتقد أنّ التوحید فی الحاکمیة لا یوجد فی أیّ مدرسة من المدارس الدینیة والفکریة غیر مدرسة أهل البیت علیه السلام التی تطبّق التوحید فی الحاکمیة من خلال أصل الإمامة الذی تعتقد به </w:t>
      </w:r>
      <w:r>
        <w:rPr>
          <w:rFonts w:eastAsia="IRNazanin" w:cs="IRNazanin"/>
          <w:color w:val="111111"/>
          <w:sz w:val="28"/>
          <w:szCs w:val="28"/>
          <w:rtl w:val="true"/>
          <w:lang w:bidi="fa-IR"/>
        </w:rPr>
        <w:t>.</w:t>
      </w:r>
    </w:p>
    <w:p>
      <w:pPr>
        <w:pStyle w:val="Heading5"/>
        <w:numPr>
          <w:ilvl w:val="4"/>
          <w:numId w:val="1"/>
        </w:numPr>
        <w:rPr/>
      </w:pPr>
      <w:bookmarkStart w:id="880" w:name="__RefHeading___Toc477634_581953129"/>
      <w:bookmarkStart w:id="881" w:name="_Toc347"/>
      <w:bookmarkEnd w:id="880"/>
      <w:r>
        <w:rPr>
          <w:rtl w:val="true"/>
        </w:rPr>
        <w:t>فقأت عین الفتنة</w:t>
      </w:r>
      <w:bookmarkEnd w:id="881"/>
    </w:p>
    <w:p>
      <w:pPr>
        <w:pStyle w:val="BookText"/>
        <w:rPr/>
      </w:pPr>
      <w:r>
        <w:rPr>
          <w:rFonts w:ascii="IRNazanin" w:hAnsi="IRNazanin" w:eastAsia="IRNazanin"/>
          <w:color w:val="111111"/>
          <w:sz w:val="28"/>
          <w:sz w:val="28"/>
          <w:szCs w:val="28"/>
          <w:rtl w:val="true"/>
          <w:lang w:bidi="fa-IR"/>
        </w:rPr>
        <w:t xml:space="preserve">ولذلک 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فقأت عین الفتنة ، ولم یکن لیجتریء علیها</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 الإمام علی علیه السلام من کانت تحمل لقب أُمّ المؤمنین ، وهذا اللقب ورد فی القرآن الکریم</w:t>
      </w:r>
      <w:r>
        <w:rPr>
          <w:rStyle w:val="FootnoteAnchor"/>
          <w:rtl w:val="true"/>
        </w:rPr>
        <w:footnoteReference w:id="187"/>
      </w:r>
      <w:r>
        <w:rPr>
          <w:rFonts w:ascii="Amiri" w:hAnsi="Amiri" w:eastAsia="Amiri" w:cs="Amiri"/>
          <w:color w:val="111111"/>
          <w:sz w:val="28"/>
          <w:sz w:val="28"/>
          <w:szCs w:val="28"/>
          <w:rtl w:val="true"/>
          <w:lang w:bidi="ar-SA"/>
        </w:rPr>
        <w:t>، وتمّ بالفعل تفضیل زوجات النبی صلی الله علیه و آله ، ولکن بشرط التقوی ، ومع سقوط هذا الشرط لا یبقی لهم التفضیل ،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لَسْتُنَّ کَأَحَدٍ مِنَ النِّساءِ إِنِ اتَّقَیْتُنَّ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وکانت حرب علی علیه السلام لبعض من یُدعی أنّه من العشرة المبشّرین بالجنّة تکشف زیف هذه الفکرة ، وتبثّ الوعی فی الأُمّة ، والإمام علی علیه السلام الذی قاتل علی التنزیل هوالذی قاتل علی التأویل </w:t>
      </w:r>
      <w:r>
        <w:rPr>
          <w:rFonts w:eastAsia="IRNazanin" w:cs="IRNazanin"/>
          <w:color w:val="111111"/>
          <w:sz w:val="28"/>
          <w:szCs w:val="28"/>
          <w:rtl w:val="true"/>
          <w:lang w:bidi="fa-IR"/>
        </w:rPr>
        <w:t>.</w:t>
      </w:r>
    </w:p>
    <w:p>
      <w:pPr>
        <w:pStyle w:val="Heading5"/>
        <w:numPr>
          <w:ilvl w:val="4"/>
          <w:numId w:val="1"/>
        </w:numPr>
        <w:rPr/>
      </w:pPr>
      <w:bookmarkStart w:id="882" w:name="__RefHeading___Toc477636_581953129"/>
      <w:bookmarkStart w:id="883" w:name="_Toc348"/>
      <w:bookmarkEnd w:id="882"/>
      <w:r>
        <w:rPr>
          <w:rtl w:val="true"/>
        </w:rPr>
        <w:t>اتهام شقّ عصا المسلمین لعلی والحسین علیهما السلام</w:t>
      </w:r>
      <w:bookmarkEnd w:id="8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اتُّهم الإمام علی علیه السلام بأنّه قد شقّ عصا المسلمین</w:t>
      </w:r>
      <w:r>
        <w:rPr>
          <w:rStyle w:val="FootnoteAnchor"/>
          <w:rtl w:val="true"/>
        </w:rPr>
        <w:footnoteReference w:id="188"/>
      </w:r>
      <w:r>
        <w:rPr>
          <w:rFonts w:ascii="Amiri" w:hAnsi="Amiri" w:eastAsia="Amiri" w:cs="Amiri"/>
          <w:color w:val="111111"/>
          <w:sz w:val="28"/>
          <w:sz w:val="28"/>
          <w:szCs w:val="28"/>
          <w:rtl w:val="true"/>
          <w:lang w:bidi="ar-SA"/>
        </w:rPr>
        <w:t>، کذلک اتُّهم الإمام</w:t>
      </w:r>
      <w:bookmarkStart w:id="884" w:name="pg5261_55483"/>
    </w:p>
    <w:p>
      <w:pPr>
        <w:pStyle w:val="BookText"/>
        <w:rPr/>
      </w:pPr>
      <w:bookmarkEnd w:id="884"/>
      <w:r>
        <w:rPr>
          <w:rFonts w:ascii="IRNazanin" w:hAnsi="IRNazanin" w:eastAsia="IRNazanin"/>
          <w:color w:val="111111"/>
          <w:sz w:val="28"/>
          <w:sz w:val="28"/>
          <w:szCs w:val="28"/>
          <w:rtl w:val="true"/>
          <w:lang w:bidi="fa-IR"/>
        </w:rPr>
        <w:t>الحسین علیه السلام بهذا الاتهام</w:t>
      </w:r>
      <w:r>
        <w:rPr>
          <w:rStyle w:val="FootnoteAnchor"/>
          <w:rtl w:val="true"/>
        </w:rPr>
        <w:footnoteReference w:id="189"/>
      </w:r>
      <w:r>
        <w:rPr>
          <w:rFonts w:ascii="Amiri" w:hAnsi="Amiri" w:eastAsia="Amiri" w:cs="Amiri"/>
          <w:color w:val="111111"/>
          <w:sz w:val="28"/>
          <w:sz w:val="28"/>
          <w:szCs w:val="28"/>
          <w:rtl w:val="true"/>
          <w:lang w:bidi="ar-SA"/>
        </w:rPr>
        <w:t xml:space="preserve">، واعتبر خارجاً عن سنّة الجماعة </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477638_581953129"/>
      <w:bookmarkStart w:id="886" w:name="_Toc349"/>
      <w:bookmarkEnd w:id="885"/>
      <w:r>
        <w:rPr>
          <w:rtl w:val="true"/>
        </w:rPr>
        <w:t>هل یشقّ عصا الأُمّة من اختاره اللّه للمباهلة دون کبار الصحابة؟</w:t>
      </w:r>
      <w:r>
        <w:rPr>
          <w:rtl w:val="true"/>
        </w:rPr>
        <w:t>!</w:t>
      </w:r>
      <w:bookmarkEnd w:id="886"/>
    </w:p>
    <w:p>
      <w:pPr>
        <w:pStyle w:val="BookText"/>
        <w:rPr/>
      </w:pPr>
      <w:r>
        <w:rPr>
          <w:rFonts w:ascii="IRNazanin" w:hAnsi="IRNazanin" w:eastAsia="IRNazanin"/>
          <w:color w:val="111111"/>
          <w:sz w:val="28"/>
          <w:sz w:val="28"/>
          <w:szCs w:val="28"/>
          <w:rtl w:val="true"/>
          <w:lang w:bidi="fa-IR"/>
        </w:rPr>
        <w:t>الإمام الحسین علیه السلام الذی اصطفاه اللّه للمباهلة</w:t>
      </w:r>
      <w:r>
        <w:rPr>
          <w:rStyle w:val="FootnoteAnchor"/>
          <w:rtl w:val="true"/>
        </w:rPr>
        <w:footnoteReference w:id="190"/>
      </w:r>
      <w:r>
        <w:rPr>
          <w:rFonts w:ascii="IRNazanin" w:hAnsi="IRNazanin" w:eastAsia="IRNazanin"/>
          <w:color w:val="111111"/>
          <w:sz w:val="28"/>
          <w:sz w:val="28"/>
          <w:szCs w:val="28"/>
          <w:rtl w:val="true"/>
          <w:lang w:bidi="fa-IR"/>
        </w:rPr>
        <w:t>، والذی شارک فی المباهلة هو شریک للنبی صلی الله علیه و آله فی دعوته ، ولیس دخیلاً علیها ، وهو صغیر السن اختاره اللّه دون باقی الصحابة من أصحاب اللحی والعمائم ، هذا الاعتبار الذی یحمله الحسین ، وهذه الشهادة الإلهیّة القرآنیة التی برهنت أنّ اللّه اصطفی هذا الطفل الصغیر من دون سائر المسلمین لمباهلة النصاری ، کما اصطفی عیسی للنبوّة وهو فی المهد ؛ لکی ینقدح فی عقلیّة الأُمّة قدر هذا العملاق ، وما یستحق من التکریم والتبجیل الذی هو أحد إمامین قاما أو قعدا</w:t>
      </w:r>
      <w:r>
        <w:rPr>
          <w:rStyle w:val="FootnoteAnchor"/>
          <w:rtl w:val="true"/>
        </w:rPr>
        <w:footnoteReference w:id="191"/>
      </w:r>
      <w:r>
        <w:rPr>
          <w:rFonts w:ascii="IRNazanin" w:hAnsi="IRNazanin" w:eastAsia="IRNazanin"/>
          <w:color w:val="111111"/>
          <w:sz w:val="28"/>
          <w:sz w:val="28"/>
          <w:szCs w:val="28"/>
          <w:rtl w:val="true"/>
          <w:lang w:bidi="fa-IR"/>
        </w:rPr>
        <w:t>، وهو الذی یحمل وسام حسین منّی وأنا من حسین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477640_581953129"/>
      <w:bookmarkStart w:id="888" w:name="_Toc350"/>
      <w:bookmarkEnd w:id="887"/>
      <w:r>
        <w:rPr>
          <w:rtl w:val="true"/>
        </w:rPr>
        <w:t>کربلاء نجحت فی إزالة الشرعیّة عن سلطات بنی أُمیّة</w:t>
      </w:r>
      <w:bookmarkEnd w:id="88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صدق من قال أنّ کربلاء نجحت فی فصل الشرعیة عن السلطات الحاکمة آنذاک ، والتی کانت تتذرّع بسنّة الجماعة من أجل اتّهام المصلحین بالمروق والخروج عن الدین ، وقد کشفت دماء الحسین الزکیّة زیف هذه الحکومات الطاغوتیة المتجبّرة ، وقد احتجّ من احتجّ منهم علی خروج الحسین علیه السلام بأنّه یسبّب الهرج والمرج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تربّع الفساد الخلقی والإداری علی رأس السلطة</w:t>
      </w:r>
      <w:bookmarkStart w:id="889" w:name="pg5261_55485"/>
    </w:p>
    <w:p>
      <w:pPr>
        <w:pStyle w:val="BookText"/>
        <w:rPr/>
      </w:pPr>
      <w:bookmarkEnd w:id="889"/>
      <w:r>
        <w:rPr>
          <w:rFonts w:ascii="IRNazanin" w:hAnsi="IRNazanin" w:eastAsia="IRNazanin"/>
          <w:color w:val="111111"/>
          <w:sz w:val="28"/>
          <w:sz w:val="28"/>
          <w:szCs w:val="28"/>
          <w:rtl w:val="true"/>
          <w:lang w:bidi="fa-IR"/>
        </w:rPr>
        <w:t>هوالذی یوجب الهرج والمرج ، وإنّ إزاحة هذا الفساد هوالذی یساهم فی إزاحة الهرج والمرج والقضاء علیه</w:t>
      </w:r>
    </w:p>
    <w:p>
      <w:pPr>
        <w:pStyle w:val="BookText"/>
        <w:rPr/>
      </w:pPr>
      <w:r>
        <w:rPr>
          <w:rFonts w:ascii="IRNazanin" w:hAnsi="IRNazanin" w:eastAsia="IRNazanin"/>
          <w:color w:val="111111"/>
          <w:sz w:val="28"/>
          <w:sz w:val="28"/>
          <w:szCs w:val="28"/>
          <w:rtl w:val="true"/>
          <w:lang w:bidi="fa-IR"/>
        </w:rPr>
        <w:t xml:space="preserve">إذن هدف الإمام الحسین علیه السلام هو الاصلاح فی أُمّة جدّه رسول اللّه صلی الله علیه و آله ، والأمر بالمعروف والنهی عن المنکر ، وقد ضرب الحسین علیه السلام مثالاً رائعاً للمعارضة للحکم ، هذه المعارضة التی تفرض مراقبتها علی السلطات الحاکمة ، وتسجّل اعتراضاتها للفساد الموجود فی هذه السلطة </w:t>
      </w:r>
      <w:r>
        <w:rPr>
          <w:rFonts w:eastAsia="IRNazanin" w:cs="IRNazanin"/>
          <w:color w:val="111111"/>
          <w:sz w:val="28"/>
          <w:szCs w:val="28"/>
          <w:rtl w:val="true"/>
          <w:lang w:bidi="fa-IR"/>
        </w:rPr>
        <w:t>.</w:t>
      </w:r>
    </w:p>
    <w:p>
      <w:pPr>
        <w:pStyle w:val="Heading5"/>
        <w:numPr>
          <w:ilvl w:val="4"/>
          <w:numId w:val="1"/>
        </w:numPr>
        <w:rPr/>
      </w:pPr>
      <w:bookmarkStart w:id="890" w:name="__RefHeading___Toc477642_581953129"/>
      <w:bookmarkStart w:id="891" w:name="_Toc351"/>
      <w:bookmarkEnd w:id="890"/>
      <w:r>
        <w:rPr>
          <w:rtl w:val="true"/>
        </w:rPr>
        <w:t>الذین یفرحون لحزن رسول اللّه صلی الله علیه و آله</w:t>
      </w:r>
      <w:bookmarkEnd w:id="891"/>
    </w:p>
    <w:p>
      <w:pPr>
        <w:pStyle w:val="BookText"/>
        <w:rPr/>
      </w:pPr>
      <w:r>
        <w:rPr>
          <w:rFonts w:ascii="Amiri" w:hAnsi="Amiri" w:eastAsia="Amiri" w:cs="Amiri"/>
          <w:color w:val="111111"/>
          <w:sz w:val="28"/>
          <w:sz w:val="28"/>
          <w:szCs w:val="28"/>
          <w:rtl w:val="true"/>
          <w:lang w:bidi="ar-SA"/>
        </w:rPr>
        <w:t xml:space="preserve">أمّا الذین یبتهجون ویفرحون فی هذه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العاشر من المحرم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مصداق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 إِنْ تُصِبْکُمْ سَیِّئَةٌ یَفْرَحُوا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فهم یفرحون لحزن رسول اللّه صلی الله علیه و آله بالفاجعة الألیمة التی ألمّت به فی کربلاء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للّه‌ربّ العالمین وصلّی اللّه علی محمد وآله الطیّبین الطاهرین </w:t>
      </w:r>
      <w:r>
        <w:rPr>
          <w:rFonts w:eastAsia="IRNazanin" w:cs="IRNazanin"/>
          <w:color w:val="111111"/>
          <w:sz w:val="28"/>
          <w:szCs w:val="28"/>
          <w:rtl w:val="true"/>
          <w:lang w:bidi="fa-IR"/>
        </w:rPr>
        <w:t>.</w:t>
      </w:r>
      <w:bookmarkStart w:id="892" w:name="pg5261_55498"/>
    </w:p>
    <w:p>
      <w:pPr>
        <w:pStyle w:val="Heading2"/>
        <w:numPr>
          <w:ilvl w:val="1"/>
          <w:numId w:val="1"/>
        </w:numPr>
        <w:rPr/>
      </w:pPr>
      <w:bookmarkStart w:id="893" w:name="__RefHeading___Toc477644_581953129"/>
      <w:bookmarkStart w:id="894" w:name="_Toc352"/>
      <w:bookmarkEnd w:id="892"/>
      <w:bookmarkEnd w:id="893"/>
      <w:r>
        <w:rPr/>
        <w:t>4</w:t>
      </w:r>
      <w:r>
        <w:rPr>
          <w:rtl w:val="true"/>
        </w:rPr>
        <w:t xml:space="preserve">- </w:t>
      </w:r>
      <w:r>
        <w:rPr>
          <w:rtl w:val="true"/>
        </w:rPr>
        <w:t>العدالة الاجتماعیة</w:t>
      </w:r>
      <w:bookmarkEnd w:id="8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5" w:name="__RefHeading___Toc477646_581953129"/>
      <w:bookmarkStart w:id="896" w:name="_Toc353"/>
      <w:bookmarkEnd w:id="895"/>
      <w:r>
        <w:rPr>
          <w:rtl w:val="true"/>
        </w:rPr>
        <w:t>اشارة</w:t>
      </w:r>
      <w:bookmarkStart w:id="897" w:name="pg5261_55502"/>
      <w:bookmarkEnd w:id="896"/>
    </w:p>
    <w:p>
      <w:pPr>
        <w:pStyle w:val="BookText"/>
        <w:rPr/>
      </w:pPr>
      <w:bookmarkEnd w:id="89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898" w:name="__RefHeading___Toc477648_581953129"/>
      <w:bookmarkStart w:id="899" w:name="_Toc354"/>
      <w:bookmarkEnd w:id="898"/>
      <w:r>
        <w:rPr>
          <w:rtl w:val="true"/>
        </w:rPr>
        <w:t>المقدّمة</w:t>
      </w:r>
      <w:bookmarkEnd w:id="899"/>
    </w:p>
    <w:p>
      <w:pPr>
        <w:pStyle w:val="BookText"/>
        <w:rPr/>
      </w:pPr>
      <w:r>
        <w:rPr>
          <w:rFonts w:ascii="IRNazanin" w:hAnsi="IRNazanin" w:eastAsia="IRNazanin"/>
          <w:color w:val="111111"/>
          <w:sz w:val="28"/>
          <w:sz w:val="28"/>
          <w:szCs w:val="28"/>
          <w:rtl w:val="true"/>
          <w:lang w:bidi="fa-IR"/>
        </w:rPr>
        <w:t xml:space="preserve">الحمد للّه‌ربّ العالمین والصلاة والسلام علی أشرف الأنبیاء والمرسلین محمّد وآله الطیّبین الطاهرین ، 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مجموعة من المحاضرات التی ألقاها سماحة آیة اللّه الشیخ محمّد السند فی مأتم السّماکین فی المنامة فی موسم عاشوراء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الموافق لشهر فبرایر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 وتدور حول العدالة الاجتماعیة ، وقد تعرّض فیها سماحته للنظرة الإسلامیة للعدالة الاجتماعیة ، مع بیان بعض المقدّمات حول الروح والبدن وعلاقتهما بالتاریخ ، وأهمیة التاریخ لا سیّما التاریخ الحسینی کعنصر من عناصر القوّة فی المذهب الشیعی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عملیة الإصلاح لابدّ لها من الاستفادة من التاریخ ، ومن دراسة شخصیّاته واتّجاهاته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أکّد علی محوریة العدل ورفض محوریة القانون الذی لا یستند إلی العدل فی تشریعاته ، وبیَّن ضوابط العدل ومنطلقاته بالإضافة إلی بیان أنّ رأی الأکثریة لا یحالف الصواب دائماً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بحث فی موضوع مفهوم الخلیفة فی القرآن الکریم ، والمصادیق التی ینطبق علیها هذا اللفظ ، ثمّ ناقش بعض تعریفات العدالة ، وتعرّض إلی مصادقة</w:t>
      </w:r>
    </w:p>
    <w:p>
      <w:pPr>
        <w:pStyle w:val="BookText"/>
        <w:rPr/>
      </w:pPr>
      <w:r>
        <w:rPr>
          <w:rFonts w:ascii="IRNazanin" w:hAnsi="IRNazanin" w:eastAsia="IRNazanin"/>
          <w:color w:val="111111"/>
          <w:sz w:val="28"/>
          <w:sz w:val="28"/>
          <w:szCs w:val="28"/>
          <w:rtl w:val="true"/>
          <w:lang w:bidi="fa-IR"/>
        </w:rPr>
        <w:t xml:space="preserve">الأُمم المتّحدة علی عهد الإمام علی علیه السلام لمالک الأشتر ، واعتباره مصدراً من مصادر التشریع ، منوّهاً علی أهمیة نشر ثقافة أهل البیت علیهم السلام ، ومشیراً إلی التقصیر الکبیر فی نشر ثقافتهم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تعرّض إلی الدور الکبیر الذی یلعبه الإمام الحجّة عجّ اللّه فرجه الشریف فی غیبته ، وتأثیره حتّی فی زمن الغیبة فی مجریات الأُمور رابطاً هذا الموضوع بتفسیر سورة القدر المبارکة ، وسیجد القاریء تطبیقات عدیدة فی البحث علی مواقف الإمام الحسین والإمام علی علیهما السلام کمصادیق لتطبیق العدالة ، ومواقف بنی أُمیّة کمصادیق للظلم والانحراف ، کما ضرب بعض الأمثلة من الواقع المعاصر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کتبت هذه المحاضرات ، وجعلت فی بدایة کلّ محاضرة تلخیصاً لأهم أفکارها فی عشرة محاور أو أقل ، کما أکثرت من العناوین تسهیلاً للقاریء العزیز کی یستوعب الفکرة، وأنوّه أنّ المحاضرة الثانیة مبتورة بسبب مشکلة فنیّة فی أشرطة التسجیل ، وأسأل اللّه سبحانه وتعالی أن یوفّق سماحة الشیخ للمزید من العطاء، وأن یوفّقنا للاستزادة من علوم محمّد وآل محمّد إنّه سمیع مجیب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سید حسن الموسوی</w:t>
      </w:r>
    </w:p>
    <w:p>
      <w:pPr>
        <w:pStyle w:val="BookText"/>
        <w:rPr/>
      </w:pPr>
      <w:r>
        <w:rPr>
          <w:rFonts w:ascii="IRNazanin" w:hAnsi="IRNazanin" w:eastAsia="IRNazanin"/>
          <w:color w:val="111111"/>
          <w:sz w:val="28"/>
          <w:sz w:val="28"/>
          <w:szCs w:val="28"/>
          <w:rtl w:val="true"/>
          <w:lang w:bidi="fa-IR"/>
        </w:rPr>
        <w:t>مملکة البحرین</w:t>
      </w:r>
    </w:p>
    <w:p>
      <w:pPr>
        <w:pStyle w:val="BookText"/>
        <w:rPr/>
      </w:pPr>
      <w:r>
        <w:rPr>
          <w:rFonts w:ascii="IRNazanin" w:hAnsi="IRNazanin" w:eastAsia="IRNazanin"/>
          <w:color w:val="111111"/>
          <w:sz w:val="28"/>
          <w:sz w:val="28"/>
          <w:szCs w:val="28"/>
          <w:rtl w:val="true"/>
          <w:lang w:bidi="fa-IR"/>
        </w:rPr>
        <w:t xml:space="preserve">الثانی من رجب المرجب </w:t>
      </w:r>
      <w:r>
        <w:rPr>
          <w:rFonts w:eastAsia="IRNazanin" w:cs="IRNazanin"/>
          <w:color w:val="111111"/>
          <w:sz w:val="28"/>
          <w:szCs w:val="28"/>
          <w:lang w:bidi="fa-IR"/>
        </w:rPr>
        <w:t>1426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bookmarkStart w:id="900" w:name="pg5261_55506"/>
    </w:p>
    <w:p>
      <w:pPr>
        <w:pStyle w:val="Heading3"/>
        <w:numPr>
          <w:ilvl w:val="2"/>
          <w:numId w:val="1"/>
        </w:numPr>
        <w:rPr/>
      </w:pPr>
      <w:bookmarkStart w:id="901" w:name="__RefHeading___Toc477650_581953129"/>
      <w:bookmarkStart w:id="902" w:name="_Toc355"/>
      <w:bookmarkEnd w:id="900"/>
      <w:bookmarkEnd w:id="901"/>
      <w:r>
        <w:rPr>
          <w:rtl w:val="true"/>
        </w:rPr>
        <w:t xml:space="preserve">المحاضرة الأُولی </w:t>
      </w:r>
      <w:r>
        <w:rPr>
          <w:rtl w:val="true"/>
        </w:rPr>
        <w:t>:</w:t>
      </w:r>
      <w:r>
        <w:rPr>
          <w:rtl w:val="true"/>
        </w:rPr>
        <w:t>التاریخ بین الروح والبدن</w:t>
      </w:r>
      <w:bookmarkEnd w:id="902"/>
    </w:p>
    <w:p>
      <w:pPr>
        <w:pStyle w:val="Heading4"/>
        <w:numPr>
          <w:ilvl w:val="3"/>
          <w:numId w:val="1"/>
        </w:numPr>
        <w:rPr/>
      </w:pPr>
      <w:bookmarkStart w:id="903" w:name="__RefHeading___Toc477652_581953129"/>
      <w:bookmarkStart w:id="904" w:name="_Toc356"/>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الإحیاء العاشورائی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طبیعة البدن وطبیعة الروح وأحکامهما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بالنسبة للروح شیء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الروح تختلف عن تکالیف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للروح شرف خاص یمیّزها عن باقی المخلوقات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أحکام البدن علی الروح خطأ 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جدوی نبش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والبغض مسؤولیة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والنهی عن المنکر البدنی والقلبی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معیاریة الثورة الحسینیة </w:t>
      </w:r>
      <w:r>
        <w:rPr>
          <w:rFonts w:eastAsia="IRNazanin" w:cs="IRNazanin"/>
          <w:color w:val="111111"/>
          <w:sz w:val="28"/>
          <w:szCs w:val="28"/>
          <w:rtl w:val="true"/>
          <w:lang w:bidi="fa-IR"/>
        </w:rPr>
        <w:t>.</w:t>
      </w:r>
    </w:p>
    <w:p>
      <w:pPr>
        <w:pStyle w:val="Heading4"/>
        <w:numPr>
          <w:ilvl w:val="3"/>
          <w:numId w:val="1"/>
        </w:numPr>
        <w:rPr/>
      </w:pPr>
      <w:bookmarkStart w:id="905" w:name="__RefHeading___Toc477654_581953129"/>
      <w:bookmarkStart w:id="906" w:name="_Toc357"/>
      <w:bookmarkEnd w:id="905"/>
      <w:r>
        <w:rPr>
          <w:rtl w:val="true"/>
        </w:rPr>
        <w:t>الإحیاء العاشورائی</w:t>
      </w:r>
      <w:bookmarkEnd w:id="90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رافدیة ذکری عاشوراء تتمثّل فی إحیاء حقبة تاریخیة عاشها الإمام الحسین علیه السلام وما جری فیها من أحداث ، ومن المثمر أن یهتمّ الإنسان لإحیاء التاریخ ، لا سیّما إذا کان یتعلّق بسیّد شباب أهل الجنّة وباقی الأئمّة علیهم السلام </w:t>
      </w:r>
      <w:r>
        <w:rPr>
          <w:rFonts w:eastAsia="IRNazanin" w:cs="IRNazanin"/>
          <w:color w:val="111111"/>
          <w:sz w:val="28"/>
          <w:szCs w:val="28"/>
          <w:rtl w:val="true"/>
          <w:lang w:bidi="fa-IR"/>
        </w:rPr>
        <w:t>.</w:t>
      </w:r>
      <w:bookmarkStart w:id="907" w:name="pg5261_55508"/>
    </w:p>
    <w:p>
      <w:pPr>
        <w:pStyle w:val="Heading4"/>
        <w:numPr>
          <w:ilvl w:val="3"/>
          <w:numId w:val="1"/>
        </w:numPr>
        <w:rPr/>
      </w:pPr>
      <w:bookmarkStart w:id="908" w:name="__RefHeading___Toc477656_581953129"/>
      <w:bookmarkStart w:id="909" w:name="_Toc358"/>
      <w:bookmarkEnd w:id="907"/>
      <w:bookmarkEnd w:id="908"/>
      <w:r>
        <w:rPr>
          <w:rtl w:val="true"/>
        </w:rPr>
        <w:t>تأثیر إحیاء التاریخ فی شخصیة الإنسان وهویّته</w:t>
      </w:r>
      <w:bookmarkEnd w:id="909"/>
    </w:p>
    <w:p>
      <w:pPr>
        <w:pStyle w:val="BookText"/>
        <w:rPr/>
      </w:pPr>
      <w:r>
        <w:rPr>
          <w:rFonts w:ascii="IRNazanin" w:hAnsi="IRNazanin" w:eastAsia="IRNazanin"/>
          <w:color w:val="111111"/>
          <w:sz w:val="28"/>
          <w:sz w:val="28"/>
          <w:szCs w:val="28"/>
          <w:rtl w:val="true"/>
          <w:lang w:bidi="fa-IR"/>
        </w:rPr>
        <w:t xml:space="preserve">عموماً إحیاء التاریخ وتعایش الإنسان معه له أبعاده فی شخصیة الإنسان وهویّته ، حیث إنّه لابدّ أن نفرّق بین حیاة الإنسان کروح وعقل وذات حیویّة مدرکة من جهة وبین حیاة البدن من جهة أُخری </w:t>
      </w:r>
      <w:r>
        <w:rPr>
          <w:rFonts w:eastAsia="IRNazanin" w:cs="IRNazanin"/>
          <w:color w:val="111111"/>
          <w:sz w:val="28"/>
          <w:szCs w:val="28"/>
          <w:rtl w:val="true"/>
          <w:lang w:bidi="fa-IR"/>
        </w:rPr>
        <w:t>.</w:t>
      </w:r>
    </w:p>
    <w:p>
      <w:pPr>
        <w:pStyle w:val="Heading4"/>
        <w:numPr>
          <w:ilvl w:val="3"/>
          <w:numId w:val="1"/>
        </w:numPr>
        <w:rPr/>
      </w:pPr>
      <w:bookmarkStart w:id="910" w:name="__RefHeading___Toc477658_581953129"/>
      <w:bookmarkStart w:id="911" w:name="_Toc359"/>
      <w:bookmarkEnd w:id="910"/>
      <w:r>
        <w:rPr>
          <w:rtl w:val="true"/>
        </w:rPr>
        <w:t>الفرق بین طبیعة البدن وطبیعة الروح وأحکامهما</w:t>
      </w:r>
      <w:bookmarkEnd w:id="911"/>
    </w:p>
    <w:p>
      <w:pPr>
        <w:pStyle w:val="BookText"/>
        <w:rPr/>
      </w:pPr>
      <w:r>
        <w:rPr>
          <w:rFonts w:ascii="IRNazanin" w:hAnsi="IRNazanin" w:eastAsia="IRNazanin"/>
          <w:color w:val="111111"/>
          <w:sz w:val="28"/>
          <w:sz w:val="28"/>
          <w:szCs w:val="28"/>
          <w:rtl w:val="true"/>
          <w:lang w:bidi="fa-IR"/>
        </w:rPr>
        <w:t xml:space="preserve">الکثیر من الناس یخلط بین أحکام البدن وأحکام الروح ، الباریء قدّر للروح أن تعیش فی نشأة تتجاوز أُفق البدن سواء من جهة البدء أو من جهة الانتهاء ؛ لأنّ طبیعة الروح هی أنّها موجود غریب جدّاً عن البدن ؛ لأنّها مخلوق ذو أفق کبیر واسع ، والبدن فی تواجده ونموّه واستوائه وتطوّره یعیش هذه الحقبة من العمر ربّما ستّین أو سبعین أو مائة سنة ، فهو موجود محدود بوقت معیّن ، بینما الروح تبقی ومداها یکون واسعاً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والأجیال السابقة مؤثّرة فی البدن من ناحیة الجینات الوراثیة </w:t>
      </w:r>
      <w:r>
        <w:rPr>
          <w:rFonts w:eastAsia="IRNazanin" w:cs="IRNazanin"/>
          <w:color w:val="111111"/>
          <w:sz w:val="28"/>
          <w:szCs w:val="28"/>
          <w:rtl w:val="true"/>
          <w:lang w:bidi="fa-IR"/>
        </w:rPr>
        <w:t>.</w:t>
      </w:r>
    </w:p>
    <w:p>
      <w:pPr>
        <w:pStyle w:val="Heading4"/>
        <w:numPr>
          <w:ilvl w:val="3"/>
          <w:numId w:val="1"/>
        </w:numPr>
        <w:rPr/>
      </w:pPr>
      <w:bookmarkStart w:id="912" w:name="__RefHeading___Toc477660_581953129"/>
      <w:bookmarkStart w:id="913" w:name="_Toc360"/>
      <w:bookmarkEnd w:id="912"/>
      <w:r>
        <w:rPr>
          <w:rtl w:val="true"/>
        </w:rPr>
        <w:t>علاقة التاریخ بالبدن والروح</w:t>
      </w:r>
      <w:bookmarkEnd w:id="913"/>
    </w:p>
    <w:p>
      <w:pPr>
        <w:pStyle w:val="BookText"/>
        <w:rPr/>
      </w:pPr>
      <w:r>
        <w:rPr>
          <w:rFonts w:ascii="IRNazanin" w:hAnsi="IRNazanin" w:eastAsia="IRNazanin"/>
          <w:color w:val="111111"/>
          <w:sz w:val="28"/>
          <w:sz w:val="28"/>
          <w:szCs w:val="28"/>
          <w:rtl w:val="true"/>
          <w:lang w:bidi="fa-IR"/>
        </w:rPr>
        <w:t xml:space="preserve">ومن ثمّ فإنّ التاریخ إنّما یکون بلحاظ البدن ، أمّا من ناحیة الروح فإنّها لا تتعلّق بالسابق واللاحق ، ولو ضربنا مثلاً ببعض الصفات الإلهیة کأوّلیّة اللّه وآخریّته ، لا یمکن التعبیر عن أوّلیّة اللّه بأنّها شیءٌ فی الماضی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أوّلیّة اللّه کما هی فی الماضی هی فی الحاضر والمستقبل ، وکذلک آخریّة اللّه لا تعنی أنّها شیء فی المستقبل ، ولا علاقة له بالحاضر والماضی ، بل آخریّة اللّه هی فی الماضی والحاضر والمستقبل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افترضنا أنّ أوّلیّة اللّه وآخرویّته مرتبطة بالماضی فقط أو المستقبل فقط ، للزم أن یحصل التبعیض فی ذات اللّه عزّ وجلّ ، فلا یصح أن نقول إنّ اللّه تعالی قد</w:t>
      </w:r>
      <w:bookmarkStart w:id="914" w:name="pg5261_55510"/>
    </w:p>
    <w:p>
      <w:pPr>
        <w:pStyle w:val="BookText"/>
        <w:rPr/>
      </w:pPr>
      <w:bookmarkEnd w:id="914"/>
      <w:r>
        <w:rPr>
          <w:rFonts w:ascii="IRNazanin" w:hAnsi="IRNazanin" w:eastAsia="IRNazanin"/>
          <w:color w:val="111111"/>
          <w:sz w:val="28"/>
          <w:sz w:val="28"/>
          <w:szCs w:val="28"/>
          <w:rtl w:val="true"/>
          <w:lang w:bidi="fa-IR"/>
        </w:rPr>
        <w:t xml:space="preserve">تصرّم منه شیء أو أنّه سیتحقق منه شیء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تعالی کلُّه تَحَقُقْ ، وما کان منه تعالی وما سیأتی هو علی نحو الکینونة المنجّزة ، وهذا فی صفات اللّه ، ونحن لا نرید أن نقیس المخلوق باللّه تعالی </w:t>
      </w:r>
      <w:r>
        <w:rPr>
          <w:rFonts w:eastAsia="IRNazanin" w:cs="IRNazanin"/>
          <w:color w:val="111111"/>
          <w:sz w:val="28"/>
          <w:szCs w:val="28"/>
          <w:rtl w:val="true"/>
          <w:lang w:bidi="fa-IR"/>
        </w:rPr>
        <w:t>.</w:t>
      </w:r>
    </w:p>
    <w:p>
      <w:pPr>
        <w:pStyle w:val="Heading4"/>
        <w:numPr>
          <w:ilvl w:val="3"/>
          <w:numId w:val="1"/>
        </w:numPr>
        <w:rPr/>
      </w:pPr>
      <w:bookmarkStart w:id="915" w:name="__RefHeading___Toc477662_581953129"/>
      <w:bookmarkStart w:id="916" w:name="_Toc361"/>
      <w:bookmarkEnd w:id="915"/>
      <w:r>
        <w:rPr>
          <w:rtl w:val="true"/>
        </w:rPr>
        <w:t>التاریخ بالنسبة للروح شیء حاضر</w:t>
      </w:r>
      <w:bookmarkEnd w:id="916"/>
    </w:p>
    <w:p>
      <w:pPr>
        <w:pStyle w:val="BookText"/>
        <w:rPr/>
      </w:pPr>
      <w:r>
        <w:rPr>
          <w:rFonts w:ascii="Amiri" w:hAnsi="Amiri" w:eastAsia="Amiri" w:cs="Amiri"/>
          <w:color w:val="111111"/>
          <w:sz w:val="28"/>
          <w:sz w:val="28"/>
          <w:szCs w:val="28"/>
          <w:rtl w:val="true"/>
          <w:lang w:bidi="ar-SA"/>
        </w:rPr>
        <w:t xml:space="preserve">الروح شرّفها اللّه تعالی بشرف خاص وأضافها إلی ذاته ، وقد أطلق لفظ الروح علی الذات الإلهیة المقدّسة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التاریخ بالنسبة للروح لیس تاریخاً ، بل شیء حاضر ، والمستقبل بالنسبة للروح لیس مستقبلاً ، بل شیء حاضر ، والإنسان یتفاعل مع الشیء الحاضر بصورة مرنة ، والروح بالنسبة إلی ما مضی وما سیأتی من خلال إدراکاتها ومواقفها شیء حاضر لدیها ولیس شیئاً ماضیاً </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477664_581953129"/>
      <w:bookmarkStart w:id="918" w:name="_Toc362"/>
      <w:bookmarkEnd w:id="917"/>
      <w:r>
        <w:rPr>
          <w:rtl w:val="true"/>
        </w:rPr>
        <w:t>تکالیف الروح تختلف عن تکالیف البدن</w:t>
      </w:r>
      <w:bookmarkEnd w:id="91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تکالیف الروح تختلف عن تکالیف البدن ؛ لذلک أهّلت الروح لمسؤولیات تختلف عن البدن ، فالبدن لا یکلّف بنشأة البرزخ أو النشأة الآخرة ، وإنّما یکلّف بمسؤولیات بقدر طاقته وقدرته ، ولا یستطیع البدن التعامل مع ما مضی ، فلیس بمقدوره اختراق أعماق التاریخ والتعامل مع الماضی ، إذن البدن لا یستطیع أن یفعل فیما مضی شیئاً ، ولا یستطیع أن یفعل فیما سیأتی شیئاً ، وإنّما یستطیع أن یفعل فیما هو کائن بینهما وهو الحاضر ، ومن خلال هذه المقدّمة یتّضح أنّ التکالیف منها ما یتعلّق بالروح ، ومنها ما یتعلّق بالبدن ، وأنّ البدن لضیق أفقه لا یستطیع أن یؤدّی التکالیف التی تختصّ بالروح ، فمن تکالیف الروح العظیمة</w:t>
      </w:r>
      <w:bookmarkStart w:id="919" w:name="pg5261_55512"/>
    </w:p>
    <w:p>
      <w:pPr>
        <w:pStyle w:val="BookText"/>
        <w:rPr/>
      </w:pPr>
      <w:bookmarkEnd w:id="919"/>
      <w:r>
        <w:rPr>
          <w:rFonts w:ascii="IRNazanin" w:hAnsi="IRNazanin" w:eastAsia="IRNazanin"/>
          <w:color w:val="111111"/>
          <w:sz w:val="28"/>
          <w:sz w:val="28"/>
          <w:szCs w:val="28"/>
          <w:rtl w:val="true"/>
          <w:lang w:bidi="fa-IR"/>
        </w:rPr>
        <w:t xml:space="preserve">والشریفة التی کلّفها بها اللّه عزّ وجل أن تحدّد هذه الروح بما أتیت من درجات وقوی حقیقة الحقائق وهی اللّه عزّ وجلّ ، والروح هی المسؤولیة عن تحدید الموقف من وجود اللّه عزّ وجلّ ، ووجود الجنّة والنّار ، وکیفیة بدء خلق الکون قبل خلقه ، فالروح مؤهّلة لأن تکتشف وجود الخالق ، بل إنّ اللّه یخاطب الروح بمفاهیم مثل الکرسی والعرش وغیرهما ، وهذا دلیل علی أنّ الروح لها سعة کبیرة وقابلیّة عظیمة ، ولیس من الإنصاف مساواة الروح بالبدن </w:t>
      </w:r>
      <w:r>
        <w:rPr>
          <w:rFonts w:eastAsia="IRNazanin" w:cs="IRNazanin"/>
          <w:color w:val="111111"/>
          <w:sz w:val="28"/>
          <w:szCs w:val="28"/>
          <w:rtl w:val="true"/>
          <w:lang w:bidi="fa-IR"/>
        </w:rPr>
        <w:t>.</w:t>
      </w:r>
    </w:p>
    <w:p>
      <w:pPr>
        <w:pStyle w:val="Heading4"/>
        <w:numPr>
          <w:ilvl w:val="3"/>
          <w:numId w:val="1"/>
        </w:numPr>
        <w:rPr/>
      </w:pPr>
      <w:bookmarkStart w:id="920" w:name="__RefHeading___Toc477666_581953129"/>
      <w:bookmarkStart w:id="921" w:name="_Toc363"/>
      <w:bookmarkEnd w:id="920"/>
      <w:r>
        <w:rPr>
          <w:rtl w:val="true"/>
        </w:rPr>
        <w:t>للروح شرف خاص یمیّزها عن باقی المخلوقات</w:t>
      </w:r>
      <w:bookmarkEnd w:id="921"/>
    </w:p>
    <w:p>
      <w:pPr>
        <w:pStyle w:val="BookText"/>
        <w:rPr/>
      </w:pPr>
      <w:r>
        <w:rPr>
          <w:rFonts w:ascii="IRNazanin" w:hAnsi="IRNazanin" w:eastAsia="IRNazanin"/>
          <w:color w:val="111111"/>
          <w:sz w:val="28"/>
          <w:sz w:val="28"/>
          <w:szCs w:val="28"/>
          <w:rtl w:val="true"/>
          <w:lang w:bidi="fa-IR"/>
        </w:rPr>
        <w:t xml:space="preserve">وهویة الإنسان لیست ببدنه وإنّما بروحه ، وقد ثبت أنَّ للروح مثل هذا الشرف العظیم ، والقرآن الکریم قد أشار إلی أنّ عوالم الخلقة مختلفة ، فقد أشار إلی خلق السماوات والأرض ، وخلق الملائکة ، وخلق الجن ، وخلق الروح ، ولکنّه یجعل للروح شرفاً خاصّاً ؛ لأنّها مجهّزة بشرائط وجودیة خاصّة ، ولا نستطیع أن نقیّد الروح بالدار الدنیا ، فضلاً عن تقییدها بعمر الإنسان المحدود </w:t>
      </w:r>
      <w:r>
        <w:rPr>
          <w:rFonts w:eastAsia="IRNazanin" w:cs="IRNazanin"/>
          <w:color w:val="111111"/>
          <w:sz w:val="28"/>
          <w:szCs w:val="28"/>
          <w:rtl w:val="true"/>
          <w:lang w:bidi="fa-IR"/>
        </w:rPr>
        <w:t>.</w:t>
      </w:r>
    </w:p>
    <w:p>
      <w:pPr>
        <w:pStyle w:val="Heading4"/>
        <w:numPr>
          <w:ilvl w:val="3"/>
          <w:numId w:val="1"/>
        </w:numPr>
        <w:rPr/>
      </w:pPr>
      <w:bookmarkStart w:id="922" w:name="__RefHeading___Toc477668_581953129"/>
      <w:bookmarkStart w:id="923" w:name="_Toc364"/>
      <w:bookmarkEnd w:id="922"/>
      <w:r>
        <w:rPr>
          <w:rtl w:val="true"/>
        </w:rPr>
        <w:t>الروح تصاحب البدن</w:t>
      </w:r>
      <w:bookmarkEnd w:id="923"/>
    </w:p>
    <w:p>
      <w:pPr>
        <w:pStyle w:val="BookText"/>
        <w:rPr/>
      </w:pPr>
      <w:r>
        <w:rPr>
          <w:rFonts w:ascii="IRNazanin" w:hAnsi="IRNazanin" w:eastAsia="IRNazanin"/>
          <w:color w:val="111111"/>
          <w:sz w:val="28"/>
          <w:sz w:val="28"/>
          <w:szCs w:val="28"/>
          <w:rtl w:val="true"/>
          <w:lang w:bidi="fa-IR"/>
        </w:rPr>
        <w:t xml:space="preserve">والروح تصاحب البدن ، وهی شیء غیر البدن ، ولیس من الصحیح أن نقول أنّها استحالت من روح إلی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ولازالت الروح متعلّقة بعالم نشأتها ، وتکلیف اللّه للإنسان بتکالیف متعلّقة بالروح دلیل علی أنّ الإنسان مزوّد بهذه الإمکانیات الروحیة القادرة علی تنفیذ هذه التکالیف ، وإلّا لما کان للتکلیف معنی </w:t>
      </w:r>
      <w:r>
        <w:rPr>
          <w:rFonts w:eastAsia="IRNazanin" w:cs="IRNazanin"/>
          <w:color w:val="111111"/>
          <w:sz w:val="28"/>
          <w:szCs w:val="28"/>
          <w:rtl w:val="true"/>
          <w:lang w:bidi="fa-IR"/>
        </w:rPr>
        <w:t>.</w:t>
      </w:r>
    </w:p>
    <w:p>
      <w:pPr>
        <w:pStyle w:val="Heading4"/>
        <w:numPr>
          <w:ilvl w:val="3"/>
          <w:numId w:val="1"/>
        </w:numPr>
        <w:rPr/>
      </w:pPr>
      <w:bookmarkStart w:id="924" w:name="__RefHeading___Toc477670_581953129"/>
      <w:bookmarkStart w:id="925" w:name="_Toc365"/>
      <w:bookmarkEnd w:id="924"/>
      <w:r>
        <w:rPr>
          <w:rtl w:val="true"/>
        </w:rPr>
        <w:t>تعمیم أحکام البدن علی الروح خطأ جسیم</w:t>
      </w:r>
      <w:bookmarkEnd w:id="92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لفظ الروح عدّة مرّات فی القرآن الکریم ، ومن الروح ما هو أفضل من الملائکة ، وأفضل من الجن ، وأفضل من السماوات والأرض ، مع الإشارة إلی أنّ</w:t>
      </w:r>
      <w:bookmarkStart w:id="926" w:name="pg5261_55514"/>
    </w:p>
    <w:p>
      <w:pPr>
        <w:pStyle w:val="BookText"/>
        <w:rPr/>
      </w:pPr>
      <w:bookmarkEnd w:id="926"/>
      <w:r>
        <w:rPr>
          <w:rFonts w:ascii="Amiri" w:hAnsi="Amiri" w:eastAsia="Amiri" w:cs="Amiri"/>
          <w:color w:val="111111"/>
          <w:sz w:val="28"/>
          <w:sz w:val="28"/>
          <w:szCs w:val="28"/>
          <w:rtl w:val="true"/>
          <w:lang w:bidi="ar-SA"/>
        </w:rPr>
        <w:t xml:space="preserve">الروح علی درجات ، والروح تمثّل أساسیاً من أرکان الدراسات الإنسانیة والنفسیة والروحیة والاجتماعیة ، ومن الخطأ الجسیم تعمیم أحکام وعناصر البدن علی الروح ، ولو فعلنا ذلک سیکتب لنا الإخفاق فی تفسیر کثیر من التکالیف ، ولن نفهم کثیراً من فلسفات التکالیف الإلهیة والروح تخاطب بعوالم سابقة علی خلق السماوات ، وعوالم ما بعد الدنیا کالبرزخ أو الجنّة أو النّار ، والروح علی درجات بحسب العلم وحسب المعرفة، ولم تخاطب الروح بالجنّة فحسب ، وإنّما خوطبت بما وراء الجنّة ،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فرضوان اللّه أکبر من الجنّة وقد خوطبت الروح به </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477672_581953129"/>
      <w:bookmarkStart w:id="928" w:name="_Toc366"/>
      <w:bookmarkEnd w:id="927"/>
      <w:r>
        <w:rPr>
          <w:rtl w:val="true"/>
        </w:rPr>
        <w:t>جدوی نبش التاریخ</w:t>
      </w:r>
      <w:bookmarkEnd w:id="928"/>
    </w:p>
    <w:p>
      <w:pPr>
        <w:pStyle w:val="BookText"/>
        <w:rPr/>
      </w:pPr>
      <w:r>
        <w:rPr>
          <w:rFonts w:ascii="IRNazanin" w:hAnsi="IRNazanin" w:eastAsia="IRNazanin"/>
          <w:color w:val="111111"/>
          <w:sz w:val="28"/>
          <w:sz w:val="28"/>
          <w:szCs w:val="28"/>
          <w:rtl w:val="true"/>
          <w:lang w:bidi="fa-IR"/>
        </w:rPr>
        <w:t xml:space="preserve">هناک من یطرح إشکالیة تتعلّق بجدوی نبش صفحات التاریخ ، وهنا ینبغی الالتفات إلی أنّ التاریخ یتعلّق بالبدن ولیس بالروح ، والروح تعایش کلّ شیء معاصر لها الآن ، ولذلک فأنت تری أنّنا شیئاً فشیئاً نری أنّ مکوّنات الروح لیست الأشیاء الحاضرة ، ولو کانت الروح کذلک لأصبح الإنسان بدائیّاً کما عاش الإنسان الأوّل فی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تعایش الإنسان مع عناصر زمنه البدنیة لکان إنساناً وحشیّاً ؛ لأنّ الروح هی مخزون من التجارب البشریة ، وتتضمّن المیول والمواقف الإنسانیة تجاه مختلف القضایا </w:t>
      </w:r>
      <w:r>
        <w:rPr>
          <w:rFonts w:eastAsia="IRNazanin" w:cs="IRNazanin"/>
          <w:color w:val="111111"/>
          <w:sz w:val="28"/>
          <w:szCs w:val="28"/>
          <w:rtl w:val="true"/>
          <w:lang w:bidi="fa-IR"/>
        </w:rPr>
        <w:t>.</w:t>
      </w:r>
    </w:p>
    <w:p>
      <w:pPr>
        <w:pStyle w:val="Heading4"/>
        <w:numPr>
          <w:ilvl w:val="3"/>
          <w:numId w:val="1"/>
        </w:numPr>
        <w:rPr/>
      </w:pPr>
      <w:bookmarkStart w:id="929" w:name="__RefHeading___Toc477674_581953129"/>
      <w:bookmarkStart w:id="930" w:name="_Toc367"/>
      <w:bookmarkEnd w:id="929"/>
      <w:r>
        <w:rPr>
          <w:rtl w:val="true"/>
        </w:rPr>
        <w:t>موقف القرآن من الحوادث التاریخیة</w:t>
      </w:r>
      <w:bookmarkEnd w:id="93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کتاب تاریخ ومواقف ، ومن المعروف أنّه یستعرض الملفّات</w:t>
      </w:r>
      <w:bookmarkStart w:id="931" w:name="pg5261_55516"/>
    </w:p>
    <w:p>
      <w:pPr>
        <w:pStyle w:val="BookText"/>
        <w:rPr/>
      </w:pPr>
      <w:bookmarkEnd w:id="931"/>
      <w:r>
        <w:rPr>
          <w:rFonts w:ascii="IRNazanin" w:hAnsi="IRNazanin" w:eastAsia="IRNazanin"/>
          <w:color w:val="111111"/>
          <w:sz w:val="28"/>
          <w:sz w:val="28"/>
          <w:szCs w:val="28"/>
          <w:rtl w:val="true"/>
          <w:lang w:bidi="fa-IR"/>
        </w:rPr>
        <w:t xml:space="preserve">التاریخیة ، وتمثّل هذه الملفّات قائمة کبیرة من القصص التاریخیة ، ابتداء من النشأة البشریة حیث یبیّن فیها العناصر الظالمة والعناصر المظلومة ، ویربّی الإنسان علی استخلاص الدروس والعبر ، ویطالب القرآن الکریم قارئه علی التضامن مع المظلومین فی مثل قصص هابیل وقابیل ، وقصّة أصحاب الأخدود ، وقصّة النبیّ یوسف إلی أن یصل إلی زمن النبی صلی الله علیه و آله ، ویندّد القرآن الکریم بالظالمین ، ویحدّد موقفه بالتصحیح والتخطئة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یوازن الأفکار ، ویحدّد صوابیة المدارس الفکریة وانحرافاتها ، ویطالب قارئه أن یقف حیّاً ومتحرّکاً تجاه ما یحدّده القرآن الکریم من مواقف من هؤلاء الأقوام </w:t>
      </w:r>
      <w:r>
        <w:rPr>
          <w:rFonts w:eastAsia="IRNazanin" w:cs="IRNazanin"/>
          <w:color w:val="111111"/>
          <w:sz w:val="28"/>
          <w:szCs w:val="28"/>
          <w:rtl w:val="true"/>
          <w:lang w:bidi="fa-IR"/>
        </w:rPr>
        <w:t>.</w:t>
      </w:r>
    </w:p>
    <w:p>
      <w:pPr>
        <w:pStyle w:val="Heading4"/>
        <w:numPr>
          <w:ilvl w:val="3"/>
          <w:numId w:val="1"/>
        </w:numPr>
        <w:rPr/>
      </w:pPr>
      <w:bookmarkStart w:id="932" w:name="__RefHeading___Toc477676_581953129"/>
      <w:bookmarkStart w:id="933" w:name="_Toc368"/>
      <w:bookmarkEnd w:id="932"/>
      <w:r>
        <w:rPr>
          <w:rtl w:val="true"/>
        </w:rPr>
        <w:t>القرآن الکریم یخاطب الروح</w:t>
      </w:r>
      <w:bookmarkEnd w:id="933"/>
    </w:p>
    <w:p>
      <w:pPr>
        <w:pStyle w:val="BookText"/>
        <w:rPr/>
      </w:pPr>
      <w:r>
        <w:rPr>
          <w:rFonts w:ascii="IRNazanin" w:hAnsi="IRNazanin" w:eastAsia="IRNazanin"/>
          <w:color w:val="111111"/>
          <w:sz w:val="28"/>
          <w:sz w:val="28"/>
          <w:szCs w:val="28"/>
          <w:rtl w:val="true"/>
          <w:lang w:bidi="fa-IR"/>
        </w:rPr>
        <w:t xml:space="preserve">والقرآن الکریم لا یخاطب البدن ، وإنّما یخاطب الروح ، والروح حاضرة فی کلّ هذه الخطابات ، وترتبط الروح بالأحداث الخارجیة عن طریق قناة الإدراک ، وهذه القناة کما هی موجودة بین الروح وبین الأحداث الراهنة ، هی موجودة أیضاً بین الروح وبین ما مضی علی البدن وما سیأتی علیه ، فالروح علی استواء فی التفاعل والإدراک والتعایش والتأثیر والتأثّر مع کلّ أحداث العالم الجسمانی فیما مضی وفیما سیأتی ، وهذا ما یفسّر لنا القاعدة الاعتقادیة الفکریّة الشریفة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ملزم بأن یحبّ الصالحین ، ویکره وینفر ویتبرّأ ویشجب ویستنکر الظالمین ، وأنّ من مراتب الأمر بالمعروف والنهی عن المنکر حبّ المعروف قلباً ، کما أنّ من مراتب النهی عن المنکر کراهة المنکر قلباً ، فإن کان المعروف واجباً کان حبّه واجباً وإن کان المنکر حراماً فکرهه یکون واجباً أیضاً ، وعن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حدیث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عطیّة ، سمعت حبیبی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حشر معهم ، ومن</w:t>
      </w:r>
      <w:bookmarkStart w:id="934" w:name="pg5261_55518"/>
    </w:p>
    <w:p>
      <w:pPr>
        <w:pStyle w:val="BookText"/>
        <w:rPr/>
      </w:pPr>
      <w:bookmarkEnd w:id="934"/>
      <w:r>
        <w:rPr>
          <w:rFonts w:ascii="IRNazanin" w:hAnsi="IRNazanin" w:eastAsia="IRNazanin"/>
          <w:color w:val="111111"/>
          <w:sz w:val="28"/>
          <w:sz w:val="28"/>
          <w:szCs w:val="28"/>
          <w:rtl w:val="true"/>
          <w:lang w:bidi="fa-IR"/>
        </w:rPr>
        <w:t>أحبّ عمل قوم أشرک فی عملهم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477678_581953129"/>
      <w:bookmarkStart w:id="936" w:name="_Toc369"/>
      <w:bookmarkEnd w:id="935"/>
      <w:r>
        <w:rPr>
          <w:rtl w:val="true"/>
        </w:rPr>
        <w:t>الحبّ والبغض مسؤولیة کبیرة</w:t>
      </w:r>
      <w:bookmarkEnd w:id="936"/>
    </w:p>
    <w:p>
      <w:pPr>
        <w:pStyle w:val="BookText"/>
        <w:rPr/>
      </w:pPr>
      <w:r>
        <w:rPr>
          <w:rFonts w:ascii="IRNazanin" w:hAnsi="IRNazanin" w:eastAsia="IRNazanin"/>
          <w:color w:val="111111"/>
          <w:sz w:val="28"/>
          <w:sz w:val="28"/>
          <w:szCs w:val="28"/>
          <w:rtl w:val="true"/>
          <w:lang w:bidi="fa-IR"/>
        </w:rPr>
        <w:t xml:space="preserve">وهذا یفسّر لنا لماذا یتعلّق الحبّ بهذه المرتبة الکبیرة؟ وقد تمیّزت مدرسة أهل البیت علیهم السلام بهذه القضیة ، فلا تجد مذهباً من المذاهب التی تنتمی إلی الدیانات السماویة أو من غیرها من الملل والنحل یتحسّس من موضوع الحبّ والبغض کما هو مذهب أهل البیت علیهم السلام ، فهو مذهب یحثّ علی التضامن والمساندة ووحدة الموقف کما هو فی المصطلحات الحدیثة ، أو التولّی کما هو فی المصطلح الدینی ، وفی مقابل ذلک الاستنکار والشجب والإدانة ، وبالمصطلح الدینی التبرّی ، وسواء استخدمنا المصطلح الحدیث أم المصطلح الدینی فالموقف المطلوب الذی یطلبه أهل البیت علیهم السلام من أتباعهم هو موقف واحد یتمثّل فی التضامن مع المظلوم والبراءة من الظالم انطلاقاً من مسؤولیة الموقف تجاه الظالم والمظلوم </w:t>
      </w:r>
      <w:r>
        <w:rPr>
          <w:rFonts w:eastAsia="IRNazanin" w:cs="IRNazanin"/>
          <w:color w:val="111111"/>
          <w:sz w:val="28"/>
          <w:szCs w:val="28"/>
          <w:rtl w:val="true"/>
          <w:lang w:bidi="fa-IR"/>
        </w:rPr>
        <w:t>.</w:t>
      </w:r>
    </w:p>
    <w:p>
      <w:pPr>
        <w:pStyle w:val="Heading4"/>
        <w:numPr>
          <w:ilvl w:val="3"/>
          <w:numId w:val="1"/>
        </w:numPr>
        <w:rPr/>
      </w:pPr>
      <w:bookmarkStart w:id="937" w:name="__RefHeading___Toc477680_581953129"/>
      <w:bookmarkStart w:id="938" w:name="_Toc370"/>
      <w:bookmarkEnd w:id="937"/>
      <w:r>
        <w:rPr>
          <w:rtl w:val="true"/>
        </w:rPr>
        <w:t>الروح هی المسؤولة عن الحبّ والبغض</w:t>
      </w:r>
      <w:bookmarkEnd w:id="938"/>
    </w:p>
    <w:p>
      <w:pPr>
        <w:pStyle w:val="BookText"/>
        <w:rPr/>
      </w:pPr>
      <w:r>
        <w:rPr>
          <w:rFonts w:ascii="IRNazanin" w:hAnsi="IRNazanin" w:eastAsia="IRNazanin"/>
          <w:color w:val="111111"/>
          <w:sz w:val="28"/>
          <w:sz w:val="28"/>
          <w:szCs w:val="28"/>
          <w:rtl w:val="true"/>
          <w:lang w:bidi="fa-IR"/>
        </w:rPr>
        <w:t xml:space="preserve">والروح هی المسؤولة عن الحبّ والبغض ، وما حدث فی التاریخ وما سیحدث له أثره الکبیر علی الروح وتلوین الروح وتشخیص هویّة الروح ، فالحوادث التاریخیة لیست شیئاً أکل الدهر علیها وشرب ، وإنّما هی حوادث حاضرة ومؤثّرة علی الروح ، وقد یعبّر عن الروح بأنّها حصیلة معلومات ، ولا یمکننا أن نتصوّر الروح من غیر معلومات </w:t>
      </w:r>
      <w:r>
        <w:rPr>
          <w:rFonts w:eastAsia="IRNazanin" w:cs="IRNazanin"/>
          <w:color w:val="111111"/>
          <w:sz w:val="28"/>
          <w:szCs w:val="28"/>
          <w:rtl w:val="true"/>
          <w:lang w:bidi="fa-IR"/>
        </w:rPr>
        <w:t>.</w:t>
      </w:r>
    </w:p>
    <w:p>
      <w:pPr>
        <w:pStyle w:val="Heading4"/>
        <w:numPr>
          <w:ilvl w:val="3"/>
          <w:numId w:val="1"/>
        </w:numPr>
        <w:rPr/>
      </w:pPr>
      <w:bookmarkStart w:id="939" w:name="__RefHeading___Toc477682_581953129"/>
      <w:bookmarkStart w:id="940" w:name="_Toc371"/>
      <w:bookmarkEnd w:id="939"/>
      <w:r>
        <w:rPr>
          <w:rtl w:val="true"/>
        </w:rPr>
        <w:t>تشدّد القرآن الکریم وأهل البیت علیهم السلام فی مسألة الحبّ والبغض</w:t>
      </w:r>
      <w:bookmarkEnd w:id="9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وتشدّد أهل البیت علیهم السلام فی هذه المسألة یتوافق مع التشدّد القرآنی فی المسألة</w:t>
      </w:r>
      <w:bookmarkStart w:id="941" w:name="pg5261_55520"/>
    </w:p>
    <w:p>
      <w:pPr>
        <w:pStyle w:val="BookText"/>
        <w:rPr/>
      </w:pPr>
      <w:bookmarkEnd w:id="941"/>
      <w:r>
        <w:rPr>
          <w:rFonts w:ascii="IRNazanin" w:hAnsi="IRNazanin" w:eastAsia="IRNazanin"/>
          <w:color w:val="111111"/>
          <w:sz w:val="28"/>
          <w:sz w:val="28"/>
          <w:szCs w:val="28"/>
          <w:rtl w:val="true"/>
          <w:lang w:bidi="fa-IR"/>
        </w:rPr>
        <w:t xml:space="preserve">ذاتها ، والسبب فی ذلک أنّ ما حدث فی التاریخ یؤثّر فی الروح ، فکلّ الأُمور التی مضت حاضرة لدی الروح ومؤثّرة فیها ، والروح هی حصیلة المعلومات فلا یمکن تصوّر الروح بلا معلومات ، فکلّ ما هو حی متعلّق بالروح ، کما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فالناس موتی وأهل العلم أحیاء</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والعلم هو حیاة الروح ، وتمام هویّة الروح ووجودها هی المعلومات ، والجهل هو موت الروح ، ومن الخطأ أن نتحسّس من إحیاء ما مضی من التاریخ ؛ لأنّ الروح هی بطبیعتها حیّة بما مضی وبما سیأتی ، وأنّ ما مضی ماض بلحاظ البدن ، أمّا بالنسبة للروح فما مضی هو حی حاضر لدیها ، فیجب علی الإنسان أن یکون له وعی وموقف فیما صاحب ماضی الزمان من الأحداث ، والذی لا یعی ما مضی من الأحداث فهذا لا بدّ أنّه یعانی من نقص فی هویّته الإنسانیة والروحیة ، ویکون بمثابة المیّت الذی لا یتمتع بحیاة الروح ، وهو شبیه بأجزاء معطّلة من ذاکرة الحاسب الآلی ، فإذا کانت هذه الذاکرة معطّلة فلا فائدة منها ، وکذلک الروح إذا کانت بدون معلومات فلا فائدة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ازدادت دائرة علم الروح المدرک للحقیقة اتّضحت لها الحقیقة ، فلا تری البیاض بصورة السواد ، ولا السواد بصورة البیاض ، وحینئذٍ تکون الروح حیّة وناضجة ، إذن نبش التاریخ وتقلیب صفحاته سنّة قرآنیة ، والروح تتأقلم مع هذا التقلیب لصفحات التاریخ وتتکامل به </w:t>
      </w:r>
      <w:r>
        <w:rPr>
          <w:rFonts w:eastAsia="IRNazanin" w:cs="IRNazanin"/>
          <w:color w:val="111111"/>
          <w:sz w:val="28"/>
          <w:szCs w:val="28"/>
          <w:rtl w:val="true"/>
          <w:lang w:bidi="fa-IR"/>
        </w:rPr>
        <w:t>.</w:t>
      </w:r>
    </w:p>
    <w:p>
      <w:pPr>
        <w:pStyle w:val="Heading4"/>
        <w:numPr>
          <w:ilvl w:val="3"/>
          <w:numId w:val="1"/>
        </w:numPr>
        <w:rPr/>
      </w:pPr>
      <w:bookmarkStart w:id="942" w:name="__RefHeading___Toc477684_581953129"/>
      <w:bookmarkStart w:id="943" w:name="_Toc372"/>
      <w:bookmarkEnd w:id="942"/>
      <w:r>
        <w:rPr>
          <w:rtl w:val="true"/>
        </w:rPr>
        <w:t>الأمر بالمعروف والنهی عن المنکر البدنی والقلبی</w:t>
      </w:r>
      <w:bookmarkEnd w:id="94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نستطیع أن نفهم جملة من التکالیف الإلهیة التی بعضها مفاهیم عقائدیة وبعضها مسائل فقهیة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 القلبی یختلف عن الأمر بالمعروف والنهی عن المنکر البدنی ، والأمر بالمعروف والنهی عن المنکر هدفه</w:t>
      </w:r>
      <w:bookmarkStart w:id="944" w:name="pg5261_55522"/>
    </w:p>
    <w:p>
      <w:pPr>
        <w:pStyle w:val="BookText"/>
        <w:rPr/>
      </w:pPr>
      <w:bookmarkEnd w:id="944"/>
      <w:r>
        <w:rPr>
          <w:rFonts w:ascii="IRNazanin" w:hAnsi="IRNazanin" w:eastAsia="IRNazanin"/>
          <w:color w:val="111111"/>
          <w:sz w:val="28"/>
          <w:sz w:val="28"/>
          <w:szCs w:val="28"/>
          <w:rtl w:val="true"/>
          <w:lang w:bidi="fa-IR"/>
        </w:rPr>
        <w:t xml:space="preserve">تصحیح المسار البشری وتصحیح الفکر البشری وإزالة الفساد الفکری ، وتبدیل الأعراف الفاسدة إلی أعراف صحیحة ، والمحافظة علی الأعراف الصحیحة ، وکلّ هذه الأُمور من الممکن أن تستفاد من شعائر سید الشهداء علیه السلام </w:t>
      </w:r>
      <w:r>
        <w:rPr>
          <w:rFonts w:eastAsia="IRNazanin" w:cs="IRNazanin"/>
          <w:color w:val="111111"/>
          <w:sz w:val="28"/>
          <w:szCs w:val="28"/>
          <w:rtl w:val="true"/>
          <w:lang w:bidi="fa-IR"/>
        </w:rPr>
        <w:t>.</w:t>
      </w:r>
    </w:p>
    <w:p>
      <w:pPr>
        <w:pStyle w:val="Heading4"/>
        <w:numPr>
          <w:ilvl w:val="3"/>
          <w:numId w:val="1"/>
        </w:numPr>
        <w:rPr/>
      </w:pPr>
      <w:bookmarkStart w:id="945" w:name="__RefHeading___Toc477686_581953129"/>
      <w:bookmarkStart w:id="946" w:name="_Toc373"/>
      <w:bookmarkEnd w:id="945"/>
      <w:r>
        <w:rPr>
          <w:rtl w:val="true"/>
        </w:rPr>
        <w:t>تساند من ؟ تتضامن مع منّ</w:t>
      </w:r>
      <w:bookmarkEnd w:id="946"/>
    </w:p>
    <w:p>
      <w:pPr>
        <w:pStyle w:val="BookText"/>
        <w:rPr/>
      </w:pPr>
      <w:r>
        <w:rPr>
          <w:rFonts w:ascii="IRNazanin" w:hAnsi="IRNazanin" w:eastAsia="IRNazanin"/>
          <w:color w:val="111111"/>
          <w:sz w:val="28"/>
          <w:sz w:val="28"/>
          <w:szCs w:val="28"/>
          <w:rtl w:val="true"/>
          <w:lang w:bidi="fa-IR"/>
        </w:rPr>
        <w:t xml:space="preserve">ومن خلال ما قدّمنا نستطیع أن نستنبط کیف أنیطت بالروح کلّ هذه المسؤولیة ، لأنّ الروح تمیل للأحداث حتّی ولو کانت هذه الأحداث تاریخیة ، والأمر بالمعروف والنهی عن المنکر ینطلق من منطلق مسؤولیة الموقف تجاه الفرد الإنسانی والفرد المؤمن ، فالمسؤولیة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 منّ ومع من تقف؟ ومع من تتضامنّ وتساند من؟ هذه المسؤولیة لا تقف عند حدّ الحاضر ، بل هی متعلّقة بأعماق التاریخ ، ونلاحظ أنّ الإنسان بفطرته ینفر من الطغیان والوحشیة ، کما هو الحال فی النفور الفطری من النازیة مع أنّها مضت مع الأیام ، ولکن لابدّ أن یکون الموقف منها موقفاً سلبیاً </w:t>
      </w:r>
      <w:r>
        <w:rPr>
          <w:rFonts w:eastAsia="IRNazanin" w:cs="IRNazanin"/>
          <w:color w:val="111111"/>
          <w:sz w:val="28"/>
          <w:szCs w:val="28"/>
          <w:rtl w:val="true"/>
          <w:lang w:bidi="fa-IR"/>
        </w:rPr>
        <w:t>.</w:t>
      </w:r>
    </w:p>
    <w:p>
      <w:pPr>
        <w:pStyle w:val="Heading4"/>
        <w:numPr>
          <w:ilvl w:val="3"/>
          <w:numId w:val="1"/>
        </w:numPr>
        <w:rPr/>
      </w:pPr>
      <w:bookmarkStart w:id="947" w:name="__RefHeading___Toc477688_581953129"/>
      <w:bookmarkStart w:id="948" w:name="_Toc374"/>
      <w:bookmarkEnd w:id="947"/>
      <w:r>
        <w:rPr>
          <w:rtl w:val="true"/>
        </w:rPr>
        <w:t>الفائدة من الموقف السلبی تجاه الطغیان التاریخی</w:t>
      </w:r>
      <w:bookmarkEnd w:id="948"/>
    </w:p>
    <w:p>
      <w:pPr>
        <w:pStyle w:val="BookText"/>
        <w:rPr/>
      </w:pPr>
      <w:r>
        <w:rPr>
          <w:rFonts w:ascii="IRNazanin" w:hAnsi="IRNazanin" w:eastAsia="IRNazanin"/>
          <w:color w:val="111111"/>
          <w:sz w:val="28"/>
          <w:sz w:val="28"/>
          <w:szCs w:val="28"/>
          <w:rtl w:val="true"/>
          <w:lang w:bidi="fa-IR"/>
        </w:rPr>
        <w:t xml:space="preserve">وموقف المسلمین من الخوارج فی التاریخ القدیم له فوائد ، ومن فوائده أنّه یفیدهم فی أن لا یخرج من بینهم من یتبنّی موقف الخوارج ، ویهدّد حالة السلام التی یعیشها المسلمون ، ونحن هنا لا ننتقد فرقة الخوارج کفرقة فقط ، وإنّما ننتقد فکر الخوارج حتّی ولو کان عند غیرهم ممّن یتسمّون بتسمیات أُخری ، کمن یبیحون دماء المسلمین استناداً إلی فهم خاطیء للدین ، کما هو حال الفرق المتشدّدة والإرهابیة التی تحمل نفس فکر الخوارج ، وترفع شعار الحق وترید به الباطل ، وتنسف مبادیء الدین بشعارات دینیة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تتبیّن أهمیّة إحیاء ذکری عاشوراء ؛ لکی تربّی الأجیال جیلاً بعد</w:t>
      </w:r>
      <w:bookmarkStart w:id="949" w:name="pg5261_55524"/>
    </w:p>
    <w:p>
      <w:pPr>
        <w:pStyle w:val="BookText"/>
        <w:rPr/>
      </w:pPr>
      <w:bookmarkEnd w:id="949"/>
      <w:r>
        <w:rPr>
          <w:rFonts w:ascii="IRNazanin" w:hAnsi="IRNazanin" w:eastAsia="IRNazanin"/>
          <w:color w:val="111111"/>
          <w:sz w:val="28"/>
          <w:sz w:val="28"/>
          <w:szCs w:val="28"/>
          <w:rtl w:val="true"/>
          <w:lang w:bidi="fa-IR"/>
        </w:rPr>
        <w:t xml:space="preserve">جیل ؛ ولأنّ البشریة تحتاج دائماً إلی إصلاح ، والوعی البشری یتضمّن برنامجاً إصلاحیاً متکاملاً ، وإنّ عدم إحیاء ما حدث فی التأریخ ، وتحدید الموقف تجاهه یسبّب عودة الغدد السرطانیة إلی جسم العالم الإسلامی ، وتهدّده من جدید </w:t>
      </w:r>
      <w:r>
        <w:rPr>
          <w:rFonts w:eastAsia="IRNazanin" w:cs="IRNazanin"/>
          <w:color w:val="111111"/>
          <w:sz w:val="28"/>
          <w:szCs w:val="28"/>
          <w:rtl w:val="true"/>
          <w:lang w:bidi="fa-IR"/>
        </w:rPr>
        <w:t>.</w:t>
      </w:r>
    </w:p>
    <w:p>
      <w:pPr>
        <w:pStyle w:val="Heading4"/>
        <w:numPr>
          <w:ilvl w:val="3"/>
          <w:numId w:val="1"/>
        </w:numPr>
        <w:rPr/>
      </w:pPr>
      <w:bookmarkStart w:id="950" w:name="__RefHeading___Toc477690_581953129"/>
      <w:bookmarkStart w:id="951" w:name="_Toc375"/>
      <w:bookmarkEnd w:id="950"/>
      <w:r>
        <w:rPr>
          <w:rtl w:val="true"/>
        </w:rPr>
        <w:t>خلود الروح الحسینیة</w:t>
      </w:r>
      <w:bookmarkEnd w:id="951"/>
    </w:p>
    <w:p>
      <w:pPr>
        <w:pStyle w:val="BookText"/>
        <w:rPr/>
      </w:pPr>
      <w:r>
        <w:rPr>
          <w:rFonts w:ascii="IRNazanin" w:hAnsi="IRNazanin" w:eastAsia="IRNazanin"/>
          <w:color w:val="111111"/>
          <w:sz w:val="28"/>
          <w:sz w:val="28"/>
          <w:szCs w:val="28"/>
          <w:rtl w:val="true"/>
          <w:lang w:bidi="fa-IR"/>
        </w:rPr>
        <w:t xml:space="preserve">والحسین مخلّد ، والخلود هنا هو خلود الروح ، وإلّا فما فائدة خلود جسد فرعون ، خلود الحسین یعنی خلود الروح والأطروحة الحسینیة، فعاشوراء لا زالت حیّة وغضّة وطریّة تربّی الأجیال علی قیم الثورة والتحرّر ورفض العبودیة </w:t>
      </w:r>
      <w:r>
        <w:rPr>
          <w:rFonts w:eastAsia="IRNazanin" w:cs="IRNazanin"/>
          <w:color w:val="111111"/>
          <w:sz w:val="28"/>
          <w:szCs w:val="28"/>
          <w:rtl w:val="true"/>
          <w:lang w:bidi="fa-IR"/>
        </w:rPr>
        <w:t>.</w:t>
      </w:r>
    </w:p>
    <w:p>
      <w:pPr>
        <w:pStyle w:val="Heading4"/>
        <w:numPr>
          <w:ilvl w:val="3"/>
          <w:numId w:val="1"/>
        </w:numPr>
        <w:rPr/>
      </w:pPr>
      <w:bookmarkStart w:id="952" w:name="__RefHeading___Toc477692_581953129"/>
      <w:bookmarkStart w:id="953" w:name="_Toc376"/>
      <w:bookmarkEnd w:id="952"/>
      <w:r>
        <w:rPr>
          <w:rtl w:val="true"/>
        </w:rPr>
        <w:t>معیاریّة الثورة الحسینیة</w:t>
      </w:r>
      <w:bookmarkEnd w:id="953"/>
    </w:p>
    <w:p>
      <w:pPr>
        <w:pStyle w:val="BookText"/>
        <w:rPr/>
      </w:pPr>
      <w:r>
        <w:rPr>
          <w:rFonts w:ascii="IRNazanin" w:hAnsi="IRNazanin" w:eastAsia="IRNazanin"/>
          <w:color w:val="111111"/>
          <w:sz w:val="28"/>
          <w:sz w:val="28"/>
          <w:szCs w:val="28"/>
          <w:rtl w:val="true"/>
          <w:lang w:bidi="fa-IR"/>
        </w:rPr>
        <w:t xml:space="preserve">ونستطیع من خلال الثورة الحسینیة أن نکتشف الزلّات والثغرات فی الأطروحات المنحرفة ، ونستطیع أن نجعل الثورة الحسینیة معیار الإصلاح الذی نقیس به أیّ حرکة إصلاحیة ، وعندما یقع الفساد فإنّنا بحاجة إلی رایات الإصلاح ، نحن نمتلک برامج ثریّة وغنیّة لا یمکن أن یدخلها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ونستطیع من خلال الحسین علیه السلام أن نسابق البشریة علی صعید حقوق الإنسان ، وعلی صعید السلم البشری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ومدرسة سید الشهداء علیه السلام فیها ما شاء اللّه من الکنوز والعطایا ، وعندما نتکلّم عن الإحیاء العاشورائی فإنّنا لا نقصد بذلک حضور المجالس الحسینیة فحسب ، بل قراءة الوقائع التاریخیة الحسینیة وتحلیلها وتطبیقها علی الواقع من مصادیق الإحیاء أیضاً ، ونشر هذه الثقافة وتداولها یصبّ فی مصبّ الإحیاء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الکل یدّعی الإصلاح ویتبجّج به ، ولکن ما إن ینکشف الغطاء قلیلاً حتّی یتبیّن خطأ ذلک المنهج وثغراته وزلّاته وسلبیاته بعد فوات الأوان </w:t>
      </w:r>
      <w:r>
        <w:rPr>
          <w:rFonts w:eastAsia="IRNazanin" w:cs="IRNazanin"/>
          <w:color w:val="111111"/>
          <w:sz w:val="28"/>
          <w:szCs w:val="28"/>
          <w:rtl w:val="true"/>
          <w:lang w:bidi="fa-IR"/>
        </w:rPr>
        <w:t>.</w:t>
      </w:r>
      <w:bookmarkStart w:id="954" w:name="pg5261_55526"/>
    </w:p>
    <w:p>
      <w:pPr>
        <w:pStyle w:val="Heading4"/>
        <w:numPr>
          <w:ilvl w:val="3"/>
          <w:numId w:val="1"/>
        </w:numPr>
        <w:rPr/>
      </w:pPr>
      <w:bookmarkStart w:id="955" w:name="__RefHeading___Toc477694_581953129"/>
      <w:bookmarkStart w:id="956" w:name="_Toc377"/>
      <w:bookmarkEnd w:id="954"/>
      <w:bookmarkEnd w:id="955"/>
      <w:r>
        <w:rPr>
          <w:rtl w:val="true"/>
        </w:rPr>
        <w:t>النموذج الحسینی لن یتکرر بنفس المستوی</w:t>
      </w:r>
      <w:bookmarkEnd w:id="9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علی ثقة بأنّ النموذج الحسینی لن یتکرر بنفس المستوی، ولن تصل أیّ حرکة إصلاحیة إلی المستوی الذی وصل إلیه النموذج الحسینی ، ویمثّل النموذج الحسینی ضمانة للأُمّة فی عدم الوقوع فیما وقع فیه بعض المسلمین فی الأزمان السابقة ، وما وقع فیه المسلمون فی الزمن الحاضر </w:t>
      </w:r>
      <w:r>
        <w:rPr>
          <w:rFonts w:eastAsia="IRNazanin" w:cs="IRNazanin"/>
          <w:color w:val="111111"/>
          <w:sz w:val="28"/>
          <w:szCs w:val="28"/>
          <w:rtl w:val="true"/>
          <w:lang w:bidi="fa-IR"/>
        </w:rPr>
        <w:t>.</w:t>
      </w:r>
      <w:bookmarkStart w:id="957" w:name="pg5261_55530"/>
    </w:p>
    <w:p>
      <w:pPr>
        <w:pStyle w:val="Heading3"/>
        <w:numPr>
          <w:ilvl w:val="2"/>
          <w:numId w:val="1"/>
        </w:numPr>
        <w:rPr/>
      </w:pPr>
      <w:bookmarkStart w:id="958" w:name="__RefHeading___Toc477696_581953129"/>
      <w:bookmarkStart w:id="959" w:name="_Toc378"/>
      <w:bookmarkEnd w:id="957"/>
      <w:bookmarkEnd w:id="958"/>
      <w:r>
        <w:rPr>
          <w:rtl w:val="true"/>
        </w:rPr>
        <w:t>المحاضرة الثانیة مواجهة عناصر القوّة الشیعیة</w:t>
      </w:r>
      <w:bookmarkEnd w:id="959"/>
    </w:p>
    <w:p>
      <w:pPr>
        <w:pStyle w:val="Heading4"/>
        <w:numPr>
          <w:ilvl w:val="3"/>
          <w:numId w:val="1"/>
        </w:numPr>
        <w:rPr/>
      </w:pPr>
      <w:bookmarkStart w:id="960" w:name="__RefHeading___Toc477698_581953129"/>
      <w:bookmarkStart w:id="961" w:name="_Toc379"/>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محاور المحاضرة</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النموذج الأمثل للإصلاح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دراسة التاریخ دراسة 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تمثّل خطوط حمراء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الجذور التاریخیة لظاهرة الإرهاب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یواجه الطواغیت فی کلّ العصور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کربلاء سرّ قوّة الشیعة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المرجعیة نقطة قوّة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منظّمة لإضعاف دور المرجعیة </w:t>
      </w:r>
      <w:r>
        <w:rPr>
          <w:rFonts w:eastAsia="IRNazanin" w:cs="IRNazanin"/>
          <w:color w:val="111111"/>
          <w:sz w:val="28"/>
          <w:szCs w:val="28"/>
          <w:rtl w:val="true"/>
          <w:lang w:bidi="fa-IR"/>
        </w:rPr>
        <w:t>.</w:t>
      </w:r>
    </w:p>
    <w:p>
      <w:pPr>
        <w:pStyle w:val="Heading4"/>
        <w:numPr>
          <w:ilvl w:val="3"/>
          <w:numId w:val="1"/>
        </w:numPr>
        <w:rPr/>
      </w:pPr>
      <w:bookmarkStart w:id="962" w:name="__RefHeading___Toc477700_581953129"/>
      <w:bookmarkStart w:id="963" w:name="_Toc380"/>
      <w:bookmarkEnd w:id="962"/>
      <w:r>
        <w:rPr>
          <w:rtl w:val="true"/>
        </w:rPr>
        <w:t>عاشوراء النموذج الأمثل للإصلاح</w:t>
      </w:r>
      <w:bookmarkEnd w:id="963"/>
    </w:p>
    <w:p>
      <w:pPr>
        <w:pStyle w:val="BookText"/>
        <w:rPr/>
      </w:pPr>
      <w:r>
        <w:rPr>
          <w:rFonts w:ascii="IRNazanin" w:hAnsi="IRNazanin" w:eastAsia="IRNazanin"/>
          <w:color w:val="111111"/>
          <w:sz w:val="28"/>
          <w:sz w:val="28"/>
          <w:szCs w:val="28"/>
          <w:rtl w:val="true"/>
          <w:lang w:bidi="fa-IR"/>
        </w:rPr>
        <w:t xml:space="preserve">ما تسالمت علیه البشریة من نبذ العنف والإرهاب ومکافحة الفساد فی المجتمع نستطیع أن نستفیده من ثورة سید الشهداء علیه السلام ؛ لأنّ سید الشهداء علیه السلام لم یبدأهم بقتال ، ولم یغلق باب الحوار مع جیش بنی امیّة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وتعتبر ثورة سید الشهداء علیه السلام هی النموذج الأمثل والأکمل للإصلاح ، ومن فوائد الإحیاء العاشورائی هو الاستزاده من التجربة الإصلاحیة الحسینیة لأیّ حرکة إصلاح معاصرة </w:t>
      </w:r>
      <w:r>
        <w:rPr>
          <w:rFonts w:eastAsia="IRNazanin" w:cs="IRNazanin"/>
          <w:color w:val="111111"/>
          <w:sz w:val="28"/>
          <w:szCs w:val="28"/>
          <w:rtl w:val="true"/>
          <w:lang w:bidi="fa-IR"/>
        </w:rPr>
        <w:t>.</w:t>
      </w:r>
      <w:bookmarkStart w:id="964" w:name="pg5261_55531"/>
    </w:p>
    <w:p>
      <w:pPr>
        <w:pStyle w:val="Heading4"/>
        <w:numPr>
          <w:ilvl w:val="3"/>
          <w:numId w:val="1"/>
        </w:numPr>
        <w:rPr/>
      </w:pPr>
      <w:bookmarkStart w:id="965" w:name="__RefHeading___Toc477702_581953129"/>
      <w:bookmarkStart w:id="966" w:name="_Toc381"/>
      <w:bookmarkEnd w:id="964"/>
      <w:bookmarkEnd w:id="965"/>
      <w:r>
        <w:rPr>
          <w:rtl w:val="true"/>
        </w:rPr>
        <w:t>لابدّ من دراسة التاریخ دراسة موضوعیة</w:t>
      </w:r>
      <w:bookmarkEnd w:id="966"/>
    </w:p>
    <w:p>
      <w:pPr>
        <w:pStyle w:val="BookText"/>
        <w:rPr/>
      </w:pPr>
      <w:r>
        <w:rPr>
          <w:rFonts w:ascii="IRNazanin" w:hAnsi="IRNazanin" w:eastAsia="IRNazanin"/>
          <w:color w:val="111111"/>
          <w:sz w:val="28"/>
          <w:sz w:val="28"/>
          <w:szCs w:val="28"/>
          <w:rtl w:val="true"/>
          <w:lang w:bidi="fa-IR"/>
        </w:rPr>
        <w:t xml:space="preserve">لا یمکن أن تتم عملیة إصلاح فی الوقت الراهن بدون الرجوع إلی التاریخ ومحاسبة المواقف والشخصیات التاریخیة ، ومن یعتقد أنّ نبش التاریخ وتقلیب صفحاته یعود علینا بالتشنّج فإنّه لا یسیر علی جادّة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نحن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أن ندرس التاریخ بصورة موضوعیة وعلمیة هادئة لا أن ندرسه دراسة متعصّبة أو انفعالیة عاطفیة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هناک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نبتر أنفسنا عن التاریخ ، ونغضّ بصرنا عنه ، ونرکّز علی إصلاح أنفسنا استناداً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الاستشهاد فی غیر محلّه </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477704_581953129"/>
      <w:bookmarkStart w:id="968" w:name="_Toc382"/>
      <w:bookmarkEnd w:id="967"/>
      <w:r>
        <w:rPr>
          <w:rtl w:val="true"/>
        </w:rPr>
        <w:t>الأعراف تمثّل خطوط حمراء</w:t>
      </w:r>
      <w:bookmarkEnd w:id="9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الروح هی حصیلة معلومات وأعراف اجتماعیة مکتسبة من الأسرة والبیئة الاجتماعیة ، وهذه الأعراف قد تکون أعرافاً اجتماعیة أو قوانین حقوقیة ، وهذه الأعراف والقوانین أشدّ نفوذاً من الحکومات السیاسیة ؛ لأنّها تشکّل خطوطاً حمراء لا یستطیع الناس تجاوزها ، وهذه الأعراف تشکّل برنامجاً یحرّک أفراد المجتمع بشکل تلقائی ، وقد یکون ذلک فی اللاشعور أو علی مستوی الوعی الباطنی ، ولو حاول إنسان أن یعارض هذه الأعراف فإنّه سیواجه بمعارضة شدیدة ، وهذه الأعراف مرتبطة برموز وأشخاص یکنّ لها المجتمع الاحترام والتقدیر ، وتستمد منها هذه النوامیس والنظم والمراسم والأحکام </w:t>
      </w:r>
      <w:r>
        <w:rPr>
          <w:rFonts w:eastAsia="IRNazanin" w:cs="IRNazanin"/>
          <w:color w:val="111111"/>
          <w:sz w:val="28"/>
          <w:szCs w:val="28"/>
          <w:rtl w:val="true"/>
          <w:lang w:bidi="fa-IR"/>
        </w:rPr>
        <w:t>.</w:t>
      </w:r>
      <w:bookmarkStart w:id="969" w:name="pg5261_55534"/>
    </w:p>
    <w:p>
      <w:pPr>
        <w:pStyle w:val="Heading4"/>
        <w:numPr>
          <w:ilvl w:val="3"/>
          <w:numId w:val="1"/>
        </w:numPr>
        <w:rPr/>
      </w:pPr>
      <w:bookmarkStart w:id="970" w:name="__RefHeading___Toc477706_581953129"/>
      <w:bookmarkStart w:id="971" w:name="_Toc383"/>
      <w:bookmarkEnd w:id="969"/>
      <w:bookmarkEnd w:id="970"/>
      <w:r>
        <w:rPr>
          <w:rtl w:val="true"/>
        </w:rPr>
        <w:t>الجذور التاریخیة لظاهرة الإرهاب</w:t>
      </w:r>
      <w:bookmarkEnd w:id="971"/>
    </w:p>
    <w:p>
      <w:pPr>
        <w:pStyle w:val="BookText"/>
        <w:rPr/>
      </w:pPr>
      <w:r>
        <w:rPr>
          <w:rFonts w:ascii="IRNazanin" w:hAnsi="IRNazanin" w:eastAsia="IRNazanin"/>
          <w:color w:val="111111"/>
          <w:sz w:val="28"/>
          <w:sz w:val="28"/>
          <w:szCs w:val="28"/>
          <w:rtl w:val="true"/>
          <w:lang w:bidi="fa-IR"/>
        </w:rPr>
        <w:t xml:space="preserve">ظاهرة الإرهاب وظاهرة غیاب الحوار هی ظاهرة متولّدة من أعراف معیّنة ، ولا یمکن اجتثاثها إلّابالبحث عن المسبّبات التی أدّت إلی ظهورها ، ونحن نحتاج إلی فتح ملفّات الماضی من أجل الوصول إلی بعض النتائج ؛ لأنّ هذا الإرهاب والعنف وغیاب الحوار مرتبط بالماضی من حیث المصدر والمشروعیة والتکوّن ، ومن هنا تبرز أهمیة الإحیاء العاشورائی الذی یتمثّل فی محاسبة فکریة لا تقتصر علی الماضی فقط أو علی الحاضر فقط ، بل هی محاسبة مطلقة ، وهی تمسّ حتّی الأنظمة الفعلیة فی هذا الزمان </w:t>
      </w:r>
      <w:r>
        <w:rPr>
          <w:rFonts w:eastAsia="IRNazanin" w:cs="IRNazanin"/>
          <w:color w:val="111111"/>
          <w:sz w:val="28"/>
          <w:szCs w:val="28"/>
          <w:rtl w:val="true"/>
          <w:lang w:bidi="fa-IR"/>
        </w:rPr>
        <w:t>.</w:t>
      </w:r>
    </w:p>
    <w:p>
      <w:pPr>
        <w:pStyle w:val="Heading4"/>
        <w:numPr>
          <w:ilvl w:val="3"/>
          <w:numId w:val="1"/>
        </w:numPr>
        <w:rPr/>
      </w:pPr>
      <w:bookmarkStart w:id="972" w:name="__RefHeading___Toc477708_581953129"/>
      <w:bookmarkStart w:id="973" w:name="_Toc384"/>
      <w:bookmarkEnd w:id="972"/>
      <w:r>
        <w:rPr>
          <w:rtl w:val="true"/>
        </w:rPr>
        <w:t>الحسین علیه السلام یواجه الطواغیت فی کلّ العصور</w:t>
      </w:r>
      <w:bookmarkEnd w:id="973"/>
    </w:p>
    <w:p>
      <w:pPr>
        <w:pStyle w:val="BookText"/>
        <w:rPr/>
      </w:pPr>
      <w:r>
        <w:rPr>
          <w:rFonts w:ascii="IRNazanin" w:hAnsi="IRNazanin" w:eastAsia="IRNazanin"/>
          <w:color w:val="111111"/>
          <w:sz w:val="28"/>
          <w:sz w:val="28"/>
          <w:szCs w:val="28"/>
          <w:rtl w:val="true"/>
          <w:lang w:bidi="fa-IR"/>
        </w:rPr>
        <w:t xml:space="preserve">وما کان من عرقلة لزیارة الإمام الحسین علیه السلام منذ استشهاده إلی زماننا هذا ینطلق من أنّ الحسین علیه السلام لا یحاسب عصره فقط ، وإنّما یحاسب الطواغیت فی کلّ زمان ومکان ، ویحاسب الأعراف الخاطئة التی تولّدت من تلک المدارس المنحرفة ؛ ولذلک فإنّ هناک توجّس وتحسّس من قبل الظالمین تجاه مدرسة سید الشهداء علیه السلام ، وهناک محاولات من أجل قطع العلاقة بین الشیعة وبین الإحیاء العاشورائی الذی یحرصون علیه </w:t>
      </w:r>
      <w:r>
        <w:rPr>
          <w:rFonts w:eastAsia="IRNazanin" w:cs="IRNazanin"/>
          <w:color w:val="111111"/>
          <w:sz w:val="28"/>
          <w:szCs w:val="28"/>
          <w:rtl w:val="true"/>
          <w:lang w:bidi="fa-IR"/>
        </w:rPr>
        <w:t>.</w:t>
      </w:r>
    </w:p>
    <w:p>
      <w:pPr>
        <w:pStyle w:val="Heading4"/>
        <w:numPr>
          <w:ilvl w:val="3"/>
          <w:numId w:val="1"/>
        </w:numPr>
        <w:rPr/>
      </w:pPr>
      <w:bookmarkStart w:id="974" w:name="__RefHeading___Toc477710_581953129"/>
      <w:bookmarkStart w:id="975" w:name="_Toc385"/>
      <w:bookmarkEnd w:id="974"/>
      <w:r>
        <w:rPr>
          <w:rtl w:val="true"/>
        </w:rPr>
        <w:t>کربلاء سرّ قوّة الشیعة</w:t>
      </w:r>
      <w:bookmarkEnd w:id="9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صدر عن مرکز الاستخبارات الأمریکیة کتاب ، نشرت عنه بعض الصحف فی إیران ، للکاتب مونیکال براینز ، یذکر أنّ الشیعة لا زالوا یحتفظون بفاعلیة وحرکیة تقاوم المخططات الغربیة دون بقیة المسلمین ، ویذکر أمثلة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الإسلامیة فی إیران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فی لبنان ، وکیف أنّه أخرج الجیش الإسرائیلی من الجنوب ، وأنّ نداءات یا حسین ویا أبا الفضل العباس قد ألهبت</w:t>
      </w:r>
      <w:bookmarkStart w:id="976" w:name="pg5261_55535"/>
    </w:p>
    <w:p>
      <w:pPr>
        <w:pStyle w:val="BookText"/>
        <w:rPr/>
      </w:pPr>
      <w:bookmarkEnd w:id="976"/>
      <w:r>
        <w:rPr>
          <w:rFonts w:ascii="IRNazanin" w:hAnsi="IRNazanin" w:eastAsia="IRNazanin"/>
          <w:color w:val="111111"/>
          <w:sz w:val="28"/>
          <w:sz w:val="28"/>
          <w:szCs w:val="28"/>
          <w:rtl w:val="true"/>
          <w:lang w:bidi="fa-IR"/>
        </w:rPr>
        <w:t xml:space="preserve">الشارع الجماهیری الشیعی ، وکذلک فی العراق حیث فشل النظام البعثی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کلّ ما أوتی من قدرة وأنظمة أمنیة فتّاکة فی اقتلاع وتعطیل حوزة النجف الأشرف ، والشیعة تمثّل القطاع الحی والنابض فی العالم الإسلامی ، وهم أتباع أهل البیت علیهم السلام وأتباع سید الشهداء علیه السلام ، ومن ثمّ فإنّه یقرّر أنّ عنصر قوّة الشیعة یتمرکز فی شیئین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الإمام الحسین علیه السلام والارتباط بالإمام الحسین علیه السلام وهو الذی یبعثهم علی استرخاص النفس ، ورفض منطق العدوان والظلم ، والتحلّی بالعزّة والإباء والحماس والأنفة ، وفی کلّ سنة تتجدّد الطاقات من خلال الإحیاء العاشورائی </w:t>
      </w:r>
      <w:r>
        <w:rPr>
          <w:rFonts w:eastAsia="IRNazanin" w:cs="IRNazanin"/>
          <w:color w:val="111111"/>
          <w:sz w:val="28"/>
          <w:szCs w:val="28"/>
          <w:rtl w:val="true"/>
          <w:lang w:bidi="fa-IR"/>
        </w:rPr>
        <w:t>.</w:t>
      </w:r>
    </w:p>
    <w:p>
      <w:pPr>
        <w:pStyle w:val="Heading4"/>
        <w:numPr>
          <w:ilvl w:val="3"/>
          <w:numId w:val="1"/>
        </w:numPr>
        <w:rPr/>
      </w:pPr>
      <w:bookmarkStart w:id="977" w:name="__RefHeading___Toc477712_581953129"/>
      <w:bookmarkStart w:id="978" w:name="_Toc386"/>
      <w:bookmarkEnd w:id="977"/>
      <w:r>
        <w:rPr>
          <w:rtl w:val="true"/>
        </w:rPr>
        <w:t>السید السیستانی وموقفه من الانتخابات</w:t>
      </w:r>
      <w:bookmarkEnd w:id="978"/>
    </w:p>
    <w:p>
      <w:pPr>
        <w:pStyle w:val="BookText"/>
        <w:rPr/>
      </w:pPr>
      <w:r>
        <w:rPr>
          <w:rFonts w:ascii="IRNazanin" w:hAnsi="IRNazanin" w:eastAsia="IRNazanin"/>
          <w:color w:val="111111"/>
          <w:sz w:val="28"/>
          <w:sz w:val="28"/>
          <w:szCs w:val="28"/>
          <w:rtl w:val="true"/>
          <w:lang w:bidi="fa-IR"/>
        </w:rPr>
        <w:t xml:space="preserve">الموقف الصلب للسیستانی الذی أصرّ علی الانتخابات ، ورفض مقابلة أیّ مسؤول أمریکی هو موقف جهادی ، کما کان سید الشهداء علیه السلام الذی لم یبدأهم بقتال ، ولکنّه فی المقابل ثابت علی المبدأ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یذکر هذا الاستخباری الأمریکی أنّ الشیعة یمثّلون مصدر قلق لأمریکا </w:t>
      </w:r>
      <w:r>
        <w:rPr>
          <w:rFonts w:eastAsia="IRNazanin" w:cs="IRNazanin"/>
          <w:color w:val="111111"/>
          <w:sz w:val="28"/>
          <w:szCs w:val="28"/>
          <w:rtl w:val="true"/>
          <w:lang w:bidi="fa-IR"/>
        </w:rPr>
        <w:t>.</w:t>
      </w:r>
    </w:p>
    <w:p>
      <w:pPr>
        <w:pStyle w:val="Heading4"/>
        <w:numPr>
          <w:ilvl w:val="3"/>
          <w:numId w:val="1"/>
        </w:numPr>
        <w:rPr/>
      </w:pPr>
      <w:bookmarkStart w:id="979" w:name="__RefHeading___Toc477714_581953129"/>
      <w:bookmarkStart w:id="980" w:name="_Toc387"/>
      <w:bookmarkEnd w:id="979"/>
      <w:r>
        <w:rPr>
          <w:rtl w:val="true"/>
        </w:rPr>
        <w:t>عنصر المرجعیة نقطة قوّة أُخری</w:t>
      </w:r>
      <w:bookmarkEnd w:id="980"/>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العنصر الثانی من عناصر القوّة الشیعیة هو عنصر المرجعیة الدینیة ، ویستشهد بفتوی ثورة التنباک ، وفتوی ثورة العشرین ، والثورة الإسلامیة فی إیران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یبحث فی کیفیة مواجهة العنصر الأوّل ، وهو ارتباط الشیعة بسید الشهداء علیه السلام ، وهو التشکیک فی مصداقیة إحیاء مراسم عاشوراء ، والادعاء بأنّها من قبیل الخرافات والأساطیر، وتشجیع کتّاب الشیعة علی مثل هذا الاتّهام للشعائر الحسینیة </w:t>
      </w:r>
      <w:r>
        <w:rPr>
          <w:rFonts w:eastAsia="IRNazanin" w:cs="IRNazanin"/>
          <w:color w:val="111111"/>
          <w:sz w:val="28"/>
          <w:szCs w:val="28"/>
          <w:rtl w:val="true"/>
          <w:lang w:bidi="fa-IR"/>
        </w:rPr>
        <w:t>.</w:t>
      </w:r>
      <w:bookmarkStart w:id="981" w:name="pg5261_55538"/>
    </w:p>
    <w:p>
      <w:pPr>
        <w:pStyle w:val="Heading4"/>
        <w:numPr>
          <w:ilvl w:val="3"/>
          <w:numId w:val="1"/>
        </w:numPr>
        <w:rPr/>
      </w:pPr>
      <w:bookmarkStart w:id="982" w:name="__RefHeading___Toc477716_581953129"/>
      <w:bookmarkStart w:id="983" w:name="_Toc388"/>
      <w:bookmarkEnd w:id="981"/>
      <w:bookmarkEnd w:id="982"/>
      <w:r>
        <w:rPr>
          <w:rtl w:val="true"/>
        </w:rPr>
        <w:t>خطط منظّمة لإضعاف دور المرجعیة</w:t>
      </w:r>
      <w:bookmarkEnd w:id="983"/>
    </w:p>
    <w:p>
      <w:pPr>
        <w:pStyle w:val="BookText"/>
        <w:rPr/>
      </w:pPr>
      <w:r>
        <w:rPr>
          <w:rFonts w:ascii="IRNazanin" w:hAnsi="IRNazanin" w:eastAsia="IRNazanin"/>
          <w:color w:val="111111"/>
          <w:sz w:val="28"/>
          <w:sz w:val="28"/>
          <w:szCs w:val="28"/>
          <w:rtl w:val="true"/>
          <w:lang w:bidi="fa-IR"/>
        </w:rPr>
        <w:t xml:space="preserve">وقد نقل لی أحد الطلاب الذین یحضرون عندی بحث الفقه والأصول ، وهو من العراق أنّ هناک دورات قصیرة ومکثّفة فی العراق یحصل من یحضرها علی مائتی دولار ، وهذه الدورات ترکّز علی الفلسفة الغربیة ، ونبذ الخرافات والأساطیر، کما ترکّز علی رفض التقلید ، واعتبار التقلید أنّه من عمل الببغاوات والحیوانات وأنّ الإنسان یجب أن یکون حرّاً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هذا الکاتب الاستخباری خطّة زمنیة تهدف إلی تشویه صورة المرجعیة الدینیة بحلول عام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إظهار الشیعة بصورة الإرهابیین من خلال الإحیاء العاشورائی ، وهم یستهدفون مراسم الإحیاء العاشورائی باعتباره نقطة قوّة عند الشیعة ؛ لأنّها تنبض بالتضحیة والفداء والحماس والتعبئة ، التی أشار إلیها أئمة أهل البیت علیهم السلام فی روایاتهم ، وقد ذکر الحر العاملی ثمانین باباً تحت عنوان المزار ، ویستفاد منها التعبئة والحماس والتضحیة والفداء والانشداد لأهل البیت علیهم السلام عبر عاطفة البکاء ، وبالتالی الذوبان فی مبادیء الحسین وأهل البیت علیهم السلام ، ویکونون علیهم السلام هم القدوة للشیعی ، وطریق البکاء طریق جذّاب جدّاً ، وهو أقصر الطرق للتفاعل مع القدوة التی یقتدی بها الإنسان ، والنموذج الحسینی الماثل أمام أعین المسلمین جمیعاً ولیس الشیعة فقط ، هو النموذج الذی یقلق الدوائر الاستکباریة </w:t>
      </w:r>
      <w:r>
        <w:rPr>
          <w:rFonts w:eastAsia="IRNazanin" w:cs="IRNazanin"/>
          <w:color w:val="111111"/>
          <w:sz w:val="28"/>
          <w:szCs w:val="28"/>
          <w:rtl w:val="true"/>
          <w:lang w:bidi="fa-IR"/>
        </w:rPr>
        <w:t>.</w:t>
      </w:r>
      <w:bookmarkStart w:id="984" w:name="pg5261_55541"/>
    </w:p>
    <w:p>
      <w:pPr>
        <w:pStyle w:val="Heading3"/>
        <w:numPr>
          <w:ilvl w:val="2"/>
          <w:numId w:val="1"/>
        </w:numPr>
        <w:rPr/>
      </w:pPr>
      <w:bookmarkStart w:id="985" w:name="__RefHeading___Toc477718_581953129"/>
      <w:bookmarkStart w:id="986" w:name="_Toc389"/>
      <w:bookmarkEnd w:id="984"/>
      <w:bookmarkEnd w:id="985"/>
      <w:r>
        <w:rPr>
          <w:rtl w:val="true"/>
        </w:rPr>
        <w:t>المحاضرة الثالثة محوریة العدل لا محوریة القانون</w:t>
      </w:r>
      <w:bookmarkEnd w:id="986"/>
    </w:p>
    <w:p>
      <w:pPr>
        <w:pStyle w:val="Heading4"/>
        <w:numPr>
          <w:ilvl w:val="3"/>
          <w:numId w:val="1"/>
        </w:numPr>
        <w:rPr/>
      </w:pPr>
      <w:bookmarkStart w:id="987" w:name="__RefHeading___Toc477720_581953129"/>
      <w:bookmarkStart w:id="988" w:name="_Toc390"/>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ترکیز أهل البیت علیهم السلام علی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من أصول الدین عند الشیعة دون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البشریة تتّجه نحو العدل بالفطرة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الأمم المتحدّة علی عهد الإمام علی علیه السلام لمالک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عداوة القوی الإقطاعیة للعدل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القانون هو مصدر الخیر دائماً؟</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القانونی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العدالة وقبح الظلم هل هو أمر حقیقی أم اعتباری؟</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المحرّمات والأخلاق تتغیّر بتغیر البیئة ؟</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علی هذه الشبهات </w:t>
      </w:r>
      <w:r>
        <w:rPr>
          <w:rFonts w:eastAsia="IRNazanin" w:cs="IRNazanin"/>
          <w:color w:val="111111"/>
          <w:sz w:val="28"/>
          <w:szCs w:val="28"/>
          <w:rtl w:val="true"/>
          <w:lang w:bidi="fa-IR"/>
        </w:rPr>
        <w:t>.</w:t>
      </w:r>
    </w:p>
    <w:p>
      <w:pPr>
        <w:pStyle w:val="Heading4"/>
        <w:numPr>
          <w:ilvl w:val="3"/>
          <w:numId w:val="1"/>
        </w:numPr>
        <w:rPr/>
      </w:pPr>
      <w:bookmarkStart w:id="989" w:name="__RefHeading___Toc477722_581953129"/>
      <w:bookmarkStart w:id="990" w:name="_Toc391"/>
      <w:bookmarkEnd w:id="989"/>
      <w:r>
        <w:rPr>
          <w:rtl w:val="true"/>
        </w:rPr>
        <w:t>محوریة العدل فی خطاب سید الشهداء علیه السلام</w:t>
      </w:r>
      <w:bookmarkEnd w:id="99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ضمن النداءات التی أطلقها الإمام الحسین علیه السلام نداءات ترتبط بالعدالة ،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إلّاالعامل بالکتاب ، والقائم بالقسط الدائن بدین</w:t>
      </w:r>
      <w:bookmarkStart w:id="991" w:name="pg5261_55543"/>
    </w:p>
    <w:p>
      <w:pPr>
        <w:pStyle w:val="BookText"/>
        <w:rPr/>
      </w:pPr>
      <w:bookmarkEnd w:id="991"/>
      <w:r>
        <w:rPr>
          <w:rFonts w:ascii="IRNazanin" w:hAnsi="IRNazanin" w:eastAsia="IRNazanin"/>
          <w:color w:val="111111"/>
          <w:sz w:val="28"/>
          <w:sz w:val="28"/>
          <w:szCs w:val="28"/>
          <w:rtl w:val="true"/>
          <w:lang w:bidi="fa-IR"/>
        </w:rPr>
        <w:t>بالحق ، الحابس نفسه علی ذات اللّه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إذن من المحاور التی نادی بها سید الشهداء علیه السلام هو محور القسط والعدل </w:t>
      </w:r>
      <w:r>
        <w:rPr>
          <w:rFonts w:eastAsia="IRNazanin" w:cs="IRNazanin"/>
          <w:color w:val="111111"/>
          <w:sz w:val="28"/>
          <w:szCs w:val="28"/>
          <w:rtl w:val="true"/>
          <w:lang w:bidi="fa-IR"/>
        </w:rPr>
        <w:t>.</w:t>
      </w:r>
    </w:p>
    <w:p>
      <w:pPr>
        <w:pStyle w:val="Heading4"/>
        <w:numPr>
          <w:ilvl w:val="3"/>
          <w:numId w:val="1"/>
        </w:numPr>
        <w:rPr/>
      </w:pPr>
      <w:bookmarkStart w:id="992" w:name="__RefHeading___Toc477724_581953129"/>
      <w:bookmarkStart w:id="993" w:name="_Toc392"/>
      <w:bookmarkEnd w:id="992"/>
      <w:r>
        <w:rPr>
          <w:rtl w:val="true"/>
        </w:rPr>
        <w:t>ترکیز أهل البیت علیهم السلام علی العدل</w:t>
      </w:r>
      <w:bookmarkEnd w:id="993"/>
    </w:p>
    <w:p>
      <w:pPr>
        <w:pStyle w:val="BookText"/>
        <w:rPr/>
      </w:pPr>
      <w:r>
        <w:rPr>
          <w:rFonts w:ascii="IRNazanin" w:hAnsi="IRNazanin" w:eastAsia="IRNazanin"/>
          <w:color w:val="111111"/>
          <w:sz w:val="28"/>
          <w:sz w:val="28"/>
          <w:szCs w:val="28"/>
          <w:rtl w:val="true"/>
          <w:lang w:bidi="fa-IR"/>
        </w:rPr>
        <w:t xml:space="preserve">وقد بیّن أهل البیت علیهم السلام أنّ صفة العدل من الصفات الإلهیة ، وهی أصل من أصول الدین ، وهی من الصفات المتمیّزة للذات الإلهیة ، ویجب الاعتقاد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هذا الترکیز فی حقیقة العدل ینطوی علی سر ومغزی ، کما روی عن سید الکائنات من جوامع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یبقی الملک بالعدل مع الکفر ولا یبقی بالجور مع الإیمان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فباب العدل لا یمکن إغفاله فی السنن الإلهیة التی فطر الناس علیها ، فلا یمکن أن یستقیم النظام الاجتماعی مع التفریط فی العدل ، وکلّ نظام یخالف العدل ویختار الظلم بدیلاً عنه یکتب له الزوال ، وإنّ الظلم الفاحش یعجّل بتقویض نظام الحکم الظالم </w:t>
      </w:r>
      <w:r>
        <w:rPr>
          <w:rFonts w:eastAsia="IRNazanin" w:cs="IRNazanin"/>
          <w:color w:val="111111"/>
          <w:sz w:val="28"/>
          <w:szCs w:val="28"/>
          <w:rtl w:val="true"/>
          <w:lang w:bidi="fa-IR"/>
        </w:rPr>
        <w:t>.</w:t>
      </w:r>
    </w:p>
    <w:p>
      <w:pPr>
        <w:pStyle w:val="Heading4"/>
        <w:numPr>
          <w:ilvl w:val="3"/>
          <w:numId w:val="1"/>
        </w:numPr>
        <w:rPr/>
      </w:pPr>
      <w:bookmarkStart w:id="994" w:name="__RefHeading___Toc477726_581953129"/>
      <w:bookmarkStart w:id="995" w:name="_Toc393"/>
      <w:bookmarkEnd w:id="994"/>
      <w:r>
        <w:rPr>
          <w:rtl w:val="true"/>
        </w:rPr>
        <w:t>العدل من أصول الدین عند الشیعة دون غیرهم</w:t>
      </w:r>
      <w:bookmarkEnd w:id="99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من أصول الدین ، ومن طبیعة أصول الدین أن تکون فی قمّة الهرم ، حیث تصبغ بلونها کافة حیثیات الدین ، ومن هذه الأصول العدل الذی له هذه الخاصّیة ، وجعل العدل فی قمّة الهرم یدل علی أنّ أبواب الدین لا تستقیم إلّابالعدل ، ویتمیّز مذهب أهل البیت علیهم السلام باهتمامه بالعدل بصورة لا نجدها فی غیره من المذاهب ،</w:t>
      </w:r>
      <w:bookmarkStart w:id="996" w:name="pg5261_55545"/>
    </w:p>
    <w:p>
      <w:pPr>
        <w:pStyle w:val="BookText"/>
        <w:rPr/>
      </w:pPr>
      <w:bookmarkEnd w:id="996"/>
      <w:r>
        <w:rPr>
          <w:rFonts w:ascii="IRNazanin" w:hAnsi="IRNazanin" w:eastAsia="IRNazanin"/>
          <w:color w:val="111111"/>
          <w:sz w:val="28"/>
          <w:sz w:val="28"/>
          <w:szCs w:val="28"/>
          <w:rtl w:val="true"/>
          <w:lang w:bidi="fa-IR"/>
        </w:rPr>
        <w:t xml:space="preserve">حتّی فرقة المعتزلة التی تسمّی بالعدلیة فهی لا تجعل العدل من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الأشاعرة الذین یمثّلون غالبیة المذاهب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یوجد من الأدیان الأخری من یهتمّ بالعدل بالمستوی الذی یهتمّ به مذهب أهل البیت علیهم السلام </w:t>
      </w:r>
      <w:r>
        <w:rPr>
          <w:rFonts w:eastAsia="IRNazanin" w:cs="IRNazanin"/>
          <w:color w:val="111111"/>
          <w:sz w:val="28"/>
          <w:szCs w:val="28"/>
          <w:rtl w:val="true"/>
          <w:lang w:bidi="fa-IR"/>
        </w:rPr>
        <w:t>.</w:t>
      </w:r>
    </w:p>
    <w:p>
      <w:pPr>
        <w:pStyle w:val="Heading4"/>
        <w:numPr>
          <w:ilvl w:val="3"/>
          <w:numId w:val="1"/>
        </w:numPr>
        <w:rPr/>
      </w:pPr>
      <w:bookmarkStart w:id="997" w:name="__RefHeading___Toc477728_581953129"/>
      <w:bookmarkStart w:id="998" w:name="_Toc394"/>
      <w:bookmarkEnd w:id="997"/>
      <w:r>
        <w:rPr>
          <w:rtl w:val="true"/>
        </w:rPr>
        <w:t>البشریة تتّجه نحو العدل بالفطرة</w:t>
      </w:r>
      <w:bookmarkEnd w:id="998"/>
    </w:p>
    <w:p>
      <w:pPr>
        <w:pStyle w:val="BookText"/>
        <w:rPr/>
      </w:pPr>
      <w:r>
        <w:rPr>
          <w:rFonts w:ascii="IRNazanin" w:hAnsi="IRNazanin" w:eastAsia="IRNazanin"/>
          <w:color w:val="111111"/>
          <w:sz w:val="28"/>
          <w:sz w:val="28"/>
          <w:szCs w:val="28"/>
          <w:rtl w:val="true"/>
          <w:lang w:bidi="fa-IR"/>
        </w:rPr>
        <w:t xml:space="preserve">الآن البشریة تنشد العدل ، وهناک نزوع بشری قوی نحو العدل الذی هو من أصول الدین کما علّمنا أهل البیت علیهم السلام ، وهذا نفسه إعجاز علمی باعتبار أنّ الدین یوافق الفطرة ، والفطرة البشریة تنزع نحو العدل ، ونحن نری أنّ ثورة الإمام الحسین علیه السلام لیس فیها أی ثغرات أو مؤاخذات ، بل بالعکس أصبحت ثورة الحسین علیه السلام منارة من منارات العدل ، والوعی البشری یزداد کلّما قرأ سیرة أهل البیت علیهم السلام </w:t>
      </w:r>
      <w:r>
        <w:rPr>
          <w:rFonts w:eastAsia="IRNazanin" w:cs="IRNazanin"/>
          <w:color w:val="111111"/>
          <w:sz w:val="28"/>
          <w:szCs w:val="28"/>
          <w:rtl w:val="true"/>
          <w:lang w:bidi="fa-IR"/>
        </w:rPr>
        <w:t>.</w:t>
      </w:r>
    </w:p>
    <w:p>
      <w:pPr>
        <w:pStyle w:val="Heading4"/>
        <w:numPr>
          <w:ilvl w:val="3"/>
          <w:numId w:val="1"/>
        </w:numPr>
        <w:rPr/>
      </w:pPr>
      <w:bookmarkStart w:id="999" w:name="__RefHeading___Toc477730_581953129"/>
      <w:bookmarkStart w:id="1000" w:name="_Toc395"/>
      <w:bookmarkEnd w:id="999"/>
      <w:r>
        <w:rPr>
          <w:rtl w:val="true"/>
        </w:rPr>
        <w:t>مصادقة الأمم المتحدة علی عهد الإمام علی علیه السلام لمالک الأشتر</w:t>
      </w:r>
      <w:bookmarkEnd w:id="1000"/>
    </w:p>
    <w:p>
      <w:pPr>
        <w:pStyle w:val="BookText"/>
        <w:rPr/>
      </w:pPr>
      <w:r>
        <w:rPr>
          <w:rFonts w:ascii="IRNazanin" w:hAnsi="IRNazanin" w:eastAsia="IRNazanin"/>
          <w:color w:val="111111"/>
          <w:sz w:val="28"/>
          <w:sz w:val="28"/>
          <w:szCs w:val="28"/>
          <w:rtl w:val="true"/>
          <w:lang w:bidi="fa-IR"/>
        </w:rPr>
        <w:t xml:space="preserve">وقد صادقت الأمم المتحدة علی عهد الإمام علی علیه السلام لمالک الأشتر ، وهو قانون دُوِّن قبل ألف وأربعمائة سنة ، ومع ذلک نری أنّ نخبة القانونیین تقف إجلالاً للقانون الذی وضعه الإمام علی علیه السلام ، وأرباب القانون لا یجدون أیّ ثغرة فیه رغم الشوط الکبیر الذی قطعته القوانین البشریة علی الصعید القانونی والحقوقی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مالک الأشتر یتعرّض بصورة کاملة للنظم السیاسیة والنظم الحقوقیة والنظم القضائیة والنظم العسکریة والأمنیة والنظم الإداریة فی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والأمم المتحدة رشّحت عهد الإمام علی علیه السلام لمالک الأشتر کمصدر من مصادر القانون الدولی ، وهذا یصبّ فی مصبّ نزوع البشریة نحو العدل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477732_581953129"/>
      <w:bookmarkStart w:id="1002" w:name="_Toc396"/>
      <w:bookmarkEnd w:id="1001"/>
      <w:r>
        <w:rPr>
          <w:rtl w:val="true"/>
        </w:rPr>
        <w:t>تقصیر الشیعة فی نشر فکر أهل البیت علیهم السلام</w:t>
      </w:r>
      <w:bookmarkEnd w:id="100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إنّ أتباع مذهب أهل البیت علیهم السلام مقصّرین فی نشر تعالیم أهل</w:t>
      </w:r>
      <w:bookmarkStart w:id="1003" w:name="pg5261_55547"/>
    </w:p>
    <w:p>
      <w:pPr>
        <w:pStyle w:val="BookText"/>
        <w:rPr/>
      </w:pPr>
      <w:bookmarkEnd w:id="1003"/>
      <w:r>
        <w:rPr>
          <w:rFonts w:ascii="IRNazanin" w:hAnsi="IRNazanin" w:eastAsia="IRNazanin"/>
          <w:color w:val="111111"/>
          <w:sz w:val="28"/>
          <w:sz w:val="28"/>
          <w:szCs w:val="28"/>
          <w:rtl w:val="true"/>
          <w:lang w:bidi="fa-IR"/>
        </w:rPr>
        <w:t xml:space="preserve">البیت علیهم السلام مقصّرین فی نشر تعالیم أهل البیت علیه السلام بلغات مختلفة وإلی البلدان المختلفة ، ولو فعلنا ذلک ووصلت هذه التعالیم إلی ذوی الفکر العلمی الذین یبتعدون عن العصبیة لتغیّرت الکثیر من المعادلات ؛ لأنّ تعالیم أهل البیت علیهم السلام عبارة عن منظومات وإعجاز علمی لا یأتیه الباطل من بین یدیه ولا من خلفه ؛ لأنّه فکر معصوم </w:t>
      </w:r>
      <w:r>
        <w:rPr>
          <w:rFonts w:eastAsia="IRNazanin" w:cs="IRNazanin"/>
          <w:color w:val="111111"/>
          <w:sz w:val="28"/>
          <w:szCs w:val="28"/>
          <w:rtl w:val="true"/>
          <w:lang w:bidi="fa-IR"/>
        </w:rPr>
        <w:t>.</w:t>
      </w:r>
    </w:p>
    <w:p>
      <w:pPr>
        <w:pStyle w:val="Heading4"/>
        <w:numPr>
          <w:ilvl w:val="3"/>
          <w:numId w:val="1"/>
        </w:numPr>
        <w:rPr/>
      </w:pPr>
      <w:bookmarkStart w:id="1004" w:name="__RefHeading___Toc477734_581953129"/>
      <w:bookmarkStart w:id="1005" w:name="_Toc397"/>
      <w:bookmarkEnd w:id="1004"/>
      <w:r>
        <w:rPr>
          <w:rtl w:val="true"/>
        </w:rPr>
        <w:t>عداوة القوی الإقطاعیة للعدل</w:t>
      </w:r>
      <w:bookmarkEnd w:id="1005"/>
    </w:p>
    <w:p>
      <w:pPr>
        <w:pStyle w:val="BookText"/>
        <w:rPr/>
      </w:pPr>
      <w:r>
        <w:rPr>
          <w:rFonts w:ascii="IRNazanin" w:hAnsi="IRNazanin" w:eastAsia="IRNazanin"/>
          <w:color w:val="111111"/>
          <w:sz w:val="28"/>
          <w:sz w:val="28"/>
          <w:szCs w:val="28"/>
          <w:rtl w:val="true"/>
          <w:lang w:bidi="fa-IR"/>
        </w:rPr>
        <w:t xml:space="preserve">لنتعرّض الآن إلی بحث العدل فی أدلّته وأُسسه ، حیث تعتبر القوی الإقطاعیة والمستبدّة من أکثر القوی عداوة للعدل ، ومن هنا نستطیع أن نتعرّض للإقطاع الأموی الذی کان یعادی العدل ، وکذلک الرأسمالیة الحدیثة والدول الغربیة التی ترفع العدل کشعار إلّاأنّ العدل لا یوجد فی طیّات فکرها ، وإنّما تنادی بالعدل من أجل تضلیل الشعوب لا أکثر ، ومن المثیر أنّهم ینادون بما لا یطبّقونه وهو العدل ، وهو من أصول الدین عند مذهب أهل البیت علیهم السلام ومن صفات اللّه تعالی </w:t>
      </w:r>
      <w:r>
        <w:rPr>
          <w:rFonts w:eastAsia="IRNazanin" w:cs="IRNazanin"/>
          <w:color w:val="111111"/>
          <w:sz w:val="28"/>
          <w:szCs w:val="28"/>
          <w:rtl w:val="true"/>
          <w:lang w:bidi="fa-IR"/>
        </w:rPr>
        <w:t>.</w:t>
      </w:r>
    </w:p>
    <w:p>
      <w:pPr>
        <w:pStyle w:val="Heading4"/>
        <w:numPr>
          <w:ilvl w:val="3"/>
          <w:numId w:val="1"/>
        </w:numPr>
        <w:rPr/>
      </w:pPr>
      <w:bookmarkStart w:id="1006" w:name="__RefHeading___Toc477736_581953129"/>
      <w:bookmarkStart w:id="1007" w:name="_Toc398"/>
      <w:bookmarkEnd w:id="1006"/>
      <w:r>
        <w:rPr>
          <w:rtl w:val="true"/>
        </w:rPr>
        <w:t>شبهة حاجة الحق إلی تشریع قانون</w:t>
      </w:r>
      <w:bookmarkEnd w:id="1007"/>
    </w:p>
    <w:p>
      <w:pPr>
        <w:pStyle w:val="BookText"/>
        <w:rPr/>
      </w:pPr>
      <w:r>
        <w:rPr>
          <w:rFonts w:ascii="IRNazanin" w:hAnsi="IRNazanin" w:eastAsia="IRNazanin"/>
          <w:color w:val="111111"/>
          <w:sz w:val="28"/>
          <w:sz w:val="28"/>
          <w:szCs w:val="28"/>
          <w:rtl w:val="true"/>
          <w:lang w:bidi="fa-IR"/>
        </w:rPr>
        <w:t xml:space="preserve">ومن الشبهات التی یطرحها الرأسمالیون والإقطاعیون شبهة إعطاء کلّ ذی حقّ حقه ، إذن یحتاج الحق إلی تشریع قانون ، فإذا کان العدل یحتاج إلی تشریع الحق ، والحق یحتاج إلی تشریع قانون فإذن العدل تابع للتشریعات والتقنینات ، والتقنینات أُمور تعاقدیة یتعاقد ویتواضع علیها الناس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توضع کقوانین من قبل الناس ، بمعنی أنّ المقنّن إذا لم یقنّن حقّاً معیّناً فلا یمکن تحقیق العدالة التی ینبغی أن تکون تابعة لذلک القانون </w:t>
      </w:r>
      <w:r>
        <w:rPr>
          <w:rFonts w:eastAsia="IRNazanin" w:cs="IRNazanin"/>
          <w:color w:val="111111"/>
          <w:sz w:val="28"/>
          <w:szCs w:val="28"/>
          <w:rtl w:val="true"/>
          <w:lang w:bidi="fa-IR"/>
        </w:rPr>
        <w:t>.</w:t>
      </w:r>
    </w:p>
    <w:p>
      <w:pPr>
        <w:pStyle w:val="Heading4"/>
        <w:numPr>
          <w:ilvl w:val="3"/>
          <w:numId w:val="1"/>
        </w:numPr>
        <w:rPr/>
      </w:pPr>
      <w:bookmarkStart w:id="1008" w:name="__RefHeading___Toc477738_581953129"/>
      <w:bookmarkStart w:id="1009" w:name="_Toc399"/>
      <w:bookmarkEnd w:id="1008"/>
      <w:r>
        <w:rPr>
          <w:rtl w:val="true"/>
        </w:rPr>
        <w:t>شبهة أنّ العدالة اعتبار أدبی لیس لها وجود خارجی</w:t>
      </w:r>
      <w:bookmarkEnd w:id="100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هی إعطاء کلّ ذی حق حقه ، والحق هو اعتبار أدبی ، إذن</w:t>
      </w:r>
      <w:bookmarkStart w:id="1010" w:name="pg5261_55549"/>
    </w:p>
    <w:p>
      <w:pPr>
        <w:pStyle w:val="BookText"/>
        <w:rPr/>
      </w:pPr>
      <w:bookmarkEnd w:id="1010"/>
      <w:r>
        <w:rPr>
          <w:rFonts w:ascii="IRNazanin" w:hAnsi="IRNazanin" w:eastAsia="IRNazanin"/>
          <w:color w:val="111111"/>
          <w:sz w:val="28"/>
          <w:sz w:val="28"/>
          <w:szCs w:val="28"/>
          <w:rtl w:val="true"/>
          <w:lang w:bidi="fa-IR"/>
        </w:rPr>
        <w:t xml:space="preserve">لیست العدالة أمراً عینیّاً خارجیاً ، وإنّما هی متغیّرة ، ولیس لها ثبات ، والعدالة تنحصر فی التشریعات القانونیة التی یشرّعها المقنّن ، وبعد أن یشرّعها المقنّن تأتی منظومة الحقوق المنبثقة من منظومة القانون ، ومن ثمّ تأتی 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الشبهة هی نوع من اللعبة القانونیة لأجل الاستئثار وحرمان الضعفاء ، وتصبّ فی مصبّ تقدیس القانون من أجل نشر الظلم والاضطهاد والحرمان </w:t>
      </w:r>
      <w:r>
        <w:rPr>
          <w:rFonts w:eastAsia="IRNazanin" w:cs="IRNazanin"/>
          <w:color w:val="111111"/>
          <w:sz w:val="28"/>
          <w:szCs w:val="28"/>
          <w:rtl w:val="true"/>
          <w:lang w:bidi="fa-IR"/>
        </w:rPr>
        <w:t>.</w:t>
      </w:r>
    </w:p>
    <w:p>
      <w:pPr>
        <w:pStyle w:val="Heading4"/>
        <w:numPr>
          <w:ilvl w:val="3"/>
          <w:numId w:val="1"/>
        </w:numPr>
        <w:rPr/>
      </w:pPr>
      <w:bookmarkStart w:id="1011" w:name="__RefHeading___Toc477740_581953129"/>
      <w:bookmarkStart w:id="1012" w:name="_Toc400"/>
      <w:bookmarkEnd w:id="1011"/>
      <w:r>
        <w:rPr>
          <w:rtl w:val="true"/>
        </w:rPr>
        <w:t>هل القانون هو مصدر الخیر دائماً؟</w:t>
      </w:r>
      <w:bookmarkEnd w:id="1012"/>
    </w:p>
    <w:p>
      <w:pPr>
        <w:pStyle w:val="BookText"/>
        <w:rPr/>
      </w:pPr>
      <w:r>
        <w:rPr>
          <w:rFonts w:ascii="IRNazanin" w:hAnsi="IRNazanin" w:eastAsia="IRNazanin"/>
          <w:color w:val="111111"/>
          <w:sz w:val="28"/>
          <w:sz w:val="28"/>
          <w:szCs w:val="28"/>
          <w:rtl w:val="true"/>
          <w:lang w:bidi="fa-IR"/>
        </w:rPr>
        <w:t xml:space="preserve">الغرب الیوم یروّج العدالة ، ولکنّه لا یؤمن بها حقیقة ، وإنّما یتلاعب بمفهومها بما یحمله من أُسس ومبادیء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قانون یعتبر خیراً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مصدر الخیر هو القانون ، والقانون یصاغ بأیدی الإقطاعیین ، والعدالة أمر متغیّر لیست أمراً ثابتاً ، ولیس لها واقع خارجی ، والواقع الخارجی یتمثّل فی المادة والقدرة والطاقة ، أمّا العدالة فلیس لها واقع خارجی ، إذن المطلوب هو تسخیر القانون فی حمایة الإقطاع ، والذی لا یفهم اللعبة القانونیة یضیع </w:t>
      </w:r>
      <w:r>
        <w:rPr>
          <w:rFonts w:eastAsia="IRNazanin" w:cs="IRNazanin"/>
          <w:color w:val="111111"/>
          <w:sz w:val="28"/>
          <w:szCs w:val="28"/>
          <w:rtl w:val="true"/>
          <w:lang w:bidi="fa-IR"/>
        </w:rPr>
        <w:t>.</w:t>
      </w:r>
    </w:p>
    <w:p>
      <w:pPr>
        <w:pStyle w:val="Heading4"/>
        <w:numPr>
          <w:ilvl w:val="3"/>
          <w:numId w:val="1"/>
        </w:numPr>
        <w:rPr/>
      </w:pPr>
      <w:bookmarkStart w:id="1013" w:name="__RefHeading___Toc477742_581953129"/>
      <w:bookmarkStart w:id="1014" w:name="_Toc401"/>
      <w:bookmarkEnd w:id="1013"/>
      <w:r>
        <w:rPr>
          <w:rtl w:val="true"/>
        </w:rPr>
        <w:t>المرجعیة للکمال لا للقانون</w:t>
      </w:r>
      <w:bookmarkEnd w:id="1014"/>
    </w:p>
    <w:p>
      <w:pPr>
        <w:pStyle w:val="BookText"/>
        <w:rPr/>
      </w:pPr>
      <w:r>
        <w:rPr>
          <w:rFonts w:ascii="IRNazanin" w:hAnsi="IRNazanin" w:eastAsia="IRNazanin"/>
          <w:color w:val="111111"/>
          <w:sz w:val="28"/>
          <w:sz w:val="28"/>
          <w:szCs w:val="28"/>
          <w:rtl w:val="true"/>
          <w:lang w:bidi="fa-IR"/>
        </w:rPr>
        <w:t xml:space="preserve">والرأی الصحیح أن نعتبر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کمال ینبغی أن یکون قانوناً ، لا أنّ کلّ قانون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المرجعیة یجب أن تکون للکمال والخیر لا للقانون ؛ لأنّ هذا القانون قد یکون جائراً ، فلا خیر فی قانون ینسف الخیر لدی الناس ، ویشلّ الطاقات البشریة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الکمال والخیر هما اللذان یوصلان الناس إلی العدل لا القانون الذی یضعه من یضعه من أجل مصالحه ضارباً بمصالح الناس عرض الحائط ، فالقدسیّة والمحوریّة للعدل فی منطق القرآن الکریم وأهل البیت علیهم السلام ، والکمال هو الخیر وهو الذی ینبغی أن یکون قانوناً </w:t>
      </w:r>
      <w:r>
        <w:rPr>
          <w:rFonts w:eastAsia="IRNazanin" w:cs="IRNazanin"/>
          <w:color w:val="111111"/>
          <w:sz w:val="28"/>
          <w:szCs w:val="28"/>
          <w:rtl w:val="true"/>
          <w:lang w:bidi="fa-IR"/>
        </w:rPr>
        <w:t>.</w:t>
      </w:r>
      <w:bookmarkStart w:id="1015" w:name="pg5261_55551"/>
    </w:p>
    <w:p>
      <w:pPr>
        <w:pStyle w:val="Heading4"/>
        <w:numPr>
          <w:ilvl w:val="3"/>
          <w:numId w:val="1"/>
        </w:numPr>
        <w:rPr/>
      </w:pPr>
      <w:bookmarkStart w:id="1016" w:name="__RefHeading___Toc477744_581953129"/>
      <w:bookmarkStart w:id="1017" w:name="_Toc402"/>
      <w:bookmarkEnd w:id="1015"/>
      <w:bookmarkEnd w:id="1016"/>
      <w:r>
        <w:rPr>
          <w:rtl w:val="true"/>
        </w:rPr>
        <w:t>الفساد القانونی</w:t>
      </w:r>
      <w:bookmarkEnd w:id="1017"/>
    </w:p>
    <w:p>
      <w:pPr>
        <w:pStyle w:val="BookText"/>
        <w:rPr/>
      </w:pPr>
      <w:r>
        <w:rPr>
          <w:rFonts w:ascii="IRNazanin" w:hAnsi="IRNazanin" w:eastAsia="IRNazanin"/>
          <w:color w:val="111111"/>
          <w:sz w:val="28"/>
          <w:sz w:val="28"/>
          <w:szCs w:val="28"/>
          <w:rtl w:val="true"/>
          <w:lang w:bidi="fa-IR"/>
        </w:rPr>
        <w:t xml:space="preserve">وهناک میزان لفساد القانون ، ومفهوم الفساد لیس مقتصراً علی الفساد الإداری والفساد المالی ،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فساد قانونی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فی التقنین ، وهو الطّامة الکبری ، فهم یضعون القانون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یخالف هذا القانون یعدّ إرهاباً وعنفاً وخروجاً عن الشرعیة ، وهم یسخّرون الأدوات القانونیة والمحافل القانونیة الدولیة ضدّ الإسلام والمسلمین ، وهذا هو دیدن النظام العالمی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علینا أن نبحث عن الفساد القانونی فی النظام العالمی ، فهل کلّ من یعارض النظام العالمی یعتبر إرهابیاً؟ نعم ، هم یصوّرون أنّ الذین یعارضون هذا النظام العالمی أنّهم من الإرهابیین ، ومن الذین یقطعون الرؤوس ، وغیر ذلک من الأفعال المشینة ، ویخوّفون الشعوب الغربیة من المسلمین ، بینما منشأ الظلم هو القانون العالمی المتمثّل فی النظام العالمی الجدید ، وهو قانون متعجرف وبذیء یریدون فرضه علی العالم ، فهم انطلقوا من أیّ أصل؟ انطلقوا من أصل أنّ کلّ قانون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منطق أهل البیت علیهم السلام فإنّ منطقهم قائم علی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والأرض</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علاقة بین رفع السماء ووضع المیزان </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477746_581953129"/>
      <w:bookmarkStart w:id="1019" w:name="_Toc403"/>
      <w:bookmarkEnd w:id="1018"/>
      <w:r>
        <w:rPr>
          <w:rtl w:val="true"/>
        </w:rPr>
        <w:t>الفرق بین القانون العادل والقانون الظالم</w:t>
      </w:r>
      <w:bookmarkEnd w:id="10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ینبغی التفریق بین القانون العادل والقانون الظالم ، ویجب أن نرفض القول القائل أنّ ما یطابق القانون عدل وما یخالف القانون ظلم بدون البحث عن عدالة</w:t>
      </w:r>
      <w:bookmarkStart w:id="1020" w:name="pg5261_55554"/>
    </w:p>
    <w:p>
      <w:pPr>
        <w:pStyle w:val="BookText"/>
        <w:rPr/>
      </w:pPr>
      <w:bookmarkEnd w:id="1020"/>
      <w:r>
        <w:rPr>
          <w:rFonts w:ascii="IRNazanin" w:hAnsi="IRNazanin" w:eastAsia="IRNazanin"/>
          <w:color w:val="111111"/>
          <w:sz w:val="28"/>
          <w:sz w:val="28"/>
          <w:szCs w:val="28"/>
          <w:rtl w:val="true"/>
          <w:lang w:bidi="fa-IR"/>
        </w:rPr>
        <w:t xml:space="preserve">القانون نفسه ، إذن ما یطابق العدل من القوانین یعتبر قانوناً عادلاً وما یخالف العدل من القوانین یعتبر قانوناً جائراً وظالماً وغاشماً أسّسه الإقطاع والمستأثرون سواء علی المستوی الإقلیمی أو العالمی </w:t>
      </w:r>
      <w:r>
        <w:rPr>
          <w:rFonts w:eastAsia="IRNazanin" w:cs="IRNazanin"/>
          <w:color w:val="111111"/>
          <w:sz w:val="28"/>
          <w:szCs w:val="28"/>
          <w:rtl w:val="true"/>
          <w:lang w:bidi="fa-IR"/>
        </w:rPr>
        <w:t>.</w:t>
      </w:r>
    </w:p>
    <w:p>
      <w:pPr>
        <w:pStyle w:val="Heading4"/>
        <w:numPr>
          <w:ilvl w:val="3"/>
          <w:numId w:val="1"/>
        </w:numPr>
        <w:rPr/>
      </w:pPr>
      <w:bookmarkStart w:id="1021" w:name="__RefHeading___Toc477748_581953129"/>
      <w:bookmarkStart w:id="1022" w:name="_Toc404"/>
      <w:bookmarkEnd w:id="1021"/>
      <w:r>
        <w:rPr>
          <w:rtl w:val="true"/>
        </w:rPr>
        <w:t>حسن العدالة وقبح الظلم هل هو أمر حقیقی أم اعتباری ؟</w:t>
      </w:r>
      <w:bookmarkEnd w:id="1022"/>
    </w:p>
    <w:p>
      <w:pPr>
        <w:pStyle w:val="BookText"/>
        <w:rPr/>
      </w:pPr>
      <w:r>
        <w:rPr>
          <w:rFonts w:ascii="IRNazanin" w:hAnsi="IRNazanin" w:eastAsia="IRNazanin"/>
          <w:color w:val="111111"/>
          <w:sz w:val="28"/>
          <w:sz w:val="28"/>
          <w:szCs w:val="28"/>
          <w:rtl w:val="true"/>
          <w:lang w:bidi="fa-IR"/>
        </w:rPr>
        <w:t xml:space="preserve">ومن الشبهات التی یوردونها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أوردها الأمویّون من قبلهم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حسن العدالة وقبح الظلم هو اعتبار أدبی ولیس له واقعیة ، بدلیل أنّ کلّ عرف بشری منذ مرحلة الطفولة إلی المراحل الأخری له أعراف معیّنة ، وکلّ ما یخالف هذه الأعراف هو قبیح وما یوافقها فهو حسن ، فلو ذهبت إلی الهند ومارست عادات معیّنة فإنّ تلک العادات قد تکون قبیحة عندهم ، مع أنّها حسنة عندنا ، ولو قام أهل الهند بممارسة بعض عاداتهم فی البلاد العربیة قد تکون هذه العادات مستقبحة ، وکذلک بالنسبة لأهل البلاد الغربیة أو أتوا إلی البلاد العربیة ، ولو ذهب العربی إلی البلاد الغربیة بطریقة أکل معیّنة لاستقبح أهل البلاد هذه الطریقة أیضاً ، فهذه القبائح والمحاسن لیس لها ثبات ، بل هی متغیّرة بحسب البیئات </w:t>
      </w:r>
      <w:r>
        <w:rPr>
          <w:rFonts w:eastAsia="IRNazanin" w:cs="IRNazanin"/>
          <w:color w:val="111111"/>
          <w:sz w:val="28"/>
          <w:szCs w:val="28"/>
          <w:rtl w:val="true"/>
          <w:lang w:bidi="fa-IR"/>
        </w:rPr>
        <w:t>.</w:t>
      </w:r>
    </w:p>
    <w:p>
      <w:pPr>
        <w:pStyle w:val="Heading4"/>
        <w:numPr>
          <w:ilvl w:val="3"/>
          <w:numId w:val="1"/>
        </w:numPr>
        <w:rPr/>
      </w:pPr>
      <w:bookmarkStart w:id="1023" w:name="__RefHeading___Toc477750_581953129"/>
      <w:bookmarkStart w:id="1024" w:name="_Toc405"/>
      <w:bookmarkEnd w:id="1023"/>
      <w:r>
        <w:rPr>
          <w:rtl w:val="true"/>
        </w:rPr>
        <w:t>هل المحرمات والأخلاق تتغیّر بتغیّر البیئة ؟</w:t>
      </w:r>
      <w:bookmarkEnd w:id="102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فهم یحاولون أن یزرعوا فی الفهم الإسلامی أنّ المحرمات التی حرّمها اللّه تعالی التی تتعلّق بحفظ عفاف المرأة أو المحرمات الأخلاقیة التی ترتبط بالرجل أیضاً ، هذه محرمات أخلاقیة بحسب بیئة الجزیرة العربیة السابقة ، ولیست بحسب البیئات الغربیة أو الحدیثة ، فهم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الأخلاق تتغیّر بتغیّر البیئة ، فلیس عندنا عدالة أخلاقیة ثابتة لا تتغیّر ، ولا عدالة اقتصادیة ثابتة ، ولا عدالة قانونیة ثابتة ، ولا عدالة سیاسیة ثابتة ، أصلاً العدالة لیس لها واقعیة إنّما هی تتغیّر بتغیّر البیئة ، فإذا استطعنا أن نغیّر البیئة الإسلامیة إلی بیئة أُخری</w:t>
      </w:r>
      <w:bookmarkStart w:id="1025" w:name="pg5261_55556"/>
    </w:p>
    <w:p>
      <w:pPr>
        <w:pStyle w:val="BookText"/>
        <w:rPr/>
      </w:pPr>
      <w:bookmarkEnd w:id="1025"/>
      <w:r>
        <w:rPr>
          <w:rFonts w:ascii="IRNazanin" w:hAnsi="IRNazanin" w:eastAsia="IRNazanin"/>
          <w:color w:val="111111"/>
          <w:sz w:val="28"/>
          <w:sz w:val="28"/>
          <w:szCs w:val="28"/>
          <w:rtl w:val="true"/>
          <w:lang w:bidi="fa-IR"/>
        </w:rPr>
        <w:t xml:space="preserve">فینبغی علینا أن نأخذ بأخلاق البیئة غیر الإسلامیة ، وهذا الغزو الثقافی یستهدف تمییع المجتمعات الإسلامیة بحیث تستسیغ وجود المیوعة الأخلاقیة والزواج بین المثلین إلی غیرها من مشاکل الانحطاط الأخلاقی ، حتّی أنّهم قد لا یبیحون أموراً منحرفة ، ولکنّهم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تغیّرت البیئة فستکون هذه الأُمور المنحرفة أُموراً مستساغة وتکتسب الصفة القانونیة ، ومن یعارضها حینئذٍ فهو معارض للقانون وخارج علیه ،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باعتبارهم یعیشون قوّة فی الغریزة الجنسیة فلذلک حرّم علیهم السلام النظر إلی شعر المرأة ؛ لأنّهم یستثارون بسرعة ، أمّا غیرهم فالأمر یختلف ، ففی المجتمعات التی لیس لدیها قوّة فی الغریزة الجنسیة لا بأس أن یباح النظر إلی شعر المرأة ، مع أنّ الإحصائیات التی نشرتها جریدة الشرق الأوسط قبل مدّة تبیّن أنّ أکثر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الموظّفات الأمریکیات فی القطاع الخاص یتعرّضن للتحرّش الجنسی من قبل الرجال ابتداءً من رمش العیون مروراً بسطو الأیدی وصولاً إلی الاغتصاب ، وهذا یناقض ما یقولونه من أنّ شعر المرأة وجسمها غیر مثیر لتلک المجتمعات ، وأکبر دولة حققت رقماً قیاسیاً فی اعتداء الآباء علی بناتهن هی بریطانیا ، فهم ینقلبون علی الفطرة ویدخلون الجحیم ، ومع هذا فإنّهم یدعوننا لدخول جحیمهم </w:t>
      </w:r>
      <w:r>
        <w:rPr>
          <w:rFonts w:eastAsia="IRNazanin" w:cs="IRNazanin"/>
          <w:color w:val="111111"/>
          <w:sz w:val="28"/>
          <w:szCs w:val="28"/>
          <w:rtl w:val="true"/>
          <w:lang w:bidi="fa-IR"/>
        </w:rPr>
        <w:t>.</w:t>
      </w:r>
    </w:p>
    <w:p>
      <w:pPr>
        <w:pStyle w:val="Heading4"/>
        <w:numPr>
          <w:ilvl w:val="3"/>
          <w:numId w:val="1"/>
        </w:numPr>
        <w:rPr/>
      </w:pPr>
      <w:bookmarkStart w:id="1026" w:name="__RefHeading___Toc477752_581953129"/>
      <w:bookmarkStart w:id="1027" w:name="_Toc406"/>
      <w:bookmarkEnd w:id="1026"/>
      <w:r>
        <w:rPr>
          <w:rtl w:val="true"/>
        </w:rPr>
        <w:t>الشبهة قدیمة حدیثة</w:t>
      </w:r>
      <w:bookmarkEnd w:id="10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الشبهة قد ذکرها فی الزمان الماضی أبو الحسن الأشعری</w:t>
      </w:r>
      <w:r>
        <w:rPr>
          <w:rStyle w:val="FootnoteAnchor"/>
          <w:rtl w:val="true"/>
        </w:rPr>
        <w:footnoteReference w:id="199"/>
      </w:r>
      <w:r>
        <w:rPr>
          <w:rFonts w:ascii="IRNazanin" w:hAnsi="IRNazanin" w:eastAsia="IRNazanin"/>
          <w:color w:val="111111"/>
          <w:sz w:val="28"/>
          <w:sz w:val="28"/>
          <w:szCs w:val="28"/>
          <w:rtl w:val="true"/>
          <w:lang w:bidi="fa-IR"/>
        </w:rPr>
        <w:t xml:space="preserve">الذی تتبعه الکثیر من المذاهب الإسلامیة </w:t>
      </w:r>
      <w:r>
        <w:rPr>
          <w:rFonts w:eastAsia="IRNazanin" w:cs="IRNazanin"/>
          <w:color w:val="111111"/>
          <w:sz w:val="28"/>
          <w:szCs w:val="28"/>
          <w:rtl w:val="true"/>
          <w:lang w:bidi="fa-IR"/>
        </w:rPr>
        <w:t>.</w:t>
      </w:r>
      <w:bookmarkStart w:id="1028" w:name="pg5261_55558"/>
    </w:p>
    <w:p>
      <w:pPr>
        <w:pStyle w:val="Heading4"/>
        <w:numPr>
          <w:ilvl w:val="3"/>
          <w:numId w:val="1"/>
        </w:numPr>
        <w:rPr/>
      </w:pPr>
      <w:bookmarkStart w:id="1029" w:name="__RefHeading___Toc477754_581953129"/>
      <w:bookmarkStart w:id="1030" w:name="_Toc407"/>
      <w:bookmarkEnd w:id="1028"/>
      <w:bookmarkEnd w:id="1029"/>
      <w:r>
        <w:rPr>
          <w:rtl w:val="true"/>
        </w:rPr>
        <w:t>شبهة أنّ المدح والذم یمثّلان اعتباراً أدبیاً ولیس وجوداً حقیقیاً</w:t>
      </w:r>
      <w:bookmarkEnd w:id="1030"/>
    </w:p>
    <w:p>
      <w:pPr>
        <w:pStyle w:val="BookText"/>
        <w:rPr/>
      </w:pPr>
      <w:r>
        <w:rPr>
          <w:rFonts w:ascii="IRNazanin" w:hAnsi="IRNazanin" w:eastAsia="IRNazanin"/>
          <w:color w:val="111111"/>
          <w:sz w:val="28"/>
          <w:sz w:val="28"/>
          <w:szCs w:val="28"/>
          <w:rtl w:val="true"/>
          <w:lang w:bidi="fa-IR"/>
        </w:rPr>
        <w:t xml:space="preserve">والشبهة الأُخری هی أنّ المدح والثناء یمثّلان الحسن ، والذم یمثّل القبح ، وهذا یمثّل إنشاءً أدبیاً ولیس وجوداً خارجیاً </w:t>
      </w:r>
      <w:r>
        <w:rPr>
          <w:rFonts w:eastAsia="IRNazanin" w:cs="IRNazanin"/>
          <w:color w:val="111111"/>
          <w:sz w:val="28"/>
          <w:szCs w:val="28"/>
          <w:rtl w:val="true"/>
          <w:lang w:bidi="fa-IR"/>
        </w:rPr>
        <w:t>.</w:t>
      </w:r>
    </w:p>
    <w:p>
      <w:pPr>
        <w:pStyle w:val="Heading4"/>
        <w:numPr>
          <w:ilvl w:val="3"/>
          <w:numId w:val="1"/>
        </w:numPr>
        <w:rPr/>
      </w:pPr>
      <w:bookmarkStart w:id="1031" w:name="__RefHeading___Toc477756_581953129"/>
      <w:bookmarkStart w:id="1032" w:name="_Toc408"/>
      <w:bookmarkEnd w:id="1031"/>
      <w:r>
        <w:rPr>
          <w:rtl w:val="true"/>
        </w:rPr>
        <w:t>الدول الغربیة تحاول السیطرة علی وسائل الإعلام</w:t>
      </w:r>
      <w:bookmarkEnd w:id="1032"/>
    </w:p>
    <w:p>
      <w:pPr>
        <w:pStyle w:val="BookText"/>
        <w:rPr/>
      </w:pPr>
      <w:r>
        <w:rPr>
          <w:rFonts w:ascii="IRNazanin" w:hAnsi="IRNazanin" w:eastAsia="IRNazanin"/>
          <w:color w:val="111111"/>
          <w:sz w:val="28"/>
          <w:sz w:val="28"/>
          <w:szCs w:val="28"/>
          <w:rtl w:val="true"/>
          <w:lang w:bidi="fa-IR"/>
        </w:rPr>
        <w:t xml:space="preserve">نحن نری أنّ الدول الغربیة تحاول السیطرة علی وسائل الإعلام ، ویزعجها أیّ خروج علی ما ترید تخطیطه ، 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قناة المنار الفضائیة فی الدول الأوربیة ، والحجاب الإسلامی یمنع فی بعض البلدان الغربیة ، وهذا لا یمثّل خطأ فی نظرهم ؛ لأنّهم یعتبرون أنّ الثقافة الإسلامیة تمثّل خطراً علیهم ، والتضییق علی المسلمین فی أمریکا لیس ناشئاً من مشکلة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 وإنّما هو خوف أمریکا علی هویّتها من الإسلام ، وإنّ الإرهابیین قدّموا خدمة جلیلة لأمریکا مکّنتها من محاصرة الإسلام ، وتجمید الأرصدة المالیة التی تهدف إلی نشر الإسلام فی أمریکا حیث وفّر الإرهابیون الذریعة للغرب لمحاربة الإسلام وتعطیل مشاریعه </w:t>
      </w:r>
      <w:r>
        <w:rPr>
          <w:rFonts w:eastAsia="IRNazanin" w:cs="IRNazanin"/>
          <w:color w:val="111111"/>
          <w:sz w:val="28"/>
          <w:szCs w:val="28"/>
          <w:rtl w:val="true"/>
          <w:lang w:bidi="fa-IR"/>
        </w:rPr>
        <w:t>.</w:t>
      </w:r>
    </w:p>
    <w:p>
      <w:pPr>
        <w:pStyle w:val="Heading4"/>
        <w:numPr>
          <w:ilvl w:val="3"/>
          <w:numId w:val="1"/>
        </w:numPr>
        <w:rPr/>
      </w:pPr>
      <w:bookmarkStart w:id="1033" w:name="__RefHeading___Toc477758_581953129"/>
      <w:bookmarkStart w:id="1034" w:name="_Toc409"/>
      <w:bookmarkEnd w:id="1033"/>
      <w:r>
        <w:rPr>
          <w:rtl w:val="true"/>
        </w:rPr>
        <w:t>الجواب علی هذه الشبهات</w:t>
      </w:r>
      <w:bookmarkEnd w:id="1034"/>
    </w:p>
    <w:p>
      <w:pPr>
        <w:pStyle w:val="BookText"/>
        <w:rPr/>
      </w:pPr>
      <w:r>
        <w:rPr>
          <w:rFonts w:ascii="IRNazanin" w:hAnsi="IRNazanin" w:eastAsia="IRNazanin"/>
          <w:color w:val="111111"/>
          <w:sz w:val="28"/>
          <w:sz w:val="28"/>
          <w:szCs w:val="28"/>
          <w:rtl w:val="true"/>
          <w:lang w:bidi="fa-IR"/>
        </w:rPr>
        <w:t xml:space="preserve">الشبهة الأُولی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العدل أمر أدبی ولا وجود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الشبهة قد طرحها أبو الحسن الأشعری منذ ذلک الزمان</w:t>
      </w:r>
      <w:r>
        <w:rPr>
          <w:rStyle w:val="FootnoteAnchor"/>
          <w:rtl w:val="true"/>
        </w:rPr>
        <w:footnoteReference w:id="200"/>
      </w:r>
      <w:r>
        <w:rPr>
          <w:rFonts w:ascii="IRNazanin" w:hAnsi="IRNazanin" w:eastAsia="IRNazanin"/>
          <w:color w:val="111111"/>
          <w:sz w:val="28"/>
          <w:sz w:val="28"/>
          <w:szCs w:val="28"/>
          <w:rtl w:val="true"/>
          <w:lang w:bidi="fa-IR"/>
        </w:rPr>
        <w:t xml:space="preserve">، وهذه الفکرة تخدم سلاطین الجور ؛ لأنّهم حین یجورون فإنّ العدل هو أمر أدبی لا یتناقض مع جورهم ، وحینئذٍ یجدون مخرجاً من جورهم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یکون المدح أمراً أدبیاً؟ أنت حینما تحمد اللّه عزّ وجل فهل هذا الحمد یکون شیئاً أدبیاً أم أمراً واقعیاً؟</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نسأل الإقطاع الرأسمالی أو الإقطاع الأموی والعباسی ما الفرق بین الکمال والمدح؟ وما الفرق بین النقص والذم؟ وما الفرق بین الملائم والشیء والحسن؟</w:t>
      </w:r>
    </w:p>
    <w:p>
      <w:pPr>
        <w:pStyle w:val="BookText"/>
        <w:rPr/>
      </w:pP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فرق بین الملائم والشیء الحسن ، وهناک فرق بین الشیء غیر الملائم والذم ، وهذه مغالطة انطوت للأسف علی جملة من الفلاسفة الإسلامیین لقرون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والردّ علی هذه الشبهة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إنّک سمعت أنّ إنساناً یمدح إنساناً لنقص؟ أم أنّ الإنسان یمدح للکمال ، وإذا کان المدح أمراً أدبیاً خیالیاً ، کما هو حال بعض الشعراء الذین یصوّرون الأسود علی أنّه أبیض ، والأبیض علی أنّه أسود ، فهل هذا یغیّر من الواقع شیئاً؟ وهل هذا یحوّل النقص إلی کمال؟ وهل یتحوّل الجوع إلی شبع؟ وهل یتحوّل الاضطهاد إلی سلم؟ وهل یتحوّل الإیذاء إلی راحة؟ وهل یتحوّل الضیق والخناق إلی حریة؟ المدح والثناء نفس الحمد، فهل نحمد اللّه ما هو نقص فیه؟</w:t>
      </w:r>
    </w:p>
    <w:p>
      <w:pPr>
        <w:pStyle w:val="BookText"/>
        <w:rPr/>
      </w:pPr>
      <w:r>
        <w:rPr>
          <w:rFonts w:ascii="IRNazanin" w:hAnsi="IRNazanin" w:eastAsia="IRNazanin"/>
          <w:color w:val="111111"/>
          <w:sz w:val="28"/>
          <w:sz w:val="28"/>
          <w:szCs w:val="28"/>
          <w:rtl w:val="true"/>
          <w:lang w:bidi="fa-IR"/>
        </w:rPr>
        <w:t>طبعاً لا ، وإنّما نحمده علی ما هو کمال فیه ، فلا یمکن أن ینفصل المدح عن الکمال إلّامن شخص مهرّج أو مغالط أو من یتّخذ من الدجل منهجاً ، فإذا کان المدح لصیق العدالة فلا بدّ أن تکون العدالة ملازمة للکمال ، بل العدالة هی عین الکمال ، إذن العدل أمر واقعی فی کلّ المجالات ، والعدالة التی لیست کمالاً هی لیست عدالة ، ولا یمکن أن لا یکون الکمال عدلاً ، وکیف یکون النقص عدلاً؟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الظلم أیضاً ملازم للنقص ، وبالتالی الذمّ یکون ملازماً للنقص وملازماً للظلم ، وحینئذٍ لا یمکن أن یکون التعسّف قانوناً ، ویجب أن یخضع القانون للکمال ، لا أن یخضع الکمال للقانون ، القانون یجب أن یؤمّن الکمال لا العکس ، أیّ قانون هذا إنّه قانون الغابات وقانون الأنیاب وامتصاص الثروات والخیرات ، وحتّی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الحیوانات تمتلک قانوناً معیّناً ، وهذا ما نشاهده فی الأفلام التی ینتجها الغرب ، حتّی السبعیة لها قانون ، فکلّما کان السبع أقوی کلّما تمکّن أکثر ، ولا تستطیع الدول الغربیة بإقناع شعوبها بخلاف العدل ؛ لأنّ العدل أمر فطری ، ولا زالت الشعوب الأوربیة ترفض الصهیونیة رغم کلّ الجهود والإمکانیات الضخمة من أجل التسویق للصهیونیة إلّاأنّهم اصطدموا بالفطرة عند الإنسان الأوربی </w:t>
      </w:r>
      <w:r>
        <w:rPr>
          <w:rFonts w:eastAsia="IRNazanin" w:cs="IRNazanin"/>
          <w:color w:val="111111"/>
          <w:sz w:val="28"/>
          <w:szCs w:val="28"/>
          <w:rtl w:val="true"/>
          <w:lang w:bidi="fa-IR"/>
        </w:rPr>
        <w:t>.</w:t>
      </w:r>
      <w:bookmarkStart w:id="1035" w:name="pg5261_55565"/>
    </w:p>
    <w:p>
      <w:pPr>
        <w:pStyle w:val="Heading3"/>
        <w:numPr>
          <w:ilvl w:val="2"/>
          <w:numId w:val="1"/>
        </w:numPr>
        <w:rPr/>
      </w:pPr>
      <w:bookmarkStart w:id="1036" w:name="__RefHeading___Toc477760_581953129"/>
      <w:bookmarkStart w:id="1037" w:name="_Toc410"/>
      <w:bookmarkEnd w:id="1035"/>
      <w:bookmarkEnd w:id="1036"/>
      <w:r>
        <w:rPr>
          <w:rtl w:val="true"/>
        </w:rPr>
        <w:t>المحاضرة الرابعة ضوابط العدل ومنطلقاته</w:t>
      </w:r>
      <w:bookmarkEnd w:id="1037"/>
    </w:p>
    <w:p>
      <w:pPr>
        <w:pStyle w:val="Heading4"/>
        <w:numPr>
          <w:ilvl w:val="3"/>
          <w:numId w:val="1"/>
        </w:numPr>
        <w:rPr/>
      </w:pPr>
      <w:bookmarkStart w:id="1038" w:name="__RefHeading___Toc477762_581953129"/>
      <w:bookmarkStart w:id="1039" w:name="_Toc411"/>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الأمر الاعتباری عن الأمر التکوینی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کلّ قانون عدل؟</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محوریة العدل فی خطاب 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تسرّب فکرة أنّ العدل أمر أدبی للفقه الإمامی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بمعنی المدح التخیّلی الفرضی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ضابطة العدل؟</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الإنسان مرکز التقنین أم اللّه؟</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الحقوقیة تکوینیة ولیست ولیدة التقنین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جعل للإنسان المعادلة التی تحقق سعادته </w:t>
      </w:r>
      <w:r>
        <w:rPr>
          <w:rFonts w:eastAsia="IRNazanin" w:cs="IRNazanin"/>
          <w:color w:val="111111"/>
          <w:sz w:val="28"/>
          <w:szCs w:val="28"/>
          <w:rtl w:val="true"/>
          <w:lang w:bidi="fa-IR"/>
        </w:rPr>
        <w:t>.</w:t>
      </w:r>
    </w:p>
    <w:p>
      <w:pPr>
        <w:pStyle w:val="Heading4"/>
        <w:numPr>
          <w:ilvl w:val="3"/>
          <w:numId w:val="1"/>
        </w:numPr>
        <w:rPr/>
      </w:pPr>
      <w:bookmarkStart w:id="1040" w:name="__RefHeading___Toc477764_581953129"/>
      <w:bookmarkStart w:id="1041" w:name="_Toc412"/>
      <w:bookmarkEnd w:id="1040"/>
      <w:r>
        <w:rPr>
          <w:rtl w:val="true"/>
        </w:rPr>
        <w:t>العدالة فی القرآن الکریم</w:t>
      </w:r>
      <w:bookmarkEnd w:id="104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اللّه بعناوین ثلاثة ، ونهی عن عناوین ثلاثة فی هذه</w:t>
      </w:r>
      <w:bookmarkStart w:id="1042" w:name="pg5261_55567"/>
    </w:p>
    <w:p>
      <w:pPr>
        <w:pStyle w:val="BookText"/>
        <w:rPr/>
      </w:pPr>
      <w:bookmarkEnd w:id="1042"/>
      <w:r>
        <w:rPr>
          <w:rFonts w:ascii="Amiri" w:hAnsi="Amiri" w:eastAsia="Amiri" w:cs="Amiri"/>
          <w:color w:val="111111"/>
          <w:sz w:val="28"/>
          <w:sz w:val="28"/>
          <w:szCs w:val="28"/>
          <w:rtl w:val="true"/>
          <w:lang w:bidi="ar-SA"/>
        </w:rPr>
        <w:t xml:space="preserve">الآیة ، وفی آیة أُخری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القیام بالقسط مقارناً للشهادة الأُولی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فکون العدالة من الصفات الإلهیة ، ومن أصول الدین ، ومن أصول المجتمع الدینی هذا أمر بیِّن فی آیات القرآن الکریم ، والعدل هو العنوان الذی نادی به سید الشهداء علیه السلام ، وکان محوراً من محاور ثورته علیه السلام ، وجعله من علل نهضته </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477766_581953129"/>
      <w:bookmarkStart w:id="1044" w:name="_Toc413"/>
      <w:bookmarkEnd w:id="1043"/>
      <w:r>
        <w:rPr>
          <w:rtl w:val="true"/>
        </w:rPr>
        <w:t>محوریة العدل أم القانون ؟</w:t>
      </w:r>
      <w:bookmarkEnd w:id="1044"/>
    </w:p>
    <w:p>
      <w:pPr>
        <w:pStyle w:val="BookText"/>
        <w:rPr/>
      </w:pPr>
      <w:r>
        <w:rPr>
          <w:rFonts w:ascii="IRNazanin" w:hAnsi="IRNazanin" w:eastAsia="IRNazanin"/>
          <w:color w:val="111111"/>
          <w:sz w:val="28"/>
          <w:sz w:val="28"/>
          <w:szCs w:val="28"/>
          <w:rtl w:val="true"/>
          <w:lang w:bidi="fa-IR"/>
        </w:rPr>
        <w:t>تکلّمنا سابقاً عن إشکالیة هل العدل هو المدار أم القانون والتقنین هو المدار؟ وهل العدل حقیقة تکوینیة واقعیة عینیّة خارجیة ثابتة أم أنّ العدل فی أیّ مجال من المجالات أمر أدبی اعتباری یقنّنه المقنّن فی ظلّ اعتبار قانونی یُفترض ویُعتبر ویُنشأ ویُتعاقد علیه؟</w:t>
      </w:r>
    </w:p>
    <w:p>
      <w:pPr>
        <w:pStyle w:val="Heading4"/>
        <w:numPr>
          <w:ilvl w:val="3"/>
          <w:numId w:val="1"/>
        </w:numPr>
        <w:rPr/>
      </w:pPr>
      <w:bookmarkStart w:id="1045" w:name="__RefHeading___Toc477768_581953129"/>
      <w:bookmarkStart w:id="1046" w:name="_Toc414"/>
      <w:bookmarkEnd w:id="1045"/>
      <w:r>
        <w:rPr>
          <w:rtl w:val="true"/>
        </w:rPr>
        <w:t>اختلاف الأمر الاعتباری عن الأمر التکوینی</w:t>
      </w:r>
      <w:bookmarkEnd w:id="1046"/>
    </w:p>
    <w:p>
      <w:pPr>
        <w:pStyle w:val="BookText"/>
        <w:rPr/>
      </w:pPr>
      <w:r>
        <w:rPr>
          <w:rFonts w:ascii="IRNazanin" w:hAnsi="IRNazanin" w:eastAsia="IRNazanin"/>
          <w:color w:val="111111"/>
          <w:sz w:val="28"/>
          <w:sz w:val="28"/>
          <w:szCs w:val="28"/>
          <w:rtl w:val="true"/>
          <w:lang w:bidi="fa-IR"/>
        </w:rPr>
        <w:t xml:space="preserve">الأمر الاعتباری غیر الأمر التکوینی ، الأمر التکوینی له وجود فیزیائی ، ویقابله وجود ما وراء الفیزیاء المادیّة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البرزخ وعوالم الآخرة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والوجود الاعتباری فی العلوم أمر یُفترض فی الذهن ویُتصوّر ، فإذا کان لأجل أغراض ومصالح یکون اعتباراً هادفاً له ثمرات ، ولدینا منظومة من العلوم</w:t>
      </w:r>
      <w:bookmarkStart w:id="1047" w:name="pg5261_55569"/>
    </w:p>
    <w:p>
      <w:pPr>
        <w:pStyle w:val="BookText"/>
        <w:rPr/>
      </w:pPr>
      <w:bookmarkEnd w:id="1047"/>
      <w:r>
        <w:rPr>
          <w:rFonts w:ascii="IRNazanin" w:hAnsi="IRNazanin" w:eastAsia="IRNazanin"/>
          <w:color w:val="111111"/>
          <w:sz w:val="28"/>
          <w:sz w:val="28"/>
          <w:szCs w:val="28"/>
          <w:rtl w:val="true"/>
          <w:lang w:bidi="fa-IR"/>
        </w:rPr>
        <w:t xml:space="preserve">والمسائل تقوم علی الاعتبار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القانون یقوم علی الاعتبار ، وعلوم اللغة جانب کبیر منها یقوم علی الاعتبار ؛ لأنّ ألفاظ أی لغة لها ارتباطها مع المعنی بتعاقد أبناء تلک اللغة ، وإلّا فما الرابط بین هذه اللفظة والمعنی؟</w:t>
      </w:r>
    </w:p>
    <w:p>
      <w:pPr>
        <w:pStyle w:val="BookText"/>
        <w:rPr/>
      </w:pPr>
      <w:r>
        <w:rPr>
          <w:rFonts w:ascii="IRNazanin" w:hAnsi="IRNazanin" w:eastAsia="IRNazanin"/>
          <w:color w:val="111111"/>
          <w:sz w:val="28"/>
          <w:sz w:val="28"/>
          <w:szCs w:val="28"/>
          <w:rtl w:val="true"/>
          <w:lang w:bidi="fa-IR"/>
        </w:rPr>
        <w:t xml:space="preserve">فالرابط بین اللفظة والمعنی ارتباط أدبی اعتباری ولیس ارتباطاً تکوینیاً ، کذلک سائر علوم اللغة من الصرف والنحو والبلاغة والاشتقاق ، کلّ تلک العلوم علوم اعتباریة </w:t>
      </w:r>
      <w:r>
        <w:rPr>
          <w:rFonts w:eastAsia="IRNazanin" w:cs="IRNazanin"/>
          <w:color w:val="111111"/>
          <w:sz w:val="28"/>
          <w:szCs w:val="28"/>
          <w:rtl w:val="true"/>
          <w:lang w:bidi="fa-IR"/>
        </w:rPr>
        <w:t>.</w:t>
      </w:r>
    </w:p>
    <w:p>
      <w:pPr>
        <w:pStyle w:val="Heading4"/>
        <w:numPr>
          <w:ilvl w:val="3"/>
          <w:numId w:val="1"/>
        </w:numPr>
        <w:rPr/>
      </w:pPr>
      <w:bookmarkStart w:id="1048" w:name="__RefHeading___Toc477770_581953129"/>
      <w:bookmarkStart w:id="1049" w:name="_Toc415"/>
      <w:bookmarkEnd w:id="1048"/>
      <w:r>
        <w:rPr>
          <w:rtl w:val="true"/>
        </w:rPr>
        <w:t>جعلوا العدل أمراً اعتباریاً خدمة لمصالحهم</w:t>
      </w:r>
      <w:bookmarkEnd w:id="1049"/>
    </w:p>
    <w:p>
      <w:pPr>
        <w:pStyle w:val="BookText"/>
        <w:rPr/>
      </w:pPr>
      <w:r>
        <w:rPr>
          <w:rFonts w:ascii="IRNazanin" w:hAnsi="IRNazanin" w:eastAsia="IRNazanin"/>
          <w:color w:val="111111"/>
          <w:sz w:val="28"/>
          <w:sz w:val="28"/>
          <w:szCs w:val="28"/>
          <w:rtl w:val="true"/>
          <w:lang w:bidi="fa-IR"/>
        </w:rPr>
        <w:t xml:space="preserve">هذا یقع الکلام فی هل أنّ العدل وأحکام العدل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العدل وضرورة العدل من الأُمور الاعتباریة؟ بمعنی هل أنّ العدل من الأُمور التی یتّفق علیها الناس ، ویضعونها فی قانون کما یشاؤون؟ کما هو حال اللفظ والمعنی حیث یمکن أن یتغیّر أمرها ، کما غیَّر أتاتورک حروف اللغة الترکیة من حروف عربیة إلی حروف لاتینیة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الجدل فی الفکر البشری قدیم وحدیث ، وأصحاب الإقطاع المالی قد تبنّوا رأی أنّ العدل أمر اعتباری خدمة لمصالحهم ؛ وذلک تسخیراً للأُمور الفکریة لخدمة مصالحهم المادیة ، ومن أجل بسط قدرتهم فی المجتمع </w:t>
      </w:r>
      <w:r>
        <w:rPr>
          <w:rFonts w:eastAsia="IRNazanin" w:cs="IRNazanin"/>
          <w:color w:val="111111"/>
          <w:sz w:val="28"/>
          <w:szCs w:val="28"/>
          <w:rtl w:val="true"/>
          <w:lang w:bidi="fa-IR"/>
        </w:rPr>
        <w:t>.</w:t>
      </w:r>
    </w:p>
    <w:p>
      <w:pPr>
        <w:pStyle w:val="Heading4"/>
        <w:numPr>
          <w:ilvl w:val="3"/>
          <w:numId w:val="1"/>
        </w:numPr>
        <w:rPr/>
      </w:pPr>
      <w:bookmarkStart w:id="1050" w:name="__RefHeading___Toc477772_581953129"/>
      <w:bookmarkStart w:id="1051" w:name="_Toc416"/>
      <w:bookmarkEnd w:id="1050"/>
      <w:r>
        <w:rPr>
          <w:rtl w:val="true"/>
        </w:rPr>
        <w:t>هل کلّ قانون عدل ؟</w:t>
      </w:r>
      <w:bookmarkEnd w:id="105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حدث هذا الأمر فی الیونان ، کما حدث فی أیام حکم بنی أمیة ، حیث سخّروا العدید من الأقلام والشخصیات العلمیة للترویج لمثل هذه الأفکار من أجل خدمة مصالحهم ، وهم یریدون أن یجعلوا العدل أمراً أدبیاً اعتباریاً حتّی یکون المدار علی القانون ، فیقنّنون ما أرادوا وما یخدم مصالحهم ، ویجعلون هذا القانون ملزماً ، وبذلک تتحقق مصالحهم فتکون العدالة متمثّلة فی تطبیق القانون</w:t>
      </w:r>
      <w:bookmarkStart w:id="1052" w:name="pg5261_55571"/>
    </w:p>
    <w:p>
      <w:pPr>
        <w:pStyle w:val="BookText"/>
        <w:rPr/>
      </w:pPr>
      <w:bookmarkEnd w:id="1052"/>
      <w:r>
        <w:rPr>
          <w:rFonts w:ascii="IRNazanin" w:hAnsi="IRNazanin" w:eastAsia="IRNazanin"/>
          <w:color w:val="111111"/>
          <w:sz w:val="28"/>
          <w:sz w:val="28"/>
          <w:szCs w:val="28"/>
          <w:rtl w:val="true"/>
          <w:lang w:bidi="fa-IR"/>
        </w:rPr>
        <w:t xml:space="preserve">الذی وضعوه ، والخروج علی القانون الظالم فی منطقهم خروج علی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المدار علی القانون لا العدل، ومن ثمّ وضعواقاعدة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قانون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القانون عندما یکون بأیدی ذوی القدرة والنفوذ یقنّنون فیه ما یشاؤون ، والخارج علی القانون یعتبر خارج عن العدالة ، ویحاسب ، ویکون إرهابیاً وعنجهیاً وخارجاً عن القانون ، بینما إذا جعلنا العدالة هی المدار فتکون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عدل قانون ، ولیس کلّ قانون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فحینئذٍ أیّ قانون من القوانین إذا لم یتوافق مع العدل یکون هباءً منثوراً ؛ لأنّ المدار علی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یکون المحور هو العدل فی الفکر البشری والفکر القانونی والفکر السیاسی والفکر الفلسفی والفکر الثقافی؟ یکون العدل هو المدار إذا جعلنا للعدل عینیة خارجیة ، ورفضنا فکرة أنّ العدل أمر اعتباری </w:t>
      </w:r>
      <w:r>
        <w:rPr>
          <w:rFonts w:eastAsia="IRNazanin" w:cs="IRNazanin"/>
          <w:color w:val="111111"/>
          <w:sz w:val="28"/>
          <w:szCs w:val="28"/>
          <w:rtl w:val="true"/>
          <w:lang w:bidi="fa-IR"/>
        </w:rPr>
        <w:t>.</w:t>
      </w:r>
    </w:p>
    <w:p>
      <w:pPr>
        <w:pStyle w:val="Heading4"/>
        <w:numPr>
          <w:ilvl w:val="3"/>
          <w:numId w:val="1"/>
        </w:numPr>
        <w:rPr/>
      </w:pPr>
      <w:bookmarkStart w:id="1053" w:name="__RefHeading___Toc477774_581953129"/>
      <w:bookmarkStart w:id="1054" w:name="_Toc417"/>
      <w:bookmarkEnd w:id="1053"/>
      <w:r>
        <w:rPr>
          <w:rtl w:val="true"/>
        </w:rPr>
        <w:t>محوریة العدل فی خطاب سید الشهداء علیه السلام</w:t>
      </w:r>
      <w:bookmarkEnd w:id="1054"/>
    </w:p>
    <w:p>
      <w:pPr>
        <w:pStyle w:val="BookText"/>
        <w:rPr/>
      </w:pPr>
      <w:r>
        <w:rPr>
          <w:rFonts w:ascii="IRNazanin" w:hAnsi="IRNazanin" w:eastAsia="IRNazanin"/>
          <w:color w:val="111111"/>
          <w:sz w:val="28"/>
          <w:sz w:val="28"/>
          <w:szCs w:val="28"/>
          <w:rtl w:val="true"/>
          <w:lang w:bidi="fa-IR"/>
        </w:rPr>
        <w:t xml:space="preserve">وهذا ما نلمسه فی خطابات سید الشیهداء علیه السلام التی کانت تُعنی بتعبئة وعی الأُمّة بهذه الصحوة ، حیث کان العدل هو المحور فی فکر سید الشهداء علیه السلام ، بینما السلطة الأمویة کانت تتشبّث بقوانین ظالمة وتجعلها هی المدار ، وتجعل سیرة الخلفاء الذین سبقوا هی الشرعیة بینما الحقیقة والواقع أنّ العدل هو المحور ، وسید الشهداء علیه السلام حاول أن ینسف هذه النظریة التی کانت تحاول أن تجعل القوانین هی الحاکمة حتّی ولو کانت قوانین لا صلة لها بالعدل </w:t>
      </w:r>
      <w:r>
        <w:rPr>
          <w:rFonts w:eastAsia="IRNazanin" w:cs="IRNazanin"/>
          <w:color w:val="111111"/>
          <w:sz w:val="28"/>
          <w:szCs w:val="28"/>
          <w:rtl w:val="true"/>
          <w:lang w:bidi="fa-IR"/>
        </w:rPr>
        <w:t>.</w:t>
      </w:r>
    </w:p>
    <w:p>
      <w:pPr>
        <w:pStyle w:val="Heading4"/>
        <w:numPr>
          <w:ilvl w:val="3"/>
          <w:numId w:val="1"/>
        </w:numPr>
        <w:rPr/>
      </w:pPr>
      <w:bookmarkStart w:id="1055" w:name="__RefHeading___Toc477776_581953129"/>
      <w:bookmarkStart w:id="1056" w:name="_Toc418"/>
      <w:bookmarkEnd w:id="1055"/>
      <w:r>
        <w:rPr>
          <w:rtl w:val="true"/>
        </w:rPr>
        <w:t>تسرّب فکرة أنّ العدل أمر أدبی للفقه الإمامی</w:t>
      </w:r>
      <w:bookmarkEnd w:id="105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بنا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العدل أمر أدبی ، والتقبیح للظلم أیضاً أمر أدبی اعتباری ، وقد تسرّبت هذه الفکرة الخاطئة إلی الفقه الإمامی نتیجة تأثّر بعض فلاسفة الإمامیة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بهذه الفکرة </w:t>
      </w:r>
      <w:r>
        <w:rPr>
          <w:rFonts w:eastAsia="IRNazanin" w:cs="IRNazanin"/>
          <w:color w:val="111111"/>
          <w:sz w:val="28"/>
          <w:szCs w:val="28"/>
          <w:rtl w:val="true"/>
          <w:lang w:bidi="fa-IR"/>
        </w:rPr>
        <w:t>.</w:t>
      </w:r>
      <w:bookmarkStart w:id="1057" w:name="pg5261_55572"/>
    </w:p>
    <w:p>
      <w:pPr>
        <w:pStyle w:val="Heading4"/>
        <w:numPr>
          <w:ilvl w:val="3"/>
          <w:numId w:val="1"/>
        </w:numPr>
        <w:rPr/>
      </w:pPr>
      <w:bookmarkStart w:id="1058" w:name="__RefHeading___Toc477778_581953129"/>
      <w:bookmarkStart w:id="1059" w:name="_Toc419"/>
      <w:bookmarkEnd w:id="1057"/>
      <w:bookmarkEnd w:id="1058"/>
      <w:r>
        <w:rPr>
          <w:rtl w:val="true"/>
        </w:rPr>
        <w:t>ابن سینا من الفرقة الإسماعیلیة</w:t>
      </w:r>
      <w:bookmarkEnd w:id="1059"/>
    </w:p>
    <w:p>
      <w:pPr>
        <w:pStyle w:val="BookText"/>
        <w:rPr/>
      </w:pPr>
      <w:r>
        <w:rPr>
          <w:rFonts w:ascii="IRNazanin" w:hAnsi="IRNazanin" w:eastAsia="IRNazanin"/>
          <w:color w:val="111111"/>
          <w:sz w:val="28"/>
          <w:sz w:val="28"/>
          <w:szCs w:val="28"/>
          <w:rtl w:val="true"/>
          <w:lang w:bidi="fa-IR"/>
        </w:rPr>
        <w:t xml:space="preserve">وکان والد ابن سینا من الفرقة الإسماعیلیة ، وهی من فرق الشیعة ، وابن سینا کان یتمتّع بنبوغ وقدرة فکریة کبیرة ، وقد ولد بعد قرن من مدرسة أبی الحسن الأشعری الذی تتّبعه أکثر المذاهب الإسلامیة من غیر المذهب الإمامی ، وقسم آخر من المسلمین یتّبع المذهب المعتزلی </w:t>
      </w:r>
      <w:r>
        <w:rPr>
          <w:rFonts w:eastAsia="IRNazanin" w:cs="IRNazanin"/>
          <w:color w:val="111111"/>
          <w:sz w:val="28"/>
          <w:szCs w:val="28"/>
          <w:rtl w:val="true"/>
          <w:lang w:bidi="fa-IR"/>
        </w:rPr>
        <w:t>.</w:t>
      </w:r>
    </w:p>
    <w:p>
      <w:pPr>
        <w:pStyle w:val="Heading4"/>
        <w:numPr>
          <w:ilvl w:val="3"/>
          <w:numId w:val="1"/>
        </w:numPr>
        <w:rPr/>
      </w:pPr>
      <w:bookmarkStart w:id="1060" w:name="__RefHeading___Toc477780_581953129"/>
      <w:bookmarkStart w:id="1061" w:name="_Toc420"/>
      <w:bookmarkEnd w:id="1060"/>
      <w:r>
        <w:rPr>
          <w:rtl w:val="true"/>
        </w:rPr>
        <w:t>تأثیر ابن سینا علی قافلة الفلاسفة من بعده</w:t>
      </w:r>
      <w:bookmarkEnd w:id="1061"/>
    </w:p>
    <w:p>
      <w:pPr>
        <w:pStyle w:val="BookText"/>
        <w:rPr/>
      </w:pPr>
      <w:r>
        <w:rPr>
          <w:rFonts w:ascii="IRNazanin" w:hAnsi="IRNazanin" w:eastAsia="IRNazanin"/>
          <w:color w:val="111111"/>
          <w:sz w:val="28"/>
          <w:sz w:val="28"/>
          <w:szCs w:val="28"/>
          <w:rtl w:val="true"/>
          <w:lang w:bidi="fa-IR"/>
        </w:rPr>
        <w:t xml:space="preserve">وکان ابن سینا النابغة الذی وصفه البعض لشدّة نبوغة أنّه واحد لا ثانی له ، وإن کنت لا أعتقد فیه هذا ، ولکن من المسلم أنّه نابغة ، مع ذلک تأثّر ابن سینا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العدل وقبح الظلم لیس أمراً بدیهیاً ، وبعد تأثّر ابن سینا تأثّرات قافلة الفلاسفة من بعده ، وحتّی فلاسفة الإمامیة تأثّروا بهذا الرأی ، وتسرّب هذا الرأی إلی الکتب الفقهیة ، ولکن بحمد اللّه فإنّ الأکثریة من الفقهاء لم یتأثّروا بهذه الشبهة </w:t>
      </w:r>
      <w:r>
        <w:rPr>
          <w:rFonts w:eastAsia="IRNazanin" w:cs="IRNazanin"/>
          <w:color w:val="111111"/>
          <w:sz w:val="28"/>
          <w:szCs w:val="28"/>
          <w:rtl w:val="true"/>
          <w:lang w:bidi="fa-IR"/>
        </w:rPr>
        <w:t>.</w:t>
      </w:r>
    </w:p>
    <w:p>
      <w:pPr>
        <w:pStyle w:val="Heading4"/>
        <w:numPr>
          <w:ilvl w:val="3"/>
          <w:numId w:val="1"/>
        </w:numPr>
        <w:rPr/>
      </w:pPr>
      <w:bookmarkStart w:id="1062" w:name="__RefHeading___Toc477782_581953129"/>
      <w:bookmarkStart w:id="1063" w:name="_Toc421"/>
      <w:bookmarkEnd w:id="1062"/>
      <w:r>
        <w:rPr>
          <w:rtl w:val="true"/>
        </w:rPr>
        <w:t>استقلال المذهب الإمامی عن الأنظمة الحاکمة</w:t>
      </w:r>
      <w:bookmarkEnd w:id="1063"/>
    </w:p>
    <w:p>
      <w:pPr>
        <w:pStyle w:val="BookText"/>
        <w:rPr/>
      </w:pPr>
      <w:r>
        <w:rPr>
          <w:rFonts w:ascii="IRNazanin" w:hAnsi="IRNazanin" w:eastAsia="IRNazanin"/>
          <w:color w:val="111111"/>
          <w:sz w:val="28"/>
          <w:sz w:val="28"/>
          <w:szCs w:val="28"/>
          <w:rtl w:val="true"/>
          <w:lang w:bidi="fa-IR"/>
        </w:rPr>
        <w:t xml:space="preserve">وقد سخّرت السلطات الحاکمة هذه الأفکار فی خدمة بقائها وسیطرتها علی الأُمور ، وقد تمیّز المذهب الإمامی بأنّه مذهب مستقل فکریاً ، ومتحرّر من سیطرة الأنظمة الحاکمة </w:t>
      </w:r>
      <w:r>
        <w:rPr>
          <w:rFonts w:eastAsia="IRNazanin" w:cs="IRNazanin"/>
          <w:color w:val="111111"/>
          <w:sz w:val="28"/>
          <w:szCs w:val="28"/>
          <w:rtl w:val="true"/>
          <w:lang w:bidi="fa-IR"/>
        </w:rPr>
        <w:t>.</w:t>
      </w:r>
    </w:p>
    <w:p>
      <w:pPr>
        <w:pStyle w:val="Heading4"/>
        <w:numPr>
          <w:ilvl w:val="3"/>
          <w:numId w:val="1"/>
        </w:numPr>
        <w:rPr/>
      </w:pPr>
      <w:bookmarkStart w:id="1064" w:name="__RefHeading___Toc477784_581953129"/>
      <w:bookmarkStart w:id="1065" w:name="_Toc422"/>
      <w:bookmarkEnd w:id="1064"/>
      <w:r>
        <w:rPr>
          <w:rtl w:val="true"/>
        </w:rPr>
        <w:t>رأی الأشعری فی حسن العدل وقبح الظلم</w:t>
      </w:r>
      <w:bookmarkEnd w:id="1065"/>
    </w:p>
    <w:p>
      <w:pPr>
        <w:pStyle w:val="BookText"/>
        <w:rPr/>
      </w:pPr>
      <w:r>
        <w:rPr>
          <w:rFonts w:ascii="IRNazanin" w:hAnsi="IRNazanin" w:eastAsia="IRNazanin"/>
          <w:color w:val="111111"/>
          <w:sz w:val="28"/>
          <w:sz w:val="28"/>
          <w:szCs w:val="28"/>
          <w:rtl w:val="true"/>
          <w:lang w:bidi="fa-IR"/>
        </w:rPr>
        <w:t xml:space="preserve">أبو الحسن الأشعری کان ممّن تبنّی رأی أنّ العدالة لیس لها حقیقة عینیة ، وإنّما هی أمر فرضی أدبی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له معان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الکمال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الملائمة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یستحسنه الإنسان ، وأمّا ما لا یلائمه فهو ما ینفر منه ویستقبحه ، فالملائم حسن للطبع </w:t>
      </w:r>
      <w:r>
        <w:rPr>
          <w:rFonts w:eastAsia="IRNazanin" w:cs="IRNazanin"/>
          <w:color w:val="111111"/>
          <w:sz w:val="28"/>
          <w:szCs w:val="28"/>
          <w:rtl w:val="true"/>
          <w:lang w:bidi="fa-IR"/>
        </w:rPr>
        <w:t>.</w:t>
      </w:r>
      <w:bookmarkStart w:id="1066" w:name="pg5261_55574"/>
    </w:p>
    <w:p>
      <w:pPr>
        <w:pStyle w:val="BookText"/>
        <w:rPr/>
      </w:pPr>
      <w:bookmarkEnd w:id="1066"/>
      <w:r>
        <w:rPr>
          <w:rFonts w:ascii="IRNazanin" w:hAnsi="IRNazanin" w:eastAsia="IRNazanin"/>
          <w:color w:val="111111"/>
          <w:sz w:val="28"/>
          <w:sz w:val="28"/>
          <w:szCs w:val="28"/>
          <w:rtl w:val="true"/>
          <w:lang w:bidi="fa-IR"/>
        </w:rPr>
        <w:t xml:space="preserve">والمعنی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المدح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المدح هو أمر تخیّلی فرضی أدبی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المعانی الثلاثة للحسن یقابلها معانی القبح بمعنی النقص ، والقبح فی مقابل الکمال وهو أمر تکوینی ولیس أمراً افتراضیاً أدبیاً ، والقبح بمعنی الشیء المنفّر للطبع ، والقبح بمعنی الذم </w:t>
      </w:r>
      <w:r>
        <w:rPr>
          <w:rFonts w:eastAsia="IRNazanin" w:cs="IRNazanin"/>
          <w:color w:val="111111"/>
          <w:sz w:val="28"/>
          <w:szCs w:val="28"/>
          <w:rtl w:val="true"/>
          <w:lang w:bidi="fa-IR"/>
        </w:rPr>
        <w:t>.</w:t>
      </w:r>
    </w:p>
    <w:p>
      <w:pPr>
        <w:pStyle w:val="Heading4"/>
        <w:numPr>
          <w:ilvl w:val="3"/>
          <w:numId w:val="1"/>
        </w:numPr>
        <w:rPr/>
      </w:pPr>
      <w:bookmarkStart w:id="1067" w:name="__RefHeading___Toc477786_581953129"/>
      <w:bookmarkStart w:id="1068" w:name="_Toc423"/>
      <w:bookmarkEnd w:id="1067"/>
      <w:r>
        <w:rPr>
          <w:rtl w:val="true"/>
        </w:rPr>
        <w:t xml:space="preserve">الأشاعرة </w:t>
      </w:r>
      <w:r>
        <w:rPr>
          <w:rtl w:val="true"/>
        </w:rPr>
        <w:t xml:space="preserve">: </w:t>
      </w:r>
      <w:r>
        <w:rPr>
          <w:rtl w:val="true"/>
        </w:rPr>
        <w:t>العدل بمعنی المدح التخیّلی الفرضی</w:t>
      </w:r>
      <w:bookmarkEnd w:id="1068"/>
    </w:p>
    <w:p>
      <w:pPr>
        <w:pStyle w:val="BookText"/>
        <w:rPr/>
      </w:pPr>
      <w:r>
        <w:rPr>
          <w:rFonts w:ascii="IRNazanin" w:hAnsi="IRNazanin" w:eastAsia="IRNazanin"/>
          <w:color w:val="111111"/>
          <w:sz w:val="28"/>
          <w:sz w:val="28"/>
          <w:szCs w:val="28"/>
          <w:rtl w:val="true"/>
          <w:lang w:bidi="fa-IR"/>
        </w:rPr>
        <w:t xml:space="preserve">وقد بنی الأشاعرة مذهبهم أنّ حسن العدل یعتمد علی المعنی الثالث ، وأنّه لیس بناء علی المعنی الأوّل ولا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 الظلم لیس بمعنی النقص ، ولیس بمعنی أنّ الإنسان ینفر ویتبرّم منه ، وإنّما هو بمعنی الذم ، بینما الإمام الحسین علیه السلام یصرّح بهذه الحقیقة المتمثّلة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أری الموت إلّاسعادة ، والحیاة مع الظالمین إلّابرماً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الظلم أمر تکوینی ، والفکر الأشعری یقول أنّ الإنسان قد یتعوّد علی الظلم فلا ینفر منه ، ویتأقلم ویتعوّد علیه ، وفی الفکر الغربی أیضاً هو کذلک ، ونحن لا نتکلّم علی مستوی الشعارات الغربیة ، وإنّما علی مستوی الحقیقة الغربیة ، حیث الظلم موجود فی التمییز العنصری وتفضیل العنصر الأبیض ، وإن لم یکن هذا الأمر معلناً ، ولکنّه موجود </w:t>
      </w:r>
      <w:r>
        <w:rPr>
          <w:rFonts w:eastAsia="IRNazanin" w:cs="IRNazanin"/>
          <w:color w:val="111111"/>
          <w:sz w:val="28"/>
          <w:szCs w:val="28"/>
          <w:rtl w:val="true"/>
          <w:lang w:bidi="fa-IR"/>
        </w:rPr>
        <w:t>.</w:t>
      </w:r>
    </w:p>
    <w:p>
      <w:pPr>
        <w:pStyle w:val="Heading4"/>
        <w:numPr>
          <w:ilvl w:val="3"/>
          <w:numId w:val="1"/>
        </w:numPr>
        <w:rPr/>
      </w:pPr>
      <w:bookmarkStart w:id="1069" w:name="__RefHeading___Toc477788_581953129"/>
      <w:bookmarkStart w:id="1070" w:name="_Toc424"/>
      <w:bookmarkEnd w:id="1069"/>
      <w:r>
        <w:rPr>
          <w:rtl w:val="true"/>
        </w:rPr>
        <w:t xml:space="preserve">نسأل الأشاعرة </w:t>
      </w:r>
      <w:r>
        <w:rPr>
          <w:rtl w:val="true"/>
        </w:rPr>
        <w:t xml:space="preserve">: </w:t>
      </w:r>
      <w:r>
        <w:rPr>
          <w:rtl w:val="true"/>
        </w:rPr>
        <w:t>ما هی ضابطة العدل ؟</w:t>
      </w:r>
      <w:bookmarkEnd w:id="107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فإنّ الأشاعرة بنوا علی أنّ ما أمر اللّه به فهو حسن وما نهی عنه فهو قبیح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العدل لیس له حقیقة خارجیة ، فلیس هناک ضابطة للعدل ، وإنّما الضابطة إذا أمر اللّه عزّ وجل ، ولا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بغیر العدل ، ولکن المبنی عندهم أنّ العدل نفسه لا یمتلک حقیقة خارجیة ، وإنّما أمر اللّه هو العدل ونهی اللّه هو الظلم بحسب مشیئة اللّه ، وربّما یستدلّون بهذه الأدلة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هناک</w:t>
      </w:r>
      <w:bookmarkStart w:id="1071" w:name="pg5261_55576"/>
    </w:p>
    <w:p>
      <w:pPr>
        <w:pStyle w:val="BookText"/>
        <w:rPr/>
      </w:pPr>
      <w:bookmarkEnd w:id="1071"/>
      <w:r>
        <w:rPr>
          <w:rFonts w:ascii="IRNazanin" w:hAnsi="IRNazanin" w:eastAsia="IRNazanin"/>
          <w:color w:val="111111"/>
          <w:sz w:val="28"/>
          <w:sz w:val="28"/>
          <w:szCs w:val="28"/>
          <w:rtl w:val="true"/>
          <w:lang w:bidi="fa-IR"/>
        </w:rPr>
        <w:t xml:space="preserve">قانون وأدلة تحکم اللّه تعالی ، بل هو الحاکم علی کلّ القوانین ، وهذا صحیح ، ولکن کیف یتمّ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الحاکم علی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المقسود أنّ القوانین لیس لها سنّة من ذاتها؟</w:t>
      </w:r>
    </w:p>
    <w:p>
      <w:pPr>
        <w:pStyle w:val="Heading4"/>
        <w:numPr>
          <w:ilvl w:val="3"/>
          <w:numId w:val="1"/>
        </w:numPr>
        <w:rPr/>
      </w:pPr>
      <w:bookmarkStart w:id="1072" w:name="__RefHeading___Toc477790_581953129"/>
      <w:bookmarkStart w:id="1073" w:name="_Toc425"/>
      <w:bookmarkEnd w:id="1072"/>
      <w:r>
        <w:rPr>
          <w:rtl w:val="true"/>
        </w:rPr>
        <w:t>اللّه تعالی ، والهدف والغایة</w:t>
      </w:r>
      <w:bookmarkEnd w:id="1073"/>
    </w:p>
    <w:p>
      <w:pPr>
        <w:pStyle w:val="BookText"/>
        <w:rPr/>
      </w:pPr>
      <w:r>
        <w:rPr>
          <w:rFonts w:ascii="IRNazanin" w:hAnsi="IRNazanin" w:eastAsia="IRNazanin"/>
          <w:color w:val="111111"/>
          <w:sz w:val="28"/>
          <w:sz w:val="28"/>
          <w:szCs w:val="28"/>
          <w:rtl w:val="true"/>
          <w:lang w:bidi="fa-IR"/>
        </w:rPr>
        <w:t xml:space="preserve">ویشبّثون بدلیل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غنیّ عن اتّخاذ الهدف والغایة ، والفاعل إنّما یفعل شیئاً لهدف أو غایة ، ولکن اللّه غنیّ عن الغایة ، وأنّ اللّه یفعل ما یفعل لیس لغایة ؛ لأنّه غیر محتاج إلی الغایة ، فالحکمة هی ما فَعَلَ اللّه تعالی ، لا أنّ هناک غایة من البدء یسیر الفعل الإلهی نحوها </w:t>
      </w:r>
      <w:r>
        <w:rPr>
          <w:rFonts w:eastAsia="IRNazanin" w:cs="IRNazanin"/>
          <w:color w:val="111111"/>
          <w:sz w:val="28"/>
          <w:szCs w:val="28"/>
          <w:rtl w:val="true"/>
          <w:lang w:bidi="fa-IR"/>
        </w:rPr>
        <w:t>.</w:t>
      </w:r>
    </w:p>
    <w:p>
      <w:pPr>
        <w:pStyle w:val="Heading4"/>
        <w:numPr>
          <w:ilvl w:val="3"/>
          <w:numId w:val="1"/>
        </w:numPr>
        <w:rPr/>
      </w:pPr>
      <w:bookmarkStart w:id="1074" w:name="__RefHeading___Toc477792_581953129"/>
      <w:bookmarkStart w:id="1075" w:name="_Toc426"/>
      <w:bookmarkEnd w:id="1074"/>
      <w:r>
        <w:rPr>
          <w:rtl w:val="true"/>
        </w:rPr>
        <w:t>العدالة ، وتعذیب البریء ، والإنعام علی المجرم</w:t>
      </w:r>
      <w:bookmarkEnd w:id="1075"/>
    </w:p>
    <w:p>
      <w:p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عذّب اللّه المقتول البریء لکان ذلک هو العدل ، ولو أنعم علی السفّاح الغاشم لکان ذلک هو العدل ، لکن سنّته جرت أن ینعم علی المظلوم ، ویعذّب الظالم باعتبار أنّ اللّه مالک کلّ شیء ولا یملکه شیء</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 وفی ظلّ هذه الأدلة التی ذکروها نشأت مدرسة القدریة ، وهی مدرسة قدیمة ، ولکنّها تبلورت بعد ذلک بصورة أوضح ، وحاولوا تطعیمها بأُطُر علمیّة فی ظلّ المدرسة الأشعریة </w:t>
      </w:r>
      <w:r>
        <w:rPr>
          <w:rFonts w:eastAsia="IRNazanin" w:cs="IRNazanin"/>
          <w:color w:val="111111"/>
          <w:sz w:val="28"/>
          <w:szCs w:val="28"/>
          <w:rtl w:val="true"/>
          <w:lang w:bidi="fa-IR"/>
        </w:rPr>
        <w:t>.</w:t>
      </w:r>
    </w:p>
    <w:p>
      <w:pPr>
        <w:pStyle w:val="Heading4"/>
        <w:numPr>
          <w:ilvl w:val="3"/>
          <w:numId w:val="1"/>
        </w:numPr>
        <w:rPr/>
      </w:pPr>
      <w:bookmarkStart w:id="1076" w:name="__RefHeading___Toc477794_581953129"/>
      <w:bookmarkStart w:id="1077" w:name="_Toc427"/>
      <w:bookmarkEnd w:id="1076"/>
      <w:r>
        <w:rPr>
          <w:rtl w:val="true"/>
        </w:rPr>
        <w:t>هل ما یقع تکویناً یوافق إرادة اللّه ؟</w:t>
      </w:r>
      <w:bookmarkEnd w:id="1077"/>
    </w:p>
    <w:p>
      <w:pPr>
        <w:pStyle w:val="BookText"/>
        <w:rPr/>
      </w:pPr>
      <w:r>
        <w:rPr>
          <w:rFonts w:ascii="IRNazanin" w:hAnsi="IRNazanin" w:eastAsia="IRNazanin"/>
          <w:color w:val="111111"/>
          <w:sz w:val="28"/>
          <w:sz w:val="28"/>
          <w:szCs w:val="28"/>
          <w:rtl w:val="true"/>
          <w:lang w:bidi="fa-IR"/>
        </w:rPr>
        <w:t xml:space="preserve">یزید عندما خاطب العقیلة زینب علیها السلام کان یخاطبها من منطلق أنّ اللّه أعطاه الملک ، واستناداً إلی هذا المنطق ، وهو أنّ ما یقع تکویناً هو الصحیح ، وهو الموافق لإرادة اللّه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الشبهات توجب ضعف الأُمّة وإجهاضها وتخاذلها تجاه قضایاها</w:t>
      </w:r>
      <w:bookmarkStart w:id="1078" w:name="pg5261_55578"/>
    </w:p>
    <w:p>
      <w:pPr>
        <w:pStyle w:val="BookText"/>
        <w:rPr/>
      </w:pPr>
      <w:bookmarkEnd w:id="1078"/>
      <w:r>
        <w:rPr>
          <w:rFonts w:ascii="IRNazanin" w:hAnsi="IRNazanin" w:eastAsia="IRNazanin"/>
          <w:color w:val="111111"/>
          <w:sz w:val="28"/>
          <w:sz w:val="28"/>
          <w:szCs w:val="28"/>
          <w:rtl w:val="true"/>
          <w:lang w:bidi="fa-IR"/>
        </w:rPr>
        <w:t xml:space="preserve">الإسلامیة ، وفی خطاب عبید اللّه بن زیاد للعقیلة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رأیت صنع اللّه بأخیک وأهل بیتک؟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إلّاجمیلاً ، هؤلاء قوم کتب اللّه علیهم القتل فبرزوا إلی مضاجعهم ، وسیجمع اللّه بینک وبینهم فتحاجّ وتخاصم ، فانظر لمن الفلج یومئذٍ ثکلتک أُمّک یابن مرجانه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 فهو ینطلق من هذا المنطلق ، ولو قلنا بهذا المنطق فسیکون قتل الأنبیاء شیئاً صحیحاً وشیئاً یریده اللّه ؛ لأنّه أمر تحقق فی الخارج ، وکان حقیقة لا یمکن نکرآنها، وهذا التفیسر غیر الصحیح للقضاء والقدر یعتبر أنّ ما یقع هو الصحیح ؛ لأنّ اللّه لا یفعل إلّاما هو حسن ، وهذا فعل اللّه ، إذن هذا الفعل فعل حسن ، ومن ثمّ نشأت مدرسة الجبریة ومدرسة القدریة والمرجئة ، وهذا الاتّجاه یخلط الحابل بالنابل فی الموازین العقائدیة والقانونیة والحقوقیة ، وهذه المدرسة تخدم السلطات الظالمة بفکرها الذی یبرر الظلم ، ومن ثمّ فقد عمدت السلطات الظالمة للترویج لهذه الأفکار </w:t>
      </w:r>
      <w:r>
        <w:rPr>
          <w:rFonts w:eastAsia="IRNazanin" w:cs="IRNazanin"/>
          <w:color w:val="111111"/>
          <w:sz w:val="28"/>
          <w:szCs w:val="28"/>
          <w:rtl w:val="true"/>
          <w:lang w:bidi="fa-IR"/>
        </w:rPr>
        <w:t>.</w:t>
      </w:r>
    </w:p>
    <w:p>
      <w:pPr>
        <w:pStyle w:val="Heading4"/>
        <w:numPr>
          <w:ilvl w:val="3"/>
          <w:numId w:val="1"/>
        </w:numPr>
        <w:rPr/>
      </w:pPr>
      <w:bookmarkStart w:id="1079" w:name="__RefHeading___Toc477796_581953129"/>
      <w:bookmarkStart w:id="1080" w:name="_Toc428"/>
      <w:bookmarkEnd w:id="1079"/>
      <w:r>
        <w:rPr>
          <w:rtl w:val="true"/>
        </w:rPr>
        <w:t>خطورة دعم السلطات الظالمة للأفکار المنحرفة</w:t>
      </w:r>
      <w:bookmarkEnd w:id="1080"/>
    </w:p>
    <w:p>
      <w:pPr>
        <w:pStyle w:val="BookText"/>
        <w:rPr/>
      </w:pPr>
      <w:r>
        <w:rPr>
          <w:rFonts w:ascii="IRNazanin" w:hAnsi="IRNazanin" w:eastAsia="IRNazanin"/>
          <w:color w:val="111111"/>
          <w:sz w:val="28"/>
          <w:sz w:val="28"/>
          <w:szCs w:val="28"/>
          <w:rtl w:val="true"/>
          <w:lang w:bidi="fa-IR"/>
        </w:rPr>
        <w:t xml:space="preserve">وعندما جاء ابن سینا کان یدور جدل فی أنّ حسن العدل وقبح الظلم أمر بدیهی أم أمر فرضی؟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العدل أمر اعتباری فرضی ولیس أمراً بدیهیاً حقیقیاً ، وهنا تتبیّن خطورة دعم السلطات الظالمة للأفکار غیر المستقیمة وآثارها الخطیرة علی الأُمّة </w:t>
      </w:r>
      <w:r>
        <w:rPr>
          <w:rFonts w:eastAsia="IRNazanin" w:cs="IRNazanin"/>
          <w:color w:val="111111"/>
          <w:sz w:val="28"/>
          <w:szCs w:val="28"/>
          <w:rtl w:val="true"/>
          <w:lang w:bidi="fa-IR"/>
        </w:rPr>
        <w:t>.</w:t>
      </w:r>
    </w:p>
    <w:p>
      <w:pPr>
        <w:pStyle w:val="Heading4"/>
        <w:numPr>
          <w:ilvl w:val="3"/>
          <w:numId w:val="1"/>
        </w:numPr>
        <w:rPr/>
      </w:pPr>
      <w:bookmarkStart w:id="1081" w:name="__RefHeading___Toc477798_581953129"/>
      <w:bookmarkStart w:id="1082" w:name="_Toc429"/>
      <w:bookmarkEnd w:id="1081"/>
      <w:r>
        <w:rPr>
          <w:rtl w:val="true"/>
        </w:rPr>
        <w:t>إعداد الأئمة للکوادر الثقافیة لمواجهة الفکر المنحرف</w:t>
      </w:r>
      <w:bookmarkEnd w:id="10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علیها السلام خلال الفترة التی عاصروا فیها الحکومات الظالمة ناهضوا تلک الحکومات ، التی کانت تمثّل الدولة العظمی ، ومع ذلک استطاعوا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تلک</w:t>
      </w:r>
      <w:bookmarkStart w:id="1083" w:name="pg5261_55581"/>
    </w:p>
    <w:p>
      <w:pPr>
        <w:pStyle w:val="BookText"/>
        <w:rPr/>
      </w:pPr>
      <w:bookmarkEnd w:id="1083"/>
      <w:r>
        <w:rPr>
          <w:rFonts w:ascii="IRNazanin" w:hAnsi="IRNazanin" w:eastAsia="IRNazanin"/>
          <w:color w:val="111111"/>
          <w:sz w:val="28"/>
          <w:sz w:val="28"/>
          <w:szCs w:val="28"/>
          <w:rtl w:val="true"/>
          <w:lang w:bidi="fa-IR"/>
        </w:rPr>
        <w:t xml:space="preserve">الظروف الصعبة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یربّوا طائفة من الأُمّة علی الوعی العقائدی الثقافی المبنی علی الأُسس السلیمة ، وهذا الأمر بمثابة المعجزة التی تحققت رغم الإمکانیات الضخمة التی تمتلکها الأجهزة الحاکمة آنذاک </w:t>
      </w:r>
      <w:r>
        <w:rPr>
          <w:rFonts w:eastAsia="IRNazanin" w:cs="IRNazanin"/>
          <w:color w:val="111111"/>
          <w:sz w:val="28"/>
          <w:szCs w:val="28"/>
          <w:rtl w:val="true"/>
          <w:lang w:bidi="fa-IR"/>
        </w:rPr>
        <w:t>.</w:t>
      </w:r>
    </w:p>
    <w:p>
      <w:pPr>
        <w:pStyle w:val="Heading4"/>
        <w:numPr>
          <w:ilvl w:val="3"/>
          <w:numId w:val="1"/>
        </w:numPr>
        <w:rPr/>
      </w:pPr>
      <w:bookmarkStart w:id="1084" w:name="__RefHeading___Toc477800_581953129"/>
      <w:bookmarkStart w:id="1085" w:name="_Toc430"/>
      <w:bookmarkEnd w:id="1084"/>
      <w:r>
        <w:rPr>
          <w:rtl w:val="true"/>
        </w:rPr>
        <w:t>أثر أخلاقیات أهل البیت علیهم السلام علی شیعتهم بعد عدّة قرون</w:t>
      </w:r>
      <w:bookmarkEnd w:id="1085"/>
    </w:p>
    <w:p>
      <w:pPr>
        <w:pStyle w:val="BookText"/>
        <w:rPr/>
      </w:pPr>
      <w:r>
        <w:rPr>
          <w:rFonts w:ascii="IRNazanin" w:hAnsi="IRNazanin" w:eastAsia="IRNazanin"/>
          <w:color w:val="111111"/>
          <w:sz w:val="28"/>
          <w:sz w:val="28"/>
          <w:szCs w:val="28"/>
          <w:rtl w:val="true"/>
          <w:lang w:bidi="fa-IR"/>
        </w:rPr>
        <w:t xml:space="preserve">نلاحظ أنّ بعض البدو والفلّاحین الشیعة ، کما هو واضح فی شیعة العراق الطیّبین البسطاء ، لدیهم من الأخلاقیات التی اکتسبوها من أهل البیت علیهم السلام ما لا یمتلکه الکثیر ممّن دخلوا الجامعات وعاشوا الحضارات ، ونلاحظ أنّ الشیعة لا یستحلّون دماء الآخرین وإن اعتدی علیهم ، وهذا ما یحصل فی العراق الیوم ، وهذه التربیة المثالیة هی تربیة أهل البیت علیهم السلام ، وهذه التربیة التی یعیشها الشیعة فی العراق لیست تربیة المرجعیة فی النجف فحسب ، وإنّما هی تربیة موروثة من الأئمة علیهم السلام ، هذا فی وقت الذی نری فیه أنّ لغة القصاص والانتقام هی اللغة السائدة فی کلّ مکان ، وفی کلّ یوم یراق الدم الشیعی فی العراق ، ولا زال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یفتحون باب الحوار ، وهذه هی تربیة سید الشهداء علیه السلام ، والشعارات التی یطلقها الغرب ، مَن الذی یجسّمها ویجسّدها؟ أتباع مذهب أهل البیت علیهم السلام هم الذین یجسّدون هذه الشعارات الإنسانیة ، وهذه ظواهر برهانیة وإعجازیة ؛ لأنّ البشریة التی وصلت إلی هذا الأفق من الشعارات والقوانین التی تنادی بها ، من الحریّة والسلم المدنی والمحافظة علی حقوق الإنسان والعدالة الاجتماعیة ، یأتی هذا المجتمع البسیط علی سجیّته وفطرته یجسّد کلّ هذه المعانی العالیة </w:t>
      </w:r>
      <w:r>
        <w:rPr>
          <w:rFonts w:eastAsia="IRNazanin" w:cs="IRNazanin"/>
          <w:color w:val="111111"/>
          <w:sz w:val="28"/>
          <w:szCs w:val="28"/>
          <w:rtl w:val="true"/>
          <w:lang w:bidi="fa-IR"/>
        </w:rPr>
        <w:t>.</w:t>
      </w:r>
    </w:p>
    <w:p>
      <w:pPr>
        <w:pStyle w:val="Heading4"/>
        <w:numPr>
          <w:ilvl w:val="3"/>
          <w:numId w:val="1"/>
        </w:numPr>
        <w:rPr/>
      </w:pPr>
      <w:bookmarkStart w:id="1086" w:name="__RefHeading___Toc477802_581953129"/>
      <w:bookmarkStart w:id="1087" w:name="_Toc431"/>
      <w:bookmarkEnd w:id="1086"/>
      <w:r>
        <w:rPr>
          <w:rtl w:val="true"/>
        </w:rPr>
        <w:t>العدل له وجود تکوینی</w:t>
      </w:r>
      <w:bookmarkEnd w:id="108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سننطلق للمحور الأوّل لبحث العدالة الاجتماعیة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من أصول الدین ، وهل من الممکن أن تکون أصول الدین أموراً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w:t>
      </w:r>
      <w:bookmarkStart w:id="1088" w:name="pg5261_55583"/>
    </w:p>
    <w:p>
      <w:pPr>
        <w:pStyle w:val="BookText"/>
        <w:rPr/>
      </w:pPr>
      <w:bookmarkEnd w:id="1088"/>
      <w:r>
        <w:rPr>
          <w:rFonts w:ascii="IRNazanin" w:hAnsi="IRNazanin" w:eastAsia="IRNazanin"/>
          <w:color w:val="111111"/>
          <w:sz w:val="28"/>
          <w:sz w:val="28"/>
          <w:szCs w:val="28"/>
          <w:rtl w:val="true"/>
          <w:lang w:bidi="fa-IR"/>
        </w:rPr>
        <w:t>الذی هو صفة من صفات اللّه ، هل من الصحیح أن تکون هذه الصفة أمراً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صفات اللّه أُمور تکوینیة ، إذا کان فی صمیم اعتقادنا وبدایة رؤیتنا أنّ العدل صفة کعلم اللّه وکحیاة اللّه وکقدرة اللّه وغیرها من الصفات الفعلیة والذاتیة هذه الصفات من صمیم التکوین ، إذن العدل له وجود تکوینی ، کما فی منطق أهل البیت علیهم السلام الذی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والأرض</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477804_581953129"/>
      <w:bookmarkStart w:id="1090" w:name="_Toc432"/>
      <w:bookmarkEnd w:id="1089"/>
      <w:r>
        <w:rPr>
          <w:rtl w:val="true"/>
        </w:rPr>
        <w:t>المدح الصادق یلازم الکمال ، والذم الصادق یلازم النقص</w:t>
      </w:r>
      <w:bookmarkEnd w:id="1090"/>
    </w:p>
    <w:p>
      <w:pPr>
        <w:pStyle w:val="BookText"/>
        <w:rPr/>
      </w:pPr>
      <w:r>
        <w:rPr>
          <w:rFonts w:ascii="IRNazanin" w:hAnsi="IRNazanin" w:eastAsia="IRNazanin"/>
          <w:color w:val="111111"/>
          <w:sz w:val="28"/>
          <w:sz w:val="28"/>
          <w:szCs w:val="28"/>
          <w:rtl w:val="true"/>
          <w:lang w:bidi="fa-IR"/>
        </w:rPr>
        <w:t>المدح غیر الکمال هذه المغالطة طرحها الأشعری ، وهل یمکن للإنسان أن یمدح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یستلزم أن ننکر الکمال وننکر النقص ، وننکر کلّ هذه الأُمور الخارجیة ، وکذلک الأمر بالنسبة للذم فلا یمکن أن نفکّک بین الذم والنقص ، الإنسان یدرک الکمال ، ومن ثمّ ینجذب المدح للکمال ، والمدح یعتبر إخباراً صادقاً عن الکمال ، هذا إذا کان المدح صادقاً ، أمّا إذا کان کاذباً فهو لیس کذلک ، والمدح الصادق یعبّر عن تقریر علمی مطابق للحقیقة ، والمدح معلومة من المعلومات تنبیء عن الکمال ، والذم الحقیقی هو معلومة صادقة تُنبیء عن النقص </w:t>
      </w:r>
      <w:r>
        <w:rPr>
          <w:rFonts w:eastAsia="IRNazanin" w:cs="IRNazanin"/>
          <w:color w:val="111111"/>
          <w:sz w:val="28"/>
          <w:szCs w:val="28"/>
          <w:rtl w:val="true"/>
          <w:lang w:bidi="fa-IR"/>
        </w:rPr>
        <w:t>.</w:t>
      </w:r>
    </w:p>
    <w:p>
      <w:pPr>
        <w:pStyle w:val="Heading4"/>
        <w:numPr>
          <w:ilvl w:val="3"/>
          <w:numId w:val="1"/>
        </w:numPr>
        <w:rPr/>
      </w:pPr>
      <w:bookmarkStart w:id="1091" w:name="__RefHeading___Toc477806_581953129"/>
      <w:bookmarkStart w:id="1092" w:name="_Toc433"/>
      <w:bookmarkEnd w:id="1091"/>
      <w:r>
        <w:rPr>
          <w:rtl w:val="true"/>
        </w:rPr>
        <w:t>الحقوق الإلهیة قبل سن القانون</w:t>
      </w:r>
      <w:bookmarkEnd w:id="10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دون القانون لا ترسم الحقوق ، ومن دون رسم منظومة الحقوق لا یستتب العدل ، کلامهم هذا ینطوی علی مغالطة ناشئة من وجود حقوق اعتباریة بعد رسم منظومة القانون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ولیدة للقانون ، لکن هناک منظومة للحقوق هی فی الواقع قبل القانون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إلهیة تکوینیة </w:t>
      </w:r>
      <w:r>
        <w:rPr>
          <w:rFonts w:eastAsia="IRNazanin" w:cs="IRNazanin"/>
          <w:color w:val="111111"/>
          <w:sz w:val="28"/>
          <w:szCs w:val="28"/>
          <w:rtl w:val="true"/>
          <w:lang w:bidi="fa-IR"/>
        </w:rPr>
        <w:t>.</w:t>
      </w:r>
      <w:bookmarkStart w:id="1093" w:name="pg5261_55585"/>
    </w:p>
    <w:p>
      <w:pPr>
        <w:pStyle w:val="Heading4"/>
        <w:numPr>
          <w:ilvl w:val="3"/>
          <w:numId w:val="1"/>
        </w:numPr>
        <w:rPr/>
      </w:pPr>
      <w:bookmarkStart w:id="1094" w:name="__RefHeading___Toc477808_581953129"/>
      <w:bookmarkStart w:id="1095" w:name="_Toc434"/>
      <w:bookmarkEnd w:id="1093"/>
      <w:bookmarkEnd w:id="1094"/>
      <w:r>
        <w:rPr>
          <w:rtl w:val="true"/>
        </w:rPr>
        <w:t>لابدّ من نظرة شاملة لحقوق الإنسان</w:t>
      </w:r>
      <w:bookmarkEnd w:id="1095"/>
    </w:p>
    <w:p>
      <w:pPr>
        <w:pStyle w:val="BookText"/>
        <w:rPr/>
      </w:pPr>
      <w:r>
        <w:rPr>
          <w:rFonts w:ascii="IRNazanin" w:hAnsi="IRNazanin" w:eastAsia="IRNazanin"/>
          <w:color w:val="111111"/>
          <w:sz w:val="28"/>
          <w:sz w:val="28"/>
          <w:szCs w:val="28"/>
          <w:rtl w:val="true"/>
          <w:lang w:bidi="fa-IR"/>
        </w:rPr>
        <w:t xml:space="preserve">نحن لسنا مادیین حتّی نحصر الحقوق فی حقوق الطبیعة ، ولسنا غرائزیین وجنسیین حتّی نحصر الحقوق فی الحقوق الغرائزیة ، بل نسلّم برؤیة تکوینیة بأنّ الإنسان ذو طبقات متعدّدة ، فیه الغرائز الجنسیة ، وفیه العقل ، وفیه الوهم ، وفیه الخیال ، وفیه القلب ، وفیه الضمیر ، وفیه الوجدان ، وهو شبیه بمنبنی ذی طبقات ، وکلّ قوّة من قوی الإنسان لها حقوق ، ولیس من الصحیح أن ننظر إلی طبقة من طبقات الإنسان ونهمل باقی الطبقات ، وهذه الرؤیة تؤثّر فی أُسس الحقوق وأُسس القانون بین المدرسة الإسلامیة والمدرسة الغربیة ، وبین المدرسة الإمامیة والمدارس الأُخری ، هذه کلّها أُسس للانطلاق </w:t>
      </w:r>
      <w:r>
        <w:rPr>
          <w:rFonts w:eastAsia="IRNazanin" w:cs="IRNazanin"/>
          <w:color w:val="111111"/>
          <w:sz w:val="28"/>
          <w:szCs w:val="28"/>
          <w:rtl w:val="true"/>
          <w:lang w:bidi="fa-IR"/>
        </w:rPr>
        <w:t>.</w:t>
      </w:r>
    </w:p>
    <w:p>
      <w:pPr>
        <w:pStyle w:val="Heading4"/>
        <w:numPr>
          <w:ilvl w:val="3"/>
          <w:numId w:val="1"/>
        </w:numPr>
        <w:rPr/>
      </w:pPr>
      <w:bookmarkStart w:id="1096" w:name="__RefHeading___Toc477810_581953129"/>
      <w:bookmarkStart w:id="1097" w:name="_Toc435"/>
      <w:bookmarkEnd w:id="1096"/>
      <w:r>
        <w:rPr>
          <w:rtl w:val="true"/>
        </w:rPr>
        <w:t>العدل فی تنمیة قوی الإنسان</w:t>
      </w:r>
      <w:bookmarkEnd w:id="1097"/>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العدل أن ینمّی الإنسان کلّ قواه ، ولا ینمّی قوّة علی حساب القوی الأُخری ، فلیس من الصحیح أن ینمّی الجانب الغریزی ویهمل الجوانب الأُخری کالجانب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اهتمّ بالجانب العقلی فیجب أن یعطی الجانب الغریزی حقّه أیضاً </w:t>
      </w:r>
      <w:r>
        <w:rPr>
          <w:rFonts w:eastAsia="IRNazanin" w:cs="IRNazanin"/>
          <w:color w:val="111111"/>
          <w:sz w:val="28"/>
          <w:szCs w:val="28"/>
          <w:rtl w:val="true"/>
          <w:lang w:bidi="fa-IR"/>
        </w:rPr>
        <w:t>.</w:t>
      </w:r>
    </w:p>
    <w:p>
      <w:pPr>
        <w:pStyle w:val="Heading4"/>
        <w:numPr>
          <w:ilvl w:val="3"/>
          <w:numId w:val="1"/>
        </w:numPr>
        <w:rPr/>
      </w:pPr>
      <w:bookmarkStart w:id="1098" w:name="__RefHeading___Toc477812_581953129"/>
      <w:bookmarkStart w:id="1099" w:name="_Toc436"/>
      <w:bookmarkEnd w:id="1098"/>
      <w:r>
        <w:rPr>
          <w:rtl w:val="true"/>
        </w:rPr>
        <w:t>هل الإنسان مرکز التقنین أم اللّه ؟</w:t>
      </w:r>
      <w:bookmarkEnd w:id="10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نجعل الإنسان مرکزاً للتقنین والحقوق ، أو نجعل المنطلق فی تقنین الحقوق هو اللّه عزّ وجل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الإسلامی أن یکون المنطلق هو اللّه عزّ وجلّ ولیس الإنسان ، وهذا فرق بین الرؤیة الحقوقیة الإسلامیة وبین الرؤیة الحقوقیة غیر الإسلامیة ، أو بتعبیر أدق هناک فرق بین الرؤیة الحقوقیة الإدیانیة التی تشمل الیهود والنصاری الذین من المفترض أن یجعلوا محور</w:t>
      </w:r>
      <w:bookmarkStart w:id="1100" w:name="pg5261_55586"/>
    </w:p>
    <w:p>
      <w:pPr>
        <w:pStyle w:val="BookText"/>
        <w:rPr/>
      </w:pPr>
      <w:bookmarkEnd w:id="1100"/>
      <w:r>
        <w:rPr>
          <w:rFonts w:ascii="IRNazanin" w:hAnsi="IRNazanin" w:eastAsia="IRNazanin"/>
          <w:color w:val="111111"/>
          <w:sz w:val="28"/>
          <w:sz w:val="28"/>
          <w:szCs w:val="28"/>
          <w:rtl w:val="true"/>
          <w:lang w:bidi="fa-IR"/>
        </w:rPr>
        <w:t xml:space="preserve">الحقوق هو اللّه تعالی ، وبین المدارس الوضعیة التی جعل الإنسان هو مدار الحقوق </w:t>
      </w:r>
      <w:r>
        <w:rPr>
          <w:rFonts w:eastAsia="IRNazanin" w:cs="IRNazanin"/>
          <w:color w:val="111111"/>
          <w:sz w:val="28"/>
          <w:szCs w:val="28"/>
          <w:rtl w:val="true"/>
          <w:lang w:bidi="fa-IR"/>
        </w:rPr>
        <w:t>.</w:t>
      </w:r>
    </w:p>
    <w:p>
      <w:pPr>
        <w:pStyle w:val="Heading4"/>
        <w:numPr>
          <w:ilvl w:val="3"/>
          <w:numId w:val="1"/>
        </w:numPr>
        <w:rPr/>
      </w:pPr>
      <w:bookmarkStart w:id="1101" w:name="__RefHeading___Toc477814_581953129"/>
      <w:bookmarkStart w:id="1102" w:name="_Toc437"/>
      <w:bookmarkEnd w:id="1101"/>
      <w:r>
        <w:rPr>
          <w:rtl w:val="true"/>
        </w:rPr>
        <w:t>إهمال المادیین لروح الإنسان</w:t>
      </w:r>
      <w:bookmarkEnd w:id="1102"/>
    </w:p>
    <w:p>
      <w:pPr>
        <w:pStyle w:val="BookText"/>
        <w:rPr/>
      </w:pPr>
      <w:r>
        <w:rPr>
          <w:rFonts w:ascii="IRNazanin" w:hAnsi="IRNazanin" w:eastAsia="IRNazanin"/>
          <w:color w:val="111111"/>
          <w:sz w:val="28"/>
          <w:sz w:val="28"/>
          <w:szCs w:val="28"/>
          <w:rtl w:val="true"/>
          <w:lang w:bidi="fa-IR"/>
        </w:rPr>
        <w:t xml:space="preserve">ویا لیتهم یضعون الإنسان بکلّ طبقاته نصب أعینهم ، بل هم یهتمّون بالطبقة البدنیة من الإنسان ویهملون باقی الطبقات الروحیة والعقلیة ، وإن کانت هناک مدارس روحیة غربیة قد خطت خطوات کبیرة فی هذا الجانب ، إلّاأنّ هؤلاء المادیین لا یعترفون بالروح ، فهم فی صراع دائم مع الحالة الروحیة والوجدانیة ، وفی سنة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أعلنت الأمم المتحدة أنّ شعارها هو مقاومة الأمراض الروحیة والعقلیة ؛ لأنّ أکبر نسبة من الأمراض الروحیة والعقلیة وقعت فی الغرب بشکل مذهل وحدّث ولا حرج ، والأرقام تقرأ فی کلّ یوم عن الأزمات الروحیة التی یمرّ بها العالم الغربی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تفشّی الجریمة ، وتفکّک الأُسرة ، وتقطّع الأوصال الروحیة ، وما شابه ذلک أرقام کبیرة </w:t>
      </w:r>
      <w:r>
        <w:rPr>
          <w:rFonts w:eastAsia="IRNazanin" w:cs="IRNazanin"/>
          <w:color w:val="111111"/>
          <w:sz w:val="28"/>
          <w:szCs w:val="28"/>
          <w:rtl w:val="true"/>
          <w:lang w:bidi="fa-IR"/>
        </w:rPr>
        <w:t>.</w:t>
      </w:r>
    </w:p>
    <w:p>
      <w:pPr>
        <w:pStyle w:val="Heading4"/>
        <w:numPr>
          <w:ilvl w:val="3"/>
          <w:numId w:val="1"/>
        </w:numPr>
        <w:rPr/>
      </w:pPr>
      <w:bookmarkStart w:id="1103" w:name="__RefHeading___Toc477816_581953129"/>
      <w:bookmarkStart w:id="1104" w:name="_Toc438"/>
      <w:bookmarkEnd w:id="1103"/>
      <w:r>
        <w:rPr>
          <w:rtl w:val="true"/>
        </w:rPr>
        <w:t>النظرة غیر المتوازنة للإنسان کارثة</w:t>
      </w:r>
      <w:bookmarkEnd w:id="1104"/>
    </w:p>
    <w:p>
      <w:pPr>
        <w:pStyle w:val="BookText"/>
        <w:rPr/>
      </w:pPr>
      <w:r>
        <w:rPr>
          <w:rFonts w:ascii="IRNazanin" w:hAnsi="IRNazanin" w:eastAsia="IRNazanin"/>
          <w:color w:val="111111"/>
          <w:sz w:val="28"/>
          <w:sz w:val="28"/>
          <w:szCs w:val="28"/>
          <w:rtl w:val="true"/>
          <w:lang w:bidi="fa-IR"/>
        </w:rPr>
        <w:t xml:space="preserve">ومنشأ هذه الأزمة أنّهم جعلوا مدار الحقوق هو الإنسان ، مع إغفالهم لبعض طبقات الإنسان ، وترکیزهم علی طبقات أُخری ، إذن هناک حقوق اعتباریة ، وهناک حقوق تکوینیة لا تحتاج إلی تقنین </w:t>
      </w:r>
      <w:r>
        <w:rPr>
          <w:rFonts w:eastAsia="IRNazanin" w:cs="IRNazanin"/>
          <w:color w:val="111111"/>
          <w:sz w:val="28"/>
          <w:szCs w:val="28"/>
          <w:rtl w:val="true"/>
          <w:lang w:bidi="fa-IR"/>
        </w:rPr>
        <w:t>.</w:t>
      </w:r>
    </w:p>
    <w:p>
      <w:pPr>
        <w:pStyle w:val="Heading4"/>
        <w:numPr>
          <w:ilvl w:val="3"/>
          <w:numId w:val="1"/>
        </w:numPr>
        <w:rPr/>
      </w:pPr>
      <w:bookmarkStart w:id="1105" w:name="__RefHeading___Toc477818_581953129"/>
      <w:bookmarkStart w:id="1106" w:name="_Toc439"/>
      <w:bookmarkEnd w:id="1105"/>
      <w:r>
        <w:rPr>
          <w:rtl w:val="true"/>
        </w:rPr>
        <w:t>سلبیات جعل الإنسان هو المدار فی التقنین</w:t>
      </w:r>
      <w:bookmarkEnd w:id="1106"/>
    </w:p>
    <w:p>
      <w:pPr>
        <w:pStyle w:val="BookText"/>
        <w:rPr/>
      </w:pPr>
      <w:r>
        <w:rPr>
          <w:rFonts w:ascii="IRNazanin" w:hAnsi="IRNazanin" w:eastAsia="IRNazanin"/>
          <w:color w:val="111111"/>
          <w:sz w:val="28"/>
          <w:sz w:val="28"/>
          <w:szCs w:val="28"/>
          <w:rtl w:val="true"/>
          <w:lang w:bidi="fa-IR"/>
        </w:rPr>
        <w:t xml:space="preserve">الغرائز لها نقائص ولها کمالات ، هل کمال کلّ قوّة ینکر؟ لا ، هل نقص کلّ قوّة ینکر؟ لا ، سواء کاف من قوی الطبیعة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یحاولون أن لا یجعلوا الإنسان وحده مداراً للحقوق ، بل یضیفون إلیه</w:t>
      </w:r>
      <w:bookmarkStart w:id="1107" w:name="pg5261_55589"/>
    </w:p>
    <w:p>
      <w:pPr>
        <w:pStyle w:val="BookText"/>
        <w:rPr/>
      </w:pPr>
      <w:bookmarkEnd w:id="1107"/>
      <w:r>
        <w:rPr>
          <w:rFonts w:ascii="IRNazanin" w:hAnsi="IRNazanin" w:eastAsia="IRNazanin"/>
          <w:color w:val="111111"/>
          <w:sz w:val="28"/>
          <w:sz w:val="28"/>
          <w:szCs w:val="28"/>
          <w:rtl w:val="true"/>
          <w:lang w:bidi="fa-IR"/>
        </w:rPr>
        <w:t xml:space="preserve">الطبیعة الخضراء والطبیعة الحیوانیة والهوائیة والنباتیة وما یحیط بالإنسان من کائنات أُخری فی هذه المنظومة الحقوقیة ، ولو یفتح للإنسان الباب علی مصراعیه سیدمّر الطبیعة التی تحیط به ویعیش فیها ، وبالتالی سیدمّر نفسه بیده ، والسبب هو عدم وجود توازن فی مدار الحقوق والتقنین </w:t>
      </w:r>
      <w:r>
        <w:rPr>
          <w:rFonts w:eastAsia="IRNazanin" w:cs="IRNazanin"/>
          <w:color w:val="111111"/>
          <w:sz w:val="28"/>
          <w:szCs w:val="28"/>
          <w:rtl w:val="true"/>
          <w:lang w:bidi="fa-IR"/>
        </w:rPr>
        <w:t>.</w:t>
      </w:r>
    </w:p>
    <w:p>
      <w:pPr>
        <w:pStyle w:val="Heading4"/>
        <w:numPr>
          <w:ilvl w:val="3"/>
          <w:numId w:val="1"/>
        </w:numPr>
        <w:rPr/>
      </w:pPr>
      <w:bookmarkStart w:id="1108" w:name="__RefHeading___Toc477820_581953129"/>
      <w:bookmarkStart w:id="1109" w:name="_Toc440"/>
      <w:bookmarkEnd w:id="1108"/>
      <w:r>
        <w:rPr>
          <w:rtl w:val="true"/>
        </w:rPr>
        <w:t>العدالة الحقوقیة تکوینیة ولیست ولیدة التقنین</w:t>
      </w:r>
      <w:bookmarkEnd w:id="1109"/>
    </w:p>
    <w:p>
      <w:pPr>
        <w:pStyle w:val="BookText"/>
        <w:rPr/>
      </w:pPr>
      <w:r>
        <w:rPr>
          <w:rFonts w:ascii="IRNazanin" w:hAnsi="IRNazanin" w:eastAsia="IRNazanin"/>
          <w:color w:val="111111"/>
          <w:sz w:val="28"/>
          <w:sz w:val="28"/>
          <w:szCs w:val="28"/>
          <w:rtl w:val="true"/>
          <w:lang w:bidi="fa-IR"/>
        </w:rPr>
        <w:t xml:space="preserve">إذن العدالة الحقوقیة لیست ولیدة التقنین ، وفی الأساس العدالة الحقوقیة تکوینیة ؛ ولذلک هم یلمسونها بأنفسهم بأنّ تشریع حقّ الصناعة بلغ ما بلغ سیدمّر لنا البشریة ، وتشریع الاستئثار بالمال سینحر الطبقات المحرومة فی المجتمع ، وسیخلق الإرهابیین والعنف ، وإذا جعلنا التقنین الخاضع للمیول والمصالح هو المدار فعلینا أن نتحمّل التبعات والآثار السلبیة ، إذن العدالة لها وجود تکوینی ، والحقوق لها وجود تکوینی </w:t>
      </w:r>
      <w:r>
        <w:rPr>
          <w:rFonts w:eastAsia="IRNazanin" w:cs="IRNazanin"/>
          <w:color w:val="111111"/>
          <w:sz w:val="28"/>
          <w:szCs w:val="28"/>
          <w:rtl w:val="true"/>
          <w:lang w:bidi="fa-IR"/>
        </w:rPr>
        <w:t>.</w:t>
      </w:r>
    </w:p>
    <w:p>
      <w:pPr>
        <w:pStyle w:val="Heading4"/>
        <w:numPr>
          <w:ilvl w:val="3"/>
          <w:numId w:val="1"/>
        </w:numPr>
        <w:rPr/>
      </w:pPr>
      <w:bookmarkStart w:id="1110" w:name="__RefHeading___Toc477822_581953129"/>
      <w:bookmarkStart w:id="1111" w:name="_Toc441"/>
      <w:bookmarkEnd w:id="1110"/>
      <w:r>
        <w:rPr>
          <w:rtl w:val="true"/>
        </w:rPr>
        <w:t>اللّه جعل للإنسان المعادلة التی تحقق سعادته</w:t>
      </w:r>
      <w:bookmarkEnd w:id="1111"/>
    </w:p>
    <w:p>
      <w:pPr>
        <w:pStyle w:val="BookText"/>
        <w:rPr/>
      </w:pPr>
      <w:r>
        <w:rPr>
          <w:rFonts w:ascii="IRNazanin" w:hAnsi="IRNazanin" w:eastAsia="IRNazanin"/>
          <w:color w:val="111111"/>
          <w:sz w:val="28"/>
          <w:sz w:val="28"/>
          <w:szCs w:val="28"/>
          <w:rtl w:val="true"/>
          <w:lang w:bidi="fa-IR"/>
        </w:rPr>
        <w:t xml:space="preserve">العدالة هی وصول کلّ ذی کمال إلی کماله ، وذو الکمال الذی نعنیه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متوفّر علی الکمال الآن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تعالی هو محور العدل ؛ لأنّه عالم بالخلق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جعل المعادلة التی توفّر السعادة للإنسان وهو أعلم بها ، ومن هنا جاء الحدیث الذی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وقال أبو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لأن البشر لا زالوا یعیشون النقص ، ویکتشفون أنّه‌م مخطئون ، ولکن المعصوم لا یخطیء ، ولولا وحی اللّه والعلم اللدنّی عند الأئمة لحفظ الأرض لساخت الأرض بمن علیها </w:t>
      </w:r>
      <w:r>
        <w:rPr>
          <w:rFonts w:eastAsia="IRNazanin" w:cs="IRNazanin"/>
          <w:color w:val="111111"/>
          <w:sz w:val="28"/>
          <w:szCs w:val="28"/>
          <w:rtl w:val="true"/>
          <w:lang w:bidi="fa-IR"/>
        </w:rPr>
        <w:t>.</w:t>
      </w:r>
      <w:bookmarkStart w:id="1112" w:name="pg5261_55593"/>
    </w:p>
    <w:p>
      <w:pPr>
        <w:pStyle w:val="Heading3"/>
        <w:numPr>
          <w:ilvl w:val="2"/>
          <w:numId w:val="1"/>
        </w:numPr>
        <w:rPr/>
      </w:pPr>
      <w:bookmarkStart w:id="1113" w:name="__RefHeading___Toc477824_581953129"/>
      <w:bookmarkStart w:id="1114" w:name="_Toc442"/>
      <w:bookmarkEnd w:id="1112"/>
      <w:bookmarkEnd w:id="1113"/>
      <w:r>
        <w:rPr>
          <w:rtl w:val="true"/>
        </w:rPr>
        <w:t>المحاضرة الخامسة العدالة والتوازن ورأی الأکثریة</w:t>
      </w:r>
      <w:bookmarkEnd w:id="1114"/>
    </w:p>
    <w:p>
      <w:pPr>
        <w:pStyle w:val="Heading4"/>
        <w:numPr>
          <w:ilvl w:val="3"/>
          <w:numId w:val="1"/>
        </w:numPr>
        <w:rPr/>
      </w:pPr>
      <w:bookmarkStart w:id="1115" w:name="__RefHeading___Toc477826_581953129"/>
      <w:bookmarkStart w:id="1116" w:name="_Toc443"/>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الأرحام تتجاوز الأُسرة إلی العشیرة والقبیلة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والسعادة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الإلهیة تنطلق من موازین دقیقة 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التوازن فی کلّ علاقة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أن تُحَکَّم الأعراف علی العدالة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الأکثریة لیست دائماً حلیفة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نحتاج إلی الاعتبار القانونی فی إدراک العدالة ؟</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الحقوق التکوینیة قبل مرحلة التقنین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ملکیة اللّه وملکیة الرسول وذی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سیطرة الإقطاع الأموی علی المناصب الحساسة </w:t>
      </w:r>
      <w:r>
        <w:rPr>
          <w:rFonts w:eastAsia="IRNazanin" w:cs="IRNazanin"/>
          <w:color w:val="111111"/>
          <w:sz w:val="28"/>
          <w:szCs w:val="28"/>
          <w:rtl w:val="true"/>
          <w:lang w:bidi="fa-IR"/>
        </w:rPr>
        <w:t>.</w:t>
      </w:r>
    </w:p>
    <w:p>
      <w:pPr>
        <w:pStyle w:val="Heading4"/>
        <w:numPr>
          <w:ilvl w:val="3"/>
          <w:numId w:val="1"/>
        </w:numPr>
        <w:rPr/>
      </w:pPr>
      <w:bookmarkStart w:id="1117" w:name="__RefHeading___Toc477828_581953129"/>
      <w:bookmarkStart w:id="1118" w:name="_Toc444"/>
      <w:bookmarkEnd w:id="1117"/>
      <w:r>
        <w:rPr>
          <w:rtl w:val="true"/>
        </w:rPr>
        <w:t>الأرحام تتجاوز الأُسرة إلی العشیرة والقبیلة</w:t>
      </w:r>
      <w:bookmarkEnd w:id="111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مرّ بنا أنّ هذه الآیة تشیر إلی أصول</w:t>
      </w:r>
      <w:bookmarkStart w:id="1119" w:name="pg5261_55594"/>
    </w:p>
    <w:p>
      <w:pPr>
        <w:pStyle w:val="BookText"/>
        <w:rPr/>
      </w:pPr>
      <w:bookmarkEnd w:id="1119"/>
      <w:r>
        <w:rPr>
          <w:rFonts w:ascii="IRNazanin" w:hAnsi="IRNazanin" w:eastAsia="IRNazanin"/>
          <w:color w:val="111111"/>
          <w:sz w:val="28"/>
          <w:sz w:val="28"/>
          <w:szCs w:val="28"/>
          <w:rtl w:val="true"/>
          <w:lang w:bidi="fa-IR"/>
        </w:rPr>
        <w:t xml:space="preserve">النظام الاجتماعی وأصول العدالة الاجتماعیة ، وهی ثلاثة أصول رکّزت الآیة علیها ، وهی العدل والإحسان وصلة الأرحام ، وصلة الأرحام لیست فقط فی نطاق الأُسرة خلافاً لما ینادی به هذه الأیام من أنّ العشیرة لا محلّ لها فی الحیاة العصریة الحدیثة ، وأنّ دیّة العاقلة کانت مناسبة لذلک المجتمع القدیم فی الجزیرة العربیة باعتباره مجتمع عشائر وقبائل ، ولیست مناسبة للحیاة العصریة الحدیثة ، وقد تأثّر بعض من هو فی وسطنا التخصصی بمثل هذه الشبهات ، القرآن الکریم یؤکّد أنّ صلة الأرحام مهمّة جدّاً ، وهی تشمل العشیرة والقبیلة ، ولا تقتصر علی الأُسرة ، ولقد عفا أمیر المؤمنین علیه السلام عن بعض القبائل التی فی العراق ، والمنحدرة من الجزیرة العربیة ، فیما له الحق فی العفو ضمن صلاحیاته ، وعلل ذلک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لرحم لهم تمسّنی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أنّها شجرة طویلة من الأفخاذ النسبیة </w:t>
      </w:r>
      <w:r>
        <w:rPr>
          <w:rFonts w:eastAsia="IRNazanin" w:cs="IRNazanin"/>
          <w:color w:val="111111"/>
          <w:sz w:val="28"/>
          <w:szCs w:val="28"/>
          <w:rtl w:val="true"/>
          <w:lang w:bidi="fa-IR"/>
        </w:rPr>
        <w:t>.</w:t>
      </w:r>
    </w:p>
    <w:p>
      <w:pPr>
        <w:pStyle w:val="Heading4"/>
        <w:numPr>
          <w:ilvl w:val="3"/>
          <w:numId w:val="1"/>
        </w:numPr>
        <w:rPr/>
      </w:pPr>
      <w:bookmarkStart w:id="1120" w:name="__RefHeading___Toc477830_581953129"/>
      <w:bookmarkStart w:id="1121" w:name="_Toc445"/>
      <w:bookmarkEnd w:id="1120"/>
      <w:r>
        <w:rPr>
          <w:rtl w:val="true"/>
        </w:rPr>
        <w:t>صلة الأرحام من أجل التکافل الاجتماعی</w:t>
      </w:r>
      <w:bookmarkEnd w:id="1121"/>
    </w:p>
    <w:p>
      <w:pPr>
        <w:pStyle w:val="BookText"/>
        <w:rPr/>
      </w:pPr>
      <w:r>
        <w:rPr>
          <w:rFonts w:ascii="IRNazanin" w:hAnsi="IRNazanin" w:eastAsia="IRNazanin"/>
          <w:color w:val="111111"/>
          <w:sz w:val="28"/>
          <w:sz w:val="28"/>
          <w:szCs w:val="28"/>
          <w:rtl w:val="true"/>
          <w:lang w:bidi="fa-IR"/>
        </w:rPr>
        <w:t xml:space="preserve">القرآن الکریم لا یعزّز النزعة القبائلیة والعشائریة ، وإنّما یعزّز التکافل الاجتماعی فی هذه العشیرة أو تلک القبیلة ، الحسین علیه السلام کان قد نادی بالعدالة الاجتماعیة ، والآیة المذکورة وثیقة الصلة بالعدالة الاجتماعیة ، مضافاً إلی أنّ العدل أصل بنیوی ، فضلاً عن أن یکون أصلاً اعتقادیاً أو أخلاقیاً فی کلّ الأبواب </w:t>
      </w:r>
      <w:r>
        <w:rPr>
          <w:rFonts w:eastAsia="IRNazanin" w:cs="IRNazanin"/>
          <w:color w:val="111111"/>
          <w:sz w:val="28"/>
          <w:szCs w:val="28"/>
          <w:rtl w:val="true"/>
          <w:lang w:bidi="fa-IR"/>
        </w:rPr>
        <w:t>.</w:t>
      </w:r>
    </w:p>
    <w:p>
      <w:pPr>
        <w:pStyle w:val="Heading4"/>
        <w:numPr>
          <w:ilvl w:val="3"/>
          <w:numId w:val="1"/>
        </w:numPr>
        <w:rPr/>
      </w:pPr>
      <w:bookmarkStart w:id="1122" w:name="__RefHeading___Toc477832_581953129"/>
      <w:bookmarkStart w:id="1123" w:name="_Toc446"/>
      <w:bookmarkEnd w:id="1122"/>
      <w:r>
        <w:rPr>
          <w:rtl w:val="true"/>
        </w:rPr>
        <w:t>التعصّب الإیجابی والتعصّب السلبی</w:t>
      </w:r>
      <w:bookmarkEnd w:id="112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لم تقتصر علی الأُسرة ، وإنّما أطلقت لفظ ذی القربی ، وهی تهدف إلی أن تقوّی الأواصر والصلة بالأرحام ، أمّا العصبیّة الممقوتة فتتبیّن من خلال هذا الحدیث ، حیث سئل علی بن الحسین علیهما السلام عن العصبیّة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العصبیّة التی یأثم علیها صاحبها أن یری الرجل شرار قومه خیراً من خیار قوم آخرین ، ولیس من</w:t>
      </w:r>
      <w:bookmarkStart w:id="1124" w:name="pg5261_55596"/>
    </w:p>
    <w:p>
      <w:pPr>
        <w:pStyle w:val="BookText"/>
        <w:rPr/>
      </w:pPr>
      <w:bookmarkEnd w:id="1124"/>
      <w:r>
        <w:rPr>
          <w:rFonts w:ascii="IRNazanin" w:hAnsi="IRNazanin" w:eastAsia="IRNazanin"/>
          <w:color w:val="111111"/>
          <w:sz w:val="28"/>
          <w:sz w:val="28"/>
          <w:szCs w:val="28"/>
          <w:rtl w:val="true"/>
          <w:lang w:bidi="fa-IR"/>
        </w:rPr>
        <w:t>العصبیّة ، أنّ یحبّ الرجل قومه ، ولکن من العصبیّة أن یعین قومه علی الظلم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إذن إذا تعصّبت لقومک حرصاً علی خدمتهم أو أداء حقوقهم أو المطالبة بحقوقهم فلیست تلک عصبیّة ، بل هی نزعة غرسها اللّه فی الإنسان </w:t>
      </w:r>
      <w:r>
        <w:rPr>
          <w:rFonts w:eastAsia="IRNazanin" w:cs="IRNazanin"/>
          <w:color w:val="111111"/>
          <w:sz w:val="28"/>
          <w:szCs w:val="28"/>
          <w:rtl w:val="true"/>
          <w:lang w:bidi="fa-IR"/>
        </w:rPr>
        <w:t>.</w:t>
      </w:r>
    </w:p>
    <w:p>
      <w:pPr>
        <w:pStyle w:val="Heading4"/>
        <w:numPr>
          <w:ilvl w:val="3"/>
          <w:numId w:val="1"/>
        </w:numPr>
        <w:rPr/>
      </w:pPr>
      <w:bookmarkStart w:id="1125" w:name="__RefHeading___Toc477834_581953129"/>
      <w:bookmarkStart w:id="1126" w:name="_Toc447"/>
      <w:bookmarkEnd w:id="1125"/>
      <w:r>
        <w:rPr>
          <w:rtl w:val="true"/>
        </w:rPr>
        <w:t>الحسین فی مواجهة الظلم</w:t>
      </w:r>
      <w:bookmarkEnd w:id="1126"/>
    </w:p>
    <w:p>
      <w:pPr>
        <w:pStyle w:val="BookText"/>
        <w:rPr/>
      </w:pPr>
      <w:r>
        <w:rPr>
          <w:rFonts w:ascii="Amiri" w:hAnsi="Amiri" w:eastAsia="Amiri" w:cs="Amiri"/>
          <w:color w:val="111111"/>
          <w:sz w:val="28"/>
          <w:sz w:val="28"/>
          <w:szCs w:val="28"/>
          <w:rtl w:val="true"/>
          <w:lang w:bidi="ar-SA"/>
        </w:rPr>
        <w:t>فالآیة الکریمة تؤکّد علی ثلاثة أصول إیجابیة فی مقابل ثلاثة أصول مدمّرة للمجتمع المتمثّلة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یَنْهی عَنِ الْفَحْشاءِ وَ الْمُنْکَرِ وَ الْبَغْیِ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عبد اللّه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إنّی عُذت بربّی وربّکم أن ترجمون ، أعوذ بربّی وربّکم من کلّ متکبّر لا یؤمن بیوم الحساب</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 الحسین علیه السلام یطلب العون والمدد من اللّه فی مواجهة الاستکبار والظلم </w:t>
      </w:r>
      <w:r>
        <w:rPr>
          <w:rFonts w:eastAsia="IRNazanin" w:cs="IRNazanin"/>
          <w:color w:val="111111"/>
          <w:sz w:val="28"/>
          <w:szCs w:val="28"/>
          <w:rtl w:val="true"/>
          <w:lang w:bidi="fa-IR"/>
        </w:rPr>
        <w:t>.</w:t>
      </w:r>
    </w:p>
    <w:p>
      <w:pPr>
        <w:pStyle w:val="Heading4"/>
        <w:numPr>
          <w:ilvl w:val="3"/>
          <w:numId w:val="1"/>
        </w:numPr>
        <w:rPr/>
      </w:pPr>
      <w:bookmarkStart w:id="1127" w:name="__RefHeading___Toc477836_581953129"/>
      <w:bookmarkStart w:id="1128" w:name="_Toc448"/>
      <w:bookmarkEnd w:id="1127"/>
      <w:r>
        <w:rPr>
          <w:rtl w:val="true"/>
        </w:rPr>
        <w:t>العدالة والسعادة</w:t>
      </w:r>
      <w:bookmarkEnd w:id="11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انتهینا إلی أنّ العدل له واقعیّة وحقیقة ، وأنّ بالعدل یقنّن القانون ، ومن الخطأ أن یکون القانون هو المحور بدلاً من العدل ، وهناک من یطرح أنّ العدل هو أنشودة وسیمفونیة الضعفاء والمحرومین ، أمّا الأقویاء فلا ینشدون العدالة ، وإنّما ینشدون القانون ، وقد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له واقعیة ؛ لأنّ العدل هو وصول کلّ ذی قابلیة إلی کماله المنشود أو کماله المقرر فی التکوین من قبله تعالی ، اللّه قرر لکلّ موجود</w:t>
      </w:r>
      <w:bookmarkStart w:id="1129" w:name="pg5261_55598"/>
    </w:p>
    <w:p>
      <w:pPr>
        <w:pStyle w:val="BookText"/>
        <w:rPr/>
      </w:pPr>
      <w:bookmarkEnd w:id="1129"/>
      <w:r>
        <w:rPr>
          <w:rFonts w:ascii="IRNazanin" w:hAnsi="IRNazanin" w:eastAsia="IRNazanin"/>
          <w:color w:val="111111"/>
          <w:sz w:val="28"/>
          <w:sz w:val="28"/>
          <w:szCs w:val="28"/>
          <w:rtl w:val="true"/>
          <w:lang w:bidi="fa-IR"/>
        </w:rPr>
        <w:t xml:space="preserve">مسیراً للوصول إلی کمال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وسنری أنّ هناک نوعاً من التقارب بین السعادة والعدالة ، وهل أنّ السعادة هی العدالة أم أنّ لها تعاریف أُخری؟ باعتبار أنّ العدالة هی التی تؤمِّن وصول کلّ ذی کمال إلی کماله ، والکمال أمر ملائم للإنسان فیه الراحة وفیه السعادة ، ووصول الإنسان إلی کمال یعتبر حقاً طبیعیاً وفرّه اللّه تعالی للإنسان ، وهذا الأمر لا یحتاج إلی قانون ، والمفروض أن یکون القانون هو فرع للعدالة البشریة ، والعدالة هی وصول کلّ ذی قابلیة إلی کماله المنشود ، والعدالة مرتبطة بعناصر تکوینیة ، فالعدل لا یتوقف علی وجود جمعیّة وطنیة أو برلمان أو دستور أو غیر ذلک ، ومن ثمّ یکون الإجحاف والحرمان والاضطهاد أُمور ملموسة تکوینیاً عند أفراد المجتمع ، وُضِع الدستور أم لم یوضع ، رسم الدستور الطریق الصحیح أو لم یرسم ، إذن العدالة لیست أمراً اعتباریاً فرضیاً ، وإنّما العدالة أصل </w:t>
      </w:r>
      <w:r>
        <w:rPr>
          <w:rFonts w:eastAsia="IRNazanin" w:cs="IRNazanin"/>
          <w:color w:val="111111"/>
          <w:sz w:val="28"/>
          <w:szCs w:val="28"/>
          <w:rtl w:val="true"/>
          <w:lang w:bidi="fa-IR"/>
        </w:rPr>
        <w:t>.</w:t>
      </w:r>
    </w:p>
    <w:p>
      <w:pPr>
        <w:pStyle w:val="Heading4"/>
        <w:numPr>
          <w:ilvl w:val="3"/>
          <w:numId w:val="1"/>
        </w:numPr>
        <w:rPr/>
      </w:pPr>
      <w:bookmarkStart w:id="1130" w:name="__RefHeading___Toc477838_581953129"/>
      <w:bookmarkStart w:id="1131" w:name="_Toc449"/>
      <w:bookmarkEnd w:id="1130"/>
      <w:r>
        <w:rPr>
          <w:rtl w:val="true"/>
        </w:rPr>
        <w:t>الأفعال الإلهیة تنطلق من موازین دقیقة جدّاً</w:t>
      </w:r>
      <w:bookmarkEnd w:id="113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الشبهة الثالثة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یفعل ما یفعل ، کیفما یشاء ، ولا یحکم اللّه عزّ وجل قانون معیّن ، بل هو یخلق القوانین الکونیة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القوانین غیر الکونیة ، وهی القوانین الاعتباریة والفرضیة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 ولکن هذا لا ینفی وجود موازین مخلوقة من اللّه عزّ وجل ؛ لأنّ نفس الذات الإلهیة هی أعلی ما یمکن أن یکون من نظام فی المعرفة بالنظام الربوبی ، وإذا أردنا أن نجد نظاماً متکاملاً ضمن موازین لا متناهیة فی الدقّة فهو نفس الذات الإلهیة ، والذات الإلهیة لها أسماء وصفات ، وقد ورد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وأیقنت أنّک أنت أرحم الراحمین فی موضع العفو والرحمة ، وأشدّ المعاقبین فی موضع النکال والنقمة ، وأعظم المتجبّرین فی موضع الکبریاء والعظمة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ففی موضع معیّن أیّ الاسمین یحکم ، هل هو اسم الرحمن أم اسم المنتقم؟ القابض أم الباسط المحیی أم الممیت؟ وکلّ هذه الأُمور تمثّل نظاماً ، ولیس الأمر أمراً اعتباطیّاً </w:t>
      </w:r>
      <w:r>
        <w:rPr>
          <w:rFonts w:eastAsia="IRNazanin" w:cs="IRNazanin"/>
          <w:color w:val="111111"/>
          <w:sz w:val="28"/>
          <w:szCs w:val="28"/>
          <w:rtl w:val="true"/>
          <w:lang w:bidi="fa-IR"/>
        </w:rPr>
        <w:t>.</w:t>
      </w:r>
      <w:bookmarkStart w:id="1132" w:name="pg5261_55600"/>
    </w:p>
    <w:p>
      <w:pPr>
        <w:pStyle w:val="Heading4"/>
        <w:numPr>
          <w:ilvl w:val="3"/>
          <w:numId w:val="1"/>
        </w:numPr>
        <w:rPr/>
      </w:pPr>
      <w:bookmarkStart w:id="1133" w:name="__RefHeading___Toc477840_581953129"/>
      <w:bookmarkStart w:id="1134" w:name="_Toc450"/>
      <w:bookmarkEnd w:id="1132"/>
      <w:bookmarkEnd w:id="1133"/>
      <w:r>
        <w:rPr>
          <w:rtl w:val="true"/>
        </w:rPr>
        <w:t>لابدّ من التوازن فی کلّ علاقة</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فالتوازن مطلوب فی کلّ علاقة ، وفی کلّ تعامل ، وفی کلّ شیء ، وهذا التوازن مطلوب حتّی فی علوم الکیمیاء والفیزیاء فی المعادلات الکیمیائیة والفیزیائیة ، فهذا التوازن له صیغة وإطار وقالب ، 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کلّ ما طابق العدل ینبغی أن یکون قانوناً ، ولیس کلّ قانون یجب أن نعتبره عدلاً ، ویجب أن لا تنطلی علینا هذه المغالطة ، والقانون ینبغی أن یرسم السعادة للبشریة ، فکیف تُرسم السعادة للبشریة بغیر العدل إذا کان هذا القانون یخالف العدل؟</w:t>
      </w:r>
      <w:r>
        <w:rPr>
          <w:rFonts w:eastAsia="IRNazanin" w:cs="IRNazanin"/>
          <w:color w:val="111111"/>
          <w:sz w:val="28"/>
          <w:szCs w:val="28"/>
          <w:rtl w:val="true"/>
          <w:lang w:bidi="fa-IR"/>
        </w:rPr>
        <w:t>!</w:t>
      </w:r>
    </w:p>
    <w:p>
      <w:pPr>
        <w:pStyle w:val="Heading4"/>
        <w:numPr>
          <w:ilvl w:val="3"/>
          <w:numId w:val="1"/>
        </w:numPr>
        <w:rPr/>
      </w:pPr>
      <w:bookmarkStart w:id="1135" w:name="__RefHeading___Toc477842_581953129"/>
      <w:bookmarkStart w:id="1136" w:name="_Toc451"/>
      <w:bookmarkEnd w:id="1135"/>
      <w:r>
        <w:rPr>
          <w:rtl w:val="true"/>
        </w:rPr>
        <w:t>لا ینبغی أن تحکم الأعراف علی العدالة</w:t>
      </w:r>
      <w:bookmarkEnd w:id="113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الأعراف فهی قوانین ، وقد لا تکون مکتوبة ، ولکن ثقافة المجتمع مبنیّة علیها ، فمن الأمثلة التی یمکن أن نطرحها هنا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الرئیس فی الدول الأوربیة ، فلا یوجد قانون مکتوب یمنع وصول الأسوَد إلی سدّة الحکم ، ولکن من المستحیل أن یکون الأسود رئیساً لدولة أوربیة ، والسبب هو العرف ، فالعرف له قوّة کبیرة یطبّقها المجتمع ، حتّی لولم یکن هذا العرف مدوّناً ، إذن الأعراف تمثّل قانوناً نافذاً متجدّراً أقوی نفوذاً من القانون المکتوب ، وهذه الأعراف هی کذلک ما دامت هی قانون علی النحو التطبیقی الفعلی ، ولکن یجب أن لا تحکم علی</w:t>
      </w:r>
      <w:bookmarkStart w:id="1137" w:name="pg5261_55602"/>
    </w:p>
    <w:p>
      <w:pPr>
        <w:pStyle w:val="BookText"/>
        <w:rPr/>
      </w:pPr>
      <w:bookmarkEnd w:id="1137"/>
      <w:r>
        <w:rPr>
          <w:rFonts w:ascii="IRNazanin" w:hAnsi="IRNazanin" w:eastAsia="IRNazanin"/>
          <w:color w:val="111111"/>
          <w:sz w:val="28"/>
          <w:sz w:val="28"/>
          <w:szCs w:val="28"/>
          <w:rtl w:val="true"/>
          <w:lang w:bidi="fa-IR"/>
        </w:rPr>
        <w:t xml:space="preserve">العدالة ، مع أنّها متجذّرة ویرتبط بها المجتمع بشدّة ، وتحکیم العدالة ینطلق من منطلق أنّها تکوینیة ، أمّا الأعراف فإنّها أُمور اعتباریة یتواضع علیها المجتمع ، وتختلف من مجتمع لآخر </w:t>
      </w:r>
      <w:r>
        <w:rPr>
          <w:rFonts w:eastAsia="IRNazanin" w:cs="IRNazanin"/>
          <w:color w:val="111111"/>
          <w:sz w:val="28"/>
          <w:szCs w:val="28"/>
          <w:rtl w:val="true"/>
          <w:lang w:bidi="fa-IR"/>
        </w:rPr>
        <w:t>.</w:t>
      </w:r>
    </w:p>
    <w:p>
      <w:pPr>
        <w:pStyle w:val="Heading4"/>
        <w:numPr>
          <w:ilvl w:val="3"/>
          <w:numId w:val="1"/>
        </w:numPr>
        <w:rPr/>
      </w:pPr>
      <w:bookmarkStart w:id="1138" w:name="__RefHeading___Toc477844_581953129"/>
      <w:bookmarkStart w:id="1139" w:name="_Toc452"/>
      <w:bookmarkEnd w:id="1138"/>
      <w:r>
        <w:rPr>
          <w:rtl w:val="true"/>
        </w:rPr>
        <w:t>الأکثریة لیست دائماً حلیفة الصواب</w:t>
      </w:r>
      <w:bookmarkEnd w:id="1139"/>
    </w:p>
    <w:p>
      <w:pPr>
        <w:pStyle w:val="BookText"/>
        <w:rPr/>
      </w:pPr>
      <w:r>
        <w:rPr>
          <w:rFonts w:ascii="Amiri" w:hAnsi="Amiri" w:eastAsia="Amiri" w:cs="Amiri"/>
          <w:color w:val="111111"/>
          <w:sz w:val="28"/>
          <w:sz w:val="28"/>
          <w:szCs w:val="28"/>
          <w:rtl w:val="true"/>
          <w:lang w:bidi="ar-SA"/>
        </w:rPr>
        <w:t xml:space="preserve">فی النظریة الإسلامیة ، لا سیّما فی فکر أهل البیت علیهم السلام إنّ الأکثریة لیست دائماً حلیفة الصواب ؛ لأنّ هذه الأکثریة قد تبنی علی أعراف مریضة ، وقد تشکّل هذه الأعراف أغلالاً للمجتمع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فالأعراف المریضة تمثّل إصراً وأغلالاً ، وقد خلّص الرسول صلی الله علیه و آله مجتمعه من هذا الإصر وهذه الأغلال ، وهذا الدور سیمارسه الإمام الحجّة بن الحسن عجّل اللّه فرجه </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477846_581953129"/>
      <w:bookmarkStart w:id="1141" w:name="_Toc453"/>
      <w:bookmarkEnd w:id="1140"/>
      <w:r>
        <w:rPr>
          <w:rtl w:val="true"/>
        </w:rPr>
        <w:t>الأعراف قد تخرج عن نطاق الفطرة</w:t>
      </w:r>
      <w:bookmarkEnd w:id="1141"/>
    </w:p>
    <w:p>
      <w:pPr>
        <w:pStyle w:val="BookText"/>
        <w:rPr/>
      </w:pPr>
      <w:r>
        <w:rPr>
          <w:rFonts w:ascii="IRNazanin" w:hAnsi="IRNazanin" w:eastAsia="IRNazanin"/>
          <w:color w:val="111111"/>
          <w:sz w:val="28"/>
          <w:sz w:val="28"/>
          <w:szCs w:val="28"/>
          <w:rtl w:val="true"/>
          <w:lang w:bidi="fa-IR"/>
        </w:rPr>
        <w:t xml:space="preserve">هناک هوّة کبیرة بین الشعارات التی ترفعها الشعوب والحکومات الغربیة وبین الأعراف السائدة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هم بشر ولدیهم فطرة إنسانیة ، ولکن هذا لا ینفی وجود الأعراف الخارجة عن الفطرة بصورة قویّة فی ذلک المجتمع </w:t>
      </w:r>
      <w:r>
        <w:rPr>
          <w:rFonts w:eastAsia="IRNazanin" w:cs="IRNazanin"/>
          <w:color w:val="111111"/>
          <w:sz w:val="28"/>
          <w:szCs w:val="28"/>
          <w:rtl w:val="true"/>
          <w:lang w:bidi="fa-IR"/>
        </w:rPr>
        <w:t>.</w:t>
      </w:r>
    </w:p>
    <w:p>
      <w:pPr>
        <w:pStyle w:val="Heading4"/>
        <w:numPr>
          <w:ilvl w:val="3"/>
          <w:numId w:val="1"/>
        </w:numPr>
        <w:rPr/>
      </w:pPr>
      <w:bookmarkStart w:id="1142" w:name="__RefHeading___Toc477848_581953129"/>
      <w:bookmarkStart w:id="1143" w:name="_Toc454"/>
      <w:bookmarkEnd w:id="1142"/>
      <w:r>
        <w:rPr>
          <w:rtl w:val="true"/>
        </w:rPr>
        <w:t>الإدراک العقلی للعدالة له حدود</w:t>
      </w:r>
      <w:bookmarkEnd w:id="114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العدالة فی کلّ مجالاتها السیاسیة والمالیة والاجتماعیة وغیرها لها بُعد</w:t>
      </w:r>
      <w:bookmarkStart w:id="1144" w:name="pg5261_55604"/>
    </w:p>
    <w:p>
      <w:pPr>
        <w:pStyle w:val="BookText"/>
        <w:rPr/>
      </w:pPr>
      <w:bookmarkEnd w:id="1144"/>
      <w:r>
        <w:rPr>
          <w:rFonts w:ascii="IRNazanin" w:hAnsi="IRNazanin" w:eastAsia="IRNazanin"/>
          <w:color w:val="111111"/>
          <w:sz w:val="28"/>
          <w:sz w:val="28"/>
          <w:szCs w:val="28"/>
          <w:rtl w:val="true"/>
          <w:lang w:bidi="fa-IR"/>
        </w:rPr>
        <w:t xml:space="preserve">تکوینی بحیث یدرکها العقل وتدرکها الفطرة الإنسانیة ، ولکن هذا الإدراک له حدود ، وما وراء تلک الحدود یقصر العقل وتقصر الفطرة عن إدراک العدالة ، وحینئذٍ تأتی الحاجة إلی الاعتبار القانونی </w:t>
      </w:r>
      <w:r>
        <w:rPr>
          <w:rFonts w:eastAsia="IRNazanin" w:cs="IRNazanin"/>
          <w:color w:val="111111"/>
          <w:sz w:val="28"/>
          <w:szCs w:val="28"/>
          <w:rtl w:val="true"/>
          <w:lang w:bidi="fa-IR"/>
        </w:rPr>
        <w:t>.</w:t>
      </w:r>
    </w:p>
    <w:p>
      <w:pPr>
        <w:pStyle w:val="Heading4"/>
        <w:numPr>
          <w:ilvl w:val="3"/>
          <w:numId w:val="1"/>
        </w:numPr>
        <w:rPr/>
      </w:pPr>
      <w:bookmarkStart w:id="1145" w:name="__RefHeading___Toc477850_581953129"/>
      <w:bookmarkStart w:id="1146" w:name="_Toc455"/>
      <w:bookmarkEnd w:id="1145"/>
      <w:r>
        <w:rPr>
          <w:rtl w:val="true"/>
        </w:rPr>
        <w:t>متی نحتاج إلی الاعتبار القانونی فی إدراک العدالة ؟</w:t>
      </w:r>
      <w:bookmarkEnd w:id="1146"/>
    </w:p>
    <w:p>
      <w:pPr>
        <w:pStyle w:val="BookText"/>
        <w:rPr/>
      </w:pPr>
      <w:r>
        <w:rPr>
          <w:rFonts w:ascii="IRNazanin" w:hAnsi="IRNazanin" w:eastAsia="IRNazanin"/>
          <w:color w:val="111111"/>
          <w:sz w:val="28"/>
          <w:sz w:val="28"/>
          <w:szCs w:val="28"/>
          <w:rtl w:val="true"/>
          <w:lang w:bidi="fa-IR"/>
        </w:rPr>
        <w:t xml:space="preserve">إذن تأتی الحاجة إلی الاعتبار بعد أوّلیّات وبدیهیّات الفطرة الإنسانیة فی إدراک العدالة ، وفی حسن العدل وقبح الظلم ، وحسن الصدق وقبح الکذب ، وحسن الإحسان وقبح الإساءة ، وهی مجموعة من الأُصول السلوکیة التی تدرکها الفطرة ، بعد ذلک تأتی الحاجة إلی الاعتبار القانونی ؛ لأنّ هناک أفعالاً غیر واضحة فی النظام الاجتماعی والنظام الفردی والنظام الأسری ، ولابدّ لأهل الخبرة فی تنظیم النظام الاجتماعی بأن یتدخّلوا لبیان العدالة فی هذه الأُمور ، سواء علی صعید البشریة أو علی صعید الإدارة والتدبیر </w:t>
      </w:r>
      <w:r>
        <w:rPr>
          <w:rFonts w:eastAsia="IRNazanin" w:cs="IRNazanin"/>
          <w:color w:val="111111"/>
          <w:sz w:val="28"/>
          <w:szCs w:val="28"/>
          <w:rtl w:val="true"/>
          <w:lang w:bidi="fa-IR"/>
        </w:rPr>
        <w:t>.</w:t>
      </w:r>
    </w:p>
    <w:p>
      <w:pPr>
        <w:pStyle w:val="Heading4"/>
        <w:numPr>
          <w:ilvl w:val="3"/>
          <w:numId w:val="1"/>
        </w:numPr>
        <w:rPr/>
      </w:pPr>
      <w:bookmarkStart w:id="1147" w:name="__RefHeading___Toc477852_581953129"/>
      <w:bookmarkStart w:id="1148" w:name="_Toc456"/>
      <w:bookmarkEnd w:id="1147"/>
      <w:r>
        <w:rPr>
          <w:rtl w:val="true"/>
        </w:rPr>
        <w:t>التقنین الإلهی والتقنین الوضعی</w:t>
      </w:r>
      <w:bookmarkEnd w:id="1148"/>
    </w:p>
    <w:p>
      <w:pPr>
        <w:pStyle w:val="BookText"/>
        <w:rPr/>
      </w:pPr>
      <w:r>
        <w:rPr>
          <w:rFonts w:ascii="IRNazanin" w:hAnsi="IRNazanin" w:eastAsia="IRNazanin"/>
          <w:color w:val="111111"/>
          <w:sz w:val="28"/>
          <w:sz w:val="28"/>
          <w:szCs w:val="28"/>
          <w:rtl w:val="true"/>
          <w:lang w:bidi="fa-IR"/>
        </w:rPr>
        <w:t xml:space="preserve">وهذا التقنین قد یکون بشریاً وضعیاً ، وقد یکون إلهیّاً سماویاً ، والشرع یحترم العقل فی الوصول إلی العدالة ، 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هذا یکون فی مساحات معیّنة ، وبعد هذه المساحات یصل العقل إلی مساحات لا یدرک فیها العدالة ، وهنا لابدّ من صوابیّة الرؤیة الکونیة بحیث یکون الإیمان بوجود خالق للکون والبشر </w:t>
      </w:r>
      <w:r>
        <w:rPr>
          <w:rFonts w:eastAsia="IRNazanin" w:cs="IRNazanin"/>
          <w:color w:val="111111"/>
          <w:sz w:val="28"/>
          <w:szCs w:val="28"/>
          <w:rtl w:val="true"/>
          <w:lang w:bidi="fa-IR"/>
        </w:rPr>
        <w:t>.</w:t>
      </w:r>
    </w:p>
    <w:p>
      <w:pPr>
        <w:pStyle w:val="Heading4"/>
        <w:numPr>
          <w:ilvl w:val="3"/>
          <w:numId w:val="1"/>
        </w:numPr>
        <w:rPr/>
      </w:pPr>
      <w:bookmarkStart w:id="1149" w:name="__RefHeading___Toc477854_581953129"/>
      <w:bookmarkStart w:id="1150" w:name="_Toc457"/>
      <w:bookmarkEnd w:id="1149"/>
      <w:r>
        <w:rPr>
          <w:rtl w:val="true"/>
        </w:rPr>
        <w:t>بنیة الحقوق التکوینیة قبل مرحلة التقنین</w:t>
      </w:r>
      <w:bookmarkEnd w:id="11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البحث حسّاس جدّاً ، فالعدل یرسم لإعطاء الحقوق قبل مرحلة التقنین ، وهنا بنیة الحقوق التکوینیة ، فهل بنیة الحقوق التکوینیة منطلقها الباریء سبحانه</w:t>
      </w:r>
      <w:bookmarkStart w:id="1151" w:name="pg5261_55606"/>
    </w:p>
    <w:p>
      <w:pPr>
        <w:pStyle w:val="BookText"/>
        <w:rPr/>
      </w:pPr>
      <w:bookmarkEnd w:id="1151"/>
      <w:r>
        <w:rPr>
          <w:rFonts w:ascii="IRNazanin" w:hAnsi="IRNazanin" w:eastAsia="IRNazanin"/>
          <w:color w:val="111111"/>
          <w:sz w:val="28"/>
          <w:sz w:val="28"/>
          <w:szCs w:val="28"/>
          <w:rtl w:val="true"/>
          <w:lang w:bidi="fa-IR"/>
        </w:rPr>
        <w:t xml:space="preserve">وتعالی أو منطلقها الإنسان هناک عدّة مدارس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الإنسانیة أو المدرسة الذاتیة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تنطلق من ذات الإنسان بغض النظر عن النظام الاجتماعی </w:t>
      </w:r>
      <w:r>
        <w:rPr>
          <w:rFonts w:eastAsia="IRNazanin" w:cs="IRNazanin"/>
          <w:color w:val="111111"/>
          <w:sz w:val="28"/>
          <w:szCs w:val="28"/>
          <w:rtl w:val="true"/>
          <w:lang w:bidi="fa-IR"/>
        </w:rPr>
        <w:t>.</w:t>
      </w:r>
    </w:p>
    <w:p>
      <w:pPr>
        <w:pStyle w:val="Heading4"/>
        <w:numPr>
          <w:ilvl w:val="3"/>
          <w:numId w:val="1"/>
        </w:numPr>
        <w:rPr/>
      </w:pPr>
      <w:bookmarkStart w:id="1152" w:name="__RefHeading___Toc477856_581953129"/>
      <w:bookmarkStart w:id="1153" w:name="_Toc458"/>
      <w:bookmarkEnd w:id="1152"/>
      <w:r>
        <w:rPr>
          <w:rtl w:val="true"/>
        </w:rPr>
        <w:t>الرؤیة الإسلامیة للعدالة</w:t>
      </w:r>
      <w:bookmarkEnd w:id="1153"/>
    </w:p>
    <w:p>
      <w:pPr>
        <w:pStyle w:val="BookText"/>
        <w:rPr/>
      </w:pPr>
      <w:r>
        <w:rPr>
          <w:rFonts w:ascii="IRNazanin" w:hAnsi="IRNazanin" w:eastAsia="IRNazanin"/>
          <w:color w:val="111111"/>
          <w:sz w:val="28"/>
          <w:sz w:val="28"/>
          <w:szCs w:val="28"/>
          <w:rtl w:val="true"/>
          <w:lang w:bidi="fa-IR"/>
        </w:rPr>
        <w:t xml:space="preserve">وهنا یبدأ البحث فی کیفیة الوصول إلی العدل فی النظریة الإسلامیة ، عندنا أنّه بدون جعل المالکیة والحق الأوّل للّه‌لن تستتب العدالة بتاتاً فی البشر ؛ لأنّ نظام التکوین یبدأ من اللّه ثمّ إلی خلقه ، فلابدّ أنّ نظام الحقوق ونظام التقنین ونظام التدبیر یتطابق مع نظام التکوین ، وإذا تطابق فستکتب العدالة ، وتتحقق السعادة للإنسانیة ، وإذا تمّ مخالفة هذا الأصل الأصیل الذی ترتکز علیه العدالة فلن تعیش البشریة السعادة أبداً ، وستخسر البشریة السعادة </w:t>
      </w:r>
      <w:r>
        <w:rPr>
          <w:rFonts w:eastAsia="IRNazanin" w:cs="IRNazanin"/>
          <w:color w:val="111111"/>
          <w:sz w:val="28"/>
          <w:szCs w:val="28"/>
          <w:rtl w:val="true"/>
          <w:lang w:bidi="fa-IR"/>
        </w:rPr>
        <w:t>.</w:t>
      </w:r>
    </w:p>
    <w:p>
      <w:pPr>
        <w:pStyle w:val="Heading4"/>
        <w:numPr>
          <w:ilvl w:val="3"/>
          <w:numId w:val="1"/>
        </w:numPr>
        <w:rPr/>
      </w:pPr>
      <w:bookmarkStart w:id="1154" w:name="__RefHeading___Toc477858_581953129"/>
      <w:bookmarkStart w:id="1155" w:name="_Toc459"/>
      <w:bookmarkEnd w:id="1154"/>
      <w:r>
        <w:rPr>
          <w:rtl w:val="true"/>
        </w:rPr>
        <w:t>الملکیّة الحقیقیة للّه</w:t>
      </w:r>
      <w:bookmarkEnd w:id="1155"/>
    </w:p>
    <w:p>
      <w:pPr>
        <w:pStyle w:val="BookText"/>
        <w:rPr/>
      </w:pPr>
      <w:r>
        <w:rPr>
          <w:rFonts w:ascii="IRNazanin" w:hAnsi="IRNazanin" w:eastAsia="IRNazanin"/>
          <w:color w:val="111111"/>
          <w:sz w:val="28"/>
          <w:sz w:val="28"/>
          <w:szCs w:val="28"/>
          <w:rtl w:val="true"/>
          <w:lang w:bidi="fa-IR"/>
        </w:rPr>
        <w:t xml:space="preserve">والملکیّة بالذات وقبل کلّ شیء للّه‌سبحانه وتعالی ، ولذلک قال سید الشهداء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بربّی وربّکم من کلّ متکبّر لا یؤمن بیوم الحساب</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وهنا یشیر سید الشهداء إلی أنّ الظلم السائد فی النظام الاجتماعی آنذاک بسبب عدم تحکیم هذا الأصل الأصیل ، وهو مالکیّة اللّه للکون وما فیه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الظاهرة الیزیدیة والظاهرة الأمویة تمثّلان المدرسة الذاتیة التی لا تنطلق من أنّ مالک الملوک هو اللّه ، وإنّما تضع فی هذا الموضع شخصاً آخر ، ومنهج أهل البیت علیهم السلام یرتکز علی أنّ الملک للّه‌والحق للّه‌لا للفرد، وإذا سلّمنا أنّ الملک للّه والحقّ للّه فإنّ کلّ قانون وکلّ مبدأ لا ینطلق من التشریع الإلهی فهو فاقد</w:t>
      </w:r>
      <w:bookmarkStart w:id="1156" w:name="pg5261_55608"/>
    </w:p>
    <w:p>
      <w:pPr>
        <w:pStyle w:val="BookText"/>
        <w:rPr/>
      </w:pPr>
      <w:bookmarkEnd w:id="1156"/>
      <w:r>
        <w:rPr>
          <w:rFonts w:ascii="IRNazanin" w:hAnsi="IRNazanin" w:eastAsia="IRNazanin"/>
          <w:color w:val="111111"/>
          <w:sz w:val="28"/>
          <w:sz w:val="28"/>
          <w:szCs w:val="28"/>
          <w:rtl w:val="true"/>
          <w:lang w:bidi="fa-IR"/>
        </w:rPr>
        <w:t xml:space="preserve">للمصداقیة والشرعیة ، ولا یمثّل قانوناً عادلاً </w:t>
      </w:r>
      <w:r>
        <w:rPr>
          <w:rFonts w:eastAsia="IRNazanin" w:cs="IRNazanin"/>
          <w:color w:val="111111"/>
          <w:sz w:val="28"/>
          <w:szCs w:val="28"/>
          <w:rtl w:val="true"/>
          <w:lang w:bidi="fa-IR"/>
        </w:rPr>
        <w:t>.</w:t>
      </w:r>
    </w:p>
    <w:p>
      <w:pPr>
        <w:pStyle w:val="Heading4"/>
        <w:numPr>
          <w:ilvl w:val="3"/>
          <w:numId w:val="1"/>
        </w:numPr>
        <w:rPr/>
      </w:pPr>
      <w:bookmarkStart w:id="1157" w:name="__RefHeading___Toc477860_581953129"/>
      <w:bookmarkStart w:id="1158" w:name="_Toc460"/>
      <w:bookmarkEnd w:id="1157"/>
      <w:r>
        <w:rPr>
          <w:rtl w:val="true"/>
        </w:rPr>
        <w:t>لا تتحقق العدالة من خلال المدرسة الذاتیة أو الإنسانیة</w:t>
      </w:r>
      <w:bookmarkEnd w:id="1158"/>
    </w:p>
    <w:p>
      <w:pPr>
        <w:pStyle w:val="BookText"/>
        <w:rPr/>
      </w:pPr>
      <w:r>
        <w:rPr>
          <w:rFonts w:ascii="IRNazanin" w:hAnsi="IRNazanin" w:eastAsia="IRNazanin"/>
          <w:color w:val="111111"/>
          <w:sz w:val="28"/>
          <w:sz w:val="28"/>
          <w:szCs w:val="28"/>
          <w:rtl w:val="true"/>
          <w:lang w:bidi="fa-IR"/>
        </w:rPr>
        <w:t xml:space="preserve">وإذا جعل المحور هو الذاتیة أو الإنسانیة فلن تکتب العدالة للبشریة ، الآن توجد مافیاً المخدّرات ومافیا الجنس ومافیا السلاح التی تنشأ من الإقطاع الدولی الذی یفتح باب الحروب من أجل أن یسوّق سلاحه ، ومن أجل الربح ، ومن خلال ممارسة الجنس غیر المشروع یفتح هذا الباب الذی یهدم أخلاقیات الأُسرة والمجتمع ، وتربک السلامة الروحیة والصحة البدنیة والأمن الاجتماعی ، ولیکن کلّ ذلک ، المهم أن یربحوا من هذا الفساد الأخلاقی ، وکذلک المخدّرات التی تشل الطاقات البشریة والعلمیة والعقلیة عند شرائح کبیرة من المجتمع ولتذهب البشریة للجحیم ، المهم أن یربحوا ، ولیکن بعد ذلک ما یکون </w:t>
      </w:r>
      <w:r>
        <w:rPr>
          <w:rFonts w:eastAsia="IRNazanin" w:cs="IRNazanin"/>
          <w:color w:val="111111"/>
          <w:sz w:val="28"/>
          <w:szCs w:val="28"/>
          <w:rtl w:val="true"/>
          <w:lang w:bidi="fa-IR"/>
        </w:rPr>
        <w:t>.</w:t>
      </w:r>
    </w:p>
    <w:p>
      <w:pPr>
        <w:pStyle w:val="Heading4"/>
        <w:numPr>
          <w:ilvl w:val="3"/>
          <w:numId w:val="1"/>
        </w:numPr>
        <w:rPr/>
      </w:pPr>
      <w:bookmarkStart w:id="1159" w:name="__RefHeading___Toc477862_581953129"/>
      <w:bookmarkStart w:id="1160" w:name="_Toc461"/>
      <w:bookmarkEnd w:id="1159"/>
      <w:r>
        <w:rPr>
          <w:rtl w:val="true"/>
        </w:rPr>
        <w:t>ملکیّة اللّه وملکیّة الرسول وذی القربی</w:t>
      </w:r>
      <w:bookmarkEnd w:id="116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الأصل الأوّل فی کلّ الحقوق یتبیّن من خلال هذه الآیة فی سورة الحشر ، یقول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الثروات الطبیعیة ، بل کلّ الثروات هی ملک للّه‌تعالی ، واللام الواردة فی الآیة الکریمة هی لام الملکیّة ، وتصرّف وملکیّة ذی القربی لیست ملکیّة قیصریة أو کسرویة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لِذِی الْقُرْبی وَ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یقل وللیتامی ، لیبیّن أنّ المصرف سیکون للطبقات المحرومة توزیعاً عادلاً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لا یَکُونَ دُولَةً بَیْنَ الْأَغْنِیاءِ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w:t>
      </w:r>
      <w:bookmarkStart w:id="1161" w:name="pg5261_55610"/>
    </w:p>
    <w:p>
      <w:pPr>
        <w:pStyle w:val="BookText"/>
        <w:rPr/>
      </w:pPr>
      <w:bookmarkEnd w:id="1161"/>
      <w:r>
        <w:rPr>
          <w:rFonts w:ascii="IRNazanin" w:hAnsi="IRNazanin" w:eastAsia="IRNazanin"/>
          <w:color w:val="111111"/>
          <w:sz w:val="28"/>
          <w:sz w:val="28"/>
          <w:szCs w:val="28"/>
          <w:rtl w:val="true"/>
          <w:lang w:bidi="fa-IR"/>
        </w:rPr>
        <w:t xml:space="preserve">کی لا یکون حقّاً مستأثراً عند هؤلاء الأغنیاء یتداولونه بینهم </w:t>
      </w:r>
      <w:r>
        <w:rPr>
          <w:rFonts w:eastAsia="IRNazanin" w:cs="IRNazanin"/>
          <w:color w:val="111111"/>
          <w:sz w:val="28"/>
          <w:szCs w:val="28"/>
          <w:rtl w:val="true"/>
          <w:lang w:bidi="fa-IR"/>
        </w:rPr>
        <w:t>.</w:t>
      </w:r>
    </w:p>
    <w:p>
      <w:pPr>
        <w:pStyle w:val="Heading4"/>
        <w:numPr>
          <w:ilvl w:val="3"/>
          <w:numId w:val="1"/>
        </w:numPr>
        <w:rPr/>
      </w:pPr>
      <w:bookmarkStart w:id="1162" w:name="__RefHeading___Toc477864_581953129"/>
      <w:bookmarkStart w:id="1163" w:name="_Toc462"/>
      <w:bookmarkEnd w:id="1162"/>
      <w:r>
        <w:rPr>
          <w:rtl w:val="true"/>
        </w:rPr>
        <w:t>الحق للّه ثمّ للرسول ثمّ لذی القربی</w:t>
      </w:r>
      <w:bookmarkEnd w:id="1163"/>
    </w:p>
    <w:p>
      <w:pPr>
        <w:pStyle w:val="BookText"/>
        <w:rPr/>
      </w:pPr>
      <w:r>
        <w:rPr>
          <w:rFonts w:ascii="IRNazanin" w:hAnsi="IRNazanin" w:eastAsia="IRNazanin"/>
          <w:color w:val="111111"/>
          <w:sz w:val="28"/>
          <w:sz w:val="28"/>
          <w:szCs w:val="28"/>
          <w:rtl w:val="true"/>
          <w:lang w:bidi="fa-IR"/>
        </w:rPr>
        <w:t xml:space="preserve">إذا أرادت البشریة أن لا یستأثر أُولی القوّة والنفوذ علیها یجب علیها الرجوع إلی مبدأ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 وربّکم أن ترجمون ، أعوذ بربّی وربّکم من کلّ متکبّر لا یؤمن بیوم الحساب</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فالحق للّه‌ثمّ للرسول ثمّ لأُولی القربی ، لِمَ؟ لکی تستتب العدالة ؛ ولکی لا یکون المال دولة بین الأغنیاء منکم ؛ ولکی تتهیّأ فرص للمحرومین حتّی ینالوا حقهم ، واللّه عندما یعطی شخصاً مّا ثروة یعطیها إیّاه لکی یکون عنصراً فعّالاً فی المجتمع لا لکی یحتکر هذه الثروة ، ویمنع الحقوق الشرعیة التی یستحقّها أهلها </w:t>
      </w:r>
      <w:r>
        <w:rPr>
          <w:rFonts w:eastAsia="IRNazanin" w:cs="IRNazanin"/>
          <w:color w:val="111111"/>
          <w:sz w:val="28"/>
          <w:szCs w:val="28"/>
          <w:rtl w:val="true"/>
          <w:lang w:bidi="fa-IR"/>
        </w:rPr>
        <w:t>.</w:t>
      </w:r>
    </w:p>
    <w:p>
      <w:pPr>
        <w:pStyle w:val="Heading4"/>
        <w:numPr>
          <w:ilvl w:val="3"/>
          <w:numId w:val="1"/>
        </w:numPr>
        <w:rPr/>
      </w:pPr>
      <w:bookmarkStart w:id="1164" w:name="__RefHeading___Toc477866_581953129"/>
      <w:bookmarkStart w:id="1165" w:name="_Toc463"/>
      <w:bookmarkEnd w:id="1164"/>
      <w:r>
        <w:rPr>
          <w:rtl w:val="true"/>
        </w:rPr>
        <w:t>سیطرة الإقطاع الأموی علی المناصب الحسّاسة</w:t>
      </w:r>
      <w:bookmarkEnd w:id="116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یتحدّی البشریة أنّ العدالة لن تستتب إلّاإذا کان أُولوا القربی هم أصحاب التدبیر ، وهذا ما شاهدناه فی التاریخ ، فلمّا أتی الخلیفة الأوّل بدأ التمییز فی العطاء بین المسلمین ، وبین زوجات النبی وغیرهن ، وبدأت سیاسة التفریق فی العطاء</w:t>
      </w:r>
      <w:r>
        <w:rPr>
          <w:rStyle w:val="FootnoteAnchor"/>
          <w:rtl w:val="true"/>
        </w:rPr>
        <w:footnoteReference w:id="213"/>
      </w:r>
      <w:r>
        <w:rPr>
          <w:rFonts w:ascii="IRNazanin" w:hAnsi="IRNazanin" w:eastAsia="IRNazanin"/>
          <w:color w:val="111111"/>
          <w:sz w:val="28"/>
          <w:sz w:val="28"/>
          <w:szCs w:val="28"/>
          <w:rtl w:val="true"/>
          <w:lang w:bidi="fa-IR"/>
        </w:rPr>
        <w:t>، وبدأ إدخال الإقطاع الجاهلی الأموی القدیم ، حیث ولّی یزید بن أبی سفیان علی الشام ، وهو أخو معاویة بن أبی سفیان ، وهو من الطلقاء ، ویولّی علی قطاع کبیر من البلاد الإسلامیة ، ممّا أسّس للإقطاع بصورة قویّة فی المجتمع الإسلامی ، وبعد أن مات یزید بن أبی سفیان تمّ تولیة معاویة بن أبی سفیان إرضاءً لشجرة الإقطاع الأموی فی عهد الخلیفة الثانی ، وتمّ تولیة الطلقاء فی مناصب حسّاسة ، وفی قیادة الجیوش الإسلامیة فعاد الإقطاع بأشرس ما یمکن ، إلی أن</w:t>
      </w:r>
      <w:bookmarkStart w:id="1166" w:name="pg5261_55612"/>
    </w:p>
    <w:p>
      <w:pPr>
        <w:pStyle w:val="BookText"/>
        <w:rPr/>
      </w:pPr>
      <w:bookmarkEnd w:id="1166"/>
      <w:r>
        <w:rPr>
          <w:rFonts w:ascii="IRNazanin" w:hAnsi="IRNazanin" w:eastAsia="IRNazanin"/>
          <w:color w:val="111111"/>
          <w:sz w:val="28"/>
          <w:sz w:val="28"/>
          <w:szCs w:val="28"/>
          <w:rtl w:val="true"/>
          <w:lang w:bidi="fa-IR"/>
        </w:rPr>
        <w:t xml:space="preserve">وصلت النوبة إلی یزید بن معاویة الذی شرب الخمر واستحلّ الدماء وهدم الکعبة ، وصار لهذه الطبقة الإقطاعیة الأولویة حتّی علی المهاجرین والأنصار فی تولّی المناصب الحسّاسة </w:t>
      </w:r>
      <w:r>
        <w:rPr>
          <w:rFonts w:eastAsia="IRNazanin" w:cs="IRNazanin"/>
          <w:color w:val="111111"/>
          <w:sz w:val="28"/>
          <w:szCs w:val="28"/>
          <w:rtl w:val="true"/>
          <w:lang w:bidi="fa-IR"/>
        </w:rPr>
        <w:t>.</w:t>
      </w:r>
    </w:p>
    <w:p>
      <w:pPr>
        <w:pStyle w:val="Heading4"/>
        <w:numPr>
          <w:ilvl w:val="3"/>
          <w:numId w:val="1"/>
        </w:numPr>
        <w:rPr/>
      </w:pPr>
      <w:bookmarkStart w:id="1167" w:name="__RefHeading___Toc477868_581953129"/>
      <w:bookmarkStart w:id="1168" w:name="_Toc464"/>
      <w:bookmarkEnd w:id="1167"/>
      <w:r>
        <w:rPr>
          <w:rtl w:val="true"/>
        </w:rPr>
        <w:t>تطبیق العدالة من خلال دور ذوی القربی</w:t>
      </w:r>
      <w:bookmarkEnd w:id="116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تمّ التضییق علی المَوالی غیر العرب فمُنعوا من الزواج من العرب فی عهد الخلیفة الثانی ، ومُنعوا من دخول عاصمة المسلمین وهی المدینة المنوّرة ، وفی عهد الخلیفة الثالث زادت مثل هذه الممارسات بصورة کبیرة ممّا أدّی إلی انفجار الأوضاع ، ثمّ جاء دور أمیر المؤمنین علیه السلام الذی أعاد العدل إلی نصابه فلم یفرّق بین الأبیض والأسود ، ولا بین العربی والأعجمی ، فأعاد سنّة رسول اللّه صلی الله علیه و آله ، وهذا هو دور أُولی القربی ، وهو التوزیع العادل للطبقات المحرومة حتّی لا یکون دولة بین الأغنیاء ، وهنا یمثّل سید الشهداء علیه السلام ضمیر العدالة وضمیر الإنسانیة النابض ، ولمّا سفک دمه بثّ الحیاة فی العدالة والمطالبة بها </w:t>
      </w:r>
      <w:r>
        <w:rPr>
          <w:rFonts w:eastAsia="IRNazanin" w:cs="IRNazanin"/>
          <w:color w:val="111111"/>
          <w:sz w:val="28"/>
          <w:szCs w:val="28"/>
          <w:rtl w:val="true"/>
          <w:lang w:bidi="fa-IR"/>
        </w:rPr>
        <w:t>.</w:t>
      </w:r>
      <w:bookmarkStart w:id="1169" w:name="pg5261_55616"/>
    </w:p>
    <w:p>
      <w:pPr>
        <w:pStyle w:val="Heading3"/>
        <w:numPr>
          <w:ilvl w:val="2"/>
          <w:numId w:val="1"/>
        </w:numPr>
        <w:rPr/>
      </w:pPr>
      <w:bookmarkStart w:id="1170" w:name="__RefHeading___Toc477870_581953129"/>
      <w:bookmarkStart w:id="1171" w:name="_Toc465"/>
      <w:bookmarkEnd w:id="1169"/>
      <w:bookmarkEnd w:id="1170"/>
      <w:r>
        <w:rPr>
          <w:rtl w:val="true"/>
        </w:rPr>
        <w:t>المحاضرة السادسة العدالة ودور الخلیفة فی الأرض</w:t>
      </w:r>
      <w:bookmarkEnd w:id="1171"/>
    </w:p>
    <w:p>
      <w:pPr>
        <w:pStyle w:val="Heading4"/>
        <w:numPr>
          <w:ilvl w:val="3"/>
          <w:numId w:val="1"/>
        </w:numPr>
        <w:rPr/>
      </w:pPr>
      <w:bookmarkStart w:id="1172" w:name="__RefHeading___Toc477872_581953129"/>
      <w:bookmarkStart w:id="1173" w:name="_Toc466"/>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الحسین علیه السلام من الخروج علی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القدرة هی مصدر الاستحقاق؟</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إخضاع القانون للأخلاق؟</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العبودیة للّه‌تؤسّس للعدالة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هو الشخص المصطفی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أهل القری فی القرآن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خلیفة اللّه ید اللّه ، وعین اللّه ، ووجه اللّه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عجّل اللّه فرجه الشریف یتصدّی لأُمور المسلمین فی غیبته ، ولکن فی الخفاء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الحکم السرّی فی مجریات الأُمور </w:t>
      </w:r>
      <w:r>
        <w:rPr>
          <w:rFonts w:eastAsia="IRNazanin" w:cs="IRNazanin"/>
          <w:color w:val="111111"/>
          <w:sz w:val="28"/>
          <w:szCs w:val="28"/>
          <w:rtl w:val="true"/>
          <w:lang w:bidi="fa-IR"/>
        </w:rPr>
        <w:t>.</w:t>
      </w:r>
    </w:p>
    <w:p>
      <w:pPr>
        <w:pStyle w:val="Heading4"/>
        <w:numPr>
          <w:ilvl w:val="3"/>
          <w:numId w:val="1"/>
        </w:numPr>
        <w:rPr/>
      </w:pPr>
      <w:bookmarkStart w:id="1174" w:name="__RefHeading___Toc477874_581953129"/>
      <w:bookmarkStart w:id="1175" w:name="_Toc467"/>
      <w:bookmarkEnd w:id="1174"/>
      <w:r>
        <w:rPr>
          <w:rtl w:val="true"/>
        </w:rPr>
        <w:t>هدف الحسین علیه السلام من الخروج علی بنی أمیة</w:t>
      </w:r>
      <w:bookmarkEnd w:id="117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سید الشهداء علیه السلام من ضمن نداءاته</w:t>
      </w:r>
      <w:bookmarkStart w:id="1176" w:name="pg5261_55618"/>
    </w:p>
    <w:p>
      <w:pPr>
        <w:pStyle w:val="BookText"/>
        <w:rPr/>
      </w:pPr>
      <w:bookmarkEnd w:id="1176"/>
      <w:r>
        <w:rPr>
          <w:rFonts w:ascii="IRNazanin" w:hAnsi="IRNazanin" w:eastAsia="IRNazanin"/>
          <w:color w:val="111111"/>
          <w:sz w:val="28"/>
          <w:sz w:val="28"/>
          <w:szCs w:val="28"/>
          <w:rtl w:val="true"/>
          <w:lang w:bidi="fa-IR"/>
        </w:rPr>
        <w:t xml:space="preserve">العاشورائیة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ما کان منّا تنافساً فی سلطان ولا التماساً فی فضول الحطام ، ولکن لنری المعالم من دینک ، ونظهر الإصلاح فی بلادک ویأمن المظلومون من عبادک ، ویُعملُ بفرائضک وسننک وأحکامک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 ثمّ وجَّهَ خطابه علیه السلام إلی أهل الکوفة والمعسکر الآخر أو جیش 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تنصرونا وتنصفونا قوی الظلمة علیکم ، وعملوا فی إطفاء نور نبیّکم ، وحسبنا اللّه وعلیه توکّلنا وإلیه أنبنا وإلیه المصیر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477876_581953129"/>
      <w:bookmarkStart w:id="1178" w:name="_Toc468"/>
      <w:bookmarkEnd w:id="1177"/>
      <w:r>
        <w:rPr>
          <w:rtl w:val="true"/>
        </w:rPr>
        <w:t>هل القدرة هی مصدر الاستحقاق ؟</w:t>
      </w:r>
      <w:bookmarkEnd w:id="1178"/>
    </w:p>
    <w:p>
      <w:pPr>
        <w:pStyle w:val="BookText"/>
        <w:rPr/>
      </w:pPr>
      <w:r>
        <w:rPr>
          <w:rFonts w:ascii="IRNazanin" w:hAnsi="IRNazanin" w:eastAsia="IRNazanin"/>
          <w:color w:val="111111"/>
          <w:sz w:val="28"/>
          <w:sz w:val="28"/>
          <w:szCs w:val="28"/>
          <w:rtl w:val="true"/>
          <w:lang w:bidi="fa-IR"/>
        </w:rPr>
        <w:t>مرّ علینا الکلام عن أُسس الحقوق والتقنین ، بعد الکلام عن أنّ العدالة هی الأساس والقانون یدور مدارها ، وتکلّمنا عن المدرسة الذاتیة ، والتی تعبّر عن الحالة الدکتاتوریة والکسرویة والقیصریة التی تستعبد الإنسان ، وهنا تظهر فکرة أنّ سیطرة الطبقات بعضها علی البعض ظاهرة طبیعیة تتمثّل فی سیطرة القوی علی الضعیف ، فلیس من الطبیعی أن تتساوی الشعوب الأوربیة مع باقی شعوب العالم ، وهی شعوب أکثر تعلّماً وقدرة وتسلّحاً من غیرها ، فکیف نساویها بغیرها؟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وفکرة الإنتاج والعمل مطلب آخر ، بل هذه المؤهّلات التی یتّصف بها القوی هی التی تؤهّله إلی أن تکون له استحقاقات معیّنة ، وهذه هی نفس الکسرویة والقیصریة القدیمة ، ولکنها الآن بصورة حدیثة ، وإلّا فهی نفس الفکرة ، ونفس المدرسة بالضبط ، وترتکز علی أنّ القدرة مصدر الاستحقاق ، فکلّما کانت الذات تتمتّع بقدرة أکبر کان لها استحقاق أکثر </w:t>
      </w:r>
      <w:r>
        <w:rPr>
          <w:rFonts w:eastAsia="IRNazanin" w:cs="IRNazanin"/>
          <w:color w:val="111111"/>
          <w:sz w:val="28"/>
          <w:szCs w:val="28"/>
          <w:rtl w:val="true"/>
          <w:lang w:bidi="fa-IR"/>
        </w:rPr>
        <w:t>.</w:t>
      </w:r>
      <w:bookmarkStart w:id="1179" w:name="pg5261_55620"/>
    </w:p>
    <w:p>
      <w:pPr>
        <w:pStyle w:val="Heading4"/>
        <w:numPr>
          <w:ilvl w:val="3"/>
          <w:numId w:val="1"/>
        </w:numPr>
        <w:rPr/>
      </w:pPr>
      <w:bookmarkStart w:id="1180" w:name="__RefHeading___Toc477878_581953129"/>
      <w:bookmarkStart w:id="1181" w:name="_Toc469"/>
      <w:bookmarkEnd w:id="1179"/>
      <w:bookmarkEnd w:id="1180"/>
      <w:r>
        <w:rPr>
          <w:rtl w:val="true"/>
        </w:rPr>
        <w:t>هل یخضع النظام لرأی الأکثریة ؟</w:t>
      </w:r>
      <w:bookmarkEnd w:id="1181"/>
    </w:p>
    <w:p>
      <w:pPr>
        <w:pStyle w:val="BookText"/>
        <w:rPr/>
      </w:pPr>
      <w:r>
        <w:rPr>
          <w:rFonts w:ascii="IRNazanin" w:hAnsi="IRNazanin" w:eastAsia="IRNazanin"/>
          <w:color w:val="111111"/>
          <w:sz w:val="28"/>
          <w:sz w:val="28"/>
          <w:szCs w:val="28"/>
          <w:rtl w:val="true"/>
          <w:lang w:bidi="fa-IR"/>
        </w:rPr>
        <w:t xml:space="preserve">أمّا المدرسة الإنسانیة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مجموع المجتمع البشری له استحقاقات معیّنة ، والمدرسة الإنسانیة تنقسم إلی المذاهب ، وهی تنطلق من إنسانیة الإنسان لا من قدرته وإمکانیّاته ، وهی تنطلق من إدراکات الإنسان وشهواته وغرائزه ، فإذا کانت الأکثریة قد أرادت الإباحیّة الجنسیة فحینئذٍ تصحّ وتشرع الإباحیّة الجنسیة ، وإذا کانت الأکثریة ترید نظاماً مالیاً معیّناً أو نظاماً خلقیّاً معیّناً أو نظاماً قانونیاً معیّناً فیجب إقرار هذا النظام ، وهی تعتمد علی نفوذ رأی الأغلبیة ، واللیبرالیة مدرسة تربّت فی أحضان المدرسة الإنسانیة </w:t>
      </w:r>
      <w:r>
        <w:rPr>
          <w:rFonts w:eastAsia="IRNazanin" w:cs="IRNazanin"/>
          <w:color w:val="111111"/>
          <w:sz w:val="28"/>
          <w:szCs w:val="28"/>
          <w:rtl w:val="true"/>
          <w:lang w:bidi="fa-IR"/>
        </w:rPr>
        <w:t>.</w:t>
      </w:r>
    </w:p>
    <w:p>
      <w:pPr>
        <w:pStyle w:val="Heading4"/>
        <w:numPr>
          <w:ilvl w:val="3"/>
          <w:numId w:val="1"/>
        </w:numPr>
        <w:rPr/>
      </w:pPr>
      <w:bookmarkStart w:id="1182" w:name="__RefHeading___Toc477880_581953129"/>
      <w:bookmarkStart w:id="1183" w:name="_Toc470"/>
      <w:bookmarkEnd w:id="1182"/>
      <w:r>
        <w:rPr>
          <w:rtl w:val="true"/>
        </w:rPr>
        <w:t>لابدّ من مراجعة الرؤیة الکونیة للمدارس الحقوقیة والسیاسیة</w:t>
      </w:r>
      <w:bookmarkEnd w:id="1183"/>
    </w:p>
    <w:p>
      <w:pPr>
        <w:pStyle w:val="BookText"/>
        <w:rPr/>
      </w:pPr>
      <w:r>
        <w:rPr>
          <w:rFonts w:ascii="IRNazanin" w:hAnsi="IRNazanin" w:eastAsia="IRNazanin"/>
          <w:color w:val="111111"/>
          <w:sz w:val="28"/>
          <w:sz w:val="28"/>
          <w:szCs w:val="28"/>
          <w:rtl w:val="true"/>
          <w:lang w:bidi="fa-IR"/>
        </w:rPr>
        <w:t xml:space="preserve">یجب علینا حینما نرید أن نفهم المدارس الحقوقیة والسیاسیة والقانونیة أن نراجع أُسسها الفلسفیة ، أو أُسسها فی الرؤیة الکونیة أو الرؤیة الأخلاقیة ، وإلّا فسیکون الحوار والتجاذب العلمی معها عقیماً ؛ لأنّک إذا فهمت الأُسس استطعت أن تفهم الاستحقاقات التی تطرحها هذه المدرسة أو تلک ، فلابدّ من الرجوع إلی الأُسس </w:t>
      </w:r>
      <w:r>
        <w:rPr>
          <w:rFonts w:eastAsia="IRNazanin" w:cs="IRNazanin"/>
          <w:color w:val="111111"/>
          <w:sz w:val="28"/>
          <w:szCs w:val="28"/>
          <w:rtl w:val="true"/>
          <w:lang w:bidi="fa-IR"/>
        </w:rPr>
        <w:t>.</w:t>
      </w:r>
    </w:p>
    <w:p>
      <w:pPr>
        <w:pStyle w:val="Heading4"/>
        <w:numPr>
          <w:ilvl w:val="3"/>
          <w:numId w:val="1"/>
        </w:numPr>
        <w:rPr/>
      </w:pPr>
      <w:bookmarkStart w:id="1184" w:name="__RefHeading___Toc477882_581953129"/>
      <w:bookmarkStart w:id="1185" w:name="_Toc471"/>
      <w:bookmarkEnd w:id="1184"/>
      <w:r>
        <w:rPr>
          <w:rtl w:val="true"/>
        </w:rPr>
        <w:t>هل یجب إخضاع القانون للأخلاق ؟</w:t>
      </w:r>
      <w:bookmarkEnd w:id="1185"/>
    </w:p>
    <w:p>
      <w:pPr>
        <w:pStyle w:val="BookText"/>
        <w:rPr/>
      </w:pPr>
      <w:r>
        <w:rPr>
          <w:rFonts w:ascii="IRNazanin" w:hAnsi="IRNazanin" w:eastAsia="IRNazanin"/>
          <w:color w:val="111111"/>
          <w:sz w:val="28"/>
          <w:sz w:val="28"/>
          <w:szCs w:val="28"/>
          <w:rtl w:val="true"/>
          <w:lang w:bidi="fa-IR"/>
        </w:rPr>
        <w:t xml:space="preserve">هناک جدل قدیم وحدیث یدور حول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مبادیء أخلاقیة یجب أن تحکم القانون أو لا؟ وما هی الأخلاق ، هل الأخلاق لها ثوابت ، ولها مبادیء ، ولها محاور مقدّسة؟</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المدارس السماویّة تنظر إلی الأخلاق علی أنّ لها قدسیّة خاصّة ، بینما المدارس الأُخری الوضعیّة لا تنظر إلی الأخلاق علی أنّ لها قدسیّة خاصّة ، وعندها فهی لا تقبل أن تحکّم الأخلاق علی القوانین والمبادیء الحقوقیة وتعتبر</w:t>
      </w:r>
      <w:bookmarkStart w:id="1186" w:name="pg5261_55622"/>
    </w:p>
    <w:p>
      <w:pPr>
        <w:pStyle w:val="BookText"/>
        <w:rPr/>
      </w:pPr>
      <w:bookmarkEnd w:id="1186"/>
      <w:r>
        <w:rPr>
          <w:rFonts w:ascii="IRNazanin" w:hAnsi="IRNazanin" w:eastAsia="IRNazanin"/>
          <w:color w:val="111111"/>
          <w:sz w:val="28"/>
          <w:sz w:val="28"/>
          <w:szCs w:val="28"/>
          <w:rtl w:val="true"/>
          <w:lang w:bidi="fa-IR"/>
        </w:rPr>
        <w:t xml:space="preserve">أن لیس فی الأخلاق مبدأ مقدّس ، وتعتبر الأخلاق وسیلة آلیّة تعاملیّة ، وتعتبرها عناصر إداریة </w:t>
      </w:r>
      <w:r>
        <w:rPr>
          <w:rFonts w:eastAsia="IRNazanin" w:cs="IRNazanin"/>
          <w:color w:val="111111"/>
          <w:sz w:val="28"/>
          <w:szCs w:val="28"/>
          <w:rtl w:val="true"/>
          <w:lang w:bidi="fa-IR"/>
        </w:rPr>
        <w:t>.</w:t>
      </w:r>
    </w:p>
    <w:p>
      <w:pPr>
        <w:pStyle w:val="Heading4"/>
        <w:numPr>
          <w:ilvl w:val="3"/>
          <w:numId w:val="1"/>
        </w:numPr>
        <w:rPr/>
      </w:pPr>
      <w:bookmarkStart w:id="1187" w:name="__RefHeading___Toc477884_581953129"/>
      <w:bookmarkStart w:id="1188" w:name="_Toc472"/>
      <w:bookmarkEnd w:id="1187"/>
      <w:r>
        <w:rPr>
          <w:rtl w:val="true"/>
        </w:rPr>
        <w:t>هل العدالة أمر حقیقی أم اعتباری ؟</w:t>
      </w:r>
      <w:bookmarkEnd w:id="1188"/>
    </w:p>
    <w:p>
      <w:pPr>
        <w:pStyle w:val="BookText"/>
        <w:rPr/>
      </w:pPr>
      <w:r>
        <w:rPr>
          <w:rFonts w:ascii="IRNazanin" w:hAnsi="IRNazanin" w:eastAsia="IRNazanin"/>
          <w:color w:val="111111"/>
          <w:sz w:val="28"/>
          <w:sz w:val="28"/>
          <w:szCs w:val="28"/>
          <w:rtl w:val="true"/>
          <w:lang w:bidi="fa-IR"/>
        </w:rPr>
        <w:t xml:space="preserve">وهذا یبتنی علی نفی وجود الحسن والقبح أو المدح والذم ، وأنّ هذه الأُمور مصطنعة فی المجتمعات تتبدّل عندما تتبدّل الثقافة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سید الشهداء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إلّاسعادة ، والحیاة مع الظالمین إلّا برماً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یعتبر أنّ الحیاة مع الظالمین تمثّل برماً ثابتاً ، وأنّ هذا مبدأ مقدّس لا یتغیّر ، وأخلاقیة ثابتة لا تتغیّر بتغیّر المجتمع ، فالظلم هو الظلم </w:t>
      </w:r>
      <w:r>
        <w:rPr>
          <w:rFonts w:eastAsia="IRNazanin" w:cs="IRNazanin"/>
          <w:color w:val="111111"/>
          <w:sz w:val="28"/>
          <w:szCs w:val="28"/>
          <w:rtl w:val="true"/>
          <w:lang w:bidi="fa-IR"/>
        </w:rPr>
        <w:t>.</w:t>
      </w:r>
    </w:p>
    <w:p>
      <w:pPr>
        <w:pStyle w:val="Heading4"/>
        <w:numPr>
          <w:ilvl w:val="3"/>
          <w:numId w:val="1"/>
        </w:numPr>
        <w:rPr/>
      </w:pPr>
      <w:bookmarkStart w:id="1189" w:name="__RefHeading___Toc477886_581953129"/>
      <w:bookmarkStart w:id="1190" w:name="_Toc473"/>
      <w:bookmarkEnd w:id="1189"/>
      <w:r>
        <w:rPr>
          <w:rtl w:val="true"/>
        </w:rPr>
        <w:t>لا محوریّة للعدالة فی المبادیء الغربیة</w:t>
      </w:r>
      <w:bookmarkEnd w:id="1190"/>
    </w:p>
    <w:p>
      <w:pPr>
        <w:pStyle w:val="BookText"/>
        <w:rPr/>
      </w:pPr>
      <w:r>
        <w:rPr>
          <w:rFonts w:ascii="IRNazanin" w:hAnsi="IRNazanin" w:eastAsia="IRNazanin"/>
          <w:color w:val="111111"/>
          <w:sz w:val="28"/>
          <w:sz w:val="28"/>
          <w:szCs w:val="28"/>
          <w:rtl w:val="true"/>
          <w:lang w:bidi="fa-IR"/>
        </w:rPr>
        <w:t xml:space="preserve">الغربیون لیس لدیهم مبادیء أخلاقیة ثابتة ، وإنّما الغایة عندهم هی الوصول إلی المصلحة ، وهذا کلّه ناتج من عدم محوریّة العدالة عندهم ، فإذا وجد الإنتاج الاقتصادی والرفاهیة المادیة ، فلن یکون السقوط والانحدار الأخلاقی مشکلة فی المجتمع کما یعتقدون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اختارت البشریة هذا المسار فلن یکتب العدل ، ولن یتحقق لها ، بل سیولد العدید من الفراعنة الجدد ، إذن لکی نناقش هذه المدارس لابدّ من إثبات مقدّمة علمیة ، وهی أنّ العدالة أمر حقیقی واقعی ، ولیس وجودها وجوداً اعتباریاً أدبیاً کما یزعمون ، ولن تستقر العدالة إلّابهدم الأصنام البشریة من أمثال هتلر وصدام وموسیلینی الذین لا یمکن لأحد أن ینکر واقعیة ظلمهم ، وأنّ البشریة قد لاقت الویلات علی أیدیهم ، والمعاناة التی یعیشها الفقراء والمحرومون أیضاً لا یمکن</w:t>
      </w:r>
      <w:bookmarkStart w:id="1191" w:name="pg5261_55624"/>
    </w:p>
    <w:p>
      <w:pPr>
        <w:pStyle w:val="BookText"/>
        <w:rPr/>
      </w:pPr>
      <w:bookmarkEnd w:id="1191"/>
      <w:r>
        <w:rPr>
          <w:rFonts w:ascii="IRNazanin" w:hAnsi="IRNazanin" w:eastAsia="IRNazanin"/>
          <w:color w:val="111111"/>
          <w:sz w:val="28"/>
          <w:sz w:val="28"/>
          <w:szCs w:val="28"/>
          <w:rtl w:val="true"/>
          <w:lang w:bidi="fa-IR"/>
        </w:rPr>
        <w:t xml:space="preserve">أن ینکر أحد واقعیتها ، والجرائم الأخلاقیة لا یمکن لأحد أن ینکر واقعیتها ، وتأثیرها السلبی علی المجتمع </w:t>
      </w:r>
      <w:r>
        <w:rPr>
          <w:rFonts w:eastAsia="IRNazanin" w:cs="IRNazanin"/>
          <w:color w:val="111111"/>
          <w:sz w:val="28"/>
          <w:szCs w:val="28"/>
          <w:rtl w:val="true"/>
          <w:lang w:bidi="fa-IR"/>
        </w:rPr>
        <w:t>.</w:t>
      </w:r>
    </w:p>
    <w:p>
      <w:pPr>
        <w:pStyle w:val="Heading4"/>
        <w:numPr>
          <w:ilvl w:val="3"/>
          <w:numId w:val="1"/>
        </w:numPr>
        <w:rPr/>
      </w:pPr>
      <w:bookmarkStart w:id="1192" w:name="__RefHeading___Toc477888_581953129"/>
      <w:bookmarkStart w:id="1193" w:name="_Toc474"/>
      <w:bookmarkEnd w:id="1192"/>
      <w:r>
        <w:rPr>
          <w:rtl w:val="true"/>
        </w:rPr>
        <w:t>العبودیة للّه تؤسس للعدالة</w:t>
      </w:r>
      <w:bookmarkEnd w:id="1193"/>
    </w:p>
    <w:p>
      <w:pPr>
        <w:pStyle w:val="BookText"/>
        <w:rPr/>
      </w:pPr>
      <w:r>
        <w:rPr>
          <w:rFonts w:ascii="Amiri" w:hAnsi="Amiri" w:eastAsia="Amiri" w:cs="Amiri"/>
          <w:color w:val="111111"/>
          <w:sz w:val="28"/>
          <w:sz w:val="28"/>
          <w:szCs w:val="28"/>
          <w:rtl w:val="true"/>
          <w:lang w:bidi="ar-SA"/>
        </w:rPr>
        <w:t xml:space="preserve">یجب علینا أن نثبت أنّ مالک الملوک ذا الحق المطلق هو اللّه عزّ وجلّ سواء فی النظام الإسلامی أو فی تعامل أصحاب الأدیان الأُخری مع اللّه تعالی ، کما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والتشریع الدولی والعلاقات الدولیة ، وکلّ العلاقات الأُخری لابدّ أن تبنی علی هذا الأصل ، أمّا إطلاق الحریات بشکل متحرّر من العبودیة للّه‌تعالی فهو یمثّل استعباد البشر لبعضهم البعض ، والعودة إلی أزمنة التخلّف البشری والعصور الوسطی ، ولکن بأشکال جدیدة ، أمّا العبودیة للّه‌فإنّها تضمن کون البشر سواسیة أمام اللّه تعالی </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477890_581953129"/>
      <w:bookmarkStart w:id="1195" w:name="_Toc475"/>
      <w:bookmarkEnd w:id="1194"/>
      <w:r>
        <w:rPr>
          <w:rtl w:val="true"/>
        </w:rPr>
        <w:t>مفهوم الفیء</w:t>
      </w:r>
      <w:bookmarkEnd w:id="119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الثروات فمصرفها للمحرومین ، وتدبیرها هو کما قالت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والفیء فی الاصطلاح الإسلامی هو کلّ الثروات الأرضیة ، وهذه الآیة هی من الآیات المحکمة العظیمة </w:t>
      </w:r>
      <w:r>
        <w:rPr>
          <w:rFonts w:eastAsia="Amiri" w:cs="Amiri" w:ascii="Amiri" w:hAnsi="Amiri"/>
          <w:color w:val="111111"/>
          <w:sz w:val="28"/>
          <w:szCs w:val="28"/>
          <w:rtl w:val="true"/>
          <w:lang w:bidi="ar-SA"/>
        </w:rPr>
        <w:t>.</w:t>
      </w:r>
      <w:bookmarkStart w:id="1196" w:name="pg5261_55627"/>
    </w:p>
    <w:p>
      <w:pPr>
        <w:pStyle w:val="Heading4"/>
        <w:numPr>
          <w:ilvl w:val="3"/>
          <w:numId w:val="1"/>
        </w:numPr>
        <w:rPr/>
      </w:pPr>
      <w:bookmarkStart w:id="1197" w:name="__RefHeading___Toc477892_581953129"/>
      <w:bookmarkStart w:id="1198" w:name="_Toc476"/>
      <w:bookmarkEnd w:id="1196"/>
      <w:bookmarkEnd w:id="1197"/>
      <w:r>
        <w:rPr>
          <w:rtl w:val="true"/>
        </w:rPr>
        <w:t>إنّی جاعل فی الأرض خلیفة</w:t>
      </w:r>
      <w:bookmarkEnd w:id="1198"/>
    </w:p>
    <w:p>
      <w:pPr>
        <w:pStyle w:val="BookText"/>
        <w:rPr/>
      </w:pPr>
      <w:r>
        <w:rPr>
          <w:rFonts w:ascii="Amiri" w:hAnsi="Amiri" w:eastAsia="Amiri" w:cs="Amiri"/>
          <w:color w:val="111111"/>
          <w:sz w:val="28"/>
          <w:sz w:val="28"/>
          <w:szCs w:val="28"/>
          <w:rtl w:val="true"/>
          <w:lang w:bidi="ar-SA"/>
        </w:rPr>
        <w:t xml:space="preserve">اللّه خلق الکون ، وجعل خلیفة اللّه علی الکون هو الشخص المصطفی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والملائکة موجود علمی ، وأوّل من انطبق علیه وصف الخلیفة هو آدم علیه السلام ، وتساؤل الملائکة عمّا قالوا عنه أنّه یفسد فیها ویسفک الدماء یطابق المدرسة الذاتیة التی تکلّمنا عنها ، والتی یکون من نتائجها الفساد سواء کان فساداً مالیاً أو خلقیّاً أو صحیّاً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الخلیفة مقدّر له أن یصلح الأرض ، وهذا الخلیفة هو آدم ومن بعده من الأنبیاء والرسل إلی خاتم الأنبیاء ، ومن الإمام علی علیه السلام إلی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هؤلاء الخلفاء لکتب الدمار للبشریة ، ولعاشت البشریة الدمار علی الصعید البیئی والترابی والهوائی والصحی وغیرها </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477894_581953129"/>
      <w:bookmarkStart w:id="1200" w:name="_Toc477"/>
      <w:bookmarkEnd w:id="1199"/>
      <w:r>
        <w:rPr>
          <w:rtl w:val="true"/>
        </w:rPr>
        <w:t>الخلیفة هو الشخص المصطفی من اللّه</w:t>
      </w:r>
      <w:bookmarkEnd w:id="1200"/>
    </w:p>
    <w:p>
      <w:pPr>
        <w:pStyle w:val="BookText"/>
        <w:rPr/>
      </w:pPr>
      <w:r>
        <w:rPr>
          <w:rFonts w:ascii="Amiri" w:hAnsi="Amiri" w:eastAsia="Amiri" w:cs="Amiri"/>
          <w:color w:val="111111"/>
          <w:sz w:val="28"/>
          <w:sz w:val="28"/>
          <w:szCs w:val="28"/>
          <w:rtl w:val="true"/>
          <w:lang w:bidi="ar-SA"/>
        </w:rPr>
        <w:t xml:space="preserve">وذلک لأنّ هؤلاء مدبّرون ، ولو رفعوا أیدیهم عن تدبیر البشریة فی مجالات عدیدة لکتب علی البشریة ما تنبّأت به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وبالتالی فإنّ الباری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الأرض استخلفت فیها الشخص المصطفی من الخلق ، واللّه هو مالک الملوک ، وهو الذی قال عن نفسه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فالذی یصلح لتدبیر البشریة ، والذی یتحلّی بکافّة المواصفات والمؤهّلات إنّما هو الخلیفة </w:t>
      </w:r>
      <w:r>
        <w:rPr>
          <w:rFonts w:eastAsia="Amiri" w:cs="Amiri" w:ascii="Amiri" w:hAnsi="Amiri"/>
          <w:color w:val="111111"/>
          <w:sz w:val="28"/>
          <w:szCs w:val="28"/>
          <w:rtl w:val="true"/>
          <w:lang w:bidi="ar-SA"/>
        </w:rPr>
        <w:t>.</w:t>
      </w:r>
      <w:bookmarkStart w:id="1201" w:name="pg5261_55628"/>
    </w:p>
    <w:p>
      <w:pPr>
        <w:pStyle w:val="Heading4"/>
        <w:numPr>
          <w:ilvl w:val="3"/>
          <w:numId w:val="1"/>
        </w:numPr>
        <w:rPr/>
      </w:pPr>
      <w:bookmarkStart w:id="1202" w:name="__RefHeading___Toc477896_581953129"/>
      <w:bookmarkStart w:id="1203" w:name="_Toc478"/>
      <w:bookmarkEnd w:id="1201"/>
      <w:bookmarkEnd w:id="1202"/>
      <w:r>
        <w:rPr>
          <w:rtl w:val="true"/>
        </w:rPr>
        <w:t>لابدّ من رجوع الفیء إلی مدبّره الصحیح</w:t>
      </w:r>
      <w:bookmarkEnd w:id="1203"/>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الکفّار قد یمتلکون الطاقات ، والمسلمون عندما یمتلکون هذه الطاقات من خلال الفیء ، فإنّ هذه الطاقات إنّما ترجع إلی نصابها الصحیح ، وإلی المدبّر الصحیح الذی یرتضیه اللّه تعالی </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477898_581953129"/>
      <w:bookmarkStart w:id="1205" w:name="_Toc479"/>
      <w:bookmarkEnd w:id="1204"/>
      <w:r>
        <w:rPr>
          <w:rtl w:val="true"/>
        </w:rPr>
        <w:t>مفهوم أهل القری فی القرآن الکریم</w:t>
      </w:r>
      <w:bookmarkEnd w:id="120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والقری فی جملة من الآیات ، تعنی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 ، فلِمَ یُسمی القرآن أهل المدن بأهل القری؟ فالیهود المعاصرون للنبی من الناحیة المادیة متطوّرون علی العرب بدرجات کثیرة ، وکانوا متقدّمین من حیث الکتابة والقراءة ، بینما العرب کانوا متخلّفین ، مع ذلک القرآن الکریم یسمی مناطقهم قری ولا یسمّیها مدن ؛ لأنّ القرآن یعتبر أنّ المدنیة تتمثّل فی الإقرار بأنّ مالک الملوک هو اللّه تعالی ، فالشخص الذی یقر بأنّ مالک الملوک هو اللّه یعتبر شخصاً متمدّناً ، والعلوم أسلحة وقدرات فإذا لم تهذّب بالالتزام الخلقی فإنّها ستکون أسلحة فتّاکة تورث الجحیم للبشریة ، أمّا إذا هذّبت بالالتزام الخلقی فسوف توفّر النعیم للبشریة </w:t>
      </w:r>
      <w:r>
        <w:rPr>
          <w:rFonts w:eastAsia="Amiri" w:cs="Amiri" w:ascii="Amiri" w:hAnsi="Amiri"/>
          <w:color w:val="111111"/>
          <w:sz w:val="28"/>
          <w:szCs w:val="28"/>
          <w:rtl w:val="true"/>
          <w:lang w:bidi="ar-SA"/>
        </w:rPr>
        <w:t>.</w:t>
      </w:r>
      <w:bookmarkStart w:id="1206" w:name="pg5261_55630"/>
    </w:p>
    <w:p>
      <w:pPr>
        <w:pStyle w:val="Heading4"/>
        <w:numPr>
          <w:ilvl w:val="3"/>
          <w:numId w:val="1"/>
        </w:numPr>
        <w:rPr/>
      </w:pPr>
      <w:bookmarkStart w:id="1207" w:name="__RefHeading___Toc477900_581953129"/>
      <w:bookmarkStart w:id="1208" w:name="_Toc480"/>
      <w:bookmarkEnd w:id="1206"/>
      <w:bookmarkEnd w:id="1207"/>
      <w:r>
        <w:rPr>
          <w:rtl w:val="true"/>
        </w:rPr>
        <w:t>الاحتکار ونشر الأمراض الجنسیة من مصادیق الإفساد فی الأرض</w:t>
      </w:r>
      <w:bookmarkEnd w:id="1208"/>
    </w:p>
    <w:p>
      <w:pPr>
        <w:pStyle w:val="BookText"/>
        <w:rPr/>
      </w:pPr>
      <w:r>
        <w:rPr>
          <w:rFonts w:ascii="IRNazanin" w:hAnsi="IRNazanin" w:eastAsia="IRNazanin"/>
          <w:color w:val="111111"/>
          <w:sz w:val="28"/>
          <w:sz w:val="28"/>
          <w:szCs w:val="28"/>
          <w:rtl w:val="true"/>
          <w:lang w:bidi="fa-IR"/>
        </w:rPr>
        <w:t xml:space="preserve">ویصل الإنسان إلی إحراق المواد الغذائیة حتّی لا ینزل سعرها فی السوق ، فبدل أن یعمل هؤلاء علی إخراج کنوز اللّه من أرضه ، یعملون علی إبادة المحاصیل الزراعیة ، کلّ ذلک من أجل السیطرة والاحتکار ، وهذا من مصادیق الإفساد فی الأرض ، فالقرآن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لا یؤمن باللّه هو إنسان قروی وإن کان فی ظاهره متمدّناً ، بینما ذلک الذی یعیش حیاة بسیطة مسالماً طیّباً یؤمن أنّ للناس حقوقاً ولله حقوقاً ، ویحافظ علی حرمة دماء الناس ، فهذا الإنسان إنسان مدنی فی منطق القرآن ، حتّی ولو کان یسکن فی الصحراء أو فی القری التی لا تعرف التطوّر المدنی ، وهذه المدنیة التی یعطیها القرآن لهذا الشخص تنطلق من إرادته التی یرید بها للبشریة الخیر والاطمئنان والسلام ، أمّا ذلک الذی یعمل علی نشر مرض الإیدز والأمراض الأُخری التی تنشأ من معصیة اللّه تعالی ، فهل هذا یصح علیه لفظ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أن یساهم فی تطوّر البشریة ، وهو من المفسدین فی الأرض؟</w:t>
      </w:r>
      <w:r>
        <w:rPr>
          <w:rFonts w:eastAsia="IRNazanin" w:cs="IRNazanin"/>
          <w:color w:val="111111"/>
          <w:sz w:val="28"/>
          <w:szCs w:val="28"/>
          <w:rtl w:val="true"/>
          <w:lang w:bidi="fa-IR"/>
        </w:rPr>
        <w:t>!</w:t>
      </w:r>
    </w:p>
    <w:p>
      <w:pPr>
        <w:pStyle w:val="Heading4"/>
        <w:numPr>
          <w:ilvl w:val="3"/>
          <w:numId w:val="1"/>
        </w:numPr>
        <w:rPr/>
      </w:pPr>
      <w:bookmarkStart w:id="1209" w:name="__RefHeading___Toc477902_581953129"/>
      <w:bookmarkStart w:id="1210" w:name="_Toc481"/>
      <w:bookmarkEnd w:id="1209"/>
      <w:r>
        <w:rPr>
          <w:rtl w:val="true"/>
        </w:rPr>
        <w:t>خلیفة اللّه ید اللّه ، وعین اللّه ، ووجه اللّه فی الأرض</w:t>
      </w:r>
      <w:bookmarkEnd w:id="121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منطق اللّه فی القرآن یتّجه إلی أنّ الفیء والثروات هی للّه‌فی الأصل وللرسل الذین هم خلفاء اللّه فی الأرض ، وهذا الخلیفة یکون ید اللّه فی الأرض ، وعین اللّه فی الأرض ، ووجه اللّه فی الأرض ، فعزرائیل یتوفّی الأنفس ، واللّه یسند هذا الفعل لنفسه فیقول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w:t>
      </w:r>
      <w:bookmarkStart w:id="1211" w:name="pg5261_55633"/>
    </w:p>
    <w:p>
      <w:pPr>
        <w:pStyle w:val="BookText"/>
        <w:rPr/>
      </w:pPr>
      <w:bookmarkEnd w:id="1211"/>
      <w:r>
        <w:rPr>
          <w:rFonts w:ascii="IRNazanin" w:hAnsi="IRNazanin" w:eastAsia="IRNazanin"/>
          <w:color w:val="111111"/>
          <w:sz w:val="28"/>
          <w:sz w:val="28"/>
          <w:szCs w:val="28"/>
          <w:rtl w:val="true"/>
          <w:lang w:bidi="fa-IR"/>
        </w:rPr>
        <w:t xml:space="preserve">إِلی رَبِّکُمْ تُرْجَعُونَ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 کانت الثروات الإنسانیة عند أهل البیت علیهم السلام لوزّعوها بالعدل ، ولما وجدت هذه المجاعات والمآسی ، وعندما کانت عند أولئک الذین لا یؤمنون باللّه فإنّهم قرویّون ولیسوا متمدّنین ، بل یمثّلون خطراً علی البشریة ؛ لأنّ الذی لا یؤمن باللّه فلن یکون له مبدأ یجعله یتورّع عن إثاره الحروب وقتل الشعوب وهدم الأُسر وإفشاء الفساد ، ولن یتوقّف عن نشر المخدّرات والدعوة إلی الإباحیة الجنسیة مادام ذلک یخدم مصالحه ، والإحصائیات حول بیع الفتیات الصغیرات من أوربا الشرقیة إلی أوربا الغربیة ، وفی الدول الکبیرة إحصائیات رهیبة ، وهذا لا یکون بمبارکة قانون مدوّن ، ولکنّه عرف وواقع یعیشه العالم الغربی الیوم ، ألیس هذا هو الاستعباد بعینه؟</w:t>
      </w:r>
      <w:r>
        <w:rPr>
          <w:rFonts w:eastAsia="IRNazanin" w:cs="IRNazanin"/>
          <w:color w:val="111111"/>
          <w:sz w:val="28"/>
          <w:szCs w:val="28"/>
          <w:rtl w:val="true"/>
          <w:lang w:bidi="fa-IR"/>
        </w:rPr>
        <w:t>!</w:t>
      </w:r>
    </w:p>
    <w:p>
      <w:pPr>
        <w:pStyle w:val="Heading4"/>
        <w:numPr>
          <w:ilvl w:val="3"/>
          <w:numId w:val="1"/>
        </w:numPr>
        <w:rPr/>
      </w:pPr>
      <w:bookmarkStart w:id="1212" w:name="__RefHeading___Toc477904_581953129"/>
      <w:bookmarkStart w:id="1213" w:name="_Toc482"/>
      <w:bookmarkEnd w:id="1212"/>
      <w:r>
        <w:rPr>
          <w:rtl w:val="true"/>
        </w:rPr>
        <w:t>تساؤلات حول العدالة والسعادة والرفاه</w:t>
      </w:r>
      <w:bookmarkEnd w:id="1213"/>
    </w:p>
    <w:p>
      <w:pPr>
        <w:pStyle w:val="BookText"/>
        <w:rPr/>
      </w:pPr>
      <w:r>
        <w:rPr>
          <w:rFonts w:ascii="IRNazanin" w:hAnsi="IRNazanin" w:eastAsia="IRNazanin"/>
          <w:color w:val="111111"/>
          <w:sz w:val="28"/>
          <w:sz w:val="28"/>
          <w:szCs w:val="28"/>
          <w:rtl w:val="true"/>
          <w:lang w:bidi="fa-IR"/>
        </w:rPr>
        <w:t>هناک جدل قائم الآن حول هل أنّ العدالة هی السعادة والرفاه والتنمیة أم أنّ العدالة تعنی أُموراً أُخری؟ وهل التنمیة تتمثّل فی العلم الذی یجعل الإنسان یکتنز من الأموال أکثر؟ وهل الرفاه یقتصر علی دول العالم المتقدّم أم دول العالم الثالث؟ وهل الطاقة النوویة حق للعالم المتقدّم وحرام علی العالم الثالث؟</w:t>
      </w:r>
    </w:p>
    <w:p>
      <w:pPr>
        <w:pStyle w:val="Heading4"/>
        <w:numPr>
          <w:ilvl w:val="3"/>
          <w:numId w:val="1"/>
        </w:numPr>
        <w:rPr/>
      </w:pPr>
      <w:bookmarkStart w:id="1214" w:name="__RefHeading___Toc477906_581953129"/>
      <w:bookmarkStart w:id="1215" w:name="_Toc483"/>
      <w:bookmarkEnd w:id="1214"/>
      <w:r>
        <w:rPr>
          <w:rtl w:val="true"/>
        </w:rPr>
        <w:t>المقصود من</w:t>
      </w:r>
      <w:bookmarkEnd w:id="1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المقصود بذی القربی فی الآیة الکریمة هو المعصوم الذی لا یجهل ، والذی هو الإمام المهدی عجل اللّه فرجه الشریف الغائب غیبة فی مقابل الظهور ، ولیس غیبة فی مقابل الحضور ، فلا یصح أن نقول غائب وسیحضر ، وإنّما غائب وسیظهر ، أی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حاضر ولکنّه لیس مکشوفاً ، وأمّا دعوة السفارة فإنّها دعوات تنطلق من</w:t>
      </w:r>
      <w:bookmarkStart w:id="1216" w:name="pg5261_55635"/>
    </w:p>
    <w:p>
      <w:pPr>
        <w:pStyle w:val="BookText"/>
        <w:rPr/>
      </w:pPr>
      <w:bookmarkEnd w:id="1216"/>
      <w:r>
        <w:rPr>
          <w:rFonts w:ascii="IRNazanin" w:hAnsi="IRNazanin" w:eastAsia="IRNazanin"/>
          <w:color w:val="111111"/>
          <w:sz w:val="28"/>
          <w:sz w:val="28"/>
          <w:szCs w:val="28"/>
          <w:rtl w:val="true"/>
          <w:lang w:bidi="fa-IR"/>
        </w:rPr>
        <w:t xml:space="preserve">أجهزة المخابرات البریطانیة </w:t>
      </w:r>
      <w:r>
        <w:rPr>
          <w:rFonts w:eastAsia="IRNazanin" w:cs="IRNazanin"/>
          <w:color w:val="111111"/>
          <w:sz w:val="28"/>
          <w:szCs w:val="28"/>
          <w:rtl w:val="true"/>
          <w:lang w:bidi="fa-IR"/>
        </w:rPr>
        <w:t>.</w:t>
      </w:r>
    </w:p>
    <w:p>
      <w:pPr>
        <w:pStyle w:val="Heading4"/>
        <w:numPr>
          <w:ilvl w:val="3"/>
          <w:numId w:val="1"/>
        </w:numPr>
        <w:rPr/>
      </w:pPr>
      <w:bookmarkStart w:id="1217" w:name="__RefHeading___Toc477908_581953129"/>
      <w:bookmarkStart w:id="1218" w:name="_Toc484"/>
      <w:bookmarkEnd w:id="1217"/>
      <w:r>
        <w:rPr>
          <w:rtl w:val="true"/>
        </w:rPr>
        <w:t xml:space="preserve">الإمام المهدی </w:t>
      </w:r>
      <w:r>
        <w:rPr>
          <w:rtl w:val="true"/>
        </w:rPr>
        <w:t>(</w:t>
      </w:r>
      <w:r>
        <w:rPr>
          <w:rtl w:val="true"/>
        </w:rPr>
        <w:t>عجّل اللّه فرجه</w:t>
      </w:r>
      <w:r>
        <w:rPr>
          <w:rtl w:val="true"/>
        </w:rPr>
        <w:t xml:space="preserve">) </w:t>
      </w:r>
      <w:r>
        <w:rPr>
          <w:rtl w:val="true"/>
        </w:rPr>
        <w:t>یتصدّی لأُمور المسلمین فی غیبته ، ولکن فی</w:t>
      </w:r>
      <w:bookmarkEnd w:id="1218"/>
    </w:p>
    <w:p>
      <w:pPr>
        <w:pStyle w:val="BookText"/>
        <w:rPr/>
      </w:pPr>
      <w:r>
        <w:rPr>
          <w:rFonts w:ascii="IRNazanin" w:hAnsi="IRNazanin" w:eastAsia="IRNazanin"/>
          <w:color w:val="111111"/>
          <w:sz w:val="28"/>
          <w:sz w:val="28"/>
          <w:szCs w:val="28"/>
          <w:rtl w:val="true"/>
          <w:lang w:bidi="fa-IR"/>
        </w:rPr>
        <w:t>الخفاء</w:t>
      </w:r>
    </w:p>
    <w:p>
      <w:pPr>
        <w:pStyle w:val="BookText"/>
        <w:rPr/>
      </w:pPr>
      <w:r>
        <w:rPr>
          <w:rFonts w:ascii="IRNazanin" w:hAnsi="IRNazanin" w:eastAsia="IRNazanin"/>
          <w:color w:val="111111"/>
          <w:sz w:val="28"/>
          <w:sz w:val="28"/>
          <w:szCs w:val="28"/>
          <w:rtl w:val="true"/>
          <w:lang w:bidi="fa-IR"/>
        </w:rPr>
        <w:t xml:space="preserve">فهو غائب ، وسینکشف دوره فی البشریة عند الظهور ، ومن الخطأ أن نعتقد أنّ الغیبة بمعنی الزوال ، أو أنّه یعیش بعیداً فی جزیرة خضراء أو حمراء ، فهو غائب بمعنی أنّه متستّر ومتخفّی ، لا أنّه غائب بمعنی أنّه غیر متصدّ أو أنّه متفرّج علی ما یحصل ، وهناک حتّی فی التراث الشیعی بعض المفاهیم المغلوطة ، فهناک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کان لمدّة خمس وعشرین سنة جلیس البیت ، وهذا خطأ ، هم أزاحوه وأبعدوه عن منصبه الذی نصّبه اللّه فیه ، ولکن کان له دوره </w:t>
      </w:r>
      <w:r>
        <w:rPr>
          <w:rFonts w:eastAsia="IRNazanin" w:cs="IRNazanin"/>
          <w:color w:val="111111"/>
          <w:sz w:val="28"/>
          <w:szCs w:val="28"/>
          <w:rtl w:val="true"/>
          <w:lang w:bidi="fa-IR"/>
        </w:rPr>
        <w:t>.</w:t>
      </w:r>
    </w:p>
    <w:p>
      <w:pPr>
        <w:pStyle w:val="Heading4"/>
        <w:numPr>
          <w:ilvl w:val="3"/>
          <w:numId w:val="1"/>
        </w:numPr>
        <w:rPr/>
      </w:pPr>
      <w:bookmarkStart w:id="1219" w:name="__RefHeading___Toc477910_581953129"/>
      <w:bookmarkStart w:id="1220" w:name="_Toc485"/>
      <w:bookmarkEnd w:id="1219"/>
      <w:r>
        <w:rPr>
          <w:rtl w:val="true"/>
        </w:rPr>
        <w:t>أهمیة الحکم السرّی فی مجریات الأُمور</w:t>
      </w:r>
      <w:bookmarkEnd w:id="1220"/>
    </w:p>
    <w:p>
      <w:pPr>
        <w:pStyle w:val="BookText"/>
        <w:rPr/>
      </w:pPr>
      <w:r>
        <w:rPr>
          <w:rFonts w:ascii="IRNazanin" w:hAnsi="IRNazanin" w:eastAsia="IRNazanin"/>
          <w:color w:val="111111"/>
          <w:sz w:val="28"/>
          <w:sz w:val="28"/>
          <w:szCs w:val="28"/>
          <w:rtl w:val="true"/>
          <w:lang w:bidi="fa-IR"/>
        </w:rPr>
        <w:t xml:space="preserve">ولیس الدور کلّ الدور فی الحکم الظاهری ، الیوم مجریات الأُمور الحقیقیة وخبایاها لا تکشف فی الأخبار ، المعادلات التی تدیر البشر غیر معلنة ، ولا تنشر الأسرار إلّابعد خمسین أو مائة سنة علی شکل مذکّرات یکتبها ذلک الوزیر أو الشخص المعنی ، مع ذلک فإنّ هذه المذکّرات لیس من الضروری أن تکشف کلّ الأسرار والمعادلات التی کانت تمثّل دوافع وأسباباً لحرکة معیّنة أو لتصرّف معیّن ، ما یکتب فی التاریخ من أسرار هو ما یطفح علی السطح ، وما یطفح علی السطح لیس هو الحقیقة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یکتب للبشریة سیادة دین اللّه ، وتدبیر رسول اللّه ، وذی القربی فلن یکتب للبشریة عدالة أبداً ، بل سیکون المنطق السائد هو منطق الإفساد فی الأرض ، وتارة یکون الإفساد بالاعتقال والسجن ، وتارة بالتمییز الطائفی والتمییز فی فرص العمل والتعلیم والظلم الذی یدور فی هذا المدار </w:t>
      </w:r>
      <w:r>
        <w:rPr>
          <w:rFonts w:eastAsia="IRNazanin" w:cs="IRNazanin"/>
          <w:color w:val="111111"/>
          <w:sz w:val="28"/>
          <w:szCs w:val="28"/>
          <w:rtl w:val="true"/>
          <w:lang w:bidi="fa-IR"/>
        </w:rPr>
        <w:t>.</w:t>
      </w:r>
      <w:bookmarkStart w:id="1221" w:name="pg5261_55637"/>
    </w:p>
    <w:p>
      <w:pPr>
        <w:pStyle w:val="Heading3"/>
        <w:numPr>
          <w:ilvl w:val="2"/>
          <w:numId w:val="1"/>
        </w:numPr>
        <w:rPr/>
      </w:pPr>
      <w:bookmarkStart w:id="1222" w:name="__RefHeading___Toc477912_581953129"/>
      <w:bookmarkStart w:id="1223" w:name="_Toc486"/>
      <w:bookmarkEnd w:id="1221"/>
      <w:bookmarkEnd w:id="1222"/>
      <w:r>
        <w:rPr>
          <w:rtl w:val="true"/>
        </w:rPr>
        <w:t>المحاضرة السابعة مناقشة بعض تعریفات العدالة</w:t>
      </w:r>
      <w:bookmarkEnd w:id="1223"/>
    </w:p>
    <w:p>
      <w:pPr>
        <w:pStyle w:val="Heading4"/>
        <w:numPr>
          <w:ilvl w:val="3"/>
          <w:numId w:val="1"/>
        </w:numPr>
        <w:rPr/>
      </w:pPr>
      <w:bookmarkStart w:id="1224" w:name="__RefHeading___Toc477914_581953129"/>
      <w:bookmarkStart w:id="1225" w:name="_Toc487"/>
      <w:bookmarkEnd w:id="1224"/>
      <w:r>
        <w:rPr>
          <w:rtl w:val="true"/>
        </w:rPr>
        <w:t>اشارة</w:t>
      </w:r>
      <w:bookmarkEnd w:id="1225"/>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القرآن الکریم إلی الفوارق فی المخلوقات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إفراط ولا تفریط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المحرّمة فی الأدیان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العدالة لن یتمّ إلّاعلی ید المعصوم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والمساواة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الوسطیة والرفاه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العدالة بسیطرة العقل الجمعی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طغیان المیول النفسیة الجمعیة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الصینی والشعب الیابانی والمیول النفسیة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سیطرة العقل الجمعی تفتقر إلی الضمان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سید الشهداء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هؤلاء قد لزموا طاعة الشیطان ، وترکوا طاعة الرحمن ، وأظهروا الفساد ، وعطّلوا</w:t>
      </w:r>
      <w:bookmarkStart w:id="1226" w:name="pg5261_55639"/>
    </w:p>
    <w:p>
      <w:pPr>
        <w:pStyle w:val="BookText"/>
        <w:rPr/>
      </w:pPr>
      <w:bookmarkEnd w:id="1226"/>
      <w:r>
        <w:rPr>
          <w:rFonts w:ascii="IRNazanin" w:hAnsi="IRNazanin" w:eastAsia="IRNazanin"/>
          <w:color w:val="111111"/>
          <w:sz w:val="28"/>
          <w:sz w:val="28"/>
          <w:szCs w:val="28"/>
          <w:rtl w:val="true"/>
          <w:lang w:bidi="fa-IR"/>
        </w:rPr>
        <w:t>الحدود ، واستأثروا بالفیء ، وأحلّوا حرام اللّه ، وحرّموا حلاله ، وأنا أحقّ مَن غیّر</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477916_581953129"/>
      <w:bookmarkStart w:id="1228" w:name="_Toc488"/>
      <w:bookmarkEnd w:id="1227"/>
      <w:r>
        <w:rPr>
          <w:rtl w:val="true"/>
        </w:rPr>
        <w:t>هل الفارق الطبقی الفاحش ظاهرة طبیعیة ؟</w:t>
      </w:r>
      <w:bookmarkEnd w:id="1228"/>
    </w:p>
    <w:p>
      <w:pPr>
        <w:pStyle w:val="BookText"/>
        <w:rPr/>
      </w:pPr>
      <w:r>
        <w:rPr>
          <w:rFonts w:ascii="IRNazanin" w:hAnsi="IRNazanin" w:eastAsia="IRNazanin"/>
          <w:color w:val="111111"/>
          <w:sz w:val="28"/>
          <w:sz w:val="28"/>
          <w:szCs w:val="28"/>
          <w:rtl w:val="true"/>
          <w:lang w:bidi="fa-IR"/>
        </w:rPr>
        <w:t xml:space="preserve">هناک جملة من المدارس المادیة والمدارس الذاتیة والمدارس الإنسانیة ، تری أنّ ظاهرة الفارق الطبقی الفاحش لیست ظاهرة شاذة ، بل ظاهرة طبیعیة فی النظام الاجتماعی ، والعدالة هی فی نظم النظام الاجتماعی ، وقد تحصل فوارق طبقیّة ولتکن فاحشة مادام هذا ضمن نظام وتنظیم وتدبیر ، فلتکن الفرص مفتوحة بهذا المقدار من النظم والإدارة والتدبیر فی المجتمع لیسعی کلٌّ إلی إکمال عقله وذهنه وکفاءته ، وإلی أن یحصل علی القدرة المطلوبة </w:t>
      </w:r>
      <w:r>
        <w:rPr>
          <w:rFonts w:eastAsia="IRNazanin" w:cs="IRNazanin"/>
          <w:color w:val="111111"/>
          <w:sz w:val="28"/>
          <w:szCs w:val="28"/>
          <w:rtl w:val="true"/>
          <w:lang w:bidi="fa-IR"/>
        </w:rPr>
        <w:t>.</w:t>
      </w:r>
    </w:p>
    <w:p>
      <w:pPr>
        <w:pStyle w:val="Heading4"/>
        <w:numPr>
          <w:ilvl w:val="3"/>
          <w:numId w:val="1"/>
        </w:numPr>
        <w:rPr/>
      </w:pPr>
      <w:bookmarkStart w:id="1229" w:name="__RefHeading___Toc477918_581953129"/>
      <w:bookmarkStart w:id="1230" w:name="_Toc489"/>
      <w:bookmarkEnd w:id="1229"/>
      <w:r>
        <w:rPr>
          <w:rtl w:val="true"/>
        </w:rPr>
        <w:t>نظرة القرآن الکریم إلی الفوارق فی المخلوقات</w:t>
      </w:r>
      <w:bookmarkEnd w:id="123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بینما منطق القرآن الکریم لیس علی نسج الفارق الطبقی ، ومن المعروف أنّ منطق القرآن الکریم یخالف الفکر الشیوعی الذی یحاول أن تکون فی المجتمع طبقة واحدة ، وهذا غیر ممکن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القرآن الکریم والمنطق الإسلامی لا ینسف الفارق الطبقی ، ویقر بالتفاوت فی القدرات الذهنیة والروحیة والبدنیة ، وهذه الحالة موجودة حتّی فی الأنبیاء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وحتّی</w:t>
      </w:r>
      <w:bookmarkStart w:id="1231" w:name="pg5261_55641"/>
    </w:p>
    <w:p>
      <w:pPr>
        <w:pStyle w:val="BookText"/>
        <w:rPr/>
      </w:pPr>
      <w:bookmarkEnd w:id="1231"/>
      <w:r>
        <w:rPr>
          <w:rFonts w:ascii="Amiri" w:hAnsi="Amiri" w:eastAsia="Amiri" w:cs="Amiri"/>
          <w:color w:val="111111"/>
          <w:sz w:val="28"/>
          <w:sz w:val="28"/>
          <w:szCs w:val="28"/>
          <w:rtl w:val="true"/>
          <w:lang w:bidi="ar-SA"/>
        </w:rPr>
        <w:t xml:space="preserve">فی الموجودات النباتیة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التراب حیث یفضّل تراب علی تراب ، وهذه الفوارق توجب نوعاً من الحیویة والنشاط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فتستخیر فئة لفئة أُخری لکی یتکامل المجتمع </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477920_581953129"/>
      <w:bookmarkStart w:id="1233" w:name="_Toc490"/>
      <w:bookmarkEnd w:id="1232"/>
      <w:r>
        <w:rPr>
          <w:rtl w:val="true"/>
        </w:rPr>
        <w:t>لا إفراط ولا تفریط فی الإسلام</w:t>
      </w:r>
      <w:bookmarkEnd w:id="123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الذی یعارضه الإسلام هو الإفراط المتمثّل فی النظریة المارکسیة والشیوعیة أو الاشتراکیة ، ویرفض التفریط المتمثّل فی نظریة اقتصاد السوق أو النظریة الرأسمالیة التی لا تمانع من التفاوت الطبقی الشاسع مهما بلغ هذا التفاوت ، ولو کان هذا التفاوت بسبب زیادة بذل الجهد والطاقة لا یمنعه الإسلام ولا القرآن ولا الفکر الذی جاء به النبی صلی الله علیه و آله ولا ما أوصی به أمیر المؤمنین علیه السلام مالک الأشتر ولا فی کتبه الأُخری؛ لأنّ الفکر الإسلامی یحترم الجهود والکفاءة ، والعاطل لا یساوی المجد ، وإنّما یمنع الإسلام من استئثار المنابع الطبیعیة وسدّها ثمّ ضخّها لفئة خاصّة دون باقی مستحقیها من غیر أیّ استحقاق ، ویرفض جعل الفرصة للاستثمار لفئة دون باقی مستحقیها ویمنع تطبیق الاحتکار الذی یمثّل سرطان الإقطاع القائم علی عدّة أعمدة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المافیا الاقتصادیة التی لا همّ لها</w:t>
      </w:r>
      <w:bookmarkStart w:id="1234" w:name="pg5261_55643"/>
    </w:p>
    <w:p>
      <w:pPr>
        <w:pStyle w:val="BookText"/>
        <w:rPr/>
      </w:pPr>
      <w:bookmarkEnd w:id="1234"/>
      <w:r>
        <w:rPr>
          <w:rFonts w:ascii="IRNazanin" w:hAnsi="IRNazanin" w:eastAsia="IRNazanin"/>
          <w:color w:val="111111"/>
          <w:sz w:val="28"/>
          <w:sz w:val="28"/>
          <w:szCs w:val="28"/>
          <w:rtl w:val="true"/>
          <w:lang w:bidi="fa-IR"/>
        </w:rPr>
        <w:t xml:space="preserve">إلّا تحقیق الربح ، بغضّ النظر عن الآثار الأخلاقیة والاجتماعیة التی یخلّفها هذا الربح ، وکذلک المعاملات الباطلة المحرّمة ، کالربا والقمار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فالفارق الطبقی الفاحش مرفوض فی الفکر الإسلامی إذا کانت موارده غیر شرعیة </w:t>
      </w:r>
      <w:r>
        <w:rPr>
          <w:rFonts w:eastAsia="IRNazanin" w:cs="IRNazanin"/>
          <w:color w:val="111111"/>
          <w:sz w:val="28"/>
          <w:szCs w:val="28"/>
          <w:rtl w:val="true"/>
          <w:lang w:bidi="fa-IR"/>
        </w:rPr>
        <w:t>.</w:t>
      </w:r>
    </w:p>
    <w:p>
      <w:pPr>
        <w:pStyle w:val="Heading4"/>
        <w:numPr>
          <w:ilvl w:val="3"/>
          <w:numId w:val="1"/>
        </w:numPr>
        <w:rPr/>
      </w:pPr>
      <w:bookmarkStart w:id="1235" w:name="__RefHeading___Toc477922_581953129"/>
      <w:bookmarkStart w:id="1236" w:name="_Toc491"/>
      <w:bookmarkEnd w:id="1235"/>
      <w:r>
        <w:rPr>
          <w:rtl w:val="true"/>
        </w:rPr>
        <w:t>الأصول المحرّمة فی الأدیان السماویة</w:t>
      </w:r>
      <w:bookmarkEnd w:id="1236"/>
    </w:p>
    <w:p>
      <w:pPr>
        <w:pStyle w:val="BookText"/>
        <w:rPr/>
      </w:pPr>
      <w:r>
        <w:rPr>
          <w:rFonts w:ascii="IRNazanin" w:hAnsi="IRNazanin" w:eastAsia="IRNazanin"/>
          <w:color w:val="111111"/>
          <w:sz w:val="28"/>
          <w:sz w:val="28"/>
          <w:szCs w:val="28"/>
          <w:rtl w:val="true"/>
          <w:lang w:bidi="fa-IR"/>
        </w:rPr>
        <w:t xml:space="preserve">ومن معاجز الدین الإسلامی أنّه وضع یده علی سرطانات المال منذ أربعة عشر قرناً إلی یومنا هذا ، بل هی من معاجز الشرائع السماویة کلّها ؛ لأنّها اتّفقت علی دین واحد ، وکلّها تُجمع علی تحریم الربا والقمار والفواحش ، هذه الأُمور من الأُمور التی اتّفقت علیها الشرائع السماویة کلّها ، وهی من أُصول المحرّمات ، وهی تعدّ فی دائرة الدین الواحد بین الأنبیاء ، ولیست من الأُمور الشرعیة التی تتعرّض للنسخ ، فلم تُحَلّل الفواحش أو الربا أو القمار فی أیّ دین من الأدیان السماویة ، وأصول المحرّمات وأصول الواجبات تعدّ من الدین الذی تدین به البشریة لتصل إلی السعادة بعد العقائد التی تفلسف وتبرمج نظم الحیاة ، والدین الإسلامی یمثّل کلّ الأدیان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وضع یده علی الغدد السرطانیة التی تهدّد العدالة فی النظام الاجتماعی فی الجانب الأخلاقی والجانب الاقتصادی والجانب الاجتماعی والجانب المالی والجانب الحقوقی ، والکثیر من المعاملات التجاریة فی البورصات وغیرها معاملات وهمیّة تستهدف ضخّ السیولة فی الأموال لأصحاب الإقطاع ، وهذه من الابتلاءات التی ابتلیت بها البشریة ، والربا لا زال من الابتلاءات البشریة ، ولسنا فی مقام الکلام عن العدالة الاجتماعیة من الناحیة الاقتصادیة ، ولکن الحدیث جرّنا إلی هذه النقطة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نری فی الجانب المالی بحث الاحتکار ، ویدخل فی مصادیقه الاحتکار فی الدول الشرقیة والغربیة ، فیصبح الرجل غنیّاً فی ساعة واحدة ، عن طریق</w:t>
      </w:r>
      <w:bookmarkStart w:id="1237" w:name="pg5261_55645"/>
    </w:p>
    <w:p>
      <w:pPr>
        <w:pStyle w:val="BookText"/>
        <w:rPr/>
      </w:pPr>
      <w:bookmarkEnd w:id="1237"/>
      <w:r>
        <w:rPr>
          <w:rFonts w:ascii="IRNazanin" w:hAnsi="IRNazanin" w:eastAsia="IRNazanin"/>
          <w:color w:val="111111"/>
          <w:sz w:val="28"/>
          <w:sz w:val="28"/>
          <w:szCs w:val="28"/>
          <w:rtl w:val="true"/>
          <w:lang w:bidi="fa-IR"/>
        </w:rPr>
        <w:t xml:space="preserve">الاحتکار ، والاحتکار قد یکون فی الاستیراد أو التصدیر أو الأراضی أو غیر ذلک ، وکذلک نظام التجارة العالمی </w:t>
      </w:r>
      <w:r>
        <w:rPr>
          <w:rFonts w:eastAsia="IRNazanin" w:cs="IRNazanin"/>
          <w:color w:val="111111"/>
          <w:sz w:val="28"/>
          <w:szCs w:val="28"/>
          <w:rtl w:val="true"/>
          <w:lang w:bidi="fa-IR"/>
        </w:rPr>
        <w:t>.</w:t>
      </w:r>
    </w:p>
    <w:p>
      <w:pPr>
        <w:pStyle w:val="Heading4"/>
        <w:numPr>
          <w:ilvl w:val="3"/>
          <w:numId w:val="1"/>
        </w:numPr>
        <w:rPr/>
      </w:pPr>
      <w:bookmarkStart w:id="1238" w:name="__RefHeading___Toc477924_581953129"/>
      <w:bookmarkStart w:id="1239" w:name="_Toc492"/>
      <w:bookmarkEnd w:id="1238"/>
      <w:r>
        <w:rPr>
          <w:rtl w:val="true"/>
        </w:rPr>
        <w:t>تطبیق العدالة لن یتمّ إلّاعلی ید المعصوم</w:t>
      </w:r>
      <w:bookmarkEnd w:id="1239"/>
    </w:p>
    <w:p>
      <w:pPr>
        <w:pStyle w:val="BookText"/>
        <w:rPr/>
      </w:pPr>
      <w:r>
        <w:rPr>
          <w:rFonts w:ascii="IRNazanin" w:hAnsi="IRNazanin" w:eastAsia="IRNazanin"/>
          <w:color w:val="111111"/>
          <w:sz w:val="28"/>
          <w:sz w:val="28"/>
          <w:szCs w:val="28"/>
          <w:rtl w:val="true"/>
          <w:lang w:bidi="fa-IR"/>
        </w:rPr>
        <w:t xml:space="preserve">إذن التفاوت الطبقی الفاحش غیر مقبول فی منطق القرآن الکریم وأهل البیت علیهم السلام ، بل العدالة فی المجتمع أمر أساسی یمکن إقامته وتطبیقه ، وهذا التطبیق للعدالة لن یتمّ إلّاعلی ید المعصوم ، کما أشارت الآیة التی أشرنا إلیها فی سورة الحشر ، والعدالة فی منطق أمیر المؤمنین علیه السلام المطابق للقرآن الکریم والسنة الشریفة ، هی أمر اختیاری </w:t>
      </w:r>
      <w:r>
        <w:rPr>
          <w:rFonts w:eastAsia="IRNazanin" w:cs="IRNazanin"/>
          <w:color w:val="111111"/>
          <w:sz w:val="28"/>
          <w:szCs w:val="28"/>
          <w:rtl w:val="true"/>
          <w:lang w:bidi="fa-IR"/>
        </w:rPr>
        <w:t>.</w:t>
      </w:r>
    </w:p>
    <w:p>
      <w:pPr>
        <w:pStyle w:val="Heading4"/>
        <w:numPr>
          <w:ilvl w:val="3"/>
          <w:numId w:val="1"/>
        </w:numPr>
        <w:rPr/>
      </w:pPr>
      <w:bookmarkStart w:id="1240" w:name="__RefHeading___Toc477926_581953129"/>
      <w:bookmarkStart w:id="1241" w:name="_Toc493"/>
      <w:bookmarkEnd w:id="1240"/>
      <w:r>
        <w:rPr>
          <w:rtl w:val="true"/>
        </w:rPr>
        <w:t>العدالة والمساواة</w:t>
      </w:r>
      <w:bookmarkEnd w:id="1241"/>
    </w:p>
    <w:p>
      <w:pPr>
        <w:pStyle w:val="BookText"/>
        <w:rPr/>
      </w:pPr>
      <w:r>
        <w:rPr>
          <w:rFonts w:ascii="IRNazanin" w:hAnsi="IRNazanin" w:eastAsia="IRNazanin"/>
          <w:color w:val="111111"/>
          <w:sz w:val="28"/>
          <w:sz w:val="28"/>
          <w:szCs w:val="28"/>
          <w:rtl w:val="true"/>
          <w:lang w:bidi="fa-IR"/>
        </w:rPr>
        <w:t xml:space="preserve">والظلم فی النظام الاجتماعی أمر بید النظام الفاسد ، فهو الذی یوجب الاضطهاد والظلم للطبقة المحرومة فی مقابل التضخّم المالی أو المتعلّق بالثروات الأُخری عند فئة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العدل أمر ممکن یقوم به النظام الاجتماعی إن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تعریفات أُخری للعدالة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هی المساواة ولیس المقصود بالمساواة هی أن یکون جمیع الأفراد فی کلّ الجوانب متساوین ؛ لأنّ بعض الأُمور التی توجب التفاوت بین الأفراد سببها جهد الأفراد وذکاؤهم ، ووجود تفاوت فی هذا الجانب </w:t>
      </w:r>
      <w:r>
        <w:rPr>
          <w:rFonts w:eastAsia="IRNazanin" w:cs="IRNazanin"/>
          <w:color w:val="111111"/>
          <w:sz w:val="28"/>
          <w:szCs w:val="28"/>
          <w:rtl w:val="true"/>
          <w:lang w:bidi="fa-IR"/>
        </w:rPr>
        <w:t>.</w:t>
      </w:r>
    </w:p>
    <w:p>
      <w:pPr>
        <w:pStyle w:val="Heading4"/>
        <w:numPr>
          <w:ilvl w:val="3"/>
          <w:numId w:val="1"/>
        </w:numPr>
        <w:rPr/>
      </w:pPr>
      <w:bookmarkStart w:id="1242" w:name="__RefHeading___Toc477928_581953129"/>
      <w:bookmarkStart w:id="1243" w:name="_Toc494"/>
      <w:bookmarkEnd w:id="1242"/>
      <w:r>
        <w:rPr>
          <w:rtl w:val="true"/>
        </w:rPr>
        <w:t>المساواة فی إتاحة الفرص للجمیع</w:t>
      </w:r>
      <w:bookmarkEnd w:id="124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المساواة المطلوبة لیست فی نفی الفروق الفردیة علی مستوی المؤهّلات العقلیة والعلمیة والبدنیة ، وإنّما المقصود من المساواة هی المساواة فی إتاحة الفرص أمام الجمیع بالتساوی ، أمّا استثمار الفرص فیعتمد علی القدرات التی یتمتّع بها هذا الفرد أو ذاک </w:t>
      </w:r>
      <w:r>
        <w:rPr>
          <w:rFonts w:eastAsia="IRNazanin" w:cs="IRNazanin"/>
          <w:color w:val="111111"/>
          <w:sz w:val="28"/>
          <w:szCs w:val="28"/>
          <w:rtl w:val="true"/>
          <w:lang w:bidi="fa-IR"/>
        </w:rPr>
        <w:t>.</w:t>
      </w:r>
      <w:bookmarkStart w:id="1244" w:name="pg5261_55647"/>
    </w:p>
    <w:p>
      <w:pPr>
        <w:pStyle w:val="Heading4"/>
        <w:numPr>
          <w:ilvl w:val="3"/>
          <w:numId w:val="1"/>
        </w:numPr>
        <w:rPr/>
      </w:pPr>
      <w:bookmarkStart w:id="1245" w:name="__RefHeading___Toc477930_581953129"/>
      <w:bookmarkStart w:id="1246" w:name="_Toc495"/>
      <w:bookmarkEnd w:id="1244"/>
      <w:bookmarkEnd w:id="1245"/>
      <w:r>
        <w:rPr>
          <w:rtl w:val="true"/>
        </w:rPr>
        <w:t>العدالة الوسیطة والرفاه</w:t>
      </w:r>
      <w:bookmarkEnd w:id="1246"/>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العدالة هی الوسیطة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العدالة الاجتماعیة هی الرفاه والتنمیة ، ونحن لا نجد هذا الأمر مذکوراً فی القرآن الکریم ، ولا فی عهد أمیر المؤمنین علیه السلام لمالک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کانت التنمیة الاجتماعیة من أهداف الإسلام هذا أمر صحیح ، ولکن إذا کان الرفاه والتنمیة یخدم طبقة دون باقی الطبقات فإنّ هذا الأمر مرفوض ، ولن تتحقق بذلک العدالة ، أمّا إذا کان الرفاه مقیّداً بقید الشمولیة والعمومیة فإنّه یصبّ فی مصبّ العدالة الاجتماعیة ، وینبغی أن لا یکون من نتائج هذا الرفاه زعزعه الثوابت الإسلامیة والأخلاقیة ؛ لأنّ زعزعة الثوابت الإسلامیة تمثّل زعزعة الینبوغ الأصیل للعدالة الاجتماعیة ، وهی أنّ الملکیة للّه، وأنّ اللّه هو مالک الملوک ، وأنّ اللّه هو المالک الحقیقی </w:t>
      </w:r>
      <w:r>
        <w:rPr>
          <w:rFonts w:eastAsia="IRNazanin" w:cs="IRNazanin"/>
          <w:color w:val="111111"/>
          <w:sz w:val="28"/>
          <w:szCs w:val="28"/>
          <w:rtl w:val="true"/>
          <w:lang w:bidi="fa-IR"/>
        </w:rPr>
        <w:t>.</w:t>
      </w:r>
    </w:p>
    <w:p>
      <w:pPr>
        <w:pStyle w:val="Heading4"/>
        <w:numPr>
          <w:ilvl w:val="3"/>
          <w:numId w:val="1"/>
        </w:numPr>
        <w:rPr/>
      </w:pPr>
      <w:bookmarkStart w:id="1247" w:name="__RefHeading___Toc477932_581953129"/>
      <w:bookmarkStart w:id="1248" w:name="_Toc496"/>
      <w:bookmarkEnd w:id="1247"/>
      <w:r>
        <w:rPr>
          <w:rtl w:val="true"/>
        </w:rPr>
        <w:t>الرسول والولی من بعده یتولّی الملک</w:t>
      </w:r>
      <w:bookmarkEnd w:id="1248"/>
    </w:p>
    <w:p>
      <w:pPr>
        <w:pStyle w:val="BookText"/>
        <w:rPr/>
      </w:pPr>
      <w:r>
        <w:rPr>
          <w:rFonts w:ascii="IRNazanin" w:hAnsi="IRNazanin" w:eastAsia="IRNazanin"/>
          <w:color w:val="111111"/>
          <w:sz w:val="28"/>
          <w:sz w:val="28"/>
          <w:szCs w:val="28"/>
          <w:rtl w:val="true"/>
          <w:lang w:bidi="fa-IR"/>
        </w:rPr>
        <w:t xml:space="preserve">ویتولّی هذا الملک الرسول علیه السلام ، ومن بعده الولی المعصوم من ذی القربی ؛ لکی یبعد الملک عن الاستئثار والحرص والفرعنة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الباری إنّما اختارهم ؛ لأنّهم لن یکونوا إقطاعاً یهضمون حقوق الآخرین ، وأنّهم لن یکونوا مافیا سیاسیة ، کما کان الیهود الذین هم مافیا سیاسیة تتستّر بالدین الذی حرّفوه وبدّلوه ، وتحرّکوا وفق مصالح الإقطاع والملوک والسلاطین ، وعندهم أنّ الغایة تبرّر الوسیلة </w:t>
      </w:r>
      <w:r>
        <w:rPr>
          <w:rFonts w:eastAsia="IRNazanin" w:cs="IRNazanin"/>
          <w:color w:val="111111"/>
          <w:sz w:val="28"/>
          <w:szCs w:val="28"/>
          <w:rtl w:val="true"/>
          <w:lang w:bidi="fa-IR"/>
        </w:rPr>
        <w:t>.</w:t>
      </w:r>
    </w:p>
    <w:p>
      <w:pPr>
        <w:pStyle w:val="Heading4"/>
        <w:numPr>
          <w:ilvl w:val="3"/>
          <w:numId w:val="1"/>
        </w:numPr>
        <w:rPr/>
      </w:pPr>
      <w:bookmarkStart w:id="1249" w:name="__RefHeading___Toc477934_581953129"/>
      <w:bookmarkStart w:id="1250" w:name="_Toc497"/>
      <w:bookmarkEnd w:id="1249"/>
      <w:r>
        <w:rPr>
          <w:rtl w:val="true"/>
        </w:rPr>
        <w:t>الاعتقاد بمالکیة اللّه یستلزم إشاعة الثروات</w:t>
      </w:r>
      <w:bookmarkEnd w:id="12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والاعتقاد بأنّ اللّه مالک الملوک یستلزم إشاعة الثروات بین خلق اللّه بدون سیطرة فئة علی فئة ، ولن تتحقق إشاعة الملکیة کما یریدها الشیوعیّون ، وکما یدّعون ، والتی نتج عنها أن تکون الدولة هی إقطاع آخر ، وتمثّل رأسمالیة جدیدة</w:t>
      </w:r>
      <w:bookmarkStart w:id="1251" w:name="pg5261_55649"/>
    </w:p>
    <w:p>
      <w:pPr>
        <w:pStyle w:val="BookText"/>
        <w:rPr/>
      </w:pPr>
      <w:bookmarkEnd w:id="1251"/>
      <w:r>
        <w:rPr>
          <w:rFonts w:ascii="IRNazanin" w:hAnsi="IRNazanin" w:eastAsia="IRNazanin"/>
          <w:color w:val="111111"/>
          <w:sz w:val="28"/>
          <w:sz w:val="28"/>
          <w:szCs w:val="28"/>
          <w:rtl w:val="true"/>
          <w:lang w:bidi="fa-IR"/>
        </w:rPr>
        <w:t xml:space="preserve">بصورة أُخری ، وقد بنوا علی الشیوعیّة آمالاً ، ولکنّهم لم یصلوا إلیها ، والمشکلة کانت من البدایة ، وهی أنّ الشیوعیّة لم تکن تؤمن باللّه ، فکان الأساس الذی ارتکزت علیه غیر صلب ، فتهدّم ما بنته ، ولم تفلح فی تحقیق أهدافها فی العدالة الاجتماعیة </w:t>
      </w:r>
      <w:r>
        <w:rPr>
          <w:rFonts w:eastAsia="IRNazanin" w:cs="IRNazanin"/>
          <w:color w:val="111111"/>
          <w:sz w:val="28"/>
          <w:szCs w:val="28"/>
          <w:rtl w:val="true"/>
          <w:lang w:bidi="fa-IR"/>
        </w:rPr>
        <w:t>.</w:t>
      </w:r>
    </w:p>
    <w:p>
      <w:pPr>
        <w:pStyle w:val="Heading4"/>
        <w:numPr>
          <w:ilvl w:val="3"/>
          <w:numId w:val="1"/>
        </w:numPr>
        <w:rPr/>
      </w:pPr>
      <w:bookmarkStart w:id="1252" w:name="__RefHeading___Toc477936_581953129"/>
      <w:bookmarkStart w:id="1253" w:name="_Toc498"/>
      <w:bookmarkEnd w:id="1252"/>
      <w:r>
        <w:rPr>
          <w:rtl w:val="true"/>
        </w:rPr>
        <w:t>متی یصح تعریف العدالة بالرفاه والعدالة الاجتماعیة ؟</w:t>
      </w:r>
      <w:bookmarkEnd w:id="1253"/>
    </w:p>
    <w:p>
      <w:pPr>
        <w:pStyle w:val="BookText"/>
        <w:rPr/>
      </w:pPr>
      <w:r>
        <w:rPr>
          <w:rFonts w:ascii="IRNazanin" w:hAnsi="IRNazanin" w:eastAsia="IRNazanin"/>
          <w:color w:val="111111"/>
          <w:sz w:val="28"/>
          <w:sz w:val="28"/>
          <w:szCs w:val="28"/>
          <w:rtl w:val="true"/>
          <w:lang w:bidi="fa-IR"/>
        </w:rPr>
        <w:t xml:space="preserve">إذن هناک شرطان لکی یصح تعریف العدالة بالرفاه والتنمیة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تشاع الثروات بین خلق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الرفاه ، وهذه التنمیة الاجتماعیة منطلقة من مفهوم أنّ اللّه هو مالک الملوک </w:t>
      </w:r>
      <w:r>
        <w:rPr>
          <w:rFonts w:eastAsia="IRNazanin" w:cs="IRNazanin"/>
          <w:color w:val="111111"/>
          <w:sz w:val="28"/>
          <w:szCs w:val="28"/>
          <w:rtl w:val="true"/>
          <w:lang w:bidi="fa-IR"/>
        </w:rPr>
        <w:t>.</w:t>
      </w:r>
    </w:p>
    <w:p>
      <w:pPr>
        <w:pStyle w:val="Heading4"/>
        <w:numPr>
          <w:ilvl w:val="3"/>
          <w:numId w:val="1"/>
        </w:numPr>
        <w:rPr/>
      </w:pPr>
      <w:bookmarkStart w:id="1254" w:name="__RefHeading___Toc477938_581953129"/>
      <w:bookmarkStart w:id="1255" w:name="_Toc499"/>
      <w:bookmarkEnd w:id="1254"/>
      <w:r>
        <w:rPr>
          <w:rtl w:val="true"/>
        </w:rPr>
        <w:t>تعریف العدالة بسیطرة العقل الجمعی</w:t>
      </w:r>
      <w:bookmarkEnd w:id="12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تعریف آخر للعدالة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سیطرة العقل الجمعی علی المیول النفسیة الجمعیة ، وهذه ظاهرة حمیدة أخذت فی الظهور فی البشریة ، ومن بعض ملامحها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الأکثریة ، ومن بعض ملامحها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رقابة الشعب علی الحکومات ، ومن بعض ملامحها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الجمعی ، والاستشاریات ، ومؤسسات المجتمع المدنی ، وهذه ظواهر فی النظم الاجتماعیة تصبّ فی سیطرة العلم الجمعی والعقل الجمعی ، وهذه الظواهر لا یرفضها الدین ، وهی تحکَّم فی حالة غیاب المعصوم ، بل تحکّم حتّی مع وجود المعصوم فما بالک فی غیابه ؛ لأنّ الإسلام یندب إلی العقل الجمعی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من جمع علم الناس إلی علمه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 وقال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العاقل أن یضیف إلی رأیه رأی العقلاء ، ویضمّ</w:t>
      </w:r>
      <w:bookmarkStart w:id="1256" w:name="pg5261_55651"/>
    </w:p>
    <w:p>
      <w:pPr>
        <w:pStyle w:val="BookText"/>
        <w:rPr/>
      </w:pPr>
      <w:bookmarkEnd w:id="1256"/>
      <w:r>
        <w:rPr>
          <w:rFonts w:ascii="IRNazanin" w:hAnsi="IRNazanin" w:eastAsia="IRNazanin"/>
          <w:color w:val="111111"/>
          <w:sz w:val="28"/>
          <w:sz w:val="28"/>
          <w:szCs w:val="28"/>
          <w:rtl w:val="true"/>
          <w:lang w:bidi="fa-IR"/>
        </w:rPr>
        <w:t>إلی علمه علوم الحکماء</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 وتفعیل العقل الجمعی والعلم الجمعی ببنوده وهیاکله الحدیثة أمر مرحّب به ، ویحبّذه القرآن والإسلام وعهد الإمام علی علیه السلام لمالک الأشتر </w:t>
      </w:r>
      <w:r>
        <w:rPr>
          <w:rFonts w:eastAsia="IRNazanin" w:cs="IRNazanin"/>
          <w:color w:val="111111"/>
          <w:sz w:val="28"/>
          <w:szCs w:val="28"/>
          <w:rtl w:val="true"/>
          <w:lang w:bidi="fa-IR"/>
        </w:rPr>
        <w:t>.</w:t>
      </w:r>
    </w:p>
    <w:p>
      <w:pPr>
        <w:pStyle w:val="Heading4"/>
        <w:numPr>
          <w:ilvl w:val="3"/>
          <w:numId w:val="1"/>
        </w:numPr>
        <w:rPr/>
      </w:pPr>
      <w:bookmarkStart w:id="1257" w:name="__RefHeading___Toc477940_581953129"/>
      <w:bookmarkStart w:id="1258" w:name="_Toc500"/>
      <w:bookmarkEnd w:id="1257"/>
      <w:r>
        <w:rPr>
          <w:rtl w:val="true"/>
        </w:rPr>
        <w:t>خطر طغیان المیول النفسیة الجمعیة</w:t>
      </w:r>
      <w:bookmarkEnd w:id="1258"/>
    </w:p>
    <w:p>
      <w:pPr>
        <w:pStyle w:val="BookText"/>
        <w:rPr/>
      </w:pPr>
      <w:r>
        <w:rPr>
          <w:rFonts w:ascii="IRNazanin" w:hAnsi="IRNazanin" w:eastAsia="IRNazanin"/>
          <w:color w:val="111111"/>
          <w:sz w:val="28"/>
          <w:sz w:val="28"/>
          <w:szCs w:val="28"/>
          <w:rtl w:val="true"/>
          <w:lang w:bidi="fa-IR"/>
        </w:rPr>
        <w:t xml:space="preserve">أمّا إذا طغت المیول النفسیة الجمعیة علی العقل الجمعی فهنا یکون المؤشّر خطیراً ، وقد حدّثنا التاریخ والقرآن عن حوادث طغت فیها المیول النفسیة الجمعیة علی العقل الجمعی ، کما حدث لقوم نوح علیه السلام وقوم لوط علیه السلام الذین کانوا یمارسون تلک الفاحشة التی تهدّد استمرار النسل البشری ، وتوجب انتشار الجریمة ، وتهدّد النظام الاجتماعی بأکمله ، وکذلک قوم شعیب علیه السلام الذین طغوا فی المیزان والمکیال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المقصود من المکیال خصوص المکیال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طغت المیول النفسیة الجمعیة علی العقل الجمعی فسنفقد صمّام الأمان ، وصمّام الأمام یتمثّل فیما ذکرته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وَ لِلرَّسُولِ وَ لِذِی الْقُرْبی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العقل الجمعی قد یضعف أمام المیول النفسانیة الجمعیة ، وفی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تقدّس أمّة لا یؤخذ للضعیف فیها حقّه من القوی غیر متمتع</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وهذه من الأوسمة البارزة لاستعلام العدالة البشریة فی الحدیث النبوی </w:t>
      </w:r>
      <w:r>
        <w:rPr>
          <w:rFonts w:eastAsia="IRNazanin" w:cs="IRNazanin"/>
          <w:color w:val="111111"/>
          <w:sz w:val="28"/>
          <w:szCs w:val="28"/>
          <w:rtl w:val="true"/>
          <w:lang w:bidi="fa-IR"/>
        </w:rPr>
        <w:t>.</w:t>
      </w:r>
    </w:p>
    <w:p>
      <w:pPr>
        <w:pStyle w:val="Heading4"/>
        <w:numPr>
          <w:ilvl w:val="3"/>
          <w:numId w:val="1"/>
        </w:numPr>
        <w:rPr/>
      </w:pPr>
      <w:bookmarkStart w:id="1259" w:name="__RefHeading___Toc477942_581953129"/>
      <w:bookmarkStart w:id="1260" w:name="_Toc501"/>
      <w:bookmarkEnd w:id="1259"/>
      <w:r>
        <w:rPr>
          <w:rtl w:val="true"/>
        </w:rPr>
        <w:t>الشعب الصینی والشعب الیابانی والمیول النفسیة</w:t>
      </w:r>
      <w:bookmarkEnd w:id="126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 الصینی بتوجّس خیفة من الیابانیین ؛ لأنّ عندهم میمول نفسیة تجعلهم یعتقدون أنّ من المفروض أن یکون أصحاب العرق الیابانی لهم السیطرة علی</w:t>
      </w:r>
      <w:bookmarkStart w:id="1261" w:name="pg5261_55653"/>
    </w:p>
    <w:p>
      <w:pPr>
        <w:pStyle w:val="BookText"/>
        <w:rPr/>
      </w:pPr>
      <w:bookmarkEnd w:id="1261"/>
      <w:r>
        <w:rPr>
          <w:rFonts w:ascii="IRNazanin" w:hAnsi="IRNazanin" w:eastAsia="IRNazanin"/>
          <w:color w:val="111111"/>
          <w:sz w:val="28"/>
          <w:sz w:val="28"/>
          <w:szCs w:val="28"/>
          <w:rtl w:val="true"/>
          <w:lang w:bidi="fa-IR"/>
        </w:rPr>
        <w:t xml:space="preserve">باقی الشعوب ، فنلاحظ هنا أنّ هذه المیول تشکّل مصدر خطر علی الآخرین ، لا سیّما وأنّ الیابان تعتبر عملاقاً اقتصادیاً ، ولذلک عندما یزور المسؤولون الیابنیون قبور القتلی فی الحرب العالمیة الثانیة تحتج الصین ، ویحدث الکثیر من الضجیج والصخب ؛ لأنّ هؤلاء القتلی من الجنرالات کانوا یدعون لسیطرة الیابانیین علی غیرهم من الشعوب </w:t>
      </w:r>
      <w:r>
        <w:rPr>
          <w:rFonts w:eastAsia="IRNazanin" w:cs="IRNazanin"/>
          <w:color w:val="111111"/>
          <w:sz w:val="28"/>
          <w:szCs w:val="28"/>
          <w:rtl w:val="true"/>
          <w:lang w:bidi="fa-IR"/>
        </w:rPr>
        <w:t>.</w:t>
      </w:r>
    </w:p>
    <w:p>
      <w:pPr>
        <w:pStyle w:val="Heading4"/>
        <w:numPr>
          <w:ilvl w:val="3"/>
          <w:numId w:val="1"/>
        </w:numPr>
        <w:rPr/>
      </w:pPr>
      <w:bookmarkStart w:id="1262" w:name="__RefHeading___Toc477944_581953129"/>
      <w:bookmarkStart w:id="1263" w:name="_Toc502"/>
      <w:bookmarkEnd w:id="1262"/>
      <w:r>
        <w:rPr>
          <w:rtl w:val="true"/>
        </w:rPr>
        <w:t>الشیعة کالعسل</w:t>
      </w:r>
      <w:bookmarkEnd w:id="1263"/>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أنتم فی الناس کالنحل فی الطیر ، لو أنّ الطیر تعلم ما فی أجواف النحل ما بقی منها شیء إلّاأکلته ، ولو أنّ الناس علموا ما فی أجوافکم أنّکم تحبّونا أهل البیت لأکلوکم بألسنتهم ، ولنحلوکم فی السرّ والعلانیة ، رحم اللّه عبداً منکم کان علی ولایتنا</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 ونحن الشیعة نعیش فی نظام یرعاه المعصوم علیه السلام ، کما رأینا فی الأربعین الأُولی بعد سقوط الطاغیة صدام کیف أنّ أربعة ملایین شیعی یزورون کربلاء بصورة منتظمة حیّرت العالم والفضائیات مع غیاب الدولة ودعمها دون أن تسجّل حوادث تذکر </w:t>
      </w:r>
      <w:r>
        <w:rPr>
          <w:rFonts w:eastAsia="IRNazanin" w:cs="IRNazanin"/>
          <w:color w:val="111111"/>
          <w:sz w:val="28"/>
          <w:szCs w:val="28"/>
          <w:rtl w:val="true"/>
          <w:lang w:bidi="fa-IR"/>
        </w:rPr>
        <w:t>.</w:t>
      </w:r>
    </w:p>
    <w:p>
      <w:pPr>
        <w:pStyle w:val="Heading4"/>
        <w:numPr>
          <w:ilvl w:val="3"/>
          <w:numId w:val="1"/>
        </w:numPr>
        <w:rPr/>
      </w:pPr>
      <w:bookmarkStart w:id="1264" w:name="__RefHeading___Toc477946_581953129"/>
      <w:bookmarkStart w:id="1265" w:name="_Toc503"/>
      <w:bookmarkEnd w:id="1264"/>
      <w:r>
        <w:rPr>
          <w:rtl w:val="true"/>
        </w:rPr>
        <w:t>سیطرة العقل الجمعی تفتقر إلی الضمان</w:t>
      </w:r>
      <w:bookmarkEnd w:id="126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سیطرة العقل الجمعی أمر حسن ، ولکن لا ضمان لضعف سیطرة العقل الجمعی أمام المیول العاطفیة الجمعیة التی تخضع للضعف أمام الشهوة والغضب والطمع وغیر ذلک ، وفی مذهب أهل البیت علیهم السلام فإنّ الأکثریة لیس لها الضمانة المطلقة ؛ لأنّ الأکثریة قد تتعرّض لغسیل مخ من قبل الإقطاع والأنظمة الحاکمة ، وسید الشهداء علیه السلام اتّخذ لغة الحوار حتّی آخر لحظة إلی أن استعملوا العنف معه علیه السلام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عندما استجابت له الأکثریة تجاوب معها ، ولکن هذه الأکثریة التی حکّمت العقل الجمعی خضعت للمیول النفسیة الجمعیة التی خضعت للخوف من النظام الحاکم ، وسید الشهداء علیه السلام یعطینا درساً بأنّ العقل الجمعی لا یمثّل ضمانة ، وأنّه قابل للهزیمة أمام المیول النفسیة الجمعیة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من عقل أسیر تحت هوی أمیر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1266" w:name="pg5261_55657"/>
    </w:p>
    <w:p>
      <w:pPr>
        <w:pStyle w:val="Heading3"/>
        <w:numPr>
          <w:ilvl w:val="2"/>
          <w:numId w:val="1"/>
        </w:numPr>
        <w:rPr/>
      </w:pPr>
      <w:bookmarkStart w:id="1267" w:name="__RefHeading___Toc477948_581953129"/>
      <w:bookmarkStart w:id="1268" w:name="_Toc504"/>
      <w:bookmarkEnd w:id="1266"/>
      <w:bookmarkEnd w:id="1267"/>
      <w:r>
        <w:rPr>
          <w:rtl w:val="true"/>
        </w:rPr>
        <w:t>المحاضرة الثامنة الأمم المتحدة وعهد الإمام علی علیه السلام لمالک الأشتر</w:t>
      </w:r>
      <w:bookmarkEnd w:id="1268"/>
    </w:p>
    <w:p>
      <w:pPr>
        <w:pStyle w:val="Heading4"/>
        <w:numPr>
          <w:ilvl w:val="3"/>
          <w:numId w:val="1"/>
        </w:numPr>
        <w:rPr/>
      </w:pPr>
      <w:bookmarkStart w:id="1269" w:name="__RefHeading___Toc477950_581953129"/>
      <w:bookmarkStart w:id="1270" w:name="_Toc505"/>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الفحشاء ظاهرة فردیة والمنکر ظاهرة 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البغی نتیجة انتشار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الذی لا یستند إلی العدل یعطی الصبغة القانونیة للاضطهاد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علی علیه السلام لمالک الأشتر لا یتناول مباحث التشریع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عن رواة عهد الإمام علی علیه السلام لمالک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عنان یدعو لدراسة عهد الإمام علی علیه السلام لمالک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البابا یبدی إعجابه بالصحیفة السجادیة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واجبنا نشر ثقافة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یوجد فی عهد الإمام علی علیه السلام ولا یوجد فی أدبیات العدالة الدولیة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فقه النظام والتشریعات العامّة </w:t>
      </w:r>
      <w:r>
        <w:rPr>
          <w:rFonts w:eastAsia="IRNazanin" w:cs="IRNazanin"/>
          <w:color w:val="111111"/>
          <w:sz w:val="28"/>
          <w:szCs w:val="28"/>
          <w:rtl w:val="true"/>
          <w:lang w:bidi="fa-IR"/>
        </w:rPr>
        <w:t>.</w:t>
      </w:r>
    </w:p>
    <w:p>
      <w:pPr>
        <w:pStyle w:val="Heading4"/>
        <w:numPr>
          <w:ilvl w:val="3"/>
          <w:numId w:val="1"/>
        </w:numPr>
        <w:rPr/>
      </w:pPr>
      <w:bookmarkStart w:id="1271" w:name="__RefHeading___Toc477952_581953129"/>
      <w:bookmarkStart w:id="1272" w:name="_Toc506"/>
      <w:bookmarkEnd w:id="1271"/>
      <w:r>
        <w:rPr>
          <w:rtl w:val="true"/>
        </w:rPr>
        <w:t>الفرق بین العدل والإحسان</w:t>
      </w:r>
      <w:bookmarkEnd w:id="127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 الشریفة تحتوی علی کنوز من</w:t>
      </w:r>
      <w:bookmarkStart w:id="1273" w:name="pg5261_55659"/>
    </w:p>
    <w:p>
      <w:pPr>
        <w:pStyle w:val="BookText"/>
        <w:rPr/>
      </w:pPr>
      <w:bookmarkEnd w:id="1273"/>
      <w:r>
        <w:rPr>
          <w:rFonts w:ascii="IRNazanin" w:hAnsi="IRNazanin" w:eastAsia="IRNazanin"/>
          <w:color w:val="111111"/>
          <w:sz w:val="28"/>
          <w:sz w:val="28"/>
          <w:szCs w:val="28"/>
          <w:rtl w:val="true"/>
          <w:lang w:bidi="fa-IR"/>
        </w:rPr>
        <w:t xml:space="preserve">المعارف ، حیث أمر اللّه بالعدل بحیث یکون المجتمع کتلة واحدة تتعاضد فیما بینها ، والعدل أعم نفعاً من الإحسان ، فقد سئل أمیر المؤمنین علیه السلام عن أفضلیة العدل أو الجود؟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الأُمور مواضعها ، والجود یخرجها من جهتها ، والعدل سائس عامّ ، والجود عارض خاصّ ، فالعدل أشرفهما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لأنّ العدل هو انتظام الأُمور علی وجهها ، بینما الإحسان یتضمّن تنازلاً عن الحق من قبل طرف من الأطراف ، ثمّ یأمر القرآن الکریم بإیتاء ذی القربی بعد أن یبیّن القرآن الکریم وسیلة لالتحام أفراد المجتمع بعضه مع بعض ، وهی وسیلة العدل </w:t>
      </w:r>
      <w:r>
        <w:rPr>
          <w:rFonts w:eastAsia="IRNazanin" w:cs="IRNazanin"/>
          <w:color w:val="111111"/>
          <w:sz w:val="28"/>
          <w:szCs w:val="28"/>
          <w:rtl w:val="true"/>
          <w:lang w:bidi="fa-IR"/>
        </w:rPr>
        <w:t>.</w:t>
      </w:r>
    </w:p>
    <w:p>
      <w:pPr>
        <w:pStyle w:val="Heading4"/>
        <w:numPr>
          <w:ilvl w:val="3"/>
          <w:numId w:val="1"/>
        </w:numPr>
        <w:rPr/>
      </w:pPr>
      <w:bookmarkStart w:id="1274" w:name="__RefHeading___Toc477954_581953129"/>
      <w:bookmarkStart w:id="1275" w:name="_Toc507"/>
      <w:bookmarkEnd w:id="1274"/>
      <w:r>
        <w:rPr>
          <w:rtl w:val="true"/>
        </w:rPr>
        <w:t>الترتیب فی الآیة لیس اعتباطیاً</w:t>
      </w:r>
      <w:bookmarkEnd w:id="127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أنّ الآیة قد بدأت بالعدل ثمّ بالإحسان ؛ لأنّ المجتمع قد یمرّ بمنعطفات یحتاج فیها إلی الإحسان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الکوارث والحالات الطارئة ، ثمّ تأمر الآیة الکریمة بإیتاء ذی القربی من أجل تقویة وشائج وروابط المجتمع ، والقربی المذکورة فی الآیة هی عموم القربی ، قرابة الأُسرة والقبیلة والعشیرة ، وهذا الترتیب فی الآیة لیس اعتباطیاً ، وأمّا النواهی فقد بدأت الآیة بالنهی عن الفحشاء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الانحدار الخلقی ، والآیة تنذر أنّ هلاک المجتمعات یبدأ بالسقوط الخُلقی، ثمّ نهت عن المنکر والبغی وکأن الآیة تحتوی فی الأوامر علی عکس النواهی من حیث الترتیب ، ففی الأوامر بدأت الآیة بالعدل ، ثمّ بالإحسان ، ثمّ بتقویة شجرة القرابة ، ولکن فی جانب النهی ابتدأت بالفحشاء ، باعتباره أمراً یهدّد النظام الاجتماعی ، حیث إذا ساد الانحطاط الخلقی فسوف یهدّد النظام الاجتماعی ، وغیب المُثُل والمبادیء الأخلاقیة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والرحمة ، وهذا سیؤثّر علی العدالة والقانون والنظام </w:t>
      </w:r>
      <w:r>
        <w:rPr>
          <w:rFonts w:eastAsia="IRNazanin" w:cs="IRNazanin"/>
          <w:color w:val="111111"/>
          <w:sz w:val="28"/>
          <w:szCs w:val="28"/>
          <w:rtl w:val="true"/>
          <w:lang w:bidi="fa-IR"/>
        </w:rPr>
        <w:t>.</w:t>
      </w:r>
      <w:bookmarkStart w:id="1276" w:name="pg5261_55662"/>
    </w:p>
    <w:p>
      <w:pPr>
        <w:pStyle w:val="Heading4"/>
        <w:numPr>
          <w:ilvl w:val="3"/>
          <w:numId w:val="1"/>
        </w:numPr>
        <w:rPr/>
      </w:pPr>
      <w:bookmarkStart w:id="1277" w:name="__RefHeading___Toc477956_581953129"/>
      <w:bookmarkStart w:id="1278" w:name="_Toc508"/>
      <w:bookmarkEnd w:id="1276"/>
      <w:bookmarkEnd w:id="1277"/>
      <w:r>
        <w:rPr>
          <w:rtl w:val="true"/>
        </w:rPr>
        <w:t>الفحشاء ظاهرة فردیة والمنکر ظاهرة اجتماعیة</w:t>
      </w:r>
      <w:bookmarkEnd w:id="1278"/>
    </w:p>
    <w:p>
      <w:pPr>
        <w:pStyle w:val="BookText"/>
        <w:rPr/>
      </w:pPr>
      <w:r>
        <w:rPr>
          <w:rFonts w:ascii="IRNazanin" w:hAnsi="IRNazanin" w:eastAsia="IRNazanin"/>
          <w:color w:val="111111"/>
          <w:sz w:val="28"/>
          <w:sz w:val="28"/>
          <w:szCs w:val="28"/>
          <w:rtl w:val="true"/>
          <w:lang w:bidi="fa-IR"/>
        </w:rPr>
        <w:t xml:space="preserve">والفحشاء تکون ظاهرة فردیة والمنکر ظاهرة اجتماعیة ، والظاهرة الفردیة هی التی تؤثّر فی الظاهرة الاجتماعیة حینما تتکرر من هذا الشخص أو ذاک الشخص ، والظواهر الاجتماعیة السلبیة إذا فشت فی المجتمع تدمّره تدمیراً ، ویقول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تکونوا یولّی علیکم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 فیکون الحاکم هو مجمع جمیع المساویء والسیّئات فی ذلک المجتمع </w:t>
      </w:r>
      <w:r>
        <w:rPr>
          <w:rFonts w:eastAsia="IRNazanin" w:cs="IRNazanin"/>
          <w:color w:val="111111"/>
          <w:sz w:val="28"/>
          <w:szCs w:val="28"/>
          <w:rtl w:val="true"/>
          <w:lang w:bidi="fa-IR"/>
        </w:rPr>
        <w:t>.</w:t>
      </w:r>
    </w:p>
    <w:p>
      <w:pPr>
        <w:pStyle w:val="Heading4"/>
        <w:numPr>
          <w:ilvl w:val="3"/>
          <w:numId w:val="1"/>
        </w:numPr>
        <w:rPr/>
      </w:pPr>
      <w:bookmarkStart w:id="1279" w:name="__RefHeading___Toc477958_581953129"/>
      <w:bookmarkStart w:id="1280" w:name="_Toc509"/>
      <w:bookmarkEnd w:id="1279"/>
      <w:r>
        <w:rPr>
          <w:rtl w:val="true"/>
        </w:rPr>
        <w:t>البغی نتیجة انتشار المنکر</w:t>
      </w:r>
      <w:bookmarkEnd w:id="1280"/>
    </w:p>
    <w:p>
      <w:pPr>
        <w:pStyle w:val="BookText"/>
        <w:rPr/>
      </w:pPr>
      <w:r>
        <w:rPr>
          <w:rFonts w:ascii="IRNazanin" w:hAnsi="IRNazanin" w:eastAsia="IRNazanin"/>
          <w:color w:val="111111"/>
          <w:sz w:val="28"/>
          <w:sz w:val="28"/>
          <w:szCs w:val="28"/>
          <w:rtl w:val="true"/>
          <w:lang w:bidi="fa-IR"/>
        </w:rPr>
        <w:t xml:space="preserve">والبغی الذی تذکره الآیة یأتی فی مرحلة انتشار المنکر ، وانتشار المنکر هو الذی یهیّیء لظهور البغی ، والظاهرة الیزیدیة والأمویة الظالمة لا یمکن دراستها مقطوعة عمّا حدث قبلها من أحداث هیّئت لأمثال معاویة ویزید للظهور والسیطرة علی مقدّرات المسلمین ، والآیة تطرح نوعاً من المعادلات فی العلوم الاجتماعیة والسیاسیة ، حیث تبدأ من الفحشاء ، وهی الجانب الفردی من المعصیة ، ثمّ المنکر الذی یمثّل الظاهرة الاجتماعیة السلبیة ، ثمّ البغی الذی یمثّل الانحراف فی النظام الحاکم الباغی ، وفی الأوامر الواردة فی الآیة فإنّ العدل هو الذی یهیّیء للإحسان </w:t>
      </w:r>
      <w:r>
        <w:rPr>
          <w:rFonts w:eastAsia="IRNazanin" w:cs="IRNazanin"/>
          <w:color w:val="111111"/>
          <w:sz w:val="28"/>
          <w:szCs w:val="28"/>
          <w:rtl w:val="true"/>
          <w:lang w:bidi="fa-IR"/>
        </w:rPr>
        <w:t>.</w:t>
      </w:r>
    </w:p>
    <w:p>
      <w:pPr>
        <w:pStyle w:val="Heading4"/>
        <w:numPr>
          <w:ilvl w:val="3"/>
          <w:numId w:val="1"/>
        </w:numPr>
        <w:rPr/>
      </w:pPr>
      <w:bookmarkStart w:id="1281" w:name="__RefHeading___Toc477960_581953129"/>
      <w:bookmarkStart w:id="1282" w:name="_Toc510"/>
      <w:bookmarkEnd w:id="1281"/>
      <w:r>
        <w:rPr>
          <w:rtl w:val="true"/>
        </w:rPr>
        <w:t xml:space="preserve">صفات المجتمع السلیم </w:t>
      </w:r>
      <w:r>
        <w:rPr>
          <w:rtl w:val="true"/>
        </w:rPr>
        <w:t xml:space="preserve">: </w:t>
      </w:r>
      <w:r>
        <w:rPr>
          <w:rtl w:val="true"/>
        </w:rPr>
        <w:t>العدل والإحسان وإیتاء ذی القربی</w:t>
      </w:r>
      <w:bookmarkEnd w:id="1282"/>
    </w:p>
    <w:p>
      <w:pPr>
        <w:pStyle w:val="BookText"/>
        <w:rPr/>
      </w:pPr>
      <w:r>
        <w:rPr>
          <w:rFonts w:ascii="IRNazanin" w:hAnsi="IRNazanin" w:eastAsia="IRNazanin"/>
          <w:color w:val="111111"/>
          <w:sz w:val="28"/>
          <w:sz w:val="28"/>
          <w:szCs w:val="28"/>
          <w:rtl w:val="true"/>
          <w:lang w:bidi="fa-IR"/>
        </w:rPr>
        <w:t xml:space="preserve">وتستطیع أن تحکم علی المجتمع من خلال الحلقات الایجابیة الثلاث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العدل والإحسان وإیتاء ذی القربی ، أو من خلال الحلقات السلبیة الثلاث ، وهی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الفحشاء والمنکر والبغی حتّی تتعرّف علی المسار الذی یسیر فیه المجتمع </w:t>
      </w:r>
      <w:r>
        <w:rPr>
          <w:rFonts w:eastAsia="IRNazanin" w:cs="IRNazanin"/>
          <w:color w:val="111111"/>
          <w:sz w:val="28"/>
          <w:szCs w:val="28"/>
          <w:rtl w:val="true"/>
          <w:lang w:bidi="fa-IR"/>
        </w:rPr>
        <w:t>.</w:t>
      </w:r>
      <w:bookmarkStart w:id="1283" w:name="pg5261_55664"/>
    </w:p>
    <w:p>
      <w:pPr>
        <w:pStyle w:val="Heading4"/>
        <w:numPr>
          <w:ilvl w:val="3"/>
          <w:numId w:val="1"/>
        </w:numPr>
        <w:rPr/>
      </w:pPr>
      <w:bookmarkStart w:id="1284" w:name="__RefHeading___Toc477962_581953129"/>
      <w:bookmarkStart w:id="1285" w:name="_Toc511"/>
      <w:bookmarkEnd w:id="1283"/>
      <w:bookmarkEnd w:id="1284"/>
      <w:r>
        <w:rPr>
          <w:rtl w:val="true"/>
        </w:rPr>
        <w:t>التمزّق الاجتماعی الغربی أخذ یزحف علی المجتمع المسلم</w:t>
      </w:r>
      <w:bookmarkEnd w:id="1285"/>
    </w:p>
    <w:p>
      <w:pPr>
        <w:pStyle w:val="BookText"/>
        <w:rPr/>
      </w:pPr>
      <w:r>
        <w:rPr>
          <w:rFonts w:ascii="IRNazanin" w:hAnsi="IRNazanin" w:eastAsia="IRNazanin"/>
          <w:color w:val="111111"/>
          <w:sz w:val="28"/>
          <w:sz w:val="28"/>
          <w:szCs w:val="28"/>
          <w:rtl w:val="true"/>
          <w:lang w:bidi="fa-IR"/>
        </w:rPr>
        <w:t xml:space="preserve">والملاحظ أنّ المجتمعات الحدیثة یسودها التمزّق ، وهذا التمزّق أخذ یزحف حتّی علی المجتمعات الإسلامیة ، ولو سألنا آباءنا وأجدادنا عن الترابط الاجتماعی فی السابق لوجدنا أنّه کان متقدّماً علی ما هو علیه الآن </w:t>
      </w:r>
      <w:r>
        <w:rPr>
          <w:rFonts w:eastAsia="IRNazanin" w:cs="IRNazanin"/>
          <w:color w:val="111111"/>
          <w:sz w:val="28"/>
          <w:szCs w:val="28"/>
          <w:rtl w:val="true"/>
          <w:lang w:bidi="fa-IR"/>
        </w:rPr>
        <w:t>.</w:t>
      </w:r>
    </w:p>
    <w:p>
      <w:pPr>
        <w:pStyle w:val="Heading4"/>
        <w:numPr>
          <w:ilvl w:val="3"/>
          <w:numId w:val="1"/>
        </w:numPr>
        <w:rPr/>
      </w:pPr>
      <w:bookmarkStart w:id="1286" w:name="__RefHeading___Toc477964_581953129"/>
      <w:bookmarkStart w:id="1287" w:name="_Toc512"/>
      <w:bookmarkEnd w:id="1286"/>
      <w:r>
        <w:rPr>
          <w:rtl w:val="true"/>
        </w:rPr>
        <w:t>القانون الذی لا یستند إلی العدل یعطی الصبغة القانونیة للاضطهاد</w:t>
      </w:r>
      <w:bookmarkEnd w:id="1287"/>
    </w:p>
    <w:p>
      <w:pPr>
        <w:pStyle w:val="BookText"/>
        <w:rPr/>
      </w:pPr>
      <w:r>
        <w:rPr>
          <w:rFonts w:ascii="IRNazanin" w:hAnsi="IRNazanin" w:eastAsia="IRNazanin"/>
          <w:color w:val="111111"/>
          <w:sz w:val="28"/>
          <w:sz w:val="28"/>
          <w:szCs w:val="28"/>
          <w:rtl w:val="true"/>
          <w:lang w:bidi="fa-IR"/>
        </w:rPr>
        <w:t>بعد أن مرّ بنا أنّ العدالة أمر تکوینی ، والحقوق ترسو علی الأمر التکوینی ، والعدالة هی وصول کلّ ذی قابلیة للکمال إلی کماله المنشود ، هنا یأتی بحث النظام ، أین موقع النظام العادل فی العدالة الاجتماعیة؟ هل هو نظام فردی أم أُسری أم جماعی أم یغطّی المجتمعات البشریة؟</w:t>
      </w:r>
    </w:p>
    <w:p>
      <w:pPr>
        <w:pStyle w:val="BookText"/>
        <w:rPr/>
      </w:pPr>
      <w:r>
        <w:rPr>
          <w:rFonts w:ascii="IRNazanin" w:hAnsi="IRNazanin" w:eastAsia="IRNazanin"/>
          <w:color w:val="111111"/>
          <w:sz w:val="28"/>
          <w:sz w:val="28"/>
          <w:szCs w:val="28"/>
          <w:rtl w:val="true"/>
          <w:lang w:bidi="fa-IR"/>
        </w:rPr>
        <w:t xml:space="preserve">ثمّ تأتی منظومة الحقوق ثمّ یأتی التقنین والقانون ، لا قیمة له إلّاإذا حقق العدالة ، أما إذا لم یحقق العدالة فلا فائدة منه، ولیس هو المدار بل المدار هی العدالة وهی المحور الذی یجب أن یرتکز علیه القانون ، والقانون الذی لا یرتکز علی العدالة یعتبر قانون الاستسباع والضیم والاضطهاد وامتصاص الدماء والتمییز ، ویعطی هذا القانون للاضطهاد صبغة قانونیة یکون بها مجازاً فی المجتمع ، بحیث لا یمکن لأحد أن یعترض علیه </w:t>
      </w:r>
      <w:r>
        <w:rPr>
          <w:rFonts w:eastAsia="IRNazanin" w:cs="IRNazanin"/>
          <w:color w:val="111111"/>
          <w:sz w:val="28"/>
          <w:szCs w:val="28"/>
          <w:rtl w:val="true"/>
          <w:lang w:bidi="fa-IR"/>
        </w:rPr>
        <w:t>.</w:t>
      </w:r>
    </w:p>
    <w:p>
      <w:pPr>
        <w:pStyle w:val="Heading4"/>
        <w:numPr>
          <w:ilvl w:val="3"/>
          <w:numId w:val="1"/>
        </w:numPr>
        <w:rPr/>
      </w:pPr>
      <w:bookmarkStart w:id="1288" w:name="__RefHeading___Toc477966_581953129"/>
      <w:bookmarkStart w:id="1289" w:name="_Toc513"/>
      <w:bookmarkEnd w:id="1288"/>
      <w:r>
        <w:rPr>
          <w:rtl w:val="true"/>
        </w:rPr>
        <w:t>عهد الإمام علی علیه السلام لمالک الأشتر لا یتناول مباحث التشریع العامّة</w:t>
      </w:r>
      <w:bookmarkEnd w:id="128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تجاوزنا بحث التقنین والعدالة ، نأتی الآن إلی النظام ، عهد الإمام علی علیه السلام إلی مالک الأشتر یمثّل نظاماً وقانوناً إداریاً ، وهو لا یتناول البحث فی عمومیات العدالة ، فهو لیس کما ورد 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یَأْمُرُ بِالْعَدْلِ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فالعدل فی الآیة الکریمة أتی بنحو العموم ، بینما عهد أمیر المؤمنین علیه السلام إلی مالک الأشتر لا</w:t>
      </w:r>
      <w:bookmarkStart w:id="1290" w:name="pg5261_55666"/>
    </w:p>
    <w:p>
      <w:pPr>
        <w:pStyle w:val="BookText"/>
        <w:rPr/>
      </w:pPr>
      <w:bookmarkEnd w:id="1290"/>
      <w:r>
        <w:rPr>
          <w:rFonts w:ascii="IRNazanin" w:hAnsi="IRNazanin" w:eastAsia="IRNazanin"/>
          <w:color w:val="111111"/>
          <w:sz w:val="28"/>
          <w:sz w:val="28"/>
          <w:szCs w:val="28"/>
          <w:rtl w:val="true"/>
          <w:lang w:bidi="fa-IR"/>
        </w:rPr>
        <w:t xml:space="preserve">یتناول مباحث التشریعات العامّة، فبحث النظام له خصائص معیّنة، ویختلف عن التشریعات العامّة، وقبل أن ندخل فی فقه النظام وارتباطه بالفقه الدستوری والفقه البرلمانی أو الفقه الوزاری فی الهیاکل العصریة الحدیثة نأخذ نبذة عن عهد أمیر المؤمنین علیه السلام لمالک الأشتر </w:t>
      </w:r>
      <w:r>
        <w:rPr>
          <w:rFonts w:eastAsia="IRNazanin" w:cs="IRNazanin"/>
          <w:color w:val="111111"/>
          <w:sz w:val="28"/>
          <w:szCs w:val="28"/>
          <w:rtl w:val="true"/>
          <w:lang w:bidi="fa-IR"/>
        </w:rPr>
        <w:t>.</w:t>
      </w:r>
    </w:p>
    <w:p>
      <w:pPr>
        <w:pStyle w:val="Heading4"/>
        <w:numPr>
          <w:ilvl w:val="3"/>
          <w:numId w:val="1"/>
        </w:numPr>
        <w:rPr/>
      </w:pPr>
      <w:bookmarkStart w:id="1291" w:name="__RefHeading___Toc477968_581953129"/>
      <w:bookmarkStart w:id="1292" w:name="_Toc514"/>
      <w:bookmarkEnd w:id="1291"/>
      <w:r>
        <w:rPr>
          <w:rtl w:val="true"/>
        </w:rPr>
        <w:t>نبذة عن رواة عهد الإمام علی علیه السلام لمالک الأشتر</w:t>
      </w:r>
      <w:bookmarkEnd w:id="129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عهد رواه شیخ الطائفة محمّد بن الحسن الطوسی المدفون فی النجف الأشرف ، وقد سُمّی أحد أبواب حرم أمیر المؤمنین علیه السلام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الباب الذی یطلّ علی مقبرة وادی السلام ، 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 وهو من أعلام القرن الخامس ، وکان المرجع الأوّل للطائفة الشیعیة ، وکان ثلثا الطائفة الشیعیة أو ثلاثة أرباعها یرجعون إلیه ، والباقون یرجعون إلی مرجع آخر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عراقی الأصل ، ولکنّه یقطن الشام، والشیخ الطوسی هو من الرجال العظماء وهو مؤسس حوزة النجف الأشرف حفظها اللّه ورعاها ، وحوزة النجف تقضّ مضاجع الکفر العالمی الذی یراها نقطة من نقاط القوّة فی الطائفة الشیعیة ، وهناک کتاب یعترف بأنّ القوی الکافرة زوّدت النظام الصدامی بأجهزة قمعیّة ، وشجّعته علی قمع حوزة النجف الأشرف بصورة خاصة، والشیعة بصورة عامة، ولکنّهم لم ینجحوا ، والشیخ الطوسی له مؤلفات کثیرة فی الحدیث والتفسیر ، یذکر الشیخ الطوسی سنداً صحیحاً عند المشهور لعهد أمیر المؤمنین علیه السلام لمالک الأشتر ، وکذلک النجاشی الذی هو أحد رجالات العلم فی الطائفة الإمامیة أیضاً روی عهد الإمام علیّ علیه السلام لمالک الأشتر بطریق آخر صحیح عند المشهور، ، ورواه الشریف الرضی أخو الشریف المرتضی ، وکانا بدران فی سماء الإمامیة ، والسید المرتضی کان أستاذ الشیخ الطوسی ، أمّا السید الرضی فلم یکن أستاذ</w:t>
      </w:r>
      <w:bookmarkStart w:id="1293" w:name="pg5261_55668"/>
    </w:p>
    <w:p>
      <w:pPr>
        <w:pStyle w:val="BookText"/>
        <w:rPr/>
      </w:pPr>
      <w:bookmarkEnd w:id="1293"/>
      <w:r>
        <w:rPr>
          <w:rFonts w:ascii="IRNazanin" w:hAnsi="IRNazanin" w:eastAsia="IRNazanin"/>
          <w:color w:val="111111"/>
          <w:sz w:val="28"/>
          <w:sz w:val="28"/>
          <w:szCs w:val="28"/>
          <w:rtl w:val="true"/>
          <w:lang w:bidi="fa-IR"/>
        </w:rPr>
        <w:t xml:space="preserve">الشیخ الطوسی ، والسید الرضی عاش فی أواخر القرن الرابع وبدایات القرن الخامس ، وروی هذا العهد فی کتاب نهج البلاغة ، ورواه أیضاً ابن أبی شعبة الحرّانی ، الذی کان یعیش فی أواسط القرن الرابع المعاصر للشیخ الصدوق من علماء الإمامیة فی کتابه تحف العقول ، وواقعاً هذا الکتاب اسم علی مسمی ، حیث جمع فیه من حکم أهل البیت علیه السلام فی المجالات المختلفة ، ورواه القاضی النعمان ، وهو من علماء الإمامیة ، وکان قاضیاً أیام حکم الفاطمیین فی مصر فی القرن الرابع والخامس ، رواه فی کتابه دعائم الإسلام ، إذن عهد مالک الأشتر له العدید من المصادر </w:t>
      </w:r>
      <w:r>
        <w:rPr>
          <w:rFonts w:eastAsia="IRNazanin" w:cs="IRNazanin"/>
          <w:color w:val="111111"/>
          <w:sz w:val="28"/>
          <w:szCs w:val="28"/>
          <w:rtl w:val="true"/>
          <w:lang w:bidi="fa-IR"/>
        </w:rPr>
        <w:t>.</w:t>
      </w:r>
    </w:p>
    <w:p>
      <w:pPr>
        <w:pStyle w:val="Heading4"/>
        <w:numPr>
          <w:ilvl w:val="3"/>
          <w:numId w:val="1"/>
        </w:numPr>
        <w:rPr/>
      </w:pPr>
      <w:bookmarkStart w:id="1294" w:name="__RefHeading___Toc477970_581953129"/>
      <w:bookmarkStart w:id="1295" w:name="_Toc515"/>
      <w:bookmarkEnd w:id="1294"/>
      <w:r>
        <w:rPr>
          <w:rtl w:val="true"/>
        </w:rPr>
        <w:t>کوفی عنان وعهد الإمام علی علیه السلام لمالک الأشتر</w:t>
      </w:r>
      <w:bookmarkEnd w:id="12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العهد وصل إلی أذن الأمین العام للأُمم المتحدة، ولکن لم یکن هذا التوصیل بفعل الإعلام الشیعی إنّما وصل إلیه ، کما ینقل بعض الإخوة المتتبّعین عبر زوجته السویدیة ، ویقول هذا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السوید یعتمدون فی دستورهم فی أُمور کثیرة علی نهج البلاغة ، فالسویدیون لهم صلة ثقافیة بنهج البلاغة ، وزوجة کوفی عنان ذکرت له هذه الفقرة من عهد أمیر المؤمنین علیه السلام لمالک الأشتر ، وقد ذکرتُ فی موضع سابق أنّ هذا العهد لا یتناول مباحث التشریعات عامّة ، وإنّما هو فقه نظمی ، وقد قال الأمین العام للأمم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العبارة من عهد الإمام علی علیه السلام لمالک الأشتر یجب أن تعلّق علی کلّ المؤسسات الحقوقیة فی العالم ، والعبارة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وأشعر قلبک الرحمة للرعیة ، والمحبّة لهم ، واللطف بهم ، ولا تکوننَّ علیهم سَبُعاً ضاریاً تغتنم أکلهم ، فإنّهم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 وإمّا نظیر لک فی الخلق</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وهذه العبارة من ضمن المقاطع النظمیة القانونیة</w:t>
      </w:r>
      <w:bookmarkStart w:id="1296" w:name="pg5261_55670"/>
    </w:p>
    <w:p>
      <w:pPr>
        <w:pStyle w:val="BookText"/>
        <w:rPr/>
      </w:pPr>
      <w:bookmarkEnd w:id="1296"/>
      <w:r>
        <w:rPr>
          <w:rFonts w:ascii="IRNazanin" w:hAnsi="IRNazanin" w:eastAsia="IRNazanin"/>
          <w:color w:val="111111"/>
          <w:sz w:val="28"/>
          <w:sz w:val="28"/>
          <w:szCs w:val="28"/>
          <w:rtl w:val="true"/>
          <w:lang w:bidi="fa-IR"/>
        </w:rPr>
        <w:t xml:space="preserve">استهوت الأمین العام للأمم المتحدة </w:t>
      </w:r>
      <w:r>
        <w:rPr>
          <w:rFonts w:eastAsia="IRNazanin" w:cs="IRNazanin"/>
          <w:color w:val="111111"/>
          <w:sz w:val="28"/>
          <w:szCs w:val="28"/>
          <w:rtl w:val="true"/>
          <w:lang w:bidi="fa-IR"/>
        </w:rPr>
        <w:t>.</w:t>
      </w:r>
    </w:p>
    <w:p>
      <w:pPr>
        <w:pStyle w:val="Heading4"/>
        <w:numPr>
          <w:ilvl w:val="3"/>
          <w:numId w:val="1"/>
        </w:numPr>
        <w:rPr/>
      </w:pPr>
      <w:bookmarkStart w:id="1297" w:name="__RefHeading___Toc477972_581953129"/>
      <w:bookmarkStart w:id="1298" w:name="_Toc516"/>
      <w:bookmarkEnd w:id="1297"/>
      <w:r>
        <w:rPr>
          <w:rtl w:val="true"/>
        </w:rPr>
        <w:t>کوفی عنان یدعو لدراسة عهد الإمام علی علیه السلام لمالک الأشتر</w:t>
      </w:r>
      <w:bookmarkEnd w:id="1298"/>
    </w:p>
    <w:p>
      <w:pPr>
        <w:pStyle w:val="BookText"/>
        <w:rPr/>
      </w:pPr>
      <w:r>
        <w:rPr>
          <w:rFonts w:ascii="IRNazanin" w:hAnsi="IRNazanin" w:eastAsia="IRNazanin"/>
          <w:color w:val="111111"/>
          <w:sz w:val="28"/>
          <w:sz w:val="28"/>
          <w:szCs w:val="28"/>
          <w:rtl w:val="true"/>
          <w:lang w:bidi="fa-IR"/>
        </w:rPr>
        <w:t xml:space="preserve">وهذه العبارة جعلت کوفی عنان ینادی بأن تدرس الأجهزة الحقوقیة والقانونیة عهد الإمام علی علیه السلام لمالک الأشتر ، وترشیحه لکی یکون أحد مصادر التشریع للقانون الدولی ، وبعد مداولات استمرّت لمدّة سنتین فی الأمم المتحدة صوّتت غالبیة دول العالم علی کون عهد أمیر المؤمنین علیه السلام لمالک الأشتر کأحد مصادر التشریع للقانون الدولی ، وهذا إقرار من البشریة لعملقة أمیر المؤمنین علیه السلام فی القانون بعد مضی أربعة عشر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التصویت لم ینجزه العرب ولا المسلمون ولا الشیعة ، بل أنجزه کوفی عنان ، وهو لیس بمسلم ولا عربی ولا شیعی ، وقد تمّ بعد ذلک إضافة فقرات أُخری من نهج البلاغة غیر عهد الإمام علی علیه السلام لمالک الأشتر کمصادر للقانون الدولی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الأخوة المستبصرین المختص فی المحاماة أخبرنی بأنّ هناک دراسة فی الدکتوراه تنصّ علی أنّ عصبة الأمم المتحدة التی شکّلت قبل هیئة الأمم المتحدة ، قد ذکرت أنّ من مصادر التشریع التی تستند إلیها هو کتاب نهج البلاغة ، وهذا إن دل علی شیء فإنّما یدل علی أنّ هذا أحد معاجز أهل البیت علیهم السلام ، وأنّهم بشر متّصلون بالغیب ، وأنّهم مصدر سعادة البشریة ، ولکن للأسف نحن مقصّرون کثیراً فی نشر علوم أهل البیت علیهم السلام ، کما قال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9" w:name="__RefHeading___Toc477974_581953129"/>
      <w:bookmarkStart w:id="1300" w:name="_Toc517"/>
      <w:bookmarkEnd w:id="1299"/>
      <w:r>
        <w:rPr>
          <w:rtl w:val="true"/>
        </w:rPr>
        <w:t>البابا یبدی إعجابه بالصحیفة السجادیة</w:t>
      </w:r>
      <w:bookmarkEnd w:id="130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مجتبی اللاری ، وهو کبیر علماء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 والشخصیة</w:t>
      </w:r>
      <w:bookmarkStart w:id="1301" w:name="pg5261_55672"/>
    </w:p>
    <w:p>
      <w:pPr>
        <w:pStyle w:val="BookText"/>
        <w:rPr/>
      </w:pPr>
      <w:bookmarkEnd w:id="1301"/>
      <w:r>
        <w:rPr>
          <w:rFonts w:ascii="IRNazanin" w:hAnsi="IRNazanin" w:eastAsia="IRNazanin"/>
          <w:color w:val="111111"/>
          <w:sz w:val="28"/>
          <w:sz w:val="28"/>
          <w:szCs w:val="28"/>
          <w:rtl w:val="true"/>
          <w:lang w:bidi="fa-IR"/>
        </w:rPr>
        <w:t xml:space="preserve">الأُولی فی هذه المدینة ، هذا السید لدیه مؤسسة لنشر مذهب أهل البیت علیهم السلام أُسست منذ أربعین سنة تقریباً ، وأنا علی صلة ومعرفة به ، وطریقته فی النشر لا تعتمد علی نشر الکتب علی عامّة أهل البلدان ، بل ینشر کتب أهل البیت علیهم السلام للنخب الخاصّة والمختصین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الحقوقیین والصحفیین والقضاة والسیاسیین وأساتذة الجامعات ، فهو یحاول أن یراسل أمثال هؤلاء ، وفی أحد مراسلاته أرسل رسالة إلی الفاتیکان ، والرسالة موجودة لدیه ، أرسل للفاتیکان الصحیفة السجادیة مترجمة باللغة الإیطالیة ، وقد أتی له الجواب من الفاتیکان مختوم بالختم الرسمی لیس من البابا المعاصر ، وإنّما من أحد الباباوات السابقین ، وأنا قرأت الرسالة عند السید اللاری ، وعاتبته علی عدم نشرها فی وسائل الإعلام ، وقد جاء فی الرسالة اعتراف أنّ المسیحیین یزعمون أنّهم أئمة الناس فی العرفان والروحانیات والأخلاقیات ، ولکن إمامکم السجاد عنده من المعنویات والأخلاقیات ما لا نملک ، وفوق الذی نستوحیه من النبی عیسی علیه السلام </w:t>
      </w:r>
      <w:r>
        <w:rPr>
          <w:rFonts w:eastAsia="IRNazanin" w:cs="IRNazanin"/>
          <w:color w:val="111111"/>
          <w:sz w:val="28"/>
          <w:szCs w:val="28"/>
          <w:rtl w:val="true"/>
          <w:lang w:bidi="fa-IR"/>
        </w:rPr>
        <w:t>.</w:t>
      </w:r>
    </w:p>
    <w:p>
      <w:pPr>
        <w:pStyle w:val="Heading4"/>
        <w:numPr>
          <w:ilvl w:val="3"/>
          <w:numId w:val="1"/>
        </w:numPr>
        <w:rPr/>
      </w:pPr>
      <w:bookmarkStart w:id="1302" w:name="__RefHeading___Toc477976_581953129"/>
      <w:bookmarkStart w:id="1303" w:name="_Toc518"/>
      <w:bookmarkEnd w:id="1302"/>
      <w:r>
        <w:rPr>
          <w:rtl w:val="true"/>
        </w:rPr>
        <w:t>وقس آخر یبدی إعجابه بها أیضاً</w:t>
      </w:r>
      <w:bookmarkEnd w:id="1303"/>
    </w:p>
    <w:p>
      <w:pPr>
        <w:pStyle w:val="BookText"/>
        <w:rPr/>
      </w:pPr>
      <w:r>
        <w:rPr>
          <w:rFonts w:ascii="IRNazanin" w:hAnsi="IRNazanin" w:eastAsia="IRNazanin"/>
          <w:color w:val="111111"/>
          <w:sz w:val="28"/>
          <w:sz w:val="28"/>
          <w:szCs w:val="28"/>
          <w:rtl w:val="true"/>
          <w:lang w:bidi="fa-IR"/>
        </w:rPr>
        <w:t xml:space="preserve">وأرانی رسالة أُخری من أحد القضاة الحقوقیین فی بریطانیا ، أرسل إلیه الصحیفة السجادیة باللغة الإنجلیزیة ، وقد ردّ علیه برسالة ذکر له فیها أنّ القس الذی یشرف علی کلّ البرامج الدینیة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بها ، وطلب منه نسخة أُخری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یعتمد علیها فی برامجه الدینیة </w:t>
      </w:r>
      <w:r>
        <w:rPr>
          <w:rFonts w:eastAsia="IRNazanin" w:cs="IRNazanin"/>
          <w:color w:val="111111"/>
          <w:sz w:val="28"/>
          <w:szCs w:val="28"/>
          <w:rtl w:val="true"/>
          <w:lang w:bidi="fa-IR"/>
        </w:rPr>
        <w:t>.</w:t>
      </w:r>
    </w:p>
    <w:p>
      <w:pPr>
        <w:pStyle w:val="Heading4"/>
        <w:numPr>
          <w:ilvl w:val="3"/>
          <w:numId w:val="1"/>
        </w:numPr>
        <w:rPr/>
      </w:pPr>
      <w:bookmarkStart w:id="1304" w:name="__RefHeading___Toc477978_581953129"/>
      <w:bookmarkStart w:id="1305" w:name="_Toc519"/>
      <w:bookmarkEnd w:id="1304"/>
      <w:r>
        <w:rPr>
          <w:rtl w:val="true"/>
        </w:rPr>
        <w:t>واجبنا نشر ثقافة أهل البیت علیهم السلام</w:t>
      </w:r>
      <w:bookmarkEnd w:id="130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أنّ کتب أهل البیت علیهم السلام لو استطعنا أن نوصلها إلی نخبة الشعوب ومثقّفیها بلغاتهم لینظروا فیها ، لأدّینا جانباً وقسطاً من المسؤولیة الملقاة علینا فی نشر هذه الأنوار التی بها تتحقق سعادة البشریة </w:t>
      </w:r>
      <w:r>
        <w:rPr>
          <w:rFonts w:eastAsia="IRNazanin" w:cs="IRNazanin"/>
          <w:color w:val="111111"/>
          <w:sz w:val="28"/>
          <w:szCs w:val="28"/>
          <w:rtl w:val="true"/>
          <w:lang w:bidi="fa-IR"/>
        </w:rPr>
        <w:t>.</w:t>
      </w:r>
      <w:bookmarkStart w:id="1306" w:name="pg5261_55674"/>
    </w:p>
    <w:p>
      <w:pPr>
        <w:pStyle w:val="Heading4"/>
        <w:numPr>
          <w:ilvl w:val="3"/>
          <w:numId w:val="1"/>
        </w:numPr>
        <w:rPr/>
      </w:pPr>
      <w:bookmarkStart w:id="1307" w:name="__RefHeading___Toc477980_581953129"/>
      <w:bookmarkStart w:id="1308" w:name="_Toc520"/>
      <w:bookmarkEnd w:id="1306"/>
      <w:bookmarkEnd w:id="1307"/>
      <w:r>
        <w:rPr>
          <w:rtl w:val="true"/>
        </w:rPr>
        <w:t>ما یوجد فی عهد الإمام علی علیه السلام ولا یوجد فی أدبیات العدالة الدولیة</w:t>
      </w:r>
      <w:bookmarkEnd w:id="1308"/>
    </w:p>
    <w:p>
      <w:pPr>
        <w:pStyle w:val="BookText"/>
        <w:rPr/>
      </w:pPr>
      <w:r>
        <w:rPr>
          <w:rFonts w:ascii="IRNazanin" w:hAnsi="IRNazanin" w:eastAsia="IRNazanin"/>
          <w:color w:val="111111"/>
          <w:sz w:val="28"/>
          <w:sz w:val="28"/>
          <w:szCs w:val="28"/>
          <w:rtl w:val="true"/>
          <w:lang w:bidi="fa-IR"/>
        </w:rPr>
        <w:t xml:space="preserve">وقبل الخوض فی هذا العهد سأبیّن بعض الإمتیازات التی ذکرها أمیر المؤمنین علیه السلام لمالک الأشتر ، وحسب استقرائی فإنّ فی جملة من البنود یمتاز بها هذا العهد وإلی الآن لا توجد فی التنظیر الدولی للعدالة ، ولا فی أدبیات العدالة الدولیة ، وهناک أُمور یری أمیر المؤمنین علیه السلام أنّها مصیریّة وحیویّة ورئیسیّة وإعجازیّة لم یتوصّل لها الغرب إلی الآن ، وهی أُمور تختص بإقامة صرح العدالة فی المجتمع البشری سواء فی صفات الحاکمین والمسؤولین ، أو فی السیاسة العامّة لنظام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العلاقات الدولیة یذکر أمیر المؤمنین علیه السلام عدّة بنود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مصیر السلم الدولی ، ولا یمکن لغیره أن یحقق السلم الدولی ، ویرکّز علیه بصورة شدیدة ، ویذکر فی موارد أُخری العلاقات الدولیة ، ومشارکة الأُمّة فی الحکم ، ونفس هذه النظم نظم إعجازیّة ، انجذبت إلیها البشریة </w:t>
      </w:r>
      <w:r>
        <w:rPr>
          <w:rFonts w:eastAsia="IRNazanin" w:cs="IRNazanin"/>
          <w:color w:val="111111"/>
          <w:sz w:val="28"/>
          <w:szCs w:val="28"/>
          <w:rtl w:val="true"/>
          <w:lang w:bidi="fa-IR"/>
        </w:rPr>
        <w:t>.</w:t>
      </w:r>
    </w:p>
    <w:p>
      <w:pPr>
        <w:pStyle w:val="Heading4"/>
        <w:numPr>
          <w:ilvl w:val="3"/>
          <w:numId w:val="1"/>
        </w:numPr>
        <w:rPr/>
      </w:pPr>
      <w:bookmarkStart w:id="1309" w:name="__RefHeading___Toc477982_581953129"/>
      <w:bookmarkStart w:id="1310" w:name="_Toc521"/>
      <w:bookmarkEnd w:id="1309"/>
      <w:r>
        <w:rPr>
          <w:rtl w:val="true"/>
        </w:rPr>
        <w:t>الفرق بین فقه النظام والتشریعات العامّة</w:t>
      </w:r>
      <w:bookmarkEnd w:id="1310"/>
    </w:p>
    <w:p>
      <w:pPr>
        <w:pStyle w:val="BookText"/>
        <w:rPr/>
      </w:pPr>
      <w:r>
        <w:rPr>
          <w:rFonts w:ascii="IRNazanin" w:hAnsi="IRNazanin" w:eastAsia="IRNazanin"/>
          <w:color w:val="111111"/>
          <w:sz w:val="28"/>
          <w:sz w:val="28"/>
          <w:szCs w:val="28"/>
          <w:rtl w:val="true"/>
          <w:lang w:bidi="fa-IR"/>
        </w:rPr>
        <w:t>وسنتعرّض إلی البنود الإعجازیة فی عهد الإمام علی علیه السلام إلی مالک الأشتر ، وهنا لا بدّ من ذکر مقدّمة قبل الخوض فی عهد مالک الأشتر ، وهذه المقدّمة تدور حول ما معنی فقه النظام؟ وما الفرق بینه وبین التشریعات العامّة؟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والتشریعات العامّة ، 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إقمة العدالة أو القصاص أو ما یذکره الفقهاء فی الرسائل العملیة سواء کانوا فقهاء الإمامیة أو فقهاء المذاهب الأُخری ، وهذه الکتب الفقهیة فقه وقانون منتشر ، وکذلک فی القانون الوضعی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الوسیط الذی یتکوّن من عشرة مجلّدات لمؤلّفه الدکتور عبد الرّزاق السنهوری فقه منتشر ، وکذلک باب المعاملات ، وما یتعلّق بالفقه الجنائی وما شابه ذلک ، سواء</w:t>
      </w:r>
      <w:bookmarkStart w:id="1311" w:name="pg5261_55676"/>
    </w:p>
    <w:p>
      <w:pPr>
        <w:pStyle w:val="BookText"/>
        <w:rPr/>
      </w:pPr>
      <w:bookmarkEnd w:id="1311"/>
      <w:r>
        <w:rPr>
          <w:rFonts w:ascii="IRNazanin" w:hAnsi="IRNazanin" w:eastAsia="IRNazanin"/>
          <w:color w:val="111111"/>
          <w:sz w:val="28"/>
          <w:sz w:val="28"/>
          <w:szCs w:val="28"/>
          <w:rtl w:val="true"/>
          <w:lang w:bidi="fa-IR"/>
        </w:rPr>
        <w:t xml:space="preserve">کان من وضع البشر أم من التشریع الإلهی فهو فقه عام منتشر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الذی یتناول أحکام الأُسرة وأحکام الفرد والقوانین العامّة والقانون الجنائی والقصاص ، ولکن هذه الأبواب المختلفة فی القانون فی التشریعات العامّة کیف تتصل مع بعضها البعض فی ظل دائرة منظومة یقام صرحها فی المجتمع؟</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امتیازات فقه النظام عن فقه التشریعات العامّة أنّه یبیّن آلیات وأدوات التطبیق ، وینبغی علی الفقیه الدستوری البرلمانی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إسلامیاً أو وضعیاً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یعی القوانین العامّة ، ثمّ یعی آلیات تطبیق تلک التشریعات ، إذن یوجد الفقه الدستوری وفقه النظم </w:t>
      </w:r>
      <w:r>
        <w:rPr>
          <w:rFonts w:eastAsia="IRNazanin" w:cs="IRNazanin"/>
          <w:color w:val="111111"/>
          <w:sz w:val="28"/>
          <w:szCs w:val="28"/>
          <w:rtl w:val="true"/>
          <w:lang w:bidi="fa-IR"/>
        </w:rPr>
        <w:t>.</w:t>
      </w:r>
    </w:p>
    <w:p>
      <w:pPr>
        <w:pStyle w:val="Heading4"/>
        <w:numPr>
          <w:ilvl w:val="3"/>
          <w:numId w:val="1"/>
        </w:numPr>
        <w:rPr/>
      </w:pPr>
      <w:bookmarkStart w:id="1312" w:name="__RefHeading___Toc477984_581953129"/>
      <w:bookmarkStart w:id="1313" w:name="_Toc522"/>
      <w:bookmarkEnd w:id="1312"/>
      <w:r>
        <w:rPr>
          <w:rtl w:val="true"/>
        </w:rPr>
        <w:t>یجب أن لا تصطدم القوانین مع بعضها البعض</w:t>
      </w:r>
      <w:bookmarkEnd w:id="1313"/>
    </w:p>
    <w:p>
      <w:pPr>
        <w:pStyle w:val="BookText"/>
        <w:rPr/>
      </w:pPr>
      <w:r>
        <w:rPr>
          <w:rFonts w:ascii="IRNazanin" w:hAnsi="IRNazanin" w:eastAsia="IRNazanin"/>
          <w:color w:val="111111"/>
          <w:sz w:val="28"/>
          <w:sz w:val="28"/>
          <w:szCs w:val="28"/>
          <w:rtl w:val="true"/>
          <w:lang w:bidi="fa-IR"/>
        </w:rPr>
        <w:t xml:space="preserve">والفرق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الفقه الدستوری یحاول أن یلائم ویوجد الانسجام بین بنود أبواب القانون ، وکیفیة الحفاظ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فقه الأُسرة مع القوانین الأُخری ، وبین قوانین المعاملات وقوانین المرور ، إذن من المهم أن لا تتصادم القوانین مع بعضها البعض ، ولیس فقط أن لا تتصادم أبواب القانون ، بل یدعم هذا الباب ذاک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خضوع البشریة لعهد الإمام علی علیه السلام لمالک الأشتر یعنی أنّ الإمام علی لا یعیش عصره فقط ، بل إنّه یلبّی حاجات البشریة جیلاً بعد جیل ، وهذا هو فرق المعصوم عن الصحابی والفقیه والمجتهد والسیاسی والمحارب والداهیة وعن رأی الأکثریة والشوری </w:t>
      </w:r>
      <w:r>
        <w:rPr>
          <w:rFonts w:eastAsia="IRNazanin" w:cs="IRNazanin"/>
          <w:color w:val="111111"/>
          <w:sz w:val="28"/>
          <w:szCs w:val="28"/>
          <w:rtl w:val="true"/>
          <w:lang w:bidi="fa-IR"/>
        </w:rPr>
        <w:t>.</w:t>
      </w:r>
    </w:p>
    <w:p>
      <w:pPr>
        <w:pStyle w:val="Heading4"/>
        <w:numPr>
          <w:ilvl w:val="3"/>
          <w:numId w:val="1"/>
        </w:numPr>
        <w:rPr/>
      </w:pPr>
      <w:bookmarkStart w:id="1314" w:name="__RefHeading___Toc477986_581953129"/>
      <w:bookmarkStart w:id="1315" w:name="_Toc523"/>
      <w:bookmarkEnd w:id="1314"/>
      <w:r>
        <w:rPr>
          <w:rtl w:val="true"/>
        </w:rPr>
        <w:t>البشریة عاجزة عن تسجیل مؤاخذة فی قانون علی علیه السلام</w:t>
      </w:r>
      <w:bookmarkEnd w:id="131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 یذعن له نخبة البشر المختصّین فی فقه القانون ، وهو من أصعب العلوم ، ومن المهم الحفاظ علی التوازن بحیث لا یکون التقدّم الصناعی علی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تأثّر البیئة الخضراء الزراعیة أو البیئة الترابیة أو الثروة الحیوانیة ، وعلی بن أبی طالب علیه السلام قبل أربعة عشر قرناً یدوّن بنود الفقه النظمی ، ولا زالت البشریة عاجزة أن تسجّل علیه أیّة مؤاخذة مع تغیّر بیئات البشر وتقالیدهم وطبائع الأرض بعد أربعة عشر قرناً ، أین هؤلاء الذین یکرّرون کلام الحداثیین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تکرّر الببغاء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الفکر الأصیل فلیسمعوا ماذا یقول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التصویب فی الأمم المتحدة کأنّما هو تجدید لبیعة الغدیر </w:t>
      </w:r>
      <w:r>
        <w:rPr>
          <w:rFonts w:eastAsia="IRNazanin" w:cs="IRNazanin"/>
          <w:color w:val="111111"/>
          <w:sz w:val="28"/>
          <w:szCs w:val="28"/>
          <w:rtl w:val="true"/>
          <w:lang w:bidi="fa-IR"/>
        </w:rPr>
        <w:t>.</w:t>
      </w:r>
      <w:bookmarkStart w:id="1316" w:name="pg5261_55680"/>
    </w:p>
    <w:p>
      <w:pPr>
        <w:pStyle w:val="Heading3"/>
        <w:numPr>
          <w:ilvl w:val="2"/>
          <w:numId w:val="1"/>
        </w:numPr>
        <w:rPr/>
      </w:pPr>
      <w:bookmarkStart w:id="1317" w:name="__RefHeading___Toc477988_581953129"/>
      <w:bookmarkStart w:id="1318" w:name="_Toc524"/>
      <w:bookmarkEnd w:id="1316"/>
      <w:bookmarkEnd w:id="1317"/>
      <w:r>
        <w:rPr>
          <w:rtl w:val="true"/>
        </w:rPr>
        <w:t xml:space="preserve">المحاضرة التاسعة الإمام المهدی </w:t>
      </w:r>
      <w:r>
        <w:rPr>
          <w:rtl w:val="true"/>
        </w:rPr>
        <w:t>(</w:t>
      </w:r>
      <w:r>
        <w:rPr>
          <w:rtl w:val="true"/>
        </w:rPr>
        <w:t>عجّل اللّه فرجه الشریف</w:t>
      </w:r>
      <w:r>
        <w:rPr>
          <w:rtl w:val="true"/>
        </w:rPr>
        <w:t xml:space="preserve">) </w:t>
      </w:r>
      <w:r>
        <w:rPr>
          <w:rtl w:val="true"/>
        </w:rPr>
        <w:t>وفقه التشریعات</w:t>
      </w:r>
      <w:bookmarkEnd w:id="1318"/>
    </w:p>
    <w:p>
      <w:pPr>
        <w:pStyle w:val="Heading4"/>
        <w:numPr>
          <w:ilvl w:val="3"/>
          <w:numId w:val="1"/>
        </w:numPr>
        <w:rPr/>
      </w:pPr>
      <w:bookmarkStart w:id="1319" w:name="__RefHeading___Toc477990_581953129"/>
      <w:bookmarkStart w:id="1320" w:name="_Toc525"/>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 xml:space="preserve">محاور المحاضرة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الفقه النظمی وفقه التشریعات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الفقه النظمی الملائمة بین الثابت والمتغیّر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تحدیث القوانین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الکثرة المبالغ فیها لمنظومات النظم سلبیة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تعنی الإدارة والتدبیر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 لیلة القدر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ضخمة تنزل علی المهدی من آل محمّد فی کلّ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یتصدّی للأمر فی غیبته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الکتاب المبین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برهان علی تصدّی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w:t>
      </w:r>
    </w:p>
    <w:p>
      <w:pPr>
        <w:pStyle w:val="Heading4"/>
        <w:numPr>
          <w:ilvl w:val="3"/>
          <w:numId w:val="1"/>
        </w:numPr>
        <w:rPr/>
      </w:pPr>
      <w:bookmarkStart w:id="1321" w:name="__RefHeading___Toc477992_581953129"/>
      <w:bookmarkStart w:id="1322" w:name="_Toc526"/>
      <w:bookmarkEnd w:id="1321"/>
      <w:r>
        <w:rPr>
          <w:rtl w:val="true"/>
        </w:rPr>
        <w:t>الفرق بین الفقه النظمی وفقه التشریعات</w:t>
      </w:r>
      <w:bookmarkEnd w:id="132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سید الشهداء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فلعمری ما</w:t>
      </w:r>
      <w:bookmarkStart w:id="1323" w:name="pg5261_55682"/>
    </w:p>
    <w:p>
      <w:pPr>
        <w:pStyle w:val="BookText"/>
        <w:rPr/>
      </w:pPr>
      <w:bookmarkEnd w:id="1323"/>
      <w:r>
        <w:rPr>
          <w:rFonts w:ascii="IRNazanin" w:hAnsi="IRNazanin" w:eastAsia="IRNazanin"/>
          <w:color w:val="111111"/>
          <w:sz w:val="28"/>
          <w:sz w:val="28"/>
          <w:szCs w:val="28"/>
          <w:rtl w:val="true"/>
          <w:lang w:bidi="fa-IR"/>
        </w:rPr>
        <w:t>الإمام إلّاالعامل بالکتاب ، والقائم بالقسط ، والدائن بدین الحق ، الحابس نفسه علی ذات اللّه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بنا الحدیث عن عهد أمیر المؤمنین علیه السلام لمالک الأشتر ، وهو کما بیّنا فقه نظام الدولة ، وفقه نظام الدولة یتمیّز عن فقه التشریعات العامّة أنّ فقه التشریعات العامّة ترتکز علی مبادیء قد تدرکها الفطرة ، وتدرک بالنصوص البیّنة المحکمة ، فتکون بیّنة مستبینة ، وأمّا قوانین النظم والأنظمة ، وربّما یعبّر عنها بالفقه الدستوری أو الفقه النظمی والفقه البرلمانی أو الفقه الوزاری ، ففیه صعوبة أکثر من فقه التشریعات العامّة ؛ لأنّ فقه التشریعات العامّة کلّ باب مستقل فیه بنفسه یراعی المصالح المذکورة فی ذلک الباب لا غیر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الأُسرة یراعی مصالح الأُسرة ، وباب المعاملات یراعی المعاملات ، وباب الجنایات علی حدة ، والقضاء علی حدة ، والجهاد علی حدّة ، والعبادات علی حدة ، وباب الاجتهاد والتقلید والمصادر الدینیة علی حدة ، أمّا التلاحم والتنسیق والملائمة بین هذه الأبواب فهو من اختصاص فقه النظم والفقه الدستوری ، حیث یبحث فی کیفیة تطبیق الأبواب بحیث لا تتصادم مع بعضها البعض ، ولا تتزاحم مع بعضها البعض </w:t>
      </w:r>
      <w:r>
        <w:rPr>
          <w:rFonts w:eastAsia="IRNazanin" w:cs="IRNazanin"/>
          <w:color w:val="111111"/>
          <w:sz w:val="28"/>
          <w:szCs w:val="28"/>
          <w:rtl w:val="true"/>
          <w:lang w:bidi="fa-IR"/>
        </w:rPr>
        <w:t>.</w:t>
      </w:r>
    </w:p>
    <w:p>
      <w:pPr>
        <w:pStyle w:val="Heading4"/>
        <w:numPr>
          <w:ilvl w:val="3"/>
          <w:numId w:val="1"/>
        </w:numPr>
        <w:rPr/>
      </w:pPr>
      <w:bookmarkStart w:id="1324" w:name="__RefHeading___Toc477994_581953129"/>
      <w:bookmarkStart w:id="1325" w:name="_Toc527"/>
      <w:bookmarkEnd w:id="1324"/>
      <w:r>
        <w:rPr>
          <w:rtl w:val="true"/>
        </w:rPr>
        <w:t>مهمّة الفقه النظمی الملائمة بین الثابت والمتغیّر</w:t>
      </w:r>
      <w:bookmarkEnd w:id="132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والفقه النظمی ینطوی علی تعقیدات وصعوبات ، وهو یلاحظ الأهداف التی یهدف إلیها التشریع العام مع متغیّرات البیئة التی تختلف من مکان إلی مکان ، ومن زمان إلی زمان ، ومهمّته الملائمة بین الثابت والمتغیّر بحیث لا یجرفه المتغیّر بنحو مطلق ، کما لا یعکف بنظره إلی الثابت علی نحو مطلق فی ضمن مصادیق تقلیدیة قدیمة ، وکیف ترسو العدالة فی ضمن متغیّرات مختلفة ، وضمن طبائع مختلفة</w:t>
      </w:r>
      <w:bookmarkStart w:id="1326" w:name="pg5261_55684"/>
    </w:p>
    <w:p>
      <w:pPr>
        <w:pStyle w:val="BookText"/>
        <w:rPr/>
      </w:pPr>
      <w:bookmarkEnd w:id="1326"/>
      <w:r>
        <w:rPr>
          <w:rFonts w:ascii="IRNazanin" w:hAnsi="IRNazanin" w:eastAsia="IRNazanin"/>
          <w:color w:val="111111"/>
          <w:sz w:val="28"/>
          <w:sz w:val="28"/>
          <w:szCs w:val="28"/>
          <w:rtl w:val="true"/>
          <w:lang w:bidi="fa-IR"/>
        </w:rPr>
        <w:t xml:space="preserve">بحسب تغیّر البیئات ، إنّما طبیعة العدالة ساریة ومنتشرة تتبادل أشکال وهیاکل مختلفة علی مرّ الأزمان ، وحینئذٍ یجب أن یکون المقنّن فی وعی تام لکی یحیط بالبیئات المختلفة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العدید من البیئات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بیئة المرور وبیئة المعاملات المالیة النقدیة وبیئة المصالح وبیئة الأمن والبیئة العسکریة والبیئة السیاسیة وبیئة رقابة الأُمّة ، وینبغی علی القانون النظمی والمقنن النظمی أن لا یقع فی الجمود الذی یجعله غیر مؤهّل للتعامل مع البیئات المختلفة ، وسیفقد هدفه حینئذٍ </w:t>
      </w:r>
      <w:r>
        <w:rPr>
          <w:rFonts w:eastAsia="IRNazanin" w:cs="IRNazanin"/>
          <w:color w:val="111111"/>
          <w:sz w:val="28"/>
          <w:szCs w:val="28"/>
          <w:rtl w:val="true"/>
          <w:lang w:bidi="fa-IR"/>
        </w:rPr>
        <w:t>.</w:t>
      </w:r>
    </w:p>
    <w:p>
      <w:pPr>
        <w:pStyle w:val="Heading4"/>
        <w:numPr>
          <w:ilvl w:val="3"/>
          <w:numId w:val="1"/>
        </w:numPr>
        <w:rPr/>
      </w:pPr>
      <w:bookmarkStart w:id="1327" w:name="__RefHeading___Toc477996_581953129"/>
      <w:bookmarkStart w:id="1328" w:name="_Toc528"/>
      <w:bookmarkEnd w:id="1327"/>
      <w:r>
        <w:rPr>
          <w:rtl w:val="true"/>
        </w:rPr>
        <w:t>لابدّ من تحدیث القوانین</w:t>
      </w:r>
      <w:bookmarkEnd w:id="1328"/>
    </w:p>
    <w:p>
      <w:pPr>
        <w:pStyle w:val="BookText"/>
        <w:rPr/>
      </w:pPr>
      <w:r>
        <w:rPr>
          <w:rFonts w:ascii="IRNazanin" w:hAnsi="IRNazanin" w:eastAsia="IRNazanin"/>
          <w:color w:val="111111"/>
          <w:sz w:val="28"/>
          <w:sz w:val="28"/>
          <w:szCs w:val="28"/>
          <w:rtl w:val="true"/>
          <w:lang w:bidi="fa-IR"/>
        </w:rPr>
        <w:t xml:space="preserve">قضیة التحدیث فی القوانین وهیکلتها من جدید لابدّ أن تخضع إلی دراسة ومدارسة من خلال مراکز الدراسات والبحوث المتخصّصة ، لماذا؟ لأنّ القانون ربّما صدر فی زمن یختلف عن الزمن الحالی أو فی بیئة مکانیة تختلف عن البیئة المکانیة المراد إصدار القانون لها ، وعلوم الإدارة تشعّبت إلی تخصّصات متعدّدة ، وهی من أعقد العلوم </w:t>
      </w:r>
      <w:r>
        <w:rPr>
          <w:rFonts w:eastAsia="IRNazanin" w:cs="IRNazanin"/>
          <w:color w:val="111111"/>
          <w:sz w:val="28"/>
          <w:szCs w:val="28"/>
          <w:rtl w:val="true"/>
          <w:lang w:bidi="fa-IR"/>
        </w:rPr>
        <w:t>.</w:t>
      </w:r>
    </w:p>
    <w:p>
      <w:pPr>
        <w:pStyle w:val="Heading4"/>
        <w:numPr>
          <w:ilvl w:val="3"/>
          <w:numId w:val="1"/>
        </w:numPr>
        <w:rPr/>
      </w:pPr>
      <w:bookmarkStart w:id="1329" w:name="__RefHeading___Toc477998_581953129"/>
      <w:bookmarkStart w:id="1330" w:name="_Toc529"/>
      <w:bookmarkEnd w:id="1329"/>
      <w:r>
        <w:rPr>
          <w:rtl w:val="true"/>
        </w:rPr>
        <w:t>الکثرة المبالغ فیها لمنظومات النظم سلبیة</w:t>
      </w:r>
      <w:bookmarkEnd w:id="133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أمریکا ملیون وأربعمائة منظومة نظام إداری بحسب بعض مراکز الدراسات ، وهم یعترفون أنّ هذه الحالة لیست حالة إیجابیة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الدولة النموذجیة ینبغی أن تحتوی علی مائة وأربعین منظومة نظام، وتعنی بمنظومة النظام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القضائی ونظام الاتصالات ونظام المرور والنظام المصرفی ونظام البلدیات ونظام المجالس ، وهذا التعقید وهذا التضخّم فی منظومة الأنظمة ظاهره رونقٌ وتطوّر ، ولکن باطنه لا ینمّ عن ذلک ، وهذه الکثرة تؤدّی إلی قابلیة الانکسار والتصادم بصورة أکبر ممّا لو کان عدد المنظومات أقل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العلوم الاستراتیجیة فإنّ منظومة الأنظمة الأمریکیة من أسهل المنظومات</w:t>
      </w:r>
      <w:bookmarkStart w:id="1331" w:name="pg5261_55686"/>
    </w:p>
    <w:p>
      <w:pPr>
        <w:pStyle w:val="BookText"/>
        <w:rPr/>
      </w:pPr>
      <w:bookmarkEnd w:id="1331"/>
      <w:r>
        <w:rPr>
          <w:rFonts w:ascii="IRNazanin" w:hAnsi="IRNazanin" w:eastAsia="IRNazanin"/>
          <w:color w:val="111111"/>
          <w:sz w:val="28"/>
          <w:sz w:val="28"/>
          <w:szCs w:val="28"/>
          <w:rtl w:val="true"/>
          <w:lang w:bidi="fa-IR"/>
        </w:rPr>
        <w:t xml:space="preserve">القابلة للاصطدام والتفکّک ، فلو توقّفت الکهرباء عن العمل لمدّة ساعات معدودة یزید معدّل الجریمة بصورة مذهلة </w:t>
      </w:r>
      <w:r>
        <w:rPr>
          <w:rFonts w:eastAsia="IRNazanin" w:cs="IRNazanin"/>
          <w:color w:val="111111"/>
          <w:sz w:val="28"/>
          <w:szCs w:val="28"/>
          <w:rtl w:val="true"/>
          <w:lang w:bidi="fa-IR"/>
        </w:rPr>
        <w:t>.</w:t>
      </w:r>
    </w:p>
    <w:p>
      <w:pPr>
        <w:pStyle w:val="Heading4"/>
        <w:numPr>
          <w:ilvl w:val="3"/>
          <w:numId w:val="1"/>
        </w:numPr>
        <w:rPr/>
      </w:pPr>
      <w:bookmarkStart w:id="1332" w:name="__RefHeading___Toc478000_581953129"/>
      <w:bookmarkStart w:id="1333" w:name="_Toc530"/>
      <w:bookmarkEnd w:id="1332"/>
      <w:r>
        <w:rPr>
          <w:rtl w:val="true"/>
        </w:rPr>
        <w:t>الإرباک الإداری فی مواجهة درجات الحرارة المرتفعة</w:t>
      </w:r>
      <w:bookmarkEnd w:id="1333"/>
    </w:p>
    <w:p>
      <w:pPr>
        <w:pStyle w:val="BookText"/>
        <w:rPr/>
      </w:pPr>
      <w:r>
        <w:rPr>
          <w:rFonts w:ascii="IRNazanin" w:hAnsi="IRNazanin" w:eastAsia="IRNazanin"/>
          <w:color w:val="111111"/>
          <w:sz w:val="28"/>
          <w:sz w:val="28"/>
          <w:szCs w:val="28"/>
          <w:rtl w:val="true"/>
          <w:lang w:bidi="fa-IR"/>
        </w:rPr>
        <w:t xml:space="preserve">وفی فرنسا عندما تشتدّ درجات الحرارة یکون عندهم نقصاً إداریاً فی تجهیز ودفن الموتی ، وفی الصین عندما تشتدّ درجات الحرارة ، تقف الصین عاجزة ، وهی من الدول العظمی فی مواجهة هذه الموجة من الحرارة ، فهذه الأنظمة ما إن تعتورها حالة طارئة جدیدة حتّی تتعرّض إلی الخلل والنقص فی الأداء الإداری لمعالجة الأزمات الطارئة ، وهذه من العقد التی تواجه التشریعات التی ترسم النظم فی الدول الحدیثة فی التشریعات الوزاریة والتشریعات البرلمانیة </w:t>
      </w:r>
      <w:r>
        <w:rPr>
          <w:rFonts w:eastAsia="IRNazanin" w:cs="IRNazanin"/>
          <w:color w:val="111111"/>
          <w:sz w:val="28"/>
          <w:szCs w:val="28"/>
          <w:rtl w:val="true"/>
          <w:lang w:bidi="fa-IR"/>
        </w:rPr>
        <w:t>.</w:t>
      </w:r>
    </w:p>
    <w:p>
      <w:pPr>
        <w:pStyle w:val="Heading4"/>
        <w:numPr>
          <w:ilvl w:val="3"/>
          <w:numId w:val="1"/>
        </w:numPr>
        <w:rPr/>
      </w:pPr>
      <w:bookmarkStart w:id="1334" w:name="__RefHeading___Toc478002_581953129"/>
      <w:bookmarkStart w:id="1335" w:name="_Toc531"/>
      <w:bookmarkEnd w:id="1334"/>
      <w:r>
        <w:rPr>
          <w:rtl w:val="true"/>
        </w:rPr>
        <w:t>الإمامة تعنی الإدارة والتدبیر</w:t>
      </w:r>
      <w:bookmarkEnd w:id="1335"/>
    </w:p>
    <w:p>
      <w:pPr>
        <w:pStyle w:val="BookText"/>
        <w:rPr/>
      </w:pPr>
      <w:r>
        <w:rPr>
          <w:rFonts w:ascii="IRNazanin" w:hAnsi="IRNazanin" w:eastAsia="IRNazanin"/>
          <w:color w:val="111111"/>
          <w:sz w:val="28"/>
          <w:sz w:val="28"/>
          <w:szCs w:val="28"/>
          <w:rtl w:val="true"/>
          <w:lang w:bidi="fa-IR"/>
        </w:rPr>
        <w:t xml:space="preserve">البحث إذن معقّد ، وهذا البحث إنّما یصلح بالإمامة کما تطرحها مدرسة أهل البیت علیهم السلام ، والإمامة تعنی الإدارة والتدبیر ، واعترف البشریة أنّ نظام الإدارة والتدبیر من أعقد النظم ، وتطوّر مدنیّة أیّ شعب رهین بفعالیة ونشاط ورقی النظام الإداری ، والشغل الشاغل للدول تطویر الإدارة ، والإدارة تعنی القیادة والتدبیر ، ولفظ الإدارة کمصطلح جدید یرادف مفهوم الإمامة فی المصطلح الدینی </w:t>
      </w:r>
      <w:r>
        <w:rPr>
          <w:rFonts w:eastAsia="IRNazanin" w:cs="IRNazanin"/>
          <w:color w:val="111111"/>
          <w:sz w:val="28"/>
          <w:szCs w:val="28"/>
          <w:rtl w:val="true"/>
          <w:lang w:bidi="fa-IR"/>
        </w:rPr>
        <w:t>.</w:t>
      </w:r>
    </w:p>
    <w:p>
      <w:pPr>
        <w:pStyle w:val="Heading4"/>
        <w:numPr>
          <w:ilvl w:val="3"/>
          <w:numId w:val="1"/>
        </w:numPr>
        <w:rPr/>
      </w:pPr>
      <w:bookmarkStart w:id="1336" w:name="__RefHeading___Toc478004_581953129"/>
      <w:bookmarkStart w:id="1337" w:name="_Toc532"/>
      <w:bookmarkEnd w:id="1336"/>
      <w:r>
        <w:rPr>
          <w:rtl w:val="true"/>
        </w:rPr>
        <w:t>إعجاز علمی فی عهد الإمام علی علیه السلام لمالک الأشتر</w:t>
      </w:r>
      <w:bookmarkEnd w:id="133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کلّ هذا التعقید ، هم یرشّحون عهد أمیر المؤمنین علیه السلام لمالک الأشتر لذلک ، وهذا یعنی فیما یعنیه إعجاز علمی فی عهد أمیر المؤمنین علیه السلام لمالک الأشتر ، کما سنبیّن ونقرأ منه فقرات ، وهنا نسأل هل نظریة الإمامة عند أهل البیت علیهم السلام تؤمّن هذا الأمر ، وهل بیّنت هذا الأمر؟ نعم ، بیّنته من خلال ترسانة من</w:t>
      </w:r>
      <w:bookmarkStart w:id="1338" w:name="pg5261_55689"/>
    </w:p>
    <w:p>
      <w:pPr>
        <w:pStyle w:val="BookText"/>
        <w:rPr/>
      </w:pPr>
      <w:bookmarkEnd w:id="1338"/>
      <w:r>
        <w:rPr>
          <w:rFonts w:ascii="IRNazanin" w:hAnsi="IRNazanin" w:eastAsia="IRNazanin"/>
          <w:color w:val="111111"/>
          <w:sz w:val="28"/>
          <w:sz w:val="28"/>
          <w:szCs w:val="28"/>
          <w:rtl w:val="true"/>
          <w:lang w:bidi="fa-IR"/>
        </w:rPr>
        <w:t xml:space="preserve">المعلومات ، ولکن بلغة قد لا نلتفت إلیها ، ولو ترجمناها إلی اللغة الحدیثة لتبیّن لنا هذا الأمر </w:t>
      </w:r>
      <w:r>
        <w:rPr>
          <w:rFonts w:eastAsia="IRNazanin" w:cs="IRNazanin"/>
          <w:color w:val="111111"/>
          <w:sz w:val="28"/>
          <w:szCs w:val="28"/>
          <w:rtl w:val="true"/>
          <w:lang w:bidi="fa-IR"/>
        </w:rPr>
        <w:t>.</w:t>
      </w:r>
    </w:p>
    <w:p>
      <w:pPr>
        <w:pStyle w:val="Heading4"/>
        <w:numPr>
          <w:ilvl w:val="3"/>
          <w:numId w:val="1"/>
        </w:numPr>
        <w:rPr/>
      </w:pPr>
      <w:bookmarkStart w:id="1339" w:name="__RefHeading___Toc478006_581953129"/>
      <w:bookmarkStart w:id="1340" w:name="_Toc533"/>
      <w:bookmarkEnd w:id="1339"/>
      <w:r>
        <w:rPr>
          <w:rtl w:val="true"/>
        </w:rPr>
        <w:t>السقوط الخلقی یکلّف الدولة کثیراً من الطاقات والأموال</w:t>
      </w:r>
      <w:bookmarkEnd w:id="1340"/>
    </w:p>
    <w:p>
      <w:pPr>
        <w:pStyle w:val="BookText"/>
        <w:rPr/>
      </w:pPr>
      <w:r>
        <w:rPr>
          <w:rFonts w:ascii="IRNazanin" w:hAnsi="IRNazanin" w:eastAsia="IRNazanin"/>
          <w:color w:val="111111"/>
          <w:sz w:val="28"/>
          <w:sz w:val="28"/>
          <w:szCs w:val="28"/>
          <w:rtl w:val="true"/>
          <w:lang w:bidi="fa-IR"/>
        </w:rPr>
        <w:t xml:space="preserve">وفی أمریکا أربعة ملایین مدمن علی المخدّرات یشغلون ثمانیة ملایین فرد من موظفی الدولة یلزمهم مراعاة أولئک المدمنین ، انظر إلی هذا التضخّم الإداری بسبب عدم الالتزام الخلقی ، ولو کان الالتزام الأخلاقی موجوداً لوفّر علی الدولة الکثیر من الطاقات والنظم الإداریة </w:t>
      </w:r>
      <w:r>
        <w:rPr>
          <w:rFonts w:eastAsia="IRNazanin" w:cs="IRNazanin"/>
          <w:color w:val="111111"/>
          <w:sz w:val="28"/>
          <w:szCs w:val="28"/>
          <w:rtl w:val="true"/>
          <w:lang w:bidi="fa-IR"/>
        </w:rPr>
        <w:t>.</w:t>
      </w:r>
    </w:p>
    <w:p>
      <w:pPr>
        <w:pStyle w:val="Heading4"/>
        <w:numPr>
          <w:ilvl w:val="3"/>
          <w:numId w:val="1"/>
        </w:numPr>
        <w:rPr/>
      </w:pPr>
      <w:bookmarkStart w:id="1341" w:name="__RefHeading___Toc478008_581953129"/>
      <w:bookmarkStart w:id="1342" w:name="_Toc534"/>
      <w:bookmarkEnd w:id="1341"/>
      <w:r>
        <w:rPr>
          <w:rtl w:val="true"/>
        </w:rPr>
        <w:t>ملف لیلة القدر فی القرآن الکریم</w:t>
      </w:r>
      <w:bookmarkEnd w:id="1342"/>
    </w:p>
    <w:p>
      <w:pPr>
        <w:pStyle w:val="BookText"/>
        <w:rPr/>
      </w:pPr>
      <w:r>
        <w:rPr>
          <w:rFonts w:ascii="IRNazanin" w:hAnsi="IRNazanin" w:eastAsia="IRNazanin"/>
          <w:color w:val="111111"/>
          <w:sz w:val="28"/>
          <w:sz w:val="28"/>
          <w:szCs w:val="28"/>
          <w:rtl w:val="true"/>
          <w:lang w:bidi="fa-IR"/>
        </w:rPr>
        <w:t xml:space="preserve">وفی القرآن الکریم إشارات تشیر إلی النظام الإلهی الذی یطبّقه أهل البیت علیهم السلام ، ولکننا قد غفلنا عمّا یشیر إلیه القرآن الکریم ، ففی القرآن الکریم هناک ملف لیلة القدر ، والقدر هو التقدیر والتدبیر ، ومن أسماء لیلة القدر لیلة التدبیر ، القدر هو التحدید والتأطیر والبرمجة ، وأنّ لیلة القدر حسب روایات الفریقین منذ عهد آدم علیه السلام لا بدّ أن تکون مع خلیفة اللّه فی الأرض ، وماذا یحدث فی لیلة القدر؟ تتنزّل فی لیلة القدر إحصائیات وملفّات علمیة لا تتخلّف عن الواقع إلی لیلة القدر فی العام القادم ، حیث تتحدّد جمیع الآجال ، وإحصائیات الأموات ، وأیّ دولة ستکون أکثر من ناحیة عدد الموتی؟ والشرائح التی سیصیبها الموت؟ ومقدار الزیادة البشریة فی العدد من حیث الموالید بشکل دقیق ، فی کلّ بلد ومدینة </w:t>
      </w:r>
      <w:r>
        <w:rPr>
          <w:rFonts w:eastAsia="IRNazanin" w:cs="IRNazanin"/>
          <w:color w:val="111111"/>
          <w:sz w:val="28"/>
          <w:szCs w:val="28"/>
          <w:rtl w:val="true"/>
          <w:lang w:bidi="fa-IR"/>
        </w:rPr>
        <w:t>.</w:t>
      </w:r>
    </w:p>
    <w:p>
      <w:pPr>
        <w:pStyle w:val="Heading4"/>
        <w:numPr>
          <w:ilvl w:val="3"/>
          <w:numId w:val="1"/>
        </w:numPr>
        <w:rPr/>
      </w:pPr>
      <w:bookmarkStart w:id="1343" w:name="__RefHeading___Toc478010_581953129"/>
      <w:bookmarkStart w:id="1344" w:name="_Toc535"/>
      <w:bookmarkEnd w:id="1343"/>
      <w:r>
        <w:rPr>
          <w:rtl w:val="true"/>
        </w:rPr>
        <w:t xml:space="preserve">معلومات ضخمة تنزل علی المهدی من آل محمّد </w:t>
      </w:r>
      <w:r>
        <w:rPr>
          <w:rtl w:val="true"/>
        </w:rPr>
        <w:t>(</w:t>
      </w:r>
      <w:r>
        <w:rPr>
          <w:rtl w:val="true"/>
        </w:rPr>
        <w:t>عجّل اللّه فرجه الشریف</w:t>
      </w:r>
      <w:r>
        <w:rPr>
          <w:rtl w:val="true"/>
        </w:rPr>
        <w:t>)</w:t>
      </w:r>
      <w:bookmarkEnd w:id="1344"/>
    </w:p>
    <w:p>
      <w:pPr>
        <w:pStyle w:val="BookText"/>
        <w:rPr/>
      </w:pPr>
      <w:r>
        <w:rPr>
          <w:rFonts w:ascii="Amiri" w:hAnsi="Amiri" w:eastAsia="Amiri" w:cs="Amiri"/>
          <w:color w:val="111111"/>
          <w:sz w:val="28"/>
          <w:sz w:val="28"/>
          <w:szCs w:val="28"/>
          <w:rtl w:val="true"/>
          <w:lang w:bidi="ar-SA"/>
        </w:rPr>
        <w:t>فی کلّ سنة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المعلومات الضخمة تنزل فی کلّ عام علی المهدی من آل محمّد عجّل اللّه</w:t>
      </w:r>
      <w:bookmarkStart w:id="1345" w:name="pg5261_55690"/>
    </w:p>
    <w:p>
      <w:pPr>
        <w:pStyle w:val="BookText"/>
        <w:rPr/>
      </w:pPr>
      <w:bookmarkEnd w:id="1345"/>
      <w:r>
        <w:rPr>
          <w:rFonts w:ascii="IRNazanin" w:hAnsi="IRNazanin" w:eastAsia="IRNazanin"/>
          <w:color w:val="111111"/>
          <w:sz w:val="28"/>
          <w:sz w:val="28"/>
          <w:szCs w:val="28"/>
          <w:rtl w:val="true"/>
          <w:lang w:bidi="fa-IR"/>
        </w:rPr>
        <w:t xml:space="preserve">فرجه الشریف الأرزاق ، الرخاء ، الإنعاش الاقتصادی والزراعی والصناعی والحروب والسلم وغیر ذلک ، کلّه ینزل بالدّقة علی صاحب لیلة القدر لا علی أحد آخر ، ولا تنزل فی لیلة القدر معلومات عن الظواهر العامّة فقط ، بل حتّی الظواهر الخاصّة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 کلّ شخص ینزل علی صاحب الأمر من ناحیة الصحة والمرض وما سیجری علیه بالدّقة ، والدول الحدیثة لم تصل إلی هذه المعلومات ، ولا تدری ما الفائدة والثمرة منها؟ فضلاً عمّا سیجری علی عامّة المجتمع ، وما یجری بین البلدان والهواء والطقس والحیوانات والبیئة وغیر ذلک ، وهذه الروایات موجودة فی طرق العامّة ، وفی طرق مدرسة أهل البیت علیهم السلام ،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4"/>
        <w:numPr>
          <w:ilvl w:val="3"/>
          <w:numId w:val="1"/>
        </w:numPr>
        <w:rPr/>
      </w:pPr>
      <w:bookmarkStart w:id="1346" w:name="__RefHeading___Toc478012_581953129"/>
      <w:bookmarkStart w:id="1347" w:name="_Toc536"/>
      <w:bookmarkEnd w:id="1346"/>
      <w:r>
        <w:rPr>
          <w:rtl w:val="true"/>
        </w:rPr>
        <w:t>الإدارة هی الشغل الشاغل للبشریة</w:t>
      </w:r>
      <w:bookmarkEnd w:id="1347"/>
    </w:p>
    <w:p>
      <w:pPr>
        <w:pStyle w:val="BookText"/>
        <w:rPr/>
      </w:pPr>
      <w:r>
        <w:rPr>
          <w:rFonts w:ascii="Amiri" w:hAnsi="Amiri" w:eastAsia="Amiri" w:cs="Amiri"/>
          <w:color w:val="111111"/>
          <w:sz w:val="28"/>
          <w:sz w:val="28"/>
          <w:szCs w:val="28"/>
          <w:rtl w:val="true"/>
          <w:lang w:bidi="ar-SA"/>
        </w:rPr>
        <w:t xml:space="preserve">الآن الشغل الشاغل للبشریة هو الإدارة والتدبیر ، والآیة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لیلة القدر عظیمة ، حیث تحتوی علی برمجة لتقادیر البشر ، وتعیین ورسم السیاسة ،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نجاة البشریة فی لیلة القدر </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478014_581953129"/>
      <w:bookmarkStart w:id="1349" w:name="_Toc537"/>
      <w:bookmarkEnd w:id="1348"/>
      <w:r>
        <w:rPr>
          <w:rtl w:val="true"/>
        </w:rPr>
        <w:t>القوّة الإداریة تکمن فی الخفاء والسرّیة</w:t>
      </w:r>
      <w:bookmarkEnd w:id="134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المهدی عجل اللّه فرجه الشریف لیس فی جزیرة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جزیرة حمراء أو زرقاء ؛ لأنّ الغیبة فی مقابل الظهور ، ولیست الغیبة فی مقابل الحضور ، بمعنی أنّ حرکة الإمام الحجّة موجودة ، ولکنها تتصف بالخفاء والسرّیة ،</w:t>
      </w:r>
      <w:bookmarkStart w:id="1350" w:name="pg5261_55693"/>
    </w:p>
    <w:p>
      <w:pPr>
        <w:pStyle w:val="BookText"/>
        <w:rPr/>
      </w:pPr>
      <w:bookmarkEnd w:id="1350"/>
      <w:r>
        <w:rPr>
          <w:rFonts w:ascii="IRNazanin" w:hAnsi="IRNazanin" w:eastAsia="IRNazanin"/>
          <w:color w:val="111111"/>
          <w:sz w:val="28"/>
          <w:sz w:val="28"/>
          <w:szCs w:val="28"/>
          <w:rtl w:val="true"/>
          <w:lang w:bidi="fa-IR"/>
        </w:rPr>
        <w:t xml:space="preserve">وسنبیّن أنّ فی العلوم الاستراتیجیة تکون البرامج الإداریة والسیاسات والتخطیطات عنصر قوّتها فی الخفاء والسرّیة </w:t>
      </w:r>
      <w:r>
        <w:rPr>
          <w:rFonts w:eastAsia="IRNazanin" w:cs="IRNazanin"/>
          <w:color w:val="111111"/>
          <w:sz w:val="28"/>
          <w:szCs w:val="28"/>
          <w:rtl w:val="true"/>
          <w:lang w:bidi="fa-IR"/>
        </w:rPr>
        <w:t>.</w:t>
      </w:r>
    </w:p>
    <w:p>
      <w:pPr>
        <w:pStyle w:val="Heading4"/>
        <w:numPr>
          <w:ilvl w:val="3"/>
          <w:numId w:val="1"/>
        </w:numPr>
        <w:rPr/>
      </w:pPr>
      <w:bookmarkStart w:id="1351" w:name="__RefHeading___Toc478016_581953129"/>
      <w:bookmarkStart w:id="1352" w:name="_Toc538"/>
      <w:bookmarkEnd w:id="1351"/>
      <w:r>
        <w:rPr>
          <w:rtl w:val="true"/>
        </w:rPr>
        <w:t>الإمامة هی الشغل الشاغل لمدرسة أهل البیت علیهم السلام</w:t>
      </w:r>
      <w:bookmarkEnd w:id="1352"/>
    </w:p>
    <w:p>
      <w:pPr>
        <w:pStyle w:val="BookText"/>
        <w:rPr/>
      </w:pPr>
      <w:r>
        <w:rPr>
          <w:rFonts w:ascii="IRNazanin" w:hAnsi="IRNazanin" w:eastAsia="IRNazanin"/>
          <w:color w:val="111111"/>
          <w:sz w:val="28"/>
          <w:sz w:val="28"/>
          <w:szCs w:val="28"/>
          <w:rtl w:val="true"/>
          <w:lang w:bidi="fa-IR"/>
        </w:rPr>
        <w:t xml:space="preserve">وهذه هی عقائد أهل البیت علیهم السلام وقد عادت البشریة لتطابق هذه العقائد ، ألیس هذا من الإعجاز العلمی لهذه المدرسة؟ الشغل الشاغل عند مدرسة أهل البیت علیهم السلام هو الإمامة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التدبیر والإدارة ، وهی سرّ سعادة البشریة </w:t>
      </w:r>
      <w:r>
        <w:rPr>
          <w:rFonts w:eastAsia="IRNazanin" w:cs="IRNazanin"/>
          <w:color w:val="111111"/>
          <w:sz w:val="28"/>
          <w:szCs w:val="28"/>
          <w:rtl w:val="true"/>
          <w:lang w:bidi="fa-IR"/>
        </w:rPr>
        <w:t>.</w:t>
      </w:r>
    </w:p>
    <w:p>
      <w:pPr>
        <w:pStyle w:val="Heading4"/>
        <w:numPr>
          <w:ilvl w:val="3"/>
          <w:numId w:val="1"/>
        </w:numPr>
        <w:rPr/>
      </w:pPr>
      <w:bookmarkStart w:id="1353" w:name="__RefHeading___Toc478018_581953129"/>
      <w:bookmarkStart w:id="1354" w:name="_Toc539"/>
      <w:bookmarkEnd w:id="1353"/>
      <w:r>
        <w:rPr>
          <w:rtl w:val="true"/>
        </w:rPr>
        <w:t>الإمام هو المدبّر الکفؤ</w:t>
      </w:r>
      <w:bookmarkEnd w:id="1354"/>
    </w:p>
    <w:p>
      <w:pPr>
        <w:pStyle w:val="BookText"/>
        <w:rPr/>
      </w:pPr>
      <w:r>
        <w:rPr>
          <w:rFonts w:ascii="Amiri" w:hAnsi="Amiri" w:eastAsia="Amiri" w:cs="Amiri"/>
          <w:color w:val="111111"/>
          <w:sz w:val="28"/>
          <w:sz w:val="28"/>
          <w:szCs w:val="28"/>
          <w:rtl w:val="true"/>
          <w:lang w:bidi="ar-SA"/>
        </w:rPr>
        <w:t xml:space="preserve">والإمام هو المدبّر والمدیر الکفؤ للبشریة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 یافطة لوجود البشر ، ولإسعاد البشر فی الدارین ، وفی النشآت المختلفة هو وجود الخلیفة ؛ لأنّ محور سعادة البشر هی الإدارة والتدبیر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فِیها مَنْ یُفْسِدُ فِیها وَ یَسْفِکُ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 الآن یرکّزون علی مراکز المعلومات وجمع المعلومات ، الآن یبحثون فی علم الجینات للوصول إلی النوعیّة الجیّدة من البشریة ، وهذه من ضمن المعلومات التی یحاولون الاستفادة منها ، انظر إلی الروایات الواردة فی لیلة القدر حتّی فی تفاسیر أهل السنة فی سورة القدر وسورة الدخان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وماذا یصنع الإمام المهدی عجل اللّه فرجه الشریف بهذه الملفّات النازلة؟ هل یتفرّج علیها؟ وهل تنزل عبثاً واعتباطاً فی کلّ عام؟</w:t>
      </w:r>
      <w:bookmarkStart w:id="1355" w:name="pg5261_55694"/>
    </w:p>
    <w:p>
      <w:pPr>
        <w:pStyle w:val="Heading4"/>
        <w:numPr>
          <w:ilvl w:val="3"/>
          <w:numId w:val="1"/>
        </w:numPr>
        <w:rPr/>
      </w:pPr>
      <w:bookmarkStart w:id="1356" w:name="__RefHeading___Toc478020_581953129"/>
      <w:bookmarkStart w:id="1357" w:name="_Toc540"/>
      <w:bookmarkEnd w:id="1355"/>
      <w:bookmarkEnd w:id="1356"/>
      <w:r>
        <w:rPr>
          <w:rtl w:val="true"/>
        </w:rPr>
        <w:t xml:space="preserve">الإمام المهدی </w:t>
      </w:r>
      <w:r>
        <w:rPr>
          <w:rtl w:val="true"/>
        </w:rPr>
        <w:t>(</w:t>
      </w:r>
      <w:r>
        <w:rPr>
          <w:rtl w:val="true"/>
        </w:rPr>
        <w:t>عجّل اللّه فرجه الشریف</w:t>
      </w:r>
      <w:r>
        <w:rPr>
          <w:rtl w:val="true"/>
        </w:rPr>
        <w:t xml:space="preserve">) </w:t>
      </w:r>
      <w:r>
        <w:rPr>
          <w:rtl w:val="true"/>
        </w:rPr>
        <w:t>یتصدّی للأمر فی غیبته</w:t>
      </w:r>
      <w:bookmarkEnd w:id="135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من أبجدیات عقائد الشیعة ، ومع هذا تصدر بعض الکتابات للأسف حتّی من الحوزة العلمیة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متصدّیاً ، وهذه الإحصائیات الکبیرة المهولة التی لا تمتلکها أیّ دولة من الدول ، وإحصائیاتهم تخفق ولا تصیب الواقع ، ولا تستقصی الواقع ، والکثیر من المجهولات یسعون للحصول علیها بطرق مختلفة وقنوات مختلفة ولا یحصلون علیها ، وکلّها تنزل علی مهدی آل محمّد عجل اللّه فرجه الشریف ، فماذا یصنع بها؟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الْمَلائِکَةَ بِالرُّوحِ مِنْ أَمْرِهِ عَلی مَنْ یَشاءُ مِنْ عِبادِهِ أَنْ أَنْذِرُوا أَنَّهُ لا إِلهَ إِلاّ أَنَا فَاتَّقُونِ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والملائکة هی مخلوقات عالمة تنزل بالمعلومات ، وهم رسل المعلومات ، وموجودات حیّة شاعرة تحمل العلم ، والروح الأعظم من عالم الأمر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الملکوت ، ولم یقل علی من یشاء من رسله أو أنبیائه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عباده للدلالة علی أنّ الملائکة تنزل علی غیر الأنبیاء وهم الأئمة ، والملائکة لا ینزلون لیلة القدر إلّاعلی منزل له ، ولا ینزلون اعتباطاً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تنزل علی من اصطفی اللّه من عباده ، ومن شاء اللّه أن یکون مصطفی من بین الخلق ، فهل الملائکة ینزلون اعتباطاً بلا فائدة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هو مخزن هذه المعلومات التی یتلقاها لیلة القدر ، وهو الذی ترسل إلیه المعلومات ، وبإجماع المسلمین أنّ لیلة القدر لن تنقطع إلی قیام الساعة فمن الذی تتنزل علیه الملائکة؟ وهی لیلة المعلومات ولیلة النظم ولیلة التدبیر لکلّ سنة ، فماذا یقال عن لیلة القدر؟ أیقال إنّها نزعة 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لیست نزعة باطنیة </w:t>
      </w:r>
      <w:r>
        <w:rPr>
          <w:rFonts w:eastAsia="IRNazanin" w:cs="IRNazanin"/>
          <w:color w:val="111111"/>
          <w:sz w:val="28"/>
          <w:szCs w:val="28"/>
          <w:rtl w:val="true"/>
          <w:lang w:bidi="fa-IR"/>
        </w:rPr>
        <w:t>.</w:t>
      </w:r>
      <w:bookmarkStart w:id="1358" w:name="pg5261_55696"/>
    </w:p>
    <w:p>
      <w:pPr>
        <w:pStyle w:val="Heading4"/>
        <w:numPr>
          <w:ilvl w:val="3"/>
          <w:numId w:val="1"/>
        </w:numPr>
        <w:rPr/>
      </w:pPr>
      <w:bookmarkStart w:id="1359" w:name="__RefHeading___Toc478022_581953129"/>
      <w:bookmarkStart w:id="1360" w:name="_Toc541"/>
      <w:bookmarkEnd w:id="1358"/>
      <w:bookmarkEnd w:id="1359"/>
      <w:r>
        <w:rPr>
          <w:rtl w:val="true"/>
        </w:rPr>
        <w:t>الإمام الحجّة یدیر الأُمور فی الخفاء</w:t>
      </w:r>
      <w:bookmarkEnd w:id="1360"/>
    </w:p>
    <w:p>
      <w:pPr>
        <w:pStyle w:val="BookText"/>
        <w:rPr/>
      </w:pPr>
      <w:r>
        <w:rPr>
          <w:rFonts w:ascii="IRNazanin" w:hAnsi="IRNazanin" w:eastAsia="IRNazanin"/>
          <w:color w:val="111111"/>
          <w:sz w:val="28"/>
          <w:sz w:val="28"/>
          <w:szCs w:val="28"/>
          <w:rtl w:val="true"/>
          <w:lang w:bidi="fa-IR"/>
        </w:rPr>
        <w:t xml:space="preserve">حیث إنّ فی عقیدة أهل البیت علیهم السلام أنّ العالم یحتاج فی کلّ عام إلی تدبیر ، والغیبة من العقائد التی یجب أن نعیها ، فالإمام حاضر ، والغیبة فی مقابل الظهور ولیست الغیبة فی مقابل الحضور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یظهر یقول کثیر من الناس إنّنا کنّا نراه ولکنّنا لم نکن نعرفه ، فهو حاضر فی کبد الحدث ، ویدیر الشبکات من الأبدال والأرکان والأوتاد والنقباء ، لا الدجالین من مدعی السفارة ، بل هؤلاء عملاء الدوائر الغربیة ؛ لأن طبیعة السرّیة تخالف ما یدّعیه أهل السفارة ؛ لأنّ العضو السری یبقی عضواً سرّیاً مخفیاً لا یکشف نفسه أبداً ، وفی الأجهزة السرّیة عندما تشعر بانکشاف سرّ من أسرارها من قبل شخص مّا فإنّها تصفیه وتقتله حتّی لا یکشف أسرارها ، وادّعاء السفارة هو عین الجرأة علی الساحة الربوبیة ، لذلک فإنّ فقهاء الشیعة الإمامیة یکفّرون من یدّعی السفارة ؛ لأنّه ینتهک أمن البشر </w:t>
      </w:r>
      <w:r>
        <w:rPr>
          <w:rFonts w:eastAsia="IRNazanin" w:cs="IRNazanin"/>
          <w:color w:val="111111"/>
          <w:sz w:val="28"/>
          <w:szCs w:val="28"/>
          <w:rtl w:val="true"/>
          <w:lang w:bidi="fa-IR"/>
        </w:rPr>
        <w:t>.</w:t>
      </w:r>
    </w:p>
    <w:p>
      <w:pPr>
        <w:pStyle w:val="Heading4"/>
        <w:numPr>
          <w:ilvl w:val="3"/>
          <w:numId w:val="1"/>
        </w:numPr>
        <w:rPr/>
      </w:pPr>
      <w:bookmarkStart w:id="1361" w:name="__RefHeading___Toc478024_581953129"/>
      <w:bookmarkStart w:id="1362" w:name="_Toc542"/>
      <w:bookmarkEnd w:id="1361"/>
      <w:r>
        <w:rPr>
          <w:rtl w:val="true"/>
        </w:rPr>
        <w:t>الخضر لیس نبیاً ولا رسولاً</w:t>
      </w:r>
      <w:bookmarkEnd w:id="136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جری بین الخضر علیه السلام وموسی علیه السلام فی سورة الکهف کلّها أُمور رمزیة ، وذلک یعنی وجود عنصر إلهی أمنی خفی ، حتّی استغرب موسی علیه السلام من التدابیر التی قام بها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بالنسبة للخضر علیه السلام ، فهو لیس نبیاً ولا رسولاً ، وإنّما عبداً عنده علم لدنّی ، وکلّ فعل من أفعاله مؤثّر فی النظام الاجتماعی ، فقتل ذلک الشاب مؤثّر وإلّا کان سیقضی علی سبعین نبیاً</w:t>
      </w:r>
      <w:r>
        <w:rPr>
          <w:rStyle w:val="FootnoteAnchor"/>
          <w:rtl w:val="true"/>
        </w:rPr>
        <w:footnoteReference w:id="228"/>
      </w:r>
      <w:r>
        <w:rPr>
          <w:rFonts w:ascii="IRNazanin" w:hAnsi="IRNazanin" w:eastAsia="IRNazanin"/>
          <w:color w:val="111111"/>
          <w:sz w:val="28"/>
          <w:sz w:val="28"/>
          <w:szCs w:val="28"/>
          <w:rtl w:val="true"/>
          <w:lang w:bidi="fa-IR"/>
        </w:rPr>
        <w:t>، وکلّنا یمکن أن یتصوّر ماذا یمکن أن یحمله</w:t>
      </w:r>
      <w:bookmarkStart w:id="1363" w:name="pg5261_55698"/>
    </w:p>
    <w:p>
      <w:pPr>
        <w:pStyle w:val="BookText"/>
        <w:rPr/>
      </w:pPr>
      <w:bookmarkEnd w:id="1363"/>
      <w:r>
        <w:rPr>
          <w:rFonts w:ascii="IRNazanin" w:hAnsi="IRNazanin" w:eastAsia="IRNazanin"/>
          <w:color w:val="111111"/>
          <w:sz w:val="28"/>
          <w:sz w:val="28"/>
          <w:szCs w:val="28"/>
          <w:rtl w:val="true"/>
          <w:lang w:bidi="fa-IR"/>
        </w:rPr>
        <w:t xml:space="preserve">سبعون نبیاً من التراث الحضاری للبشریة ، ولو لم یکن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لانتشرت الأوبئة والکوارث والأمراض</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البشر یقدمون علی تجربة معیّنة دون أن یعرفوا عواقبها ، کالطفل الذی یعبث بالمتفجّرات ، ولولا هذا الذی ینزل فی لیلة القدر ، ویزوّد به تدبیر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العالم لیس کما هو الآن ، ونلاحظ کم عانت البشریة من أمراض السارس والإیدز ، ولولم یحفظهم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بقوا ، فهو له الفضل علی البشر کما أراد اللّه </w:t>
      </w:r>
      <w:r>
        <w:rPr>
          <w:rFonts w:eastAsia="IRNazanin" w:cs="IRNazanin"/>
          <w:color w:val="111111"/>
          <w:sz w:val="28"/>
          <w:szCs w:val="28"/>
          <w:rtl w:val="true"/>
          <w:lang w:bidi="fa-IR"/>
        </w:rPr>
        <w:t>.</w:t>
      </w:r>
    </w:p>
    <w:p>
      <w:pPr>
        <w:pStyle w:val="Heading4"/>
        <w:numPr>
          <w:ilvl w:val="3"/>
          <w:numId w:val="1"/>
        </w:numPr>
        <w:rPr/>
      </w:pPr>
      <w:bookmarkStart w:id="1364" w:name="__RefHeading___Toc478026_581953129"/>
      <w:bookmarkStart w:id="1365" w:name="_Toc543"/>
      <w:bookmarkEnd w:id="1364"/>
      <w:r>
        <w:rPr>
          <w:rtl w:val="true"/>
        </w:rPr>
        <w:t>الخلفاء الاثنا عشر</w:t>
      </w:r>
      <w:bookmarkEnd w:id="1365"/>
    </w:p>
    <w:p>
      <w:pPr>
        <w:pStyle w:val="BookText"/>
        <w:rPr/>
      </w:pPr>
      <w:r>
        <w:rPr>
          <w:rFonts w:ascii="IRNazanin" w:hAnsi="IRNazanin" w:eastAsia="IRNazanin"/>
          <w:color w:val="111111"/>
          <w:sz w:val="28"/>
          <w:sz w:val="28"/>
          <w:szCs w:val="28"/>
          <w:rtl w:val="true"/>
          <w:lang w:bidi="fa-IR"/>
        </w:rPr>
        <w:t xml:space="preserve">علماؤنا شکر اللّه سعیهم بحثوا مباحث لطیفة فی حدیث الخلفاء الاثنا 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النبی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اثنا عشر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کلمة لم أسمعها ،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بصیغة أُخری ، عن عبد اللّه بن مسعود الصحابی المعروف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سألنا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إثنا عشر ، کعدّة نقباء بنی إسرائیل</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علماؤنا درسوا أسانید هذه الأحادیث عند العامّة ، ولکن قلّما رأیت من توقّف عند الحدیث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الإسلام عزیزاً إلی اثنی عشر خلیفة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6" w:name="__RefHeading___Toc478028_581953129"/>
      <w:bookmarkStart w:id="1367" w:name="_Toc544"/>
      <w:bookmarkEnd w:id="1366"/>
      <w:r>
        <w:rPr>
          <w:rtl w:val="true"/>
        </w:rPr>
        <w:t>معنی الکتاب المبین فی القرآن الکریم</w:t>
      </w:r>
      <w:bookmarkEnd w:id="13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bookmarkStart w:id="1368" w:name="pg5261_55700"/>
    </w:p>
    <w:p>
      <w:pPr>
        <w:pStyle w:val="BookText"/>
        <w:rPr/>
      </w:pPr>
      <w:bookmarkEnd w:id="1368"/>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یفرق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یبرمج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ویدبّر ، الکتاب المبین لیس وصفاً للمصحف الشریف والقرآن الکریم بل الکتاب المبین وصف لوجود ملکوتی علوی ، وفی آیة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لیس المصحف حتّی یقول القائل حسبنا کتاب اللّه</w:t>
      </w:r>
      <w:r>
        <w:rPr>
          <w:rStyle w:val="FootnoteAnchor"/>
          <w:rtl w:val="true"/>
        </w:rPr>
        <w:footnoteReference w:id="23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الکتاب المذکور لیس المصحف الشریف والقرآن الکریم ، وإنّما هو الکتاب المبین ، وفی سورة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یصل إلیه الفقیه ولا المرجع ولا السیاسی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للقرآن فی وجوده الملکوتی ، وهذه الآیة من سورة الواقعة تتحدّث عن الثقلین ، وفی سورة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ولوح محفوظ نفس وحقیقة کتاب الکریم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1369" w:name="__RefHeading___Toc478030_581953129"/>
      <w:bookmarkStart w:id="1370" w:name="_Toc545"/>
      <w:bookmarkEnd w:id="1369"/>
      <w:r>
        <w:rPr>
          <w:rtl w:val="true"/>
        </w:rPr>
        <w:t xml:space="preserve">لیلة القدر برهان علی تصدّی المهدی </w:t>
      </w:r>
      <w:r>
        <w:rPr>
          <w:rtl w:val="true"/>
        </w:rPr>
        <w:t>(</w:t>
      </w:r>
      <w:r>
        <w:rPr>
          <w:rtl w:val="true"/>
        </w:rPr>
        <w:t>عجّل اللّه فرجه الشریف</w:t>
      </w:r>
      <w:r>
        <w:rPr>
          <w:rtl w:val="true"/>
        </w:rPr>
        <w:t>)</w:t>
      </w:r>
      <w:bookmarkEnd w:id="137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ولیلة القدر نفسها برهان علی أنّ المهدی عجل اللّه فرجه الشریف هو المتصدّی</w:t>
      </w:r>
      <w:bookmarkStart w:id="1371" w:name="pg5261_55703"/>
    </w:p>
    <w:p>
      <w:pPr>
        <w:pStyle w:val="BookText"/>
        <w:rPr/>
      </w:pPr>
      <w:bookmarkEnd w:id="1371"/>
      <w:r>
        <w:rPr>
          <w:rFonts w:ascii="IRNazanin" w:hAnsi="IRNazanin" w:eastAsia="IRNazanin"/>
          <w:color w:val="111111"/>
          <w:sz w:val="28"/>
          <w:sz w:val="28"/>
          <w:szCs w:val="28"/>
          <w:rtl w:val="true"/>
          <w:lang w:bidi="fa-IR"/>
        </w:rPr>
        <w:t xml:space="preserve">لأمر البشریة ، وما یحدث عند الظهور هو انکشاف المخفی من حرکة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الدور لا یقتصر علی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قام به الإمام علی علیه السلام خلال الخمسة وعشرین سنة التی أبعد فیها عن الخلافة وغیرها ، وکذلک قام به آدم وإبراهیم ، حیث قال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کان لإبراهیم علیه السلام دولة رسمیة یرأسها؟ فأیّ إمامة التی یخبرنا بها القرآن الکریم؟ نعم ، التاریخ یحدّثنا أنّ إبراهیم قلب فکر البشریة من فکر وثنی صنمی إلی فکر إلهی توحیدی ، وتغییر العقائد من أشکل المشکلات ، والنبی بعث بعد الأربعین ، ولکنه خلال الأربعین لم یکن واضعاً یداً علی ید ، بل هو إمام الأئمة صلی الله علیه و آله </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478032_581953129"/>
      <w:bookmarkStart w:id="1373" w:name="_Toc546"/>
      <w:bookmarkEnd w:id="1372"/>
      <w:r>
        <w:rPr>
          <w:rtl w:val="true"/>
        </w:rPr>
        <w:t>معنی أُولی الأمر فی القرآن الکریم</w:t>
      </w:r>
      <w:bookmarkEnd w:id="1373"/>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تعنی أُولی الأمر فی الجانب السیاسی فقط فهذا جانب محدود ، بل هو الأمر الملکوتی ، کما یذکر العلامة الطباطبائی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4" w:name="__RefHeading___Toc478034_581953129"/>
      <w:bookmarkStart w:id="1375" w:name="_Toc547"/>
      <w:bookmarkEnd w:id="1374"/>
      <w:r>
        <w:rPr>
          <w:rtl w:val="true"/>
        </w:rPr>
        <w:t>الخلیفة لیس من الضروری أن یکون نبیاً أو رسولاً</w:t>
      </w:r>
      <w:bookmarkEnd w:id="137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سورة 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والروح هی شبکة تضخ المعلومات الضخمة ، وفی سورة غافر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من عباده ولم یقل من رسله أو أنبیائه ،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یقل نبیاً أو رسولاً ، فالخلیفة هو المدبّر والمستخلف والمتصرّف ، وهو عماد النظام البشری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فتدمّر البیئة والثروة الحیوانیة والنباتیة والمعدنیة والغازیّة والبشر لو افتقدوا القیادة لساد الهرج والمرج ، فلابدّ للناس من أمیر ، وهذا التحسس الکبیر عند أهل البیت علیهم السلام لهذه الرؤیة العلمیة الوضّاءة قبل أربعة عشر قرناً ، ولا زال البشر عاجزین عن الاحاطة بکلّ دقائق تعلیماتهم علیهم السلام ، ونحن غافلون عن إدراک أبعاد هذا الکم الهائل من المعلومات التی تنزل علی غافلون عن إدراک أبعاد هذا الکم الهائل من المعلومات التی تنزل علی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عجزت البشریة عن إدراک ذلک </w:t>
      </w:r>
      <w:r>
        <w:rPr>
          <w:rFonts w:eastAsia="IRNazanin" w:cs="IRNazanin"/>
          <w:color w:val="111111"/>
          <w:sz w:val="28"/>
          <w:szCs w:val="28"/>
          <w:rtl w:val="true"/>
          <w:lang w:bidi="fa-IR"/>
        </w:rPr>
        <w:t>.</w:t>
      </w:r>
      <w:bookmarkStart w:id="1376" w:name="pg5261_55707"/>
    </w:p>
    <w:p>
      <w:pPr>
        <w:pStyle w:val="Heading3"/>
        <w:numPr>
          <w:ilvl w:val="2"/>
          <w:numId w:val="1"/>
        </w:numPr>
        <w:rPr/>
      </w:pPr>
      <w:bookmarkStart w:id="1377" w:name="__RefHeading___Toc478036_581953129"/>
      <w:bookmarkStart w:id="1378" w:name="_Toc548"/>
      <w:bookmarkEnd w:id="1376"/>
      <w:bookmarkEnd w:id="1377"/>
      <w:r>
        <w:rPr>
          <w:rtl w:val="true"/>
        </w:rPr>
        <w:t>المحاضرة العاشرة المحاور القانونیة فی عهد الإمام علی علیه السلام لمالک الأشتر</w:t>
      </w:r>
      <w:bookmarkEnd w:id="1378"/>
    </w:p>
    <w:p>
      <w:pPr>
        <w:pStyle w:val="Heading4"/>
        <w:numPr>
          <w:ilvl w:val="3"/>
          <w:numId w:val="1"/>
        </w:numPr>
        <w:rPr/>
      </w:pPr>
      <w:bookmarkStart w:id="1379" w:name="__RefHeading___Toc478038_581953129"/>
      <w:bookmarkStart w:id="1380" w:name="_Toc549"/>
      <w:bookmarkEnd w:id="1379"/>
      <w:r>
        <w:rPr>
          <w:rtl w:val="true"/>
        </w:rPr>
        <w:t>اشارة</w:t>
      </w:r>
      <w:bookmarkEnd w:id="1380"/>
    </w:p>
    <w:p>
      <w:pPr>
        <w:pStyle w:val="BookText"/>
        <w:rPr/>
      </w:pPr>
      <w:r>
        <w:rPr>
          <w:rFonts w:ascii="Amiri" w:hAnsi="Amiri" w:eastAsia="Amiri" w:cs="Amiri"/>
          <w:color w:val="111111"/>
          <w:sz w:val="28"/>
          <w:sz w:val="28"/>
          <w:szCs w:val="28"/>
          <w:rtl w:val="true"/>
          <w:lang w:bidi="ar-SA"/>
        </w:rPr>
        <w:t>محاور المحاضرة</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القرآن الکریم تبیان لکلّ شیء؟</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 الشهید المذکور فی الآیة لابدّ أن یکون معصوماً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هو شاهد علی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فی القرآن الکریم لا تنطبق إلّاعلی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وحدیث 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علی علیه السلام لمالک الأشتر أحد نماذج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المتحدة تدعو لنموذج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المحاور التی أشارت إلیها الأمم المتحدة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المحاور فی هذا العهد التی لم تسجّلها المحافل القانونیة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الأقلام المأجورة </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478040_581953129"/>
      <w:bookmarkStart w:id="1382" w:name="_Toc550"/>
      <w:bookmarkEnd w:id="1381"/>
      <w:r>
        <w:rPr>
          <w:rtl w:val="true"/>
        </w:rPr>
        <w:t>هل القرآن الکریم تبیان لکلّ شیء؟</w:t>
      </w:r>
      <w:bookmarkEnd w:id="13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w:t>
      </w:r>
    </w:p>
    <w:p>
      <w:pPr>
        <w:pStyle w:val="BookText"/>
        <w:rPr/>
      </w:pP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سید الشهداء علیه السلام فی آخر 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لکم أیّتها الجماعة وترحاً وبؤساً لکم وتعساً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استصرختمونا ولهین ، فأصرخناکم موجفین ، فشحذتم علینا سیفاً کان فی أیدینا ، وحششتم علینا ناراً أضرمناها علی عدوّکم وعدوّنا ؛ فأصبحتم إلباً علی أولیائکم ، ویداً لأعدائکم من غیر عدل أفشوه فیکم ، ولا أمل أصبح لکم فیهم ، ولا ذنب کان منّا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 لکم الویلات إذ کرهتمونا والسیف مشیّم ، والجأش طامن ، والرأی لم یستحصف</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الملاحم القرآنیة العظیمة التی حار فیها المفسّرون والمحدّثون وعلماء العقیدة المتکلّمون ، فکیف یزعم القرآن الکریم إنّه تبیاناً لکلّ شیء ، فهل فی القرآن الکریم علوم الفیزیاء والکیمیاء؟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الکریم لیس فیه تفاصیل الأُمور الدینیة ، فضلاً عن الدنیویة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تفاصیل الأُمور الحقوقیة والقانونیة والقضائیة والاجتماعیة ، فوصف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تِبْیاناً لِکُلِّ شَیْ‌ءٍ وَ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وصفاً للقرآن الکریم ، وإنّما هو وصف لدرجة غیبیة من درجات القرآن الکریم ، وهی درجة الکتاب المبین ، والکتاب المبین هو الذی لا یغادر صغیرة ولا کبیرة ، ولا رطب ولا یابس ، ذلک الکتاب الملکوتی العلمی الذی لا یصل إلیه إلّاالمطهّرون کما فی سورة الواقعة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 ذلک الکتاب تبیاناً لکلّ شیء ، ویتنزّل فی</w:t>
      </w:r>
      <w:bookmarkStart w:id="1383" w:name="pg5261_55711"/>
    </w:p>
    <w:p>
      <w:pPr>
        <w:pStyle w:val="BookText"/>
        <w:rPr/>
      </w:pPr>
      <w:bookmarkEnd w:id="1383"/>
      <w:r>
        <w:rPr>
          <w:rFonts w:ascii="Amiri" w:hAnsi="Amiri" w:eastAsia="Amiri" w:cs="Amiri"/>
          <w:color w:val="111111"/>
          <w:sz w:val="28"/>
          <w:sz w:val="28"/>
          <w:szCs w:val="28"/>
          <w:rtl w:val="true"/>
          <w:lang w:bidi="ar-SA"/>
        </w:rPr>
        <w:t xml:space="preserve">کلّ لیلة قدر ، ولا یصل إلیه لا فقیه ولا مجتهد ولا صحابی ولا راوی ولا مفسّر ولا محدّث ولا مرتاض ولا عارف ولا صوفی ولا سیاسی ولا داهیة ولا اقتصادی فالآیة حصرت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إلّاأهل آیة التطهیر</w:t>
      </w:r>
      <w:r>
        <w:rPr>
          <w:rStyle w:val="FootnoteAnchor"/>
          <w:rtl w:val="true"/>
        </w:rPr>
        <w:footnoteReference w:id="238"/>
      </w:r>
      <w:r>
        <w:rPr>
          <w:rFonts w:ascii="IRNazanin" w:hAnsi="IRNazanin" w:eastAsia="IRNazanin"/>
          <w:color w:val="111111"/>
          <w:sz w:val="28"/>
          <w:sz w:val="28"/>
          <w:szCs w:val="28"/>
          <w:rtl w:val="true"/>
          <w:lang w:bidi="fa-IR"/>
        </w:rPr>
        <w:t xml:space="preserve">، ذلک الکتاب تبیان لکلّ شیء ، وأمّا المصحف الذی بین أیدینا فهو وجود من وجودات القرآن ، ویسمّی تنزیل القرآن ، وذاک حقیقة القرآن </w:t>
      </w:r>
      <w:r>
        <w:rPr>
          <w:rFonts w:eastAsia="IRNazanin" w:cs="IRNazanin"/>
          <w:color w:val="111111"/>
          <w:sz w:val="28"/>
          <w:szCs w:val="28"/>
          <w:rtl w:val="true"/>
          <w:lang w:bidi="fa-IR"/>
        </w:rPr>
        <w:t>.</w:t>
      </w:r>
    </w:p>
    <w:p>
      <w:pPr>
        <w:pStyle w:val="Heading4"/>
        <w:numPr>
          <w:ilvl w:val="3"/>
          <w:numId w:val="1"/>
        </w:numPr>
        <w:rPr/>
      </w:pPr>
      <w:bookmarkStart w:id="1384" w:name="__RefHeading___Toc478042_581953129"/>
      <w:bookmarkStart w:id="1385" w:name="_Toc551"/>
      <w:bookmarkEnd w:id="1384"/>
      <w:r>
        <w:rPr>
          <w:rtl w:val="true"/>
        </w:rPr>
        <w:t>الرازی ، الشهید المذکور فی الآیة لابدّ أن یکون معصوماً</w:t>
      </w:r>
      <w:bookmarkEnd w:id="1385"/>
    </w:p>
    <w:p>
      <w:pPr>
        <w:pStyle w:val="BookText"/>
        <w:rPr/>
      </w:pPr>
      <w:r>
        <w:rPr>
          <w:rFonts w:ascii="Amiri" w:hAnsi="Amiri" w:eastAsia="Amiri" w:cs="Amiri"/>
          <w:color w:val="111111"/>
          <w:sz w:val="28"/>
          <w:sz w:val="28"/>
          <w:szCs w:val="28"/>
          <w:rtl w:val="true"/>
          <w:lang w:bidi="ar-SA"/>
        </w:rPr>
        <w:t xml:space="preserve">وفی الکلام عن الآیة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 یقول الفخر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العامة ، وکان متکلّماً ، وإلی حدّ مّا فیلسوفاً ذا باع وإحاطة ، ویعتبر تفسیره من أبرز تفاسیر مذهب العامّة فی آفاق الأُمور الفکریة والرؤی المعرفیّة ، عندما یصل إلی هذه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أُمَّةٍ شَهِیداً عَلَیْهِمْ مِنْ أَنْفُسِهِمْ وَ جِئْنا بِکَ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هذا الشهید؟ والأُمّة أیّ أُمّة؟ والأُمّة فی اللغة هی الجماعة التی تعیش فی کلّ مائة عام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شهید بعد رسول اللّه صلی الله علیه و آله فی الاُمّة الإسلامیة علی هذه الأُمّة یشهد علیهم أعمالهم ، فیقول الفخر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المعقول أن یکون هذا الشاهد علی الأُمّة یرتکب الخطأ أو الزلل أو یمکن صدور الخطأ والزلل منه ، ولا بدّ أن یمتنع علیه الخطأ والزلل ، وإلّا فکیف یکون شهیداً؟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باب أولی أن یکون مشهوداً علیه إذا کان من الذین یخطؤون ویزلّون ، فمقام الشهادة والإشراف علی کلّ الأُمّة فی کلّ قرن لابدّ فیه من العصمة فی مقام الشهادة والشهید ، ولکنّه بعد أن یقرّ بهذه المقدّمة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هذا الشهید هو الإجماع</w:t>
      </w:r>
      <w:r>
        <w:rPr>
          <w:rStyle w:val="FootnoteAnchor"/>
          <w:rtl w:val="true"/>
        </w:rPr>
        <w:footnoteReference w:id="239"/>
      </w:r>
      <w:r>
        <w:rPr>
          <w:rFonts w:ascii="IRNazanin" w:hAnsi="IRNazanin" w:eastAsia="IRNazanin"/>
          <w:color w:val="111111"/>
          <w:sz w:val="28"/>
          <w:sz w:val="28"/>
          <w:szCs w:val="28"/>
          <w:rtl w:val="true"/>
          <w:lang w:bidi="fa-IR"/>
        </w:rPr>
        <w:t xml:space="preserve">، بدلاً من الإقرار بوجود الإمام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bookmarkStart w:id="1386" w:name="pg5261_55714"/>
    </w:p>
    <w:p>
      <w:pPr>
        <w:pStyle w:val="BookText"/>
        <w:rPr/>
      </w:pPr>
      <w:bookmarkEnd w:id="1386"/>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والحال أنّ الأُمّة لم تجمع علی کلّ شیء ، فکیف یکون الإجماع هو المعصوم؟ وفی مسألة الإمامة لم تجمع الأُمّة ، وهناک کثیر من الأُمور لا یتحقق فیها الإجماع ، فی حین أنّ هذا الشهید هو شهید علی کلّ شیء ، فهذا الجواب جواب ضعیف یرید به الرازی أن یسترضی به رأی العامّة واللّه أعلم بنیّته ، وکأنّه یرید أن یستغفل القاریء ؛ لکی لا یقرّ بوجود المعصوم المهدی من آل محمّد صلی الله علیه و آله </w:t>
      </w:r>
      <w:r>
        <w:rPr>
          <w:rFonts w:eastAsia="IRNazanin" w:cs="IRNazanin"/>
          <w:color w:val="111111"/>
          <w:sz w:val="28"/>
          <w:szCs w:val="28"/>
          <w:rtl w:val="true"/>
          <w:lang w:bidi="fa-IR"/>
        </w:rPr>
        <w:t>.</w:t>
      </w:r>
    </w:p>
    <w:p>
      <w:pPr>
        <w:pStyle w:val="Heading4"/>
        <w:numPr>
          <w:ilvl w:val="3"/>
          <w:numId w:val="1"/>
        </w:numPr>
        <w:rPr/>
      </w:pPr>
      <w:bookmarkStart w:id="1387" w:name="__RefHeading___Toc478044_581953129"/>
      <w:bookmarkStart w:id="1388" w:name="_Toc552"/>
      <w:bookmarkEnd w:id="1387"/>
      <w:r>
        <w:rPr>
          <w:rtl w:val="true"/>
        </w:rPr>
        <w:t>الرسول صلی الله علیه و آله هو شاهد علی الشهداء</w:t>
      </w:r>
      <w:bookmarkEnd w:id="1388"/>
    </w:p>
    <w:p>
      <w:pPr>
        <w:pStyle w:val="BookText"/>
        <w:rPr/>
      </w:pPr>
      <w:r>
        <w:rPr>
          <w:rFonts w:ascii="Amiri" w:hAnsi="Amiri" w:eastAsia="Amiri" w:cs="Amiri"/>
          <w:color w:val="111111"/>
          <w:sz w:val="28"/>
          <w:sz w:val="28"/>
          <w:szCs w:val="28"/>
          <w:rtl w:val="true"/>
          <w:lang w:bidi="ar-SA"/>
        </w:rPr>
        <w:t xml:space="preserve">الرسول صلی الله علیه و آله هو شاهد علی الشهداء من المعصومین ؛ لأنّ مقامه أعلی ، وملف الشهادة علی الأعمال فی القرآن الکریم ملف حافل ، ومن الواضح فیه أنّ أئمة أهل البیت علیهم السلام یشار إلیهم فی آخر آیة من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المخاطبون بالاجتباء والاصطفاء أنتم من نسل إبراهیم ، ولیس عموماً الأُمّة الإسلامیة </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478046_581953129"/>
      <w:bookmarkStart w:id="1390" w:name="_Toc553"/>
      <w:bookmarkEnd w:id="1389"/>
      <w:r>
        <w:rPr>
          <w:rtl w:val="true"/>
        </w:rPr>
        <w:t>أوصاف فی القرآن الکریم لا تنطبق إلّاعلی أهل البیت علیهم السلام</w:t>
      </w:r>
      <w:bookmarkEnd w:id="13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ثلّة خاصّة انحدرت من نسل إبراهیم ،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تلک الذریة المسلمة التی لا تکفر باللّه طرفة عین أبداً ، وبعد ذکر علی علیه السلام یقول بعض أصحاب المذاهب الإسلامیة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اللّه وجهه ؛ لأنّه لم یکفر باللّه ، وقال</w:t>
      </w:r>
      <w:bookmarkStart w:id="1391" w:name="pg5261_55716"/>
    </w:p>
    <w:p>
      <w:pPr>
        <w:pStyle w:val="BookText"/>
        <w:rPr/>
      </w:pPr>
      <w:bookmarkEnd w:id="1391"/>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المعصومین من ذریّة إبراهیم ، وهم غیر الظالمین ینالون الإمامة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سورة الحجّ یقول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اجْتَباکُمْ وَ ما جَعَلَ عَلَیْکُمْ فِی الدِّینِ مِنْ حَرَجٍ مِلَّةَ أَبِیکُمْ إِبْراهِیمَ هُوَ سَمّاکُمُ الْمُسْلِمِینَ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الاصطفاء لیس اصطفاء اعتباطیّاً ، ثمّ یقول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هذا لِیَکُونَ الرَّسُولُ شَهِیداً عَلَیْکُمْ وَ تَکُونُوا شُهَداءَ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مجموعة من الحلقات والأوصاف التی تنطبق علی أهل البیت علیهم السلام دون غیرهم ، والآیة تبیّن أنّ الرسول شاهد علی الأئمة ، والأئمة شهود علی الناس ، ولیس علی خصوص الأُمّة الإسلامیة ، بل علی جمیع الأنبیاء والمرسلین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هذا لِیَکُونَ الرَّسُولُ شَهِیداً عَلَیْکُمْ وَ تَکُونُوا شُهَداءَ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البیت علیهم السلام یحتفون بالنبی صلی الله علیه و آله </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478048_581953129"/>
      <w:bookmarkStart w:id="1393" w:name="_Toc554"/>
      <w:bookmarkEnd w:id="1392"/>
      <w:r>
        <w:rPr>
          <w:rtl w:val="true"/>
        </w:rPr>
        <w:t>القرآن الکریم وحدیث الثقلین</w:t>
      </w:r>
      <w:bookmarkEnd w:id="1393"/>
    </w:p>
    <w:p>
      <w:pPr>
        <w:pStyle w:val="BookText"/>
        <w:rPr/>
      </w:pPr>
      <w:r>
        <w:rPr>
          <w:rFonts w:ascii="IRNazanin" w:hAnsi="IRNazanin" w:eastAsia="IRNazanin"/>
          <w:color w:val="111111"/>
          <w:sz w:val="28"/>
          <w:sz w:val="28"/>
          <w:szCs w:val="28"/>
          <w:rtl w:val="true"/>
          <w:lang w:bidi="fa-IR"/>
        </w:rPr>
        <w:t xml:space="preserve">الأحادیث النبویة عن أهل البیت علیهم السلام مدارکها ومستنداتها ومضامینها موجودة فی الآیات الکریمة ، فالصلة بین الآیة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التی ذکرت الثقلین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أُمَّةٍ شَهِیداً عَلَیْهِمْ مِنْ أَنْفُسِهِمْ وَ جِئْنا بِکَ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هی الصلة التی فی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w:t>
      </w:r>
      <w:bookmarkStart w:id="1394" w:name="pg5261_55718"/>
    </w:p>
    <w:p>
      <w:pPr>
        <w:pStyle w:val="BookText"/>
        <w:rPr/>
      </w:pPr>
      <w:bookmarkEnd w:id="1394"/>
      <w:r>
        <w:rPr>
          <w:rFonts w:ascii="Amiri" w:hAnsi="Amiri" w:eastAsia="Amiri" w:cs="Amiri"/>
          <w:color w:val="111111"/>
          <w:sz w:val="28"/>
          <w:sz w:val="28"/>
          <w:szCs w:val="28"/>
          <w:rtl w:val="true"/>
          <w:lang w:bidi="ar-SA"/>
        </w:rPr>
        <w:t xml:space="preserve">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الذی یقوم بالعدل فی النظام الاجتماعی هم هؤلاء الشهداء الذین هم عِدل الکتاب ، والذین یعون الکتاب کلّه ولا یعیه أحد غیرهم من هذه الأُمّة ، وهذه الآیة التی یردّدها المسلمون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کآیة ترمز إلی أُصول العدل فی النظام الاجتماعی ، وقبلها آیة تشیر إلی الثقلین لکی تتضح الصورة عند المسلمین ، وجعل اللّه هذه الثروات فی ید أهل البیت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لا یَکُونَ دُولَةً بَیْنَ الْأَغْنِیاءِ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التعبیر هو نفس التعبیر الذی ورد فی سورة النحل ، حیث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w:t>
      </w:r>
      <w:r>
        <w:rPr>
          <w:rFonts w:eastAsia="Amiri" w:cs="Amiri" w:ascii="Amiri" w:hAnsi="Amiri"/>
          <w:color w:val="111111"/>
          <w:sz w:val="28"/>
          <w:szCs w:val="28"/>
          <w:rtl w:val="true"/>
          <w:lang w:bidi="ar-SA"/>
        </w:rPr>
        <w:t>» .</w:t>
      </w:r>
    </w:p>
    <w:p>
      <w:pPr>
        <w:pStyle w:val="Heading4"/>
        <w:numPr>
          <w:ilvl w:val="3"/>
          <w:numId w:val="1"/>
        </w:numPr>
        <w:rPr/>
      </w:pPr>
      <w:bookmarkStart w:id="1395" w:name="__RefHeading___Toc478050_581953129"/>
      <w:bookmarkStart w:id="1396" w:name="_Toc555"/>
      <w:bookmarkEnd w:id="1395"/>
      <w:r>
        <w:rPr>
          <w:rtl w:val="true"/>
        </w:rPr>
        <w:t>عهد الإمام علی علیه السلام لمالک الأشتر أحد نماذج العدل</w:t>
      </w:r>
      <w:bookmarkEnd w:id="139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فالعدل یقام علی ید المعصوم ، وهذا العدل یتمثّل بنموذج عهد أمیر المؤمنین علیه السلام لمالک الأشتر الذی یحتوی علی بعض الأُمور التی لم تذکر فی أدبیات الحقوق والقانون ، والتی تمثّل تحدّیاً علمیاً فی مبادیء نداءات أهل البیت علیهم السلام التی لا بدّ للبشریة من الإقرار بها ، وأهل البیت علیهم السلام قد رفعوا شعارات منذ ذلک الحین ، وهی تطابق ما تطالب به البشریة الآن من العدالة وحقوق الإنسان والنظام الواحد وغیرها ، والتی تعتبر من الشعارات التی یعتبر العالم الغربی مجبوراً علیها من أجل أن یحسّن صورته أمام العالم ، ولکنّه لا یطبّقها فی الواقع ، ولا تجد مثل هذه الشعارات فی الإنجیل المحرّف أو التوراة المحرّفة ، وغیرها من الملل والنحل ، ولا تجده عند المذاهب الإسلامیة الأُخری غیر مذهب أهل البیت علیهم السلام ، وما تطالب به البشریة لا تجده إلّافی مذهب أهل البیت علیه السلام ، وهذا من الإعجاز العلمی ، وهذا من تدبیر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شعرنا بذلک أم لم نشعر ، حیث یقود البشریة للاعتراف بشعارات لا یقرّ بها الإنجیل</w:t>
      </w:r>
      <w:bookmarkStart w:id="1397" w:name="pg5261_55720"/>
    </w:p>
    <w:p>
      <w:pPr>
        <w:pStyle w:val="BookText"/>
        <w:rPr/>
      </w:pPr>
      <w:bookmarkEnd w:id="1397"/>
      <w:r>
        <w:rPr>
          <w:rFonts w:ascii="IRNazanin" w:hAnsi="IRNazanin" w:eastAsia="IRNazanin"/>
          <w:color w:val="111111"/>
          <w:sz w:val="28"/>
          <w:sz w:val="28"/>
          <w:szCs w:val="28"/>
          <w:rtl w:val="true"/>
          <w:lang w:bidi="fa-IR"/>
        </w:rPr>
        <w:t xml:space="preserve">المحرّف أو التوراة المحرّفة ، وکأنّ البشریة تتشیع لأهل البیت علیهم السلام ، وهذه الشعارات لا یقرّها حتّی القانون المدوّن عندهم ، فضلاً عن القانون الحقیقی </w:t>
      </w:r>
      <w:r>
        <w:rPr>
          <w:rFonts w:eastAsia="IRNazanin" w:cs="IRNazanin"/>
          <w:color w:val="111111"/>
          <w:sz w:val="28"/>
          <w:szCs w:val="28"/>
          <w:rtl w:val="true"/>
          <w:lang w:bidi="fa-IR"/>
        </w:rPr>
        <w:t>.</w:t>
      </w:r>
    </w:p>
    <w:p>
      <w:pPr>
        <w:pStyle w:val="Heading4"/>
        <w:numPr>
          <w:ilvl w:val="3"/>
          <w:numId w:val="1"/>
        </w:numPr>
        <w:rPr/>
      </w:pPr>
      <w:bookmarkStart w:id="1398" w:name="__RefHeading___Toc478052_581953129"/>
      <w:bookmarkStart w:id="1399" w:name="_Toc556"/>
      <w:bookmarkEnd w:id="1398"/>
      <w:r>
        <w:rPr>
          <w:rtl w:val="true"/>
        </w:rPr>
        <w:t>الأمم المتحدة تدعو لنموذج الإمام علی علیه السلام</w:t>
      </w:r>
      <w:bookmarkEnd w:id="1399"/>
    </w:p>
    <w:p>
      <w:pPr>
        <w:pStyle w:val="BookText"/>
        <w:rPr/>
      </w:pPr>
      <w:r>
        <w:rPr>
          <w:rFonts w:ascii="IRNazanin" w:hAnsi="IRNazanin" w:eastAsia="IRNazanin"/>
          <w:color w:val="111111"/>
          <w:sz w:val="28"/>
          <w:sz w:val="28"/>
          <w:szCs w:val="28"/>
          <w:rtl w:val="true"/>
          <w:lang w:bidi="fa-IR"/>
        </w:rPr>
        <w:t xml:space="preserve">والأمم المتحدة عندما أشادت بعهد أمیر المؤمنین علیه السلام لمالک الأشتر أشادت بعدّة نقاط فیه ، سأذکرها تباعاً ، وفی تقریر للأمم المتحدة فی التنمیة الإنسانیة العربیة فی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 حیث تدعو الأمم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الصندوق العربی للإنماء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العربیة لاتخاذ أمیر المؤمنین علی علیه السلام مثالاً للحکم الصالح ، أیصل الحال إلی أن یرفع النصاری شعار أنّ علیاً قدوة للبشریة ، ویدعون المسلمین لاتّخاذة 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نعنی به أنّه من تدبیر الإمام المهدی عجل اللّه فرجه الشریف ، وإلّا فنحن الشیعة لم نستطع أن نوصل ثقافة أهل البیت علیهم السلام إلی ما وصلت إلیه ، فالأمم المتحدة بعد أن أقرّت عهد مالک الأشتر کمصدر قانونی دعت الدول العربیة إلیه </w:t>
      </w:r>
      <w:r>
        <w:rPr>
          <w:rFonts w:eastAsia="IRNazanin" w:cs="IRNazanin"/>
          <w:color w:val="111111"/>
          <w:sz w:val="28"/>
          <w:szCs w:val="28"/>
          <w:rtl w:val="true"/>
          <w:lang w:bidi="fa-IR"/>
        </w:rPr>
        <w:t>.</w:t>
      </w:r>
    </w:p>
    <w:p>
      <w:pPr>
        <w:pStyle w:val="Heading3"/>
        <w:numPr>
          <w:ilvl w:val="2"/>
          <w:numId w:val="1"/>
        </w:numPr>
        <w:rPr/>
      </w:pPr>
      <w:bookmarkStart w:id="1400" w:name="__RefHeading___Toc478054_581953129"/>
      <w:bookmarkStart w:id="1401" w:name="_Toc557"/>
      <w:bookmarkEnd w:id="1400"/>
      <w:r>
        <w:rPr>
          <w:rtl w:val="true"/>
        </w:rPr>
        <w:t>المحاور التی أشارت إلیها الأمم المتحدة</w:t>
      </w:r>
      <w:bookmarkEnd w:id="1401"/>
    </w:p>
    <w:p>
      <w:pPr>
        <w:pStyle w:val="Heading4"/>
        <w:numPr>
          <w:ilvl w:val="3"/>
          <w:numId w:val="1"/>
        </w:numPr>
        <w:rPr/>
      </w:pPr>
      <w:bookmarkStart w:id="1402" w:name="__RefHeading___Toc478056_581953129"/>
      <w:bookmarkStart w:id="1403" w:name="_Toc558"/>
      <w:bookmarkEnd w:id="1402"/>
      <w:r>
        <w:rPr>
          <w:rtl w:val="true"/>
        </w:rPr>
        <w:t>اشارة</w:t>
      </w:r>
      <w:bookmarkEnd w:id="1403"/>
    </w:p>
    <w:p>
      <w:pPr>
        <w:pStyle w:val="BookText"/>
        <w:rPr/>
      </w:pPr>
      <w:r>
        <w:rPr>
          <w:rFonts w:ascii="IRNazanin" w:hAnsi="IRNazanin" w:eastAsia="IRNazanin"/>
          <w:color w:val="111111"/>
          <w:sz w:val="28"/>
          <w:sz w:val="28"/>
          <w:szCs w:val="28"/>
          <w:rtl w:val="true"/>
          <w:lang w:bidi="fa-IR"/>
        </w:rPr>
        <w:t xml:space="preserve">النقطة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هذا العهد الشریف من الدعوة إلی المعرفة والتعلیم ، وهو محور مهم تحتاجه البشریة ؛ لأنّه قائم علی وعی الحقوق ، والوعی القانونی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القانون قانون عدل ، ولم یکن قانون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ضمانة للناس حتّی لا تنطلی علیهم اللعب القانونیة ، واللف والدوران باستخدام القانون أو المسرحیات الخادعة أو الشعارات الزائفة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مبادیء العدالة التی أتت فی هذا العهد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المعیشة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حقوق الإنسان ، فقد ورد فی عهد الإمام علی علیه السلام لمالک الأشتر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وأشعر قلبک الرحمة للرعیة ، والمحبّة لهم ، واللطف بهم ، ولا تکوننَّ علیهم سَبُعاً ضاریاً تغتنم أکلهم ، فإنّهم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 وإمّا نظیر لک فی الخلق</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النقطة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المشارکة الشعبیة فی الحکم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الفساد الإداری والمالی ومحاسبة المسؤولین والولاة </w:t>
      </w:r>
      <w:r>
        <w:rPr>
          <w:rFonts w:eastAsia="IRNazanin" w:cs="IRNazanin"/>
          <w:color w:val="111111"/>
          <w:sz w:val="28"/>
          <w:szCs w:val="28"/>
          <w:rtl w:val="true"/>
          <w:lang w:bidi="fa-IR"/>
        </w:rPr>
        <w:t>.</w:t>
      </w:r>
      <w:bookmarkStart w:id="1404" w:name="pg5261_55724"/>
    </w:p>
    <w:p>
      <w:pPr>
        <w:pStyle w:val="BookText"/>
        <w:rPr/>
      </w:pPr>
      <w:bookmarkEnd w:id="1404"/>
      <w:r>
        <w:rPr>
          <w:rFonts w:ascii="IRNazanin" w:hAnsi="IRNazanin" w:eastAsia="IRNazanin"/>
          <w:color w:val="111111"/>
          <w:sz w:val="28"/>
          <w:sz w:val="28"/>
          <w:szCs w:val="28"/>
          <w:rtl w:val="true"/>
          <w:lang w:bidi="fa-IR"/>
        </w:rPr>
        <w:t>بعض المحاور فی هذا العهد</w:t>
      </w:r>
    </w:p>
    <w:p>
      <w:pPr>
        <w:pStyle w:val="BookText"/>
        <w:rPr/>
      </w:pPr>
      <w:r>
        <w:rPr>
          <w:rFonts w:ascii="IRNazanin" w:hAnsi="IRNazanin" w:eastAsia="IRNazanin"/>
          <w:color w:val="111111"/>
          <w:sz w:val="28"/>
          <w:sz w:val="28"/>
          <w:szCs w:val="28"/>
          <w:rtl w:val="true"/>
          <w:lang w:bidi="fa-IR"/>
        </w:rPr>
        <w:t>التی لم تسجّلها المحافل القانونیة</w:t>
      </w:r>
    </w:p>
    <w:p>
      <w:pPr>
        <w:pStyle w:val="Heading4"/>
        <w:numPr>
          <w:ilvl w:val="3"/>
          <w:numId w:val="1"/>
        </w:numPr>
        <w:rPr/>
      </w:pPr>
      <w:bookmarkStart w:id="1405" w:name="__RefHeading___Toc478058_581953129"/>
      <w:bookmarkStart w:id="1406" w:name="_Toc559"/>
      <w:bookmarkEnd w:id="1405"/>
      <w:r>
        <w:rPr>
          <w:rtl w:val="true"/>
        </w:rPr>
        <w:t xml:space="preserve">المحور الأوّل </w:t>
      </w:r>
      <w:r>
        <w:rPr>
          <w:rtl w:val="true"/>
        </w:rPr>
        <w:t xml:space="preserve">: </w:t>
      </w:r>
      <w:r>
        <w:rPr>
          <w:rtl w:val="true"/>
        </w:rPr>
        <w:t>أهمیة الطبقة العامّة فی المجتمع</w:t>
      </w:r>
      <w:bookmarkEnd w:id="14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فهمی القاصر أنّ هناک بعض المدارک لم تسجلّلها المحافل الحقوقیة والقانونیة ، وهی تعبیر أمیر المؤمنین علیه السلام فی عهده لمالک الأشتر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أحبّ الأُمور إلیک أوسطها فی الحق ، وأعمّها فی العدل ، وأجمعها لرضی الرعیة ، فإنّ سخط العامّة یجحف برضی الخاصّة ، وإنّ سخط الخاصّة یغتفر مع رضی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معادلة اجتماعیة یطرحها أمیر المؤمنین علیه السلام ، فأمیر المؤمنین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مراعاة مصلحة العامّة ، وعدم الاکتراث بمصلحة الطبقة الخاصّة ، سواء کانت العائلة الحاکمة ، أو الطبقة الإقطاعیة ذوی القدرة والنفوذ ، وهذا الوباء السرطانی فی النظام الاجتماعی إیاک إیاک أن تراعیه ، وإذا راعیتها کما فعل من سبق أمیر المؤمنین علیه السلام فی الحکم بعد رسول اللّه صلی الله علیه و آله ، فستکون النتیجة ما آل إلیه أمر المسلمین حین انقضّوا علی مرکز الخلافة ، أمّا أمیر المؤمنین علیه السلام فقد راعی مصلحة العامّة علی حساب مصلحة الطبقة الخاصّة ، وهذا الذی انطلق منه سید الشهداء علیه السلام ، حیث راعی مصلحة العامّة علی حساب مصلحة الخاصّة ، وأهل البیت علیهم السلام ومن قبلهم رسول اللّه صلی الله علیه و آله کانت حربهم مع تلک الشجرة الإقطاعیة المتمثّلة فی بنی أمیة أیام الجاهلیة وأیام الإسلام ؛ لأنّها شجرة تسبب الحرمان لعامّة الناس ، والحرب لم تهدأ بین بنی هاشم من جهة وبنی أمیة وآل زیاد وآل مروان من جهة أُخری ؛ لأنّهم جبهات الإقطاع والاحتکار والاستئثار ، ولذلک لم یداهنهم أهل البیت علیهم السلام أبداً ؛ ولأنّ أهل البیت علیه السلام یریدون عدالة المجتمع وإنصاف</w:t>
      </w:r>
    </w:p>
    <w:p>
      <w:pPr>
        <w:pStyle w:val="BookText"/>
        <w:rPr/>
      </w:pPr>
      <w:r>
        <w:rPr>
          <w:rFonts w:ascii="IRNazanin" w:hAnsi="IRNazanin" w:eastAsia="IRNazanin"/>
          <w:color w:val="111111"/>
          <w:sz w:val="28"/>
          <w:sz w:val="28"/>
          <w:szCs w:val="28"/>
          <w:rtl w:val="true"/>
          <w:lang w:bidi="fa-IR"/>
        </w:rPr>
        <w:t xml:space="preserve">المحرومین ، وکان بإمکان سید الشهداء علیه السلام أن یقنع بمصالحة الشخصیة ، والخطر یتمثّل فی انحراف الأُمّة عن روّاد إصلاحها ، کما أشار سید الشهداء علیه السلام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وترحاً وبؤساً لکم وتعساً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استصرختمونا ولهین فأصرخناکم موجفین ، فشحذتم علینا سیفاً کان فی أیدینا ، علی عدوّکم وعدوّنا فأصبحتم إلباً علی أولیائکم ، ویداً لأعدائکم من غیر عدل أفشوه فیکم ، ولا أمل أصبح لکم فیهم ، ولا ذنب کان منّا إلیکم فهلّا لکم ، الویلات إن کرهتمونا والسیف مشیّم ، والجأش طامن والرأی لم یستحصف</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تبرز المشکلة عندما یستغفل المجتمع عن روّاد إصلاحه ، وهذا المحور هوالذی قلت أنّنی لم أجده فی الأدبیات الحقوقیة ، رغم ما یرفعون من شعارات ، وهذه القضیة تمثّل ابتلاء فی المدارس الحقوقیة والقانونیة والاجتماعیة والإنسانیة ، وأمیر المؤمنین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معادلة دائماً فی حالة تجاذب، ودائماً فی حالة اصطدام ، وهی مصلحة العامة المحرومة ومصلحة الخاصّة ، لا سیّما الإقطاع ، ویقول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أحد من الرعیة أثقل علی الوالی مؤونةً فی الرخاء ، وأقلّ معونةً له فی البلاء ، وأکره للإنصاف ، وأسأل بالإلحاف ، وأقلّ شکراً عند الإعطاء ، وأبطأ عذراً عند المنع ، وأضعف صبراً عند ملمّات الدهر من أهل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عماد الدین ، وجماع المسلمین ، والعدّة للأعداء ، العامّة من الأُمّة فلیکن صغوک لهم ، ومیلک معهم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والطبقة المحرومة هی أکثر ولاء لوطنها ، وهی التی تثبت فی الشدّات معه ، وهذه الطبقة العامّة من المجتمع یرکّز علیها أمیر المؤمنین علیه السلام ، ویأمر حاکم المسلمین أن یصغی إلیها ، بدلاً من</w:t>
      </w:r>
      <w:bookmarkStart w:id="1407" w:name="pg5261_55728"/>
    </w:p>
    <w:p>
      <w:pPr>
        <w:pStyle w:val="BookText"/>
        <w:rPr/>
      </w:pPr>
      <w:bookmarkEnd w:id="1407"/>
      <w:r>
        <w:rPr>
          <w:rFonts w:ascii="IRNazanin" w:hAnsi="IRNazanin" w:eastAsia="IRNazanin"/>
          <w:color w:val="111111"/>
          <w:sz w:val="28"/>
          <w:sz w:val="28"/>
          <w:szCs w:val="28"/>
          <w:rtl w:val="true"/>
          <w:lang w:bidi="fa-IR"/>
        </w:rPr>
        <w:t xml:space="preserve">الإصغاء إلی أصحاب المصالح والإقطاعیین ، وکلّ قانون مهما کان نوعه ، قانون تجاری أو جمرکی أو زراعی أو صناعی أو إداری ، یراعی فیه مصلحة الخاصّة ولا یراعی فیه مصلحة العامّة ، فهو قانون جائر ظالم غاشم لا یراعی العدل الاجتماعی ، وتملأ فیه جیوب الإقطاع ، وتحرم من خلاله الطبقات الفقیرة والمستضعفة وعامّة الناس </w:t>
      </w:r>
      <w:r>
        <w:rPr>
          <w:rFonts w:eastAsia="IRNazanin" w:cs="IRNazanin"/>
          <w:color w:val="111111"/>
          <w:sz w:val="28"/>
          <w:szCs w:val="28"/>
          <w:rtl w:val="true"/>
          <w:lang w:bidi="fa-IR"/>
        </w:rPr>
        <w:t>.</w:t>
      </w:r>
    </w:p>
    <w:p>
      <w:pPr>
        <w:pStyle w:val="Heading4"/>
        <w:numPr>
          <w:ilvl w:val="3"/>
          <w:numId w:val="1"/>
        </w:numPr>
        <w:rPr/>
      </w:pPr>
      <w:bookmarkStart w:id="1408" w:name="__RefHeading___Toc478060_581953129"/>
      <w:bookmarkStart w:id="1409" w:name="_Toc560"/>
      <w:bookmarkEnd w:id="1408"/>
      <w:r>
        <w:rPr>
          <w:rtl w:val="true"/>
        </w:rPr>
        <w:t xml:space="preserve">المحور الثانی </w:t>
      </w:r>
      <w:r>
        <w:rPr>
          <w:rtl w:val="true"/>
        </w:rPr>
        <w:t xml:space="preserve">: </w:t>
      </w:r>
      <w:r>
        <w:rPr>
          <w:rtl w:val="true"/>
        </w:rPr>
        <w:t>ظهور مودّة الرعیة</w:t>
      </w:r>
      <w:bookmarkEnd w:id="1409"/>
    </w:p>
    <w:p>
      <w:pPr>
        <w:pStyle w:val="BookText"/>
        <w:rPr/>
      </w:pPr>
      <w:r>
        <w:rPr>
          <w:rFonts w:ascii="IRNazanin" w:hAnsi="IRNazanin" w:eastAsia="IRNazanin"/>
          <w:color w:val="111111"/>
          <w:sz w:val="28"/>
          <w:sz w:val="28"/>
          <w:szCs w:val="28"/>
          <w:rtl w:val="true"/>
          <w:lang w:bidi="fa-IR"/>
        </w:rPr>
        <w:t xml:space="preserve">وهو من المحاور المهمّة التی ذکرها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أفضل قرّة عین الولاة استقامة العدل فی البلاد ، وظهور مودّة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وظهور مودّة الرعیة ، وارتیاح عامّة الناس دلیل علی نجاح الحاکم ، ومودّة الرعیة لیست بکلام الصحف والأقلام المأجورة والصور المعلّقة هنا وهناک ، یقول أمیر المؤمنین علیه السلام فی عهده لمالک الأشتر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یستدل علی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الحکّام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یُجری اللّه لهم علی ألسن عباده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ألسنة الرعیة لا الصحف ولا الثنوات ولا النخبة المنافقة التی ترید التقرّب من السلطان بأیّ وسیلة ، وأنّ ألسنة الرعیة هی الصحف الحقیقیة والقنوات الحقیقیة ، فأمریکا دولة دیمقراطیة عادلة فی منطق الصحف والفضائیات ووسائل الإعلام ، ولکن لو أتیت لألسنة الشعوب لرأیت أنّ أمریکا دولة ظالمة مستبدّة ، وهذه هی الصحافة الحقیقیة ، ففی أمریکا وألمانیا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یسیطرون علی الثروات فی هاتین الدولتین </w:t>
      </w:r>
      <w:r>
        <w:rPr>
          <w:rFonts w:eastAsia="IRNazanin" w:cs="IRNazanin"/>
          <w:color w:val="111111"/>
          <w:sz w:val="28"/>
          <w:szCs w:val="28"/>
          <w:rtl w:val="true"/>
          <w:lang w:bidi="fa-IR"/>
        </w:rPr>
        <w:t>.</w:t>
      </w:r>
    </w:p>
    <w:p>
      <w:pPr>
        <w:pStyle w:val="Heading4"/>
        <w:numPr>
          <w:ilvl w:val="3"/>
          <w:numId w:val="1"/>
        </w:numPr>
        <w:rPr/>
      </w:pPr>
      <w:bookmarkStart w:id="1410" w:name="__RefHeading___Toc478062_581953129"/>
      <w:bookmarkStart w:id="1411" w:name="_Toc561"/>
      <w:bookmarkEnd w:id="1410"/>
      <w:r>
        <w:rPr>
          <w:rtl w:val="true"/>
        </w:rPr>
        <w:t xml:space="preserve">المحور الثالث </w:t>
      </w:r>
      <w:r>
        <w:rPr>
          <w:rtl w:val="true"/>
        </w:rPr>
        <w:t xml:space="preserve">: </w:t>
      </w:r>
      <w:r>
        <w:rPr>
          <w:rtl w:val="true"/>
        </w:rPr>
        <w:t>الشفافیة بین الحاکم والرعیة ، وخطر احتجاب الحاکم</w:t>
      </w:r>
      <w:bookmarkEnd w:id="141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المحاور الأُخری التی یذکرها أمیر المؤمنین علیه السلام فی عهده لمالک الأشتر </w:t>
      </w:r>
      <w:r>
        <w:rPr>
          <w:rFonts w:eastAsia="IRNazanin" w:cs="IRNazanin"/>
          <w:color w:val="111111"/>
          <w:sz w:val="28"/>
          <w:szCs w:val="28"/>
          <w:rtl w:val="true"/>
          <w:lang w:bidi="fa-IR"/>
        </w:rPr>
        <w:t>:</w:t>
      </w:r>
      <w:bookmarkStart w:id="1412" w:name="pg5261_55730"/>
    </w:p>
    <w:p>
      <w:pPr>
        <w:pStyle w:val="BookText"/>
        <w:rPr/>
      </w:pPr>
      <w:bookmarkEnd w:id="1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بعد ، فلا تطوّلنّ احتجابک عن رعیّتک ، فإنّ احتجاب الولاة عن الرعیة شعبة من الضّیق ، وقلّة علم بالأُمور ، والاحتجاب منهم یقطع عنهم علم ما احتجبوا دونه ، فیصغر عندهم الکبیر ، ویعظم الصغیر ، ویقبح الحسن ، ویحسن القبیح ، ویشاب الحقُ بالباطل ، وإنّما الوالی بشر لا یعرف ما تواری عنه الناس به من الأُمور ، ولیست علی الحق سمات تُعرَف بها ضروب الصدق من الکذب ، وإنّما أنت أحد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امرو سخت نفسک بالبذل فی الحق ، ففیم احتجابک من واجب حق تعطیه ، أو فعل کریم تسدیه ، أو مبتلی بالمنع ، فما أسرع کفّ الناس عن مسألتک إذا أیسوا من بذلک ، مع أنّ أکثر حاجات الناس إلیک ممّا لا مؤونة فیه علیک ، من شکاة مظلمة ، أو طلب إنصاف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الشفافیة المطلوبة التی تنادی بها البشریة المتمدّنة نادی بها أمیر المؤمنین علیه السلام قبل أربعة عشر قرناً ، ولکن یجب أن لا تتلوّث الشفافیة بدجل الإقطاع </w:t>
      </w:r>
      <w:r>
        <w:rPr>
          <w:rFonts w:eastAsia="IRNazanin" w:cs="IRNazanin"/>
          <w:color w:val="111111"/>
          <w:sz w:val="28"/>
          <w:szCs w:val="28"/>
          <w:rtl w:val="true"/>
          <w:lang w:bidi="fa-IR"/>
        </w:rPr>
        <w:t>.</w:t>
      </w:r>
    </w:p>
    <w:p>
      <w:pPr>
        <w:pStyle w:val="Heading4"/>
        <w:numPr>
          <w:ilvl w:val="3"/>
          <w:numId w:val="1"/>
        </w:numPr>
        <w:rPr/>
      </w:pPr>
      <w:bookmarkStart w:id="1413" w:name="__RefHeading___Toc478064_581953129"/>
      <w:bookmarkStart w:id="1414" w:name="_Toc562"/>
      <w:bookmarkEnd w:id="1413"/>
      <w:r>
        <w:rPr>
          <w:rtl w:val="true"/>
        </w:rPr>
        <w:t xml:space="preserve">المحور الرابع </w:t>
      </w:r>
      <w:r>
        <w:rPr>
          <w:rtl w:val="true"/>
        </w:rPr>
        <w:t xml:space="preserve">: </w:t>
      </w:r>
      <w:r>
        <w:rPr>
          <w:rtl w:val="true"/>
        </w:rPr>
        <w:t>ضمانة السلم الدولی والوفاء بالعهد</w:t>
      </w:r>
      <w:bookmarkEnd w:id="141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علیه السلام فی عهده لمالک الأشتر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عقدت بینک وبین عدوّک عقدة ، أو ألبسته منک ذمّة فحط عهدک بالوفاء ، وارع ذمّتک بالأمانة ، واجعل نفسک جُنّة دون ما أعطیت ، فإنّه لیس من فرائض اللّه شیءٌ ، الناس أشدّ علیه اجتماعاً ، مع تفرّق أهوائهم ، وتشتّت آرائهم ، من تعظیم الوفاء بالعهود ، وقد لزم ذلک المشرکون فیما بینهم دون المسلمین لما استوبلوا من عواقب الغدر ، فلا تغدرنّ بذمّتک ، ولا تخیسنّ بعهدک ، ولا تختلنّ عدوّک ، فإنّه لا یجتریءُ علی اللّه إلّاجاهلٌ شقی ، وقد جعل اللّه عهده وذمّته أمناً أفضاه بین العباد برحمته ، وحریماً یسکنون إلی مَنَعَتِه ، ویستفیضون إلی جواره ، فلا إدغالَ ولا مدالسة ولاخداع فیه ، ولا تعقد عقداً تُجوّز فیه العلل ، ولا تعوّلنّ علی لحن قول بعد التأکید والتوثقة ، ولا یدعونّک ضیق</w:t>
      </w:r>
    </w:p>
    <w:p>
      <w:pPr>
        <w:pStyle w:val="BookText"/>
        <w:rPr/>
      </w:pPr>
      <w:r>
        <w:rPr>
          <w:rFonts w:ascii="IRNazanin" w:hAnsi="IRNazanin" w:eastAsia="IRNazanin"/>
          <w:color w:val="111111"/>
          <w:sz w:val="28"/>
          <w:sz w:val="28"/>
          <w:szCs w:val="28"/>
          <w:rtl w:val="true"/>
          <w:lang w:bidi="fa-IR"/>
        </w:rPr>
        <w:t>أمر لزمک فیه عهد اللّه إلی طلب انفساخه بغیر الحق ، فإنّ صبرک علی ضیق أمر ترجو انفراجه وفضل عاقبته ، خیر من غدر تخاف تبعته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ومن المعلوم أنّ الحروب تنشأ من نکث العهود ، فإذا فقدت الثقة بین الدول ظهر التزلزل الأمنی والمباغتة العسکریة ، وهذا أیضاً بین الدول وشعوبها ، وبین أبناء الشعب الواحد ، والأمن أهم شیء بالنسبة للإنسان فی النظام الاجتماعی والنظام الدولی ، ولا یستتب الأمن إلّاعندما تثبت الثقة بین الأطراف ، والثقة تحدث بالوفاء بالعهد ، فعندما یوقّع شخص شیئاً ثمّ بعد أسابیع ینکث هذا العهد الذی أعطاه فماذا تکون النتیجة؟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إلی هذه الأصول التی ذکرها أمیر المؤمنین علیه السلام وما نادی به سید الشهداء علیه السلام ، لا سیّما فی المحور الأوّل ، فی أهداف النظام الاجتماعی ومراعاة مصلحة العامّة علی حساب مصلحة الخاصّة ، وما الذی أجهض النصر المادی للحسین علیه السلام ؟ وإن کان الفتح قد تحقق للحسین علیه السلام ؛ لأنّه فتح الأعراف وفتح السنن الاجتماعیة وفتح العقول ، فلم یسمح لبنی أمیة أن یربّوا الناس علی النهج الإقطاعی ، وفجّر نور الأمل فی الطبقات المحرومة ، واستطاع عن طریق الإباء والصبر والمثابرة أن یحقق العدل فی النظام الاجتماعی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إن تکن حبست عنّا النصر</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فالإمام الحسین علیه السلام حقق الفتح حتّی ولولم یحقق النصر ، وهناک فرق بین الفتح والنصر فی المصطلح القرآنی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فالفتح شیءٌ غیر النصر ، وکذلک فی سورة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w:t>
      </w:r>
      <w:bookmarkStart w:id="1415" w:name="pg5261_55734"/>
    </w:p>
    <w:p>
      <w:pPr>
        <w:pStyle w:val="BookText"/>
        <w:rPr/>
      </w:pPr>
      <w:bookmarkEnd w:id="1415"/>
      <w:r>
        <w:rPr>
          <w:rFonts w:ascii="IRNazanin" w:hAnsi="IRNazanin" w:eastAsia="IRNazanin"/>
          <w:color w:val="111111"/>
          <w:sz w:val="28"/>
          <w:sz w:val="28"/>
          <w:szCs w:val="28"/>
          <w:rtl w:val="true"/>
          <w:lang w:bidi="fa-IR"/>
        </w:rPr>
        <w:t xml:space="preserve">أنّ الآیة تتکلّم عن صالح الحدیبیة ، ولم تتکلّم عن غزوة أو حرب ، والبعض یخلطون بین الفتح والنصر ، والذی أجهض نصر الحسین علیه السلام المادی هو نکث العهد وشراء الذمم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والعدالة لا تتحقق إلّاإذا روعیت مصالح الأکثریة العامّة المحرومة کما قال أمیر المؤمنین علیه السلام ، وهذا ما لا یرضی الحاکم الإقطاعی ؛ ولذلک فهو یغذّی نخباً معیّنة ، ویرشیها ویشتریها ویغدق علیها حتّی یستأثر هو بالقسم الأکبر ، ویعطی هؤلاء الذین هم أصحاب المصالح قسماً من الثروات ویحرم الأکثریة من حقوقهم ، وهذا التصرّف ینطلق من بخله وحرصه وعدم أدائه لحقوق رعیّته </w:t>
      </w:r>
      <w:r>
        <w:rPr>
          <w:rFonts w:eastAsia="IRNazanin" w:cs="IRNazanin"/>
          <w:color w:val="111111"/>
          <w:sz w:val="28"/>
          <w:szCs w:val="28"/>
          <w:rtl w:val="true"/>
          <w:lang w:bidi="fa-IR"/>
        </w:rPr>
        <w:t>.</w:t>
      </w:r>
    </w:p>
    <w:p>
      <w:pPr>
        <w:pStyle w:val="Heading4"/>
        <w:numPr>
          <w:ilvl w:val="3"/>
          <w:numId w:val="1"/>
        </w:numPr>
        <w:rPr/>
      </w:pPr>
      <w:bookmarkStart w:id="1416" w:name="__RefHeading___Toc478066_581953129"/>
      <w:bookmarkStart w:id="1417" w:name="_Toc563"/>
      <w:bookmarkEnd w:id="1416"/>
      <w:r>
        <w:rPr>
          <w:rtl w:val="true"/>
        </w:rPr>
        <w:t>الأقلام المأجورة</w:t>
      </w:r>
      <w:bookmarkEnd w:id="1417"/>
    </w:p>
    <w:p>
      <w:pPr>
        <w:pStyle w:val="BookText"/>
        <w:rPr/>
      </w:pPr>
      <w:r>
        <w:rPr>
          <w:rFonts w:ascii="IRNazanin" w:hAnsi="IRNazanin" w:eastAsia="IRNazanin"/>
          <w:color w:val="111111"/>
          <w:sz w:val="28"/>
          <w:sz w:val="28"/>
          <w:szCs w:val="28"/>
          <w:rtl w:val="true"/>
          <w:lang w:bidi="fa-IR"/>
        </w:rPr>
        <w:t xml:space="preserve">هناک کتابات تحاول إسقاط الحسین علیه السلام عن رمزیّته وقیادته ، وقد ذکرت لکم فی موضع سابق عن کتاب الاستخبارات الأمریکیة الذی یعتبر الإمام الحسین نقطة قوّة فی المذهب الشیعی ، ویحاول إبعاد الشیعة عن شعائر الحسین علیه السلام ، فإذا سقطت رمزیّته علیه السلام تتغیّر خارطة المجتمع ، فحذار من إسقاط رمزیّة الحسین الذی یمثّل العدالة ، والذی لا یقض مضاجع الظّلام فقط ، وإنّما یقض مضاجع أولئک النخبة التی اشتراها الظلّام وسخّروها لخدمتهم ، فهذه النخبة تؤنّبها عدالة سید الشهداء علیه السلام ، فحذار من إسقاط رمزیّة بنی هاشم والحسین علیه السلام </w:t>
      </w:r>
      <w:r>
        <w:rPr>
          <w:rFonts w:eastAsia="IRNazanin" w:cs="IRNazanin"/>
          <w:color w:val="111111"/>
          <w:sz w:val="28"/>
          <w:szCs w:val="28"/>
          <w:rtl w:val="true"/>
          <w:lang w:bidi="fa-IR"/>
        </w:rPr>
        <w:t>.</w:t>
      </w:r>
    </w:p>
    <w:p>
      <w:pPr>
        <w:pStyle w:val="Heading4"/>
        <w:numPr>
          <w:ilvl w:val="3"/>
          <w:numId w:val="1"/>
        </w:numPr>
        <w:rPr/>
      </w:pPr>
      <w:bookmarkStart w:id="1418" w:name="__RefHeading___Toc478068_581953129"/>
      <w:bookmarkStart w:id="1419" w:name="_Toc564"/>
      <w:bookmarkEnd w:id="1418"/>
      <w:r>
        <w:rPr>
          <w:rtl w:val="true"/>
        </w:rPr>
        <w:t>حذار من الأقلام المغرضة</w:t>
      </w:r>
      <w:bookmarkEnd w:id="141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درجة أنّ بعض الأقلام تدافع عن نظام البعث ، الذی ارتکب هذه المذابح والمقابر الجماعیة ، ولا أدری لماذا هذه الوقاحة والصلافة؟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الأقلام تنتسب إلی الطائفة الشیعیة للأسف الشدید ، وقد ذکر لی الشهید السید محمّد باقر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جارنا فی قم المقدّسة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صدام قد جمع أعضاء القیادة القطریة السفاکة</w:t>
      </w:r>
    </w:p>
    <w:p>
      <w:pPr>
        <w:pStyle w:val="BookText"/>
        <w:rPr/>
      </w:pPr>
      <w:r>
        <w:rPr>
          <w:rFonts w:ascii="IRNazanin" w:hAnsi="IRNazanin" w:eastAsia="IRNazanin"/>
          <w:color w:val="111111"/>
          <w:sz w:val="28"/>
          <w:sz w:val="28"/>
          <w:szCs w:val="28"/>
          <w:rtl w:val="true"/>
          <w:lang w:bidi="fa-IR"/>
        </w:rPr>
        <w:t xml:space="preserve">الدمویة البعثیة ، وعرض علیهم شریط عن أربعینیة الحسین فسألهم ما هذا؟ فجبنوا عن الإجابة ، فقال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ثورة الحسین وبرکان الحسین لم یهدأ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زیارتنا للمراقد المقدسة کنّا نشعر أنّ البعثیین یعتبرون أنّ قبر الحسین علیه السلام یمثّل تهدیداً للبعث ، وکان البعثیون یتمنّون أن لو لم یکن هذا القبر فی العراق ، بل فی أرض نائیة </w:t>
      </w:r>
      <w:r>
        <w:rPr>
          <w:rFonts w:eastAsia="IRNazanin" w:cs="IRNazanin"/>
          <w:color w:val="111111"/>
          <w:sz w:val="28"/>
          <w:szCs w:val="28"/>
          <w:rtl w:val="true"/>
          <w:lang w:bidi="fa-IR"/>
        </w:rPr>
        <w:t>.</w:t>
      </w:r>
      <w:bookmarkStart w:id="1420" w:name="pg5261_55759"/>
    </w:p>
    <w:p>
      <w:pPr>
        <w:pStyle w:val="Heading2"/>
        <w:numPr>
          <w:ilvl w:val="1"/>
          <w:numId w:val="1"/>
        </w:numPr>
        <w:rPr/>
      </w:pPr>
      <w:bookmarkStart w:id="1421" w:name="__RefHeading___Toc478070_581953129"/>
      <w:bookmarkStart w:id="1422" w:name="_Toc565"/>
      <w:bookmarkEnd w:id="1420"/>
      <w:bookmarkEnd w:id="1421"/>
      <w:r>
        <w:rPr>
          <w:rtl w:val="true"/>
        </w:rPr>
        <w:t>المصادر</w:t>
      </w:r>
      <w:bookmarkEnd w:id="1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أبعاد النهضة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الاجتهاد بالرأی فی مدرسة الحجاز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بابکر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الزهراء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أبی المنصور أحمد بن علی بن أبی طالب الطبرسی من علماء القرن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البهادری ، محمد هادی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والنشر ،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الإحکام 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سید الحمیلی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المدرسین فی الحوزة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مصنفات الشیخ المفید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الامام أبی عبد اللّه محمد بن محمد بن النعمان العکبری ،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المعروف بتاریخ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الامثل فی تفسیر کتاب اللّه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سماعیل بن کثیر القرشی الدمشقی 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 الرحمن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الطبعة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الحسینی البحرانی 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الیعقوبی البغدادی 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ه ، 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المنصور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الشیعة لعلوم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الصدر 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صلی الله علیه و آله أبو محمد الحسن بن علی بن الحسین بن شعبة الحرّانی من أعلام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شوال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الطبعة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ابراهیم القمی من أعلام القرن الثالث الهجری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تحقیق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المشهدی ، من أعلام القرن الثانی عشر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علی بن جمعة العروسی الحویزی 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وسائل الشیعة إلی تحصل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الحرّ العاملی ت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الطوسی 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المحبین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الهذلی المسعودی ت</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حجر العسقلانی 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بمطبعة مجلس دائرة المعارف النظامیة فی الهند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المعزّی الملایری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 تاریخ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الاسلامی بیروت ، الطبعة الثانیة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الکورانی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 الطبعة الاولی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أحمد بن عبد اللّه الإصفهانی الشافعی 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منشورات مؤسسة الأعلمی للمطبوعات ،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فی ولایة الفقیه وفقه الدولة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الإسلامیة ،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ت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الصدق لنهج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المظفر ت</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العظیم والسبع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الألوسی البغدادی 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الباری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سلسلة الأحادیث الصحیحة وشیء من فقهها وفوائدها محمد ناصر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مکتیة المعارف للنشر والتوزیع ،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القزوینی 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مأمون شیحا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نور الدین علی بن ابراهیم بن أحمد الحلبی الشافعی ت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الخلیلی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الحسینی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رسالة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السید علی القبانجی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التفسیر ، الطبعة الثالثة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التفتازانی ت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11370</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علی بن محمد الجرجانی ت</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 الدین النعسانی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ابراهیم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البخاری 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النیسابوری 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سیرة النبی الأعظم صلی الله علیه و آله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والحکمة فی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تحقیق ونشر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الحدیث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أبی محمد محمود بن أحمد العینی 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محمود محمد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العواصم من القواصم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أبی بکر بن العربی المالکی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تخریج الاحادیث والتعلیق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مهدی الاستانبولی ، 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جمیل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ت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الطبعة الاولی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 الطبعة السادسة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جعفر بن محمد بن قولویة القمی 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الجمل وصفین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مخنف الکوفی 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ه ، جمع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حمید السنید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الاسلام ، الطبعة الاولی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أبی جعفر محمد بن الحسن الطوسی 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وعلی أحمد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أعثم الکوفی ت</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الطبعة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اللمع فی الرد علی أهل الزیغ والبدع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الأشعری ت</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وقدّم له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حمّوده 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الأزهریة للتراث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محمد بن أحمد بن أبی سهل السرخسی الحنفی 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محمد حسن محمد حسن اسماعیل الشافعی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الباز للنشر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تصحیح وتحقیق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 لبنان ، الطبعة الثانیة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محمد عبد الوهاب ، محمد الصادق العبیدی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الطبعة الثالثة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الطبرسی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 قم ، الطبعة السادسة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الهیثمی المصری ت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أحمد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عبد اللّه النیسابوری المعروف بالحاکم 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سنة الطبع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حسین النوری الطبرسی 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الامام أحمد بن حنبل 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بیروت الطبعة الثانیة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ابراهیم بن علی الحسن بن محمد بن صالح العاملی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 مصنفات الشیخ المفید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 الطبعة الثانیة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علی بن شهرآشوب السروی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حیاة الخلیفة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أحمد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للطباعة والنشر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علیه السلام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الحدیث فی معهد الامام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الثالثة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الطباطبائی ت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ق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الطبعة الثانیة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وفهرسة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الطبعة الاولی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کتاب الفضائل، باب وجوب امتثال ما قاله شرعاً دون ما ذکره من معایش الدنیا علی سبیل الرأی، الحدیث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شرح صحیح البخاری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المغاری ،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کعب‌ابن مالک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 الاجتهاد بالرأی فی مدرسة الحجازالفقهیة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الجنائز ، باب الکفن فی القمیص الذی یکف ، الحدیث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9850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التفسیر، سورة الحج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الفصل السادس والأربعون فیما یعمل فی شهر شوال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21272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سورة الکهف ، 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الکهف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الرقائق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العلم ، باب البدع والرأی والمقائیس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34187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کتاب فضائل أصحاب النبی، باب مناقب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بَکَتْ عَلَیْهِمُ السَّماءُ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ذیل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وأخرج ابن مردویه عن أنس بن‌مالک وبریدة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رسول اللّه صلی الله علیه و آله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بُیُوتٍ أَذِنَ اللّهُ أَنْ تُرْفَعَ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إلیه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بیوت هذه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الیه أبو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هذا البیت منها؟ البیت علی وفاطمة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ومن أفاضلها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ورد فی فضل زیارة الائمة المعصومین علیهم السلام ، وباب استحباب عمارة قبور الأئمة علیهم السلام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وارث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جملة مما یستحب للزائر من الآداب وما فیه من‌الثواب وما یستحب ترکه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21026</w:t>
      </w:r>
      <w:r>
        <w:rPr>
          <w:rFonts w:ascii="IRNazanin" w:hAnsi="IRNazanin" w:eastAsia="IRNazanin"/>
          <w:b w:val="false"/>
          <w:b w:val="false"/>
          <w:bCs w:val="false"/>
          <w:i w:val="false"/>
          <w:i w:val="false"/>
          <w:iCs w:val="false"/>
          <w:color w:val="333333"/>
          <w:sz w:val="20"/>
          <w:sz w:val="20"/>
          <w:szCs w:val="20"/>
          <w:rtl w:val="true"/>
        </w:rPr>
        <w:t xml:space="preserve">، باب جملة مما یستحب للزائر من‌الآداب وما فیه من الثواب وما یستحب ترکه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القراءة بالحزن، من أبواب قراءة القرآن ولو فی‌غیر الصلاة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یستحب البکاء لما أصاب أهل بیت النبی صلی الله علیه و آله وخصوصاً الحسین علیه 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استحباب الدعاء مع حصول البکاء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مکارم الأخلاق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البکاء علی مصیبته، ومصائب سائرالائمة علیهم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سائر ماجری علیه بعد بیعة الناس لیزید بن معاویة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23824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بِالْعُرْفِ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الْعَفْوَ وَ أْمُرْ بِالْعُرْفِ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الْعَفْوَ وَ أْمُرْ بِالْعُرْفِ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عند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الْعَفْوَ وَ أْمُرْ بِالْعُرْفِ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 باب الحلم والعفو وکظم الغیظ ، کقول‌علی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نسب أوضع من الغضب</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20874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والکفر ، باب الرفق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20490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20477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20483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13477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14985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21248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وغایة ما نقوله فی دخالة العلم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9863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الشوری المرقمة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الجمل وصفین والنهروان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الجمل وصفین والنهروان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و 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کنت لأبدأهم بالقتال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أبعاد النهضة الحسینیة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ومجاهد ،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الغزوات والوفود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غزواته صلی الله علیه و آله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غزاة مؤته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ذکره مغازیة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کتاب‌السیر ، باب معاملة الجیش مع الکفار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مکة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22799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الدعاء إلی الإسلام قبل القتال إلّالمن قوتل علی‌الدعوة وعرفها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19956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19949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شحرور فی کتابه الکتاب والقرآن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22799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جری علیه بعد بیعة الناس لیزید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13358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العتق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نفقة المملوک ورعایة حقوقه واستحباب البرّبه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الإرهاب الدولی ،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رفعت وصالح بکر الطیّار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مرکز الدراسات العربی الاوروبی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الأربعة،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هذه الآیة مسنداً عن أبی عبد اللّه عن أبیه علیهما السلام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أبی الحسن موسی بن جعفر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أبی محمد الحسن بن علی بن أبی طالب والحسین بن علی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10999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مناقب الحسن والحسین ابنی‌بنت رسول اللّه صلی الله علیه و آله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رحمة الولد وتقبیلة، کتاب الأدب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الحسن والحسین رضی اللّه‌عنهما ، کتاب فضائل أصحاب النبی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الحسن والحسین رضی اللّه‌عنهما ، کتاب فضائل النبی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المسلک الثانی فی وصف حال القتال ، خطبة الامام‌الحسین علیه السلام أمام معسکر ابن سعد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14886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علاج سیفه وکلامه مع اخته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20598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4890</w:t>
      </w:r>
      <w:r>
        <w:rPr>
          <w:rFonts w:ascii="IRNazanin" w:hAnsi="IRNazanin" w:eastAsia="IRNazanin"/>
          <w:b w:val="false"/>
          <w:b w:val="false"/>
          <w:bCs w:val="false"/>
          <w:i w:val="false"/>
          <w:i w:val="false"/>
          <w:iCs w:val="false"/>
          <w:color w:val="333333"/>
          <w:sz w:val="20"/>
          <w:sz w:val="20"/>
          <w:szCs w:val="20"/>
          <w:rtl w:val="true"/>
        </w:rPr>
        <w:t xml:space="preserve">، کتاب التفسیر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سورة الممتحنة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تَتَّخِذُوا عَدُوِّی وَ عَدُوَّکُمْ أَوْلِیاءَ</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باب أنّ العمل جزء الایمان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شواهد کلام سماحة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شهدته البحرین فی السنوات الأخیرة من تطویر فی إحیاء الشعائر الحسینیة، لا سیّما حملة الإمام الحسین علیه السلام للتبرع بالدم والموسم الحسینی ، حیث إنّ هذه الأسالیب مأخوذة من أُمم أُخری، وتمّ إدراجها فی الشعائر الحسینیة بنجاح ، حیث لاقت الکثیر من الترحیب والتلقی الإیجابی من مختلف قطاعات المجتمع الذی نظر إلیها علی أنّها ظاهرة حضاریة تعکس وعی المنتمین إلی ثقافة الإمام الحسین علیه السلام وخدمتهم لمجتمعهم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استحباب زیارة الحسین والأئمة علیهم السلام فی حال الخوف والأمن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الحائر من المواضع التی یحب اللّه أن یدعی فیها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للحدیث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وغیرهما کثیر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کدعاء کمیل، وغیره کثیر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والشاعر هو السید رضا الهندی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قصة الحسین بن علی وسبب خروجه من مکة فی طلب الإمامة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جری علیه بعد بیعة الناس لیزید بن معاویة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المحاضرة الأُولی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 مفهوم قرآنی یراد منه البراءة من الظالم ومساندة المظلوم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المؤمنون،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نُفِخَ فِی الصُّورِ فَلا أَنْسابَ ،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12728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مراسلاته الی الملوک ، وکذا دراسات فی ولایة الفقیه وفقه‌الدولة الاسلامیة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ذکر الرسائل جمیعاً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غزوة الأحزاب وبنی قریظة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الخلیفة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الإمامة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الرابع فی الإمامة ومباحثها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جری علیه بعد بیعة الناس لیزید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فی 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ما جری علیه بعد بیعة الناس لیزید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نبیّنا صلی الله علیه و آله ، باب غزوة بدر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أبو بکر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جری علیه بعد بیعة الناس لیزید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والحکمة فی الکتاب والسنة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نقلاً عن الدیوان المنسوب للإمام علی علیه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رسائل أمیر المؤمنین ،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ذیل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السَّماءَ رَفَعَها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أدلة الأشاعرة هذه والردّ علیها إلی 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الحسین بن علی سید الشهداء علیه السلام ، باب الوقائع المتأخّرة‌عن قتله علیه السلام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السَّماءَ رَفَعَها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باب أنّ الأرض لا تخلو من حجه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باب أنّ الأرض لا تخلو من حجة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13038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الافتتاح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السَّماءَ رَفَعَها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الخلیفة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9863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رسائل أمیر المؤمنین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 باب التقیّة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11981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14968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رسائل أمیر المؤمنین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13797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یحتاج إلی الإمام علیه السلام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الاحکام ،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اللّه بن مسعود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الامارة ، باب الناس تبع لقریش والخلافة فی قریش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المرضی ، باب قول المریض قوموا عنّی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الحجّة لا تقوم للّه‌علی خلقه الّا بامام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الأرض لا تخلو من حجة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علیه السلام علی أهل الکوفة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رسائل أمیر المؤمنین ، 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علیه السلام علی أهل الکوفة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رسائل أمیر المؤمنین ، 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وسائل أمیر المؤمنین ،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رسائل امیر المؤمنین ،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19088</Words>
  <Characters>80492</Characters>
  <CharactersWithSpaces>99053</CharactersWithSpaces>
  <Paragraphs>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2026-08-19T00:34:57Z</dcterms:created>
  <dc:creator>ghaemiyeh.com</dc:creator>
  <dc:description/>
  <dc:language>en-US</dc:language>
  <cp:lastModifiedBy/>
  <dcterms:modified xsi:type="dcterms:W3CDTF">2026-08-19T04:05:07Z</dcterms:modified>
  <cp:revision>1</cp:revision>
  <dc:subject/>
  <dc:title>بحوث معاصره فی الساحه الدولیه اثارات العلمانیه الغربیه حول الاسلام</dc:title>
</cp:coreProperties>
</file>

<file path=docProps/custom.xml><?xml version="1.0" encoding="utf-8"?>
<Properties xmlns="http://schemas.openxmlformats.org/officeDocument/2006/custom-properties" xmlns:vt="http://schemas.openxmlformats.org/officeDocument/2006/docPropsVTypes"/>
</file>