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بداء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2570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82572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82574_774463916">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182576_774463916">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182578_77446391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182580_774463916">
            <w:r>
              <w:rPr>
                <w:webHidden/>
                <w:rStyle w:val="IndexLink"/>
                <w:rtl w:val="true"/>
              </w:rPr>
              <w:t>حال نگاه بیندازید و ببینید</w:t>
            </w:r>
            <w:r>
              <w:rPr>
                <w:rStyle w:val="IndexLink"/>
                <w:rtl w:val="true"/>
              </w:rPr>
              <w:t>:</w:t>
              <w:tab/>
            </w:r>
            <w:r>
              <w:rPr>
                <w:rStyle w:val="IndexLink"/>
              </w:rPr>
              <w:t>14</w:t>
            </w:r>
          </w:hyperlink>
        </w:p>
        <w:p>
          <w:pPr>
            <w:pStyle w:val="Contents2"/>
            <w:tabs>
              <w:tab w:val="clear" w:pos="8743"/>
              <w:tab w:val="right" w:pos="9026" w:leader="dot"/>
            </w:tabs>
            <w:rPr/>
          </w:pPr>
          <w:hyperlink w:anchor="__RefHeading___Toc1182582_774463916">
            <w:r>
              <w:rPr>
                <w:webHidden/>
                <w:rStyle w:val="IndexLink"/>
                <w:rtl w:val="true"/>
              </w:rPr>
              <w:t>بداء در قرآن کریم</w:t>
            </w:r>
            <w:r>
              <w:rPr>
                <w:rStyle w:val="IndexLink"/>
                <w:rtl w:val="true"/>
              </w:rPr>
              <w:tab/>
            </w:r>
            <w:r>
              <w:rPr>
                <w:rStyle w:val="IndexLink"/>
              </w:rPr>
              <w:t>18</w:t>
            </w:r>
          </w:hyperlink>
        </w:p>
        <w:p>
          <w:pPr>
            <w:pStyle w:val="Contents3"/>
            <w:tabs>
              <w:tab w:val="clear" w:pos="8459"/>
              <w:tab w:val="right" w:pos="9026" w:leader="dot"/>
            </w:tabs>
            <w:rPr/>
          </w:pPr>
          <w:hyperlink w:anchor="__RefHeading___Toc1182584_77446391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82586_774463916">
            <w:r>
              <w:rPr>
                <w:webHidden/>
                <w:rStyle w:val="IndexLink"/>
                <w:rtl w:val="true"/>
              </w:rPr>
              <w:t>دلائل امامیّه در مسائل بداء</w:t>
            </w:r>
            <w:r>
              <w:rPr>
                <w:rStyle w:val="IndexLink"/>
                <w:rtl w:val="true"/>
              </w:rPr>
              <w:tab/>
            </w:r>
            <w:r>
              <w:rPr>
                <w:rStyle w:val="IndexLink"/>
              </w:rPr>
              <w:t>24</w:t>
            </w:r>
          </w:hyperlink>
        </w:p>
        <w:p>
          <w:pPr>
            <w:pStyle w:val="Contents4"/>
            <w:tabs>
              <w:tab w:val="clear" w:pos="8176"/>
              <w:tab w:val="right" w:pos="9026" w:leader="dot"/>
            </w:tabs>
            <w:rPr/>
          </w:pPr>
          <w:hyperlink w:anchor="__RefHeading___Toc1182588_77446391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182590_774463916">
            <w:r>
              <w:rPr>
                <w:webHidden/>
                <w:rStyle w:val="IndexLink"/>
              </w:rPr>
              <w:t>1</w:t>
            </w:r>
            <w:r>
              <w:rPr>
                <w:rStyle w:val="IndexLink"/>
                <w:rtl w:val="true"/>
              </w:rPr>
              <w:t xml:space="preserve">- </w:t>
            </w:r>
            <w:r>
              <w:rPr>
                <w:rStyle w:val="IndexLink"/>
                <w:rtl w:val="true"/>
              </w:rPr>
              <w:t>آیات قرآن</w:t>
            </w:r>
            <w:r>
              <w:rPr>
                <w:rStyle w:val="IndexLink"/>
                <w:rtl w:val="true"/>
              </w:rPr>
              <w:t>:</w:t>
              <w:tab/>
            </w:r>
            <w:r>
              <w:rPr>
                <w:rStyle w:val="IndexLink"/>
              </w:rPr>
              <w:t>24</w:t>
            </w:r>
          </w:hyperlink>
        </w:p>
        <w:p>
          <w:pPr>
            <w:pStyle w:val="Contents4"/>
            <w:tabs>
              <w:tab w:val="clear" w:pos="8176"/>
              <w:tab w:val="right" w:pos="9026" w:leader="dot"/>
            </w:tabs>
            <w:rPr/>
          </w:pPr>
          <w:hyperlink w:anchor="__RefHeading___Toc1182592_774463916">
            <w:r>
              <w:rPr>
                <w:webHidden/>
                <w:rStyle w:val="IndexLink"/>
              </w:rPr>
              <w:t>2</w:t>
            </w:r>
            <w:r>
              <w:rPr>
                <w:rStyle w:val="IndexLink"/>
                <w:rtl w:val="true"/>
              </w:rPr>
              <w:t xml:space="preserve">- </w:t>
            </w:r>
            <w:r>
              <w:rPr>
                <w:rStyle w:val="IndexLink"/>
                <w:rtl w:val="true"/>
              </w:rPr>
              <w:t>مسألۀ نسخ در تشریع</w:t>
            </w:r>
            <w:r>
              <w:rPr>
                <w:rStyle w:val="IndexLink"/>
                <w:rtl w:val="true"/>
              </w:rPr>
              <w:tab/>
            </w:r>
            <w:r>
              <w:rPr>
                <w:rStyle w:val="IndexLink"/>
              </w:rPr>
              <w:t>24</w:t>
            </w:r>
          </w:hyperlink>
        </w:p>
        <w:p>
          <w:pPr>
            <w:pStyle w:val="Contents4"/>
            <w:tabs>
              <w:tab w:val="clear" w:pos="8176"/>
              <w:tab w:val="right" w:pos="9026" w:leader="dot"/>
            </w:tabs>
            <w:rPr/>
          </w:pPr>
          <w:hyperlink w:anchor="__RefHeading___Toc1182594_774463916">
            <w:r>
              <w:rPr>
                <w:webHidden/>
                <w:rStyle w:val="IndexLink"/>
              </w:rPr>
              <w:t>3</w:t>
            </w:r>
            <w:r>
              <w:rPr>
                <w:rStyle w:val="IndexLink"/>
                <w:rtl w:val="true"/>
              </w:rPr>
              <w:t xml:space="preserve">- </w:t>
            </w:r>
            <w:r>
              <w:rPr>
                <w:rStyle w:val="IndexLink"/>
                <w:rtl w:val="true"/>
              </w:rPr>
              <w:t>تأثیر اعمال در سرنوشت انسان</w:t>
            </w:r>
            <w:r>
              <w:rPr>
                <w:rStyle w:val="IndexLink"/>
                <w:rtl w:val="true"/>
              </w:rPr>
              <w:t>:</w:t>
              <w:tab/>
            </w:r>
            <w:r>
              <w:rPr>
                <w:rStyle w:val="IndexLink"/>
              </w:rPr>
              <w:t>25</w:t>
            </w:r>
          </w:hyperlink>
        </w:p>
        <w:p>
          <w:pPr>
            <w:pStyle w:val="Contents3"/>
            <w:tabs>
              <w:tab w:val="clear" w:pos="8459"/>
              <w:tab w:val="right" w:pos="9026" w:leader="dot"/>
            </w:tabs>
            <w:rPr/>
          </w:pPr>
          <w:hyperlink w:anchor="__RefHeading___Toc1182596_774463916">
            <w:r>
              <w:rPr>
                <w:webHidden/>
                <w:rStyle w:val="IndexLink"/>
                <w:rtl w:val="true"/>
              </w:rPr>
              <w:t>«</w:t>
            </w:r>
            <w:r>
              <w:rPr>
                <w:rStyle w:val="IndexLink"/>
                <w:rtl w:val="true"/>
              </w:rPr>
              <w:t>بداء</w:t>
            </w:r>
            <w:r>
              <w:rPr>
                <w:rStyle w:val="IndexLink"/>
                <w:rtl w:val="true"/>
              </w:rPr>
              <w:t xml:space="preserve">» </w:t>
            </w:r>
            <w:r>
              <w:rPr>
                <w:rStyle w:val="IndexLink"/>
                <w:rtl w:val="true"/>
              </w:rPr>
              <w:t>از دیدگاه دانشمندان شیعه</w:t>
            </w:r>
            <w:r>
              <w:rPr>
                <w:rStyle w:val="IndexLink"/>
                <w:rtl w:val="true"/>
              </w:rPr>
              <w:t>:</w:t>
              <w:tab/>
            </w:r>
            <w:r>
              <w:rPr>
                <w:rStyle w:val="IndexLink"/>
              </w:rPr>
              <w:t>26</w:t>
            </w:r>
          </w:hyperlink>
        </w:p>
        <w:p>
          <w:pPr>
            <w:pStyle w:val="Contents3"/>
            <w:tabs>
              <w:tab w:val="clear" w:pos="8459"/>
              <w:tab w:val="right" w:pos="9026" w:leader="dot"/>
            </w:tabs>
            <w:rPr/>
          </w:pPr>
          <w:hyperlink w:anchor="__RefHeading___Toc1182598_774463916">
            <w:r>
              <w:rPr>
                <w:webHidden/>
                <w:rStyle w:val="IndexLink"/>
                <w:rtl w:val="true"/>
              </w:rPr>
              <w:t>نقش بداء در اعتقاد وتربیت سازنده</w:t>
            </w:r>
            <w:r>
              <w:rPr>
                <w:rStyle w:val="IndexLink"/>
                <w:rtl w:val="true"/>
              </w:rPr>
              <w:t>:</w:t>
              <w:tab/>
            </w:r>
            <w:r>
              <w:rPr>
                <w:rStyle w:val="IndexLink"/>
              </w:rPr>
              <w:t>30</w:t>
            </w:r>
          </w:hyperlink>
        </w:p>
        <w:p>
          <w:pPr>
            <w:pStyle w:val="Contents4"/>
            <w:tabs>
              <w:tab w:val="clear" w:pos="8176"/>
              <w:tab w:val="right" w:pos="9026" w:leader="dot"/>
            </w:tabs>
            <w:rPr/>
          </w:pPr>
          <w:hyperlink w:anchor="__RefHeading___Toc1182600_774463916">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182602_774463916">
            <w:r>
              <w:rPr>
                <w:webHidden/>
                <w:rStyle w:val="IndexLink"/>
              </w:rPr>
              <w:t>1</w:t>
            </w:r>
            <w:r>
              <w:rPr>
                <w:rStyle w:val="IndexLink"/>
                <w:rtl w:val="true"/>
              </w:rPr>
              <w:t xml:space="preserve">- </w:t>
            </w:r>
            <w:r>
              <w:rPr>
                <w:rStyle w:val="IndexLink"/>
                <w:rtl w:val="true"/>
              </w:rPr>
              <w:t>از نظر عقیدتی</w:t>
            </w:r>
            <w:r>
              <w:rPr>
                <w:rStyle w:val="IndexLink"/>
                <w:rtl w:val="true"/>
              </w:rPr>
              <w:t>:</w:t>
              <w:tab/>
            </w:r>
            <w:r>
              <w:rPr>
                <w:rStyle w:val="IndexLink"/>
              </w:rPr>
              <w:t>31</w:t>
            </w:r>
          </w:hyperlink>
        </w:p>
        <w:p>
          <w:pPr>
            <w:pStyle w:val="Contents4"/>
            <w:tabs>
              <w:tab w:val="clear" w:pos="8176"/>
              <w:tab w:val="right" w:pos="9026" w:leader="dot"/>
            </w:tabs>
            <w:rPr/>
          </w:pPr>
          <w:hyperlink w:anchor="__RefHeading___Toc1182604_774463916">
            <w:r>
              <w:rPr>
                <w:webHidden/>
                <w:rStyle w:val="IndexLink"/>
              </w:rPr>
              <w:t>2</w:t>
            </w:r>
            <w:r>
              <w:rPr>
                <w:rStyle w:val="IndexLink"/>
                <w:rtl w:val="true"/>
              </w:rPr>
              <w:t xml:space="preserve">- </w:t>
            </w:r>
            <w:r>
              <w:rPr>
                <w:rStyle w:val="IndexLink"/>
                <w:rtl w:val="true"/>
              </w:rPr>
              <w:t>از نظر تربیتی</w:t>
            </w:r>
            <w:r>
              <w:rPr>
                <w:rStyle w:val="IndexLink"/>
                <w:rtl w:val="true"/>
              </w:rPr>
              <w:t>:</w:t>
              <w:tab/>
            </w:r>
            <w:r>
              <w:rPr>
                <w:rStyle w:val="IndexLink"/>
              </w:rPr>
              <w:t>33</w:t>
            </w:r>
          </w:hyperlink>
        </w:p>
        <w:p>
          <w:pPr>
            <w:pStyle w:val="Contents3"/>
            <w:tabs>
              <w:tab w:val="clear" w:pos="8459"/>
              <w:tab w:val="right" w:pos="9026" w:leader="dot"/>
            </w:tabs>
            <w:rPr/>
          </w:pPr>
          <w:hyperlink w:anchor="__RefHeading___Toc1182606_774463916">
            <w:r>
              <w:rPr>
                <w:webHidden/>
                <w:rStyle w:val="IndexLink"/>
                <w:rtl w:val="true"/>
              </w:rPr>
              <w:t>پرسشهائی در باره ی بدا</w:t>
            </w:r>
            <w:r>
              <w:rPr>
                <w:rStyle w:val="IndexLink"/>
                <w:rtl w:val="true"/>
              </w:rPr>
              <w:tab/>
            </w:r>
            <w:r>
              <w:rPr>
                <w:rStyle w:val="IndexLink"/>
              </w:rPr>
              <w:t>34</w:t>
            </w:r>
          </w:hyperlink>
        </w:p>
        <w:p>
          <w:pPr>
            <w:pStyle w:val="Contents2"/>
            <w:tabs>
              <w:tab w:val="clear" w:pos="8743"/>
              <w:tab w:val="right" w:pos="9026" w:leader="dot"/>
            </w:tabs>
            <w:rPr/>
          </w:pPr>
          <w:hyperlink w:anchor="__RefHeading___Toc1182608_774463916">
            <w:r>
              <w:rPr>
                <w:webHidden/>
                <w:rStyle w:val="IndexLink"/>
                <w:rtl w:val="true"/>
              </w:rPr>
              <w:t>چکیدۀ بحث</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88_50320"/>
      <w:bookmarkStart w:id="1" w:name="pg5088_50320"/>
      <w:bookmarkEnd w:id="1"/>
    </w:p>
    <w:p>
      <w:pPr>
        <w:pStyle w:val="Heading2"/>
        <w:numPr>
          <w:ilvl w:val="1"/>
          <w:numId w:val="1"/>
        </w:numPr>
        <w:rPr/>
      </w:pPr>
      <w:bookmarkStart w:id="2" w:name="pg5088_50320"/>
      <w:bookmarkStart w:id="3" w:name="__RefHeading___Toc118257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البداء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گروه پژوهش و پاسخ به شبهات، عبدالکریم بهبهانی؛ مترجم گروهی از مترجمان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تهیه 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۲۱۸</w:t>
      </w:r>
      <w:r>
        <w:rPr>
          <w:rFonts w:eastAsia="IRNazanin" w:cs="IRNazanin"/>
          <w:color w:val="111111"/>
          <w:sz w:val="28"/>
          <w:szCs w:val="28"/>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۳۸۲۷۹۹۳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2572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تالیف گروه پژوهش و پاسخ به شبهات، عبدالکریم بهبهانی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گروهی از مترجمان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7" w:name="pg5088_50328"/>
    </w:p>
    <w:p>
      <w:pPr>
        <w:pStyle w:val="Heading2"/>
        <w:numPr>
          <w:ilvl w:val="1"/>
          <w:numId w:val="1"/>
        </w:numPr>
        <w:rPr/>
      </w:pPr>
      <w:bookmarkStart w:id="8" w:name="__RefHeading___Toc1182574_774463916"/>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w:t>
      </w:r>
    </w:p>
    <w:p>
      <w:pPr>
        <w:pStyle w:val="BookText"/>
        <w:rPr/>
      </w:pPr>
      <w:r>
        <w:rPr>
          <w:rFonts w:ascii="IRNazanin" w:hAnsi="IRNazanin" w:eastAsia="IRNazanin"/>
          <w:color w:val="111111"/>
          <w:sz w:val="28"/>
          <w:sz w:val="28"/>
          <w:szCs w:val="28"/>
          <w:rtl w:val="true"/>
          <w:lang w:bidi="fa-IR"/>
        </w:rPr>
        <w:t>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088_50332"/>
    </w:p>
    <w:p>
      <w:pPr>
        <w:pStyle w:val="Heading2"/>
        <w:numPr>
          <w:ilvl w:val="1"/>
          <w:numId w:val="1"/>
        </w:numPr>
        <w:rPr/>
      </w:pPr>
      <w:bookmarkStart w:id="11" w:name="__RefHeading___Toc1182576_774463916"/>
      <w:bookmarkStart w:id="12" w:name="_Toc4"/>
      <w:bookmarkEnd w:id="10"/>
      <w:bookmarkEnd w:id="11"/>
      <w:r>
        <w:rPr>
          <w:rtl w:val="true"/>
        </w:rPr>
        <w:t>مقدمه</w:t>
      </w:r>
      <w:bookmarkEnd w:id="12"/>
    </w:p>
    <w:p>
      <w:pPr>
        <w:pStyle w:val="Heading3"/>
        <w:numPr>
          <w:ilvl w:val="2"/>
          <w:numId w:val="1"/>
        </w:numPr>
        <w:rPr/>
      </w:pPr>
      <w:bookmarkStart w:id="13" w:name="__RefHeading___Toc1182578_77446391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5" w:name="pg5088_50336"/>
    </w:p>
    <w:p>
      <w:pPr>
        <w:pStyle w:val="BookText"/>
        <w:rPr/>
      </w:pPr>
      <w:bookmarkEnd w:id="15"/>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3"/>
        <w:numPr>
          <w:ilvl w:val="2"/>
          <w:numId w:val="1"/>
        </w:numPr>
        <w:rPr/>
      </w:pPr>
      <w:bookmarkStart w:id="16" w:name="__RefHeading___Toc1182580_774463916"/>
      <w:bookmarkStart w:id="17" w:name="_Toc6"/>
      <w:bookmarkEnd w:id="16"/>
      <w:r>
        <w:rPr>
          <w:rtl w:val="true"/>
        </w:rPr>
        <w:t>حال نگاه بیندازید و ببینید</w:t>
      </w:r>
      <w:r>
        <w:rPr>
          <w:rtl w:val="true"/>
        </w:rPr>
        <w:t>:</w:t>
      </w:r>
      <w:bookmarkEnd w:id="17"/>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8" w:name="pg5088_50340"/>
    </w:p>
    <w:p>
      <w:pPr>
        <w:pStyle w:val="Heading2"/>
        <w:numPr>
          <w:ilvl w:val="1"/>
          <w:numId w:val="1"/>
        </w:numPr>
        <w:rPr/>
      </w:pPr>
      <w:bookmarkStart w:id="19" w:name="__RefHeading___Toc1182582_774463916"/>
      <w:bookmarkStart w:id="20" w:name="_Toc7"/>
      <w:bookmarkEnd w:id="18"/>
      <w:bookmarkEnd w:id="19"/>
      <w:r>
        <w:rPr>
          <w:rtl w:val="true"/>
        </w:rPr>
        <w:t>بداء در قرآن کریم</w:t>
      </w:r>
      <w:bookmarkEnd w:id="20"/>
    </w:p>
    <w:p>
      <w:pPr>
        <w:pStyle w:val="Heading3"/>
        <w:numPr>
          <w:ilvl w:val="2"/>
          <w:numId w:val="1"/>
        </w:numPr>
        <w:rPr/>
      </w:pPr>
      <w:bookmarkStart w:id="21" w:name="__RefHeading___Toc1182584_774463916"/>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مهمّ کلامی است که بحث گسترده ای را در میان دانشمندان علم کلام بر جای نهاده است وبه همین دلیل، حاوی نکات دقیق وحسّاس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آشکاری بعد از پنهانی است و در گفتگوهای عامیانه در مورد عوض شدن نظر، فکر، اهداف ومقاصد به کار برده می شود؛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چنین بود، سپس برایش بداء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بداء به این معنا در درون خود، یک جهل گذشته ویک علم جدید دارد وهر دو از خدای تعالی منتفی است؛ زیرا علم خدای سبحان، ذاتی بوده و از جهل گذشته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کنیم، می بینیم که از دو عنصر، ترکیب یافته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گذشته وعلم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 نظر، اغراض واهداف، به تبعیت از علم فعلی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کدام یک از دو عنصر یاد شده با توحید سازگار نیست؟ اوّلی یا دوّمی ویا هر دو؟</w:t>
      </w:r>
    </w:p>
    <w:p>
      <w:pPr>
        <w:pStyle w:val="BookText"/>
        <w:rPr/>
      </w:pPr>
      <w:r>
        <w:rPr>
          <w:rFonts w:ascii="IRNazanin" w:hAnsi="IRNazanin" w:eastAsia="IRNazanin"/>
          <w:color w:val="111111"/>
          <w:sz w:val="28"/>
          <w:sz w:val="28"/>
          <w:szCs w:val="28"/>
          <w:rtl w:val="true"/>
          <w:lang w:bidi="fa-IR"/>
        </w:rPr>
        <w:t>آیا امکان دارد که آنها را از هم جدا سازیم به این شکل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 وتغییر از جهل گذشته وعلم فعلی، برگرفته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عنصر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با توحید سازگار نیست وهیچ مسلمانی نسبت جهل به خدای سبحان را نمی پذیرد و نیازی به بیان آیات وروایات در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عنصر دوّم نیز گفتنی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ذاتی وجود جهل گذشته وعارض شدن علم فعلی باشد، در این صورت هم، با توحید سازگاری ندارد و همان گونه که جهل با توحید ناسازگاراست، هر عوض شدن وتغییر ناشی از جهل نیز با توحید ناسازگار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عوض شدن، لازمۀ ذاتی جهل گذشته وعارض شدن علم فعلی وبر گرفته از آن جهل نباشد وتنها از عوامل دیگری گرفته شده باشد، در این صورت با توحید ناسازگار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عوض گشتن رأی ونظر، از لوازم ذاتی آشکار شدن علم و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وبنابر این فرض، همان گونه که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تعالی ممکن نیست،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شدن رأی ونظر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سبحان نیز ممکن نمی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نسبت دادن خود مفهوم رأی ونظر به خدای سبحان، ممکن نیست تا چه رسد به عوض شدن وتغییر آن؛ چرا که این مفهوم وابسته</w:t>
      </w:r>
    </w:p>
    <w:p>
      <w:pPr>
        <w:pStyle w:val="BookText"/>
        <w:rPr/>
      </w:pPr>
      <w:r>
        <w:rPr>
          <w:rFonts w:ascii="IRNazanin" w:hAnsi="IRNazanin" w:eastAsia="IRNazanin"/>
          <w:color w:val="111111"/>
          <w:sz w:val="28"/>
          <w:sz w:val="28"/>
          <w:szCs w:val="28"/>
          <w:rtl w:val="true"/>
          <w:lang w:bidi="fa-IR"/>
        </w:rPr>
        <w:t>به مفهوم به دست آوردن وکسب کردن علم است وعلم الهی به دست آوردنی وکسب کردنی نیست تا گفته شود این نظر ورأی خداوند است بلکه تنها علم ذاتی است که به ذات باری تعالی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پرسش، در صدد هستیم با مراجعه به قرآن، به دست آوریم که آیا در آن، آیه ای یافت می شود که تغییر وجا به جایی در یکی از دستورها، یا یکی از ابعاد را به خدای سبحان نسبت داده باشد؟</w:t>
      </w:r>
    </w:p>
    <w:p>
      <w:pPr>
        <w:pStyle w:val="BookText"/>
        <w:rPr/>
      </w:pPr>
      <w:r>
        <w:rPr>
          <w:rFonts w:ascii="IRNazanin" w:hAnsi="IRNazanin" w:eastAsia="IRNazanin"/>
          <w:color w:val="111111"/>
          <w:sz w:val="28"/>
          <w:sz w:val="28"/>
          <w:szCs w:val="28"/>
          <w:rtl w:val="true"/>
          <w:lang w:bidi="fa-IR"/>
        </w:rPr>
        <w:t>برخی در مقام پاسخ بر آمده و با عجله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تَجِدَ لِسُنَّتِ اللَّهِ تَحْوِیلا</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قرآن کریم هرگونه تغییر وجا به جایی را از خدای سبحان مردود دانسته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پاسخ، کافی نیست؛ چرا که حقیقت قرآن بر گرفته از تمام قرآن است؛ هر مسأله ای که تنها از یک بُعد معین گرفته شده باشد، فقط نیمی از حقیقت آن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هم نیمی از حقیقت را بیان می کند؛ چون تنها از یک بعد قرآن کریم بر گرفته شده است؛ حال آن که قرآن کریم، بعد دیگری دارد که تغییر وجا به جایی را به خدای سبحان نسبت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یمْحُو اللّهُ مَا یشَاء وَیثْبِتُ وَعِندَهُ أُمُّ الْکِتَابِ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چه را بخواهد محو و هر چه را بخواهد اثبات می کند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آن 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آیۀ اوّل دلالت دارد که خداوند، محو واثبات می کند و آن کنایه از تغییر وجا به جایی است، ولی آیۀ دوّم صریحاً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خودشان خواستار تغییر آن باشند، خداوند حال آنان را تغییر می دهد، پس وضعیت اقتصادی وسیاسی مردم، از مقدّرات الهی است که اگر مردم خواستار تغییر آن باشند،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وضعیت فرهنگی، از شرک به ایمان و از گمراهی به هدایت، 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دوگونه تغییر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برای حالات مردم در 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برای حالات مردم در معصیت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بپذیرند، تقدیر اوّل بر ایشان جاری می گردد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تقدیر دوّم برای آنان اجرا 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برخی از آیات، در مورد تأثیر بعضی از اعمال در روزی، سرنوشتها وآزمایشها بیان شده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مطالب،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معنای لغوی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ناسازگار با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بداء نسبت دادن جهل به خدای سبحان نیست بلکه به این معناست که خداوند به دلیل خاصّی برای بنده اش چیزی را مقدّر می فرماید، سپس طبق دلیل دیگری، تقدیرش را عوض می کند ونتیجۀ آن عمل خاصّی است که از بنده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دو صورت، این تغییر وتبدیل، وابسته به علم گذشتۀ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مخالفان از این معنا آگاه باشند، خواهند دانست که آن، مورد اتّفاق همۀ مسلمانان است واختلاف، تنها لفظی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علاّمه سید عبد الحسین شرف الدین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 بین ما واهل سنّت در مورد این مسأله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اختلاف دربارۀ این مسأله پافشاری کنند وبه دلیل اطلاق لفظ بداء آن را جایز ندانند؛ ما در مقابل حکم آنان، سر فرود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هر طور که می پسندند، عوض کنند، و در مورد برادران مؤمن شان از خدا بترسند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اطلاق لفظ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باشنیدن از آنها که واسطۀ بین بندگان وخدا هستند،</w:t>
      </w:r>
    </w:p>
    <w:p>
      <w:pPr>
        <w:pStyle w:val="BookText"/>
        <w:rPr/>
      </w:pPr>
      <w:r>
        <w:rPr>
          <w:rFonts w:ascii="IRNazanin" w:hAnsi="IRNazanin" w:eastAsia="IRNazanin"/>
          <w:color w:val="111111"/>
          <w:sz w:val="28"/>
          <w:sz w:val="28"/>
          <w:szCs w:val="28"/>
          <w:rtl w:val="true"/>
          <w:lang w:bidi="fa-IR"/>
        </w:rPr>
        <w:t xml:space="preserve">بدان رسیدم و اگر چیزی در این مورد از ایشان نمی رسید، آن را صحیح نمی دانستم؛ همان گونه که اگر ایشان نگفته بودند که خدا غضبناک می شود، خشنود می گردد، دوست می دارد وتعجّب می کند، هرگز آن را برای خدای سبحان جایز نمی دانستم، ولی از زمانی که آن را از ایشان شنیدم طبق یک سری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از درک آنها ابا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همۀ مسلمانان در این مورد اختلافی نیست وکسی که با آنها اختلاف دارد، تنها در لفظ اختلاف دارد؛ نه غیر آن ودلیل خود را در مورد اطلاق آن با چیزی توضیح دادم، که کلام در برابر آن، کم وکوتاه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شد تمام مذهب امامیه است وهر کس که از نظر مذهبی از آن فاصله بگیرد، تنها آنچه را که در اسم آن وجود دارد، منکر شده است، نه معنای آن را</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یشَاء وَیثْبِتُ وَعِندَهُ أُمُّ الْکِتَابِ فرموده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هرآنچه خدا آن را بخواهد، قبل از آن که آن را انجام دهد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وجود دارد، هیچ چیزی برای او آشکار نمی شود؛ مگر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چیزی از روی جهل، آشکار نمی شود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23" w:name="pg5088_50346"/>
    </w:p>
    <w:p>
      <w:pPr>
        <w:pStyle w:val="BookText"/>
        <w:rPr/>
      </w:pPr>
      <w:bookmarkEnd w:id="23"/>
      <w:r>
        <w:rPr>
          <w:rFonts w:ascii="IRNazanin" w:hAnsi="IRNazanin" w:eastAsia="IRNazanin"/>
          <w:color w:val="111111"/>
          <w:sz w:val="28"/>
          <w:sz w:val="28"/>
          <w:szCs w:val="28"/>
          <w:rtl w:val="true"/>
          <w:lang w:bidi="fa-IR"/>
        </w:rPr>
        <w:t>ونیزفرموده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اعتقاد دارد، چیزی که برای خدای عزّوجلّ آشکار می شود، در گذشته آن را نمی دانسته، از او بیزاری بجویید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182586_774463916"/>
      <w:bookmarkStart w:id="25" w:name="_Toc9"/>
      <w:bookmarkEnd w:id="24"/>
      <w:r>
        <w:rPr>
          <w:rtl w:val="true"/>
        </w:rPr>
        <w:t>دلائل امامیّه در مسائل بداء</w:t>
      </w:r>
      <w:bookmarkEnd w:id="25"/>
    </w:p>
    <w:p>
      <w:pPr>
        <w:pStyle w:val="Heading4"/>
        <w:numPr>
          <w:ilvl w:val="3"/>
          <w:numId w:val="1"/>
        </w:numPr>
        <w:rPr/>
      </w:pPr>
      <w:bookmarkStart w:id="26" w:name="__RefHeading___Toc1182588_774463916"/>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مهمترین دلایل امامیه در مورد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Heading4"/>
        <w:numPr>
          <w:ilvl w:val="3"/>
          <w:numId w:val="1"/>
        </w:numPr>
        <w:rPr/>
      </w:pPr>
      <w:bookmarkStart w:id="28" w:name="__RefHeading___Toc1182590_774463916"/>
      <w:bookmarkStart w:id="29" w:name="_Toc11"/>
      <w:bookmarkEnd w:id="28"/>
      <w:r>
        <w:rPr/>
        <w:t>1</w:t>
      </w:r>
      <w:r>
        <w:rPr>
          <w:rtl w:val="true"/>
        </w:rPr>
        <w:t xml:space="preserve">- </w:t>
      </w:r>
      <w:r>
        <w:rPr>
          <w:rtl w:val="true"/>
        </w:rPr>
        <w:t>آیات قرآن</w:t>
      </w:r>
      <w:r>
        <w:rPr>
          <w:rtl w:val="true"/>
        </w:rPr>
        <w:t>:</w:t>
      </w:r>
      <w:bookmarkEnd w:id="29"/>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یمْحُو اللّهُ مَا یشَاء وَیثْبِتُ وَعِندَهُ أُمُّ الْکِتَابِ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چه را بخواهد، محو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کند واُمّ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یسْأَلُهُ مَن فِی السَّمَاوَاتِ وَالأَرْضِ کُلَّ یوْمٍ هُوَ فِی شَأْنٍ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وزمین هستند، از او تقاضا می کنند واو هر روز، در شأن وکاری است</w:t>
      </w:r>
      <w:r>
        <w:rPr>
          <w:rFonts w:eastAsia="IRNazanin" w:cs="IRNazanin"/>
          <w:color w:val="111111"/>
          <w:sz w:val="28"/>
          <w:szCs w:val="28"/>
          <w:rtl w:val="true"/>
          <w:lang w:bidi="fa-IR"/>
        </w:rPr>
        <w:t>».</w:t>
      </w:r>
    </w:p>
    <w:p>
      <w:pPr>
        <w:pStyle w:val="Heading4"/>
        <w:numPr>
          <w:ilvl w:val="3"/>
          <w:numId w:val="1"/>
        </w:numPr>
        <w:rPr/>
      </w:pPr>
      <w:bookmarkStart w:id="30" w:name="__RefHeading___Toc1182592_774463916"/>
      <w:bookmarkStart w:id="31" w:name="_Toc12"/>
      <w:bookmarkEnd w:id="30"/>
      <w:r>
        <w:rPr/>
        <w:t>2</w:t>
      </w:r>
      <w:r>
        <w:rPr>
          <w:rtl w:val="true"/>
        </w:rPr>
        <w:t xml:space="preserve">- </w:t>
      </w:r>
      <w:r>
        <w:rPr>
          <w:rtl w:val="true"/>
        </w:rPr>
        <w:t>مسألۀ نسخ در تشریع</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در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وبداء نسخ تکوینی ونسخ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تشریع، در بعضی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bookmarkStart w:id="32" w:name="pg5088_50347"/>
    </w:p>
    <w:p>
      <w:pPr>
        <w:pStyle w:val="BookText"/>
        <w:rPr/>
      </w:pPr>
      <w:bookmarkEnd w:id="32"/>
      <w:r>
        <w:rPr>
          <w:rFonts w:ascii="IRNazanin" w:hAnsi="IRNazanin" w:eastAsia="IRNazanin"/>
          <w:color w:val="111111"/>
          <w:sz w:val="28"/>
          <w:sz w:val="28"/>
          <w:szCs w:val="28"/>
          <w:rtl w:val="true"/>
          <w:lang w:bidi="fa-IR"/>
        </w:rPr>
        <w:t>تغییر قبله از مسجد الاقصی به سمت کعبۀ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باشد وهیچ یک از مسلمانان در آن مخالفتی نکرده اند وهیچ یک از آنان، آن را مخالف علم ازلی خدای تعالی ومستلزم ثبوت جهل گذشتۀ او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نیز تغییری در احکام تکوین است، بدون این که جهل گذشتۀ خدا لازم آید وبدون این که مخالف علم ازلی خدای سبحان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کند، اشکال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وارد می شود، وآنچه در پاسخ به اشکالات نسخ داده اند، می توان همۀ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کوچکترین فرقی بین آن 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بداء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اشکال بر بداء، تکرار همان اشکالی است که یهودیان در مورد نسخ در تشریع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نسخ را باطل ونسبتش را به خدای سبحان، غیر ممکن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پاسخی که دانشمندان اسلام در مورد این اشکال بیان داشته وامکان نسخ در تشریع را ثابت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اشکالی در مقام مقدّس ربوبی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همان را در مورد نسخ در عالم تکوین وتدبیر نیز بیان کرد</w:t>
      </w:r>
      <w:r>
        <w:rPr>
          <w:rFonts w:eastAsia="IRNazanin" w:cs="IRNazanin"/>
          <w:color w:val="111111"/>
          <w:sz w:val="28"/>
          <w:szCs w:val="28"/>
          <w:rtl w:val="true"/>
          <w:lang w:bidi="fa-IR"/>
        </w:rPr>
        <w:t>.</w:t>
      </w:r>
    </w:p>
    <w:p>
      <w:pPr>
        <w:pStyle w:val="Heading4"/>
        <w:numPr>
          <w:ilvl w:val="3"/>
          <w:numId w:val="1"/>
        </w:numPr>
        <w:rPr/>
      </w:pPr>
      <w:bookmarkStart w:id="33" w:name="__RefHeading___Toc1182594_774463916"/>
      <w:bookmarkStart w:id="34" w:name="_Toc13"/>
      <w:bookmarkEnd w:id="33"/>
      <w:r>
        <w:rPr/>
        <w:t>3</w:t>
      </w:r>
      <w:r>
        <w:rPr>
          <w:rtl w:val="true"/>
        </w:rPr>
        <w:t xml:space="preserve">- </w:t>
      </w:r>
      <w:r>
        <w:rPr>
          <w:rtl w:val="true"/>
        </w:rPr>
        <w:t>تأثیر اعمال در سرنوشت انسان</w:t>
      </w:r>
      <w:r>
        <w:rPr>
          <w:rtl w:val="true"/>
        </w:rPr>
        <w:t>:</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یک حقیقت قطعی قرآنی است که 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نبوی 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گفتنی است که اعمال انسان از ایمان وشرک، طاعت ومعصیت، نیکی به</w:t>
      </w:r>
      <w:bookmarkStart w:id="35" w:name="pg5088_50348"/>
    </w:p>
    <w:p>
      <w:pPr>
        <w:pStyle w:val="BookText"/>
        <w:rPr/>
      </w:pPr>
      <w:bookmarkEnd w:id="35"/>
      <w:r>
        <w:rPr>
          <w:rFonts w:ascii="IRNazanin" w:hAnsi="IRNazanin" w:eastAsia="IRNazanin"/>
          <w:color w:val="111111"/>
          <w:sz w:val="28"/>
          <w:sz w:val="28"/>
          <w:szCs w:val="28"/>
          <w:rtl w:val="true"/>
          <w:lang w:bidi="fa-IR"/>
        </w:rPr>
        <w:t>پدر ومادر، عقوق آنان، انفاق بر مستمندان وجلوگیری از آن، صلۀ رحم وقطع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وبرکت وطول عمر وخوشبختی، مؤثّر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مسائل را بارها یاد آورشده وسنّت هم آن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آن 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منکران بداء باید بدانند که نتیجۀ انکار آن، انکار این گونه حقایق روشن است واگر به آن ایمان داشته باشند، همان چیزی است که امامیه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w:t>
      </w:r>
    </w:p>
    <w:p>
      <w:pPr>
        <w:pStyle w:val="Heading3"/>
        <w:numPr>
          <w:ilvl w:val="2"/>
          <w:numId w:val="1"/>
        </w:numPr>
        <w:rPr/>
      </w:pPr>
      <w:bookmarkStart w:id="36" w:name="__RefHeading___Toc1182596_774463916"/>
      <w:bookmarkStart w:id="37" w:name="_Toc14"/>
      <w:bookmarkEnd w:id="36"/>
      <w:r>
        <w:rPr>
          <w:rtl w:val="true"/>
        </w:rPr>
        <w:t>«</w:t>
      </w:r>
      <w:r>
        <w:rPr>
          <w:rtl w:val="true"/>
        </w:rPr>
        <w:t>بداء</w:t>
      </w:r>
      <w:r>
        <w:rPr>
          <w:rtl w:val="true"/>
        </w:rPr>
        <w:t xml:space="preserve">» </w:t>
      </w:r>
      <w:r>
        <w:rPr>
          <w:rtl w:val="true"/>
        </w:rPr>
        <w:t>از دیدگاه دانشمندان شیعه</w:t>
      </w:r>
      <w:r>
        <w:rPr>
          <w:rtl w:val="true"/>
        </w:rPr>
        <w:t>:</w:t>
      </w:r>
      <w:bookmarkEnd w:id="37"/>
    </w:p>
    <w:p>
      <w:pPr>
        <w:pStyle w:val="BookText"/>
        <w:rPr/>
      </w:pPr>
      <w:r>
        <w:rPr>
          <w:rFonts w:ascii="IRNazanin" w:hAnsi="IRNazanin" w:eastAsia="IRNazanin"/>
          <w:color w:val="111111"/>
          <w:sz w:val="28"/>
          <w:sz w:val="28"/>
          <w:szCs w:val="28"/>
          <w:rtl w:val="true"/>
          <w:lang w:bidi="fa-IR"/>
        </w:rPr>
        <w:t xml:space="preserve">آنچه گذشت،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شیعه در گذشته وحال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امامیه در مورد بداء،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حدوث و پیدایش یک نظر</w:t>
      </w:r>
    </w:p>
    <w:p>
      <w:pPr>
        <w:pStyle w:val="BookText"/>
        <w:rPr/>
      </w:pPr>
      <w:r>
        <w:rPr>
          <w:rFonts w:ascii="IRNazanin" w:hAnsi="IRNazanin" w:eastAsia="IRNazanin"/>
          <w:color w:val="111111"/>
          <w:sz w:val="28"/>
          <w:sz w:val="28"/>
          <w:szCs w:val="28"/>
          <w:rtl w:val="true"/>
          <w:lang w:bidi="fa-IR"/>
        </w:rPr>
        <w:t>و روشن شدن چیزی نیست که از خدا مخفی بوده باشد بلکه تمام کارهایی که در آفرینش برای او آشکار شده پیش از آن که به وجود آید، همیشه برای او معلوم بوده است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بداء در لغت، آشکار شدن است و به همین دلیل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لنا سور المدینه؛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شهر برای ما آشکار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لنا وجه الرأی؛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نظریه برای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این لفظ به خدا نسبت داده شود ، باید گفت که نسبت دادن قسمتی از آن به خدا جایز است وقسمتی از آن جایز نیست؛ اما آنچه جایز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نسخ را برساند و نسبت دادن آن به خدا یک نوع توسعه در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آنچه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شامل نسبت دادن بداء به خدای تعالی می باشد، به این معناست، نه معنایی که نسبت دادن آن به خداوند،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تحصیل علمی که قبلاً آن را نداشته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اطلاق این لفظ بر خدای متعال تشبیه است؛ یعنی آنچه دلالت بر نسخ دارد وبه وسیلۀ آن برای مکلّفان، چیزی آشکار می شود که سابقاً آشکار نبود وعلمی از آن را به دست آنان می دهد که قبلاً به دست آنان نرسیده بوده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 الله شبر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بداء دارای معانیی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معانی به خداوند جایز است و برخی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با فتحه ومد می باشد وبیشترین چیزی که در لغت به آن اطلاق شده، آشکار شدن چیزی بعد از پنهانی آن وبه دست آوردن علم بعد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وهمۀ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تعدادی غیر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ممنوع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خداوند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آن را به شیعۀ امامیه نسبت دهد، بر آنان دروغ بسته است وشیعیان امامیه از آن بیزارند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شرف الدین موسوی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آنچه شیعه در این مورد می گوید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بیماری می کاهد وگاهی بر آن می افزاید، وهمین طور است،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سلامتی، بیماری، خوشبختی، بدبختی، سختیها، مصیبتها، ایمان و کفر و دیگر چیزهایی که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 اللّهُ مَا یشَاء وَیثْبِتُ وَعِندَهُ أُمُّ الْکِتَابِ </w:t>
      </w:r>
      <w:r>
        <w:rPr>
          <w:rStyle w:val="FootnoteAnchor"/>
          <w:rtl w:val="true"/>
        </w:rPr>
        <w:footnoteReference w:id="26"/>
      </w:r>
      <w:r>
        <w:rPr>
          <w:rFonts w:ascii="IRNazanin" w:hAnsi="IRNazanin" w:eastAsia="IRNazanin"/>
          <w:color w:val="111111"/>
          <w:sz w:val="28"/>
          <w:sz w:val="28"/>
          <w:szCs w:val="28"/>
          <w:rtl w:val="true"/>
          <w:lang w:bidi="fa-IR"/>
        </w:rPr>
        <w:t>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مذهب عمر بن خطّاب، ابن مسعود، ابی وائل وقتاده است وجابر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گذشتکان دعا نموده ودر پیشگاه خدا تضرّع می کردند که آنان را از سعادتمندان قرار دهد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ائمۀ ما به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وارد شده است که صدقه</w:t>
      </w:r>
    </w:p>
    <w:p>
      <w:pPr>
        <w:pStyle w:val="BookText"/>
        <w:rPr/>
      </w:pPr>
      <w:r>
        <w:rPr>
          <w:rFonts w:ascii="IRNazanin" w:hAnsi="IRNazanin" w:eastAsia="IRNazanin"/>
          <w:color w:val="111111"/>
          <w:sz w:val="28"/>
          <w:sz w:val="28"/>
          <w:szCs w:val="28"/>
          <w:rtl w:val="true"/>
          <w:lang w:bidi="fa-IR"/>
        </w:rPr>
        <w:t xml:space="preserve">دادن، نیکی به پدر ومادر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شقاوت را به سعادت تبدیل می کند و بر طول عمر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 از مقدّرات، سودی ندارد، ولی خدا به وسیلۀ دعا آنچه از مقدّرات را بخواهد محو می کند واین همان بداء است که شیعه بدان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آن را به علّت مشابهت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نامیده اند، پس دعوای بین ما واهل سنّت، لفظی است، وبداء به آن معنایی که شیعه می گوید وما بیان داشتیم، مورد اعتقاد همۀ مسلمانان است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 بزرگ تهرانی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بداء در لغت، آشکار شدن نظریه ای است که سابقاً نبوده است وصحیح دانستن چیزی است که قبلاً معلوم نبوده وبعد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برای همۀ انسانها امکان پذیر است ولی نسبت به خدای تعالی محال است؛ چرا که مستلزم پیدایش این نظریه است که او اوّل بدان جاهل و یا از انجام آن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خدای تعالی از هر دوی آنها منزّه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بداء در اعتقاد امامیه بدان معناست که باید همۀ مسلمانان به آن اعتقاد داشته باشند؛ چرا که در مقابل یهودیانی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کارها فارغ شد ودیگر برای او امر جدیدی رخ نمی دهد</w:t>
      </w:r>
      <w:bookmarkStart w:id="38" w:name="pg5088_50352"/>
    </w:p>
    <w:p>
      <w:pPr>
        <w:pStyle w:val="BookText"/>
        <w:rPr/>
      </w:pPr>
      <w:bookmarkEnd w:id="38"/>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از سخنان یهودیان پیروی نموده ومعتقد شده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همۀ موجودات را به وجود آورد ویک دفعه آنها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ایجاد ابتدایی، دیگر چیزی از او پیدایش نمی یابد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به عقول ونفوس فلکی معتقدند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عقل اوّل را آفرید وسپس از حوزۀ ملکیت خود خارج ساخت و عقول دیگر در آن تصرّف می نمایند، پس بر هر مسلمانی بایسته است که این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ساحت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پیراسته سازد وبه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یوْمٍ هُوَ فِی شَأْنٍ </w:t>
      </w:r>
      <w:r>
        <w:rPr>
          <w:rStyle w:val="FootnoteAnchor"/>
          <w:rtl w:val="true"/>
        </w:rPr>
        <w:footnoteReference w:id="29"/>
      </w:r>
      <w:r>
        <w:rPr>
          <w:rFonts w:ascii="IRNazanin" w:hAnsi="IRNazanin" w:eastAsia="IRNazanin"/>
          <w:color w:val="111111"/>
          <w:sz w:val="28"/>
          <w:sz w:val="28"/>
          <w:szCs w:val="28"/>
          <w:rtl w:val="true"/>
          <w:lang w:bidi="fa-IR"/>
        </w:rPr>
        <w:t>معتقد باشد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182598_774463916"/>
      <w:bookmarkStart w:id="40" w:name="_Toc15"/>
      <w:bookmarkEnd w:id="39"/>
      <w:r>
        <w:rPr>
          <w:rtl w:val="true"/>
        </w:rPr>
        <w:t>نقش بداء در اعتقاد وتربیت سازنده</w:t>
      </w:r>
      <w:r>
        <w:rPr>
          <w:rtl w:val="true"/>
        </w:rPr>
        <w:t>:</w:t>
      </w:r>
      <w:bookmarkEnd w:id="40"/>
    </w:p>
    <w:p>
      <w:pPr>
        <w:pStyle w:val="Heading4"/>
        <w:numPr>
          <w:ilvl w:val="3"/>
          <w:numId w:val="1"/>
        </w:numPr>
        <w:rPr/>
      </w:pPr>
      <w:bookmarkStart w:id="41" w:name="__RefHeading___Toc1182600_774463916"/>
      <w:bookmarkStart w:id="42" w:name="_Toc16"/>
      <w:bookmarkEnd w:id="41"/>
      <w:r>
        <w:rPr>
          <w:rtl w:val="true"/>
        </w:rPr>
        <w:t>اشاره</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روشن شد که نزد همۀ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متداول قرآنی است وشیعیان امامیه با دیگر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نامگذاری که از آن اشتباهاً نسبت جهل به خدای سبحان فهمیده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نبودن این نسبت نیز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اینک برای ما مهم است، توجّه به بُعد دیگر بحث است وآن اهمّیت نظریۀ بداء نسبت به عقاید یک مسلمان می باشد</w:t>
      </w:r>
      <w:r>
        <w:rPr>
          <w:rFonts w:eastAsia="IRNazanin" w:cs="IRNazanin"/>
          <w:color w:val="111111"/>
          <w:sz w:val="28"/>
          <w:szCs w:val="28"/>
          <w:rtl w:val="true"/>
          <w:lang w:bidi="fa-IR"/>
        </w:rPr>
        <w:t>.</w:t>
      </w:r>
      <w:bookmarkStart w:id="43" w:name="pg5088_50353"/>
    </w:p>
    <w:p>
      <w:pPr>
        <w:pStyle w:val="BookText"/>
        <w:rPr/>
      </w:pPr>
      <w:bookmarkEnd w:id="43"/>
      <w:r>
        <w:rPr>
          <w:rFonts w:ascii="IRNazanin" w:hAnsi="IRNazanin" w:eastAsia="IRNazanin"/>
          <w:color w:val="111111"/>
          <w:sz w:val="28"/>
          <w:sz w:val="28"/>
          <w:szCs w:val="28"/>
          <w:rtl w:val="true"/>
          <w:lang w:bidi="fa-IR"/>
        </w:rPr>
        <w:t>افکار و اندیشه ها از جهتی بر اساس پایه های علمی و دلایل منطقی آن و از جهت دیگر بر اساس فایده وثمرۀ آن سنجیده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موضوع بداء، گاهی با حالت سؤال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دورۀ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واقع نمی رسد ودر نهایت، لغو می شود، پس خبر دادن از آن، چه فایده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نتیجۀ اعتقاد به بداء چیست؟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بداء از دو نظر دارای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عقیدتی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تربیتی</w:t>
      </w:r>
      <w:r>
        <w:rPr>
          <w:rFonts w:eastAsia="IRNazanin" w:cs="IRNazanin"/>
          <w:color w:val="111111"/>
          <w:sz w:val="28"/>
          <w:szCs w:val="28"/>
          <w:rtl w:val="true"/>
          <w:lang w:bidi="fa-IR"/>
        </w:rPr>
        <w:t>.</w:t>
      </w:r>
    </w:p>
    <w:p>
      <w:pPr>
        <w:pStyle w:val="Heading4"/>
        <w:numPr>
          <w:ilvl w:val="3"/>
          <w:numId w:val="1"/>
        </w:numPr>
        <w:rPr/>
      </w:pPr>
      <w:bookmarkStart w:id="44" w:name="__RefHeading___Toc1182602_774463916"/>
      <w:bookmarkStart w:id="45" w:name="_Toc17"/>
      <w:bookmarkEnd w:id="44"/>
      <w:r>
        <w:rPr/>
        <w:t>1</w:t>
      </w:r>
      <w:r>
        <w:rPr>
          <w:rtl w:val="true"/>
        </w:rPr>
        <w:t xml:space="preserve">- </w:t>
      </w:r>
      <w:r>
        <w:rPr>
          <w:rtl w:val="true"/>
        </w:rPr>
        <w:t>از نظر عقیدتی</w:t>
      </w:r>
      <w:r>
        <w:rPr>
          <w:rtl w:val="true"/>
        </w:rPr>
        <w:t>:</w:t>
      </w:r>
      <w:bookmarkEnd w:id="45"/>
    </w:p>
    <w:p>
      <w:pPr>
        <w:pStyle w:val="BookText"/>
        <w:rPr/>
      </w:pPr>
      <w:r>
        <w:rPr>
          <w:rFonts w:ascii="IRNazanin" w:hAnsi="IRNazanin" w:eastAsia="IRNazanin"/>
          <w:color w:val="111111"/>
          <w:sz w:val="28"/>
          <w:sz w:val="28"/>
          <w:szCs w:val="28"/>
          <w:rtl w:val="true"/>
          <w:lang w:bidi="fa-IR"/>
        </w:rPr>
        <w:t>علاّمۀ مجلسی در این باره می 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بداء، سخن را به نهایت رسانده اند تا پاسخی به یهودیان باشد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کارها ونظام آفرینش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پاسخی به معتزله باشد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موجوداتی مثل معدنها، گیاهان، حیوانات وانسانها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الان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وآفرینش آدم پیش از آفرینش فرزندانش نبوده و پیشی گرفتن آنان، تنها در آشکار شدن آنان بوده است، نه در خلقت و ایجادشان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سخن را از فلاسفه ای گرفته‌اند که معتقد به عقول و نفوس فلکی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در عقل اوّل، اثر واقعی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خدا را از ملکش عزل می دانند وحوادث را به خودشان نسبت می دهند، نه خدای عزّ وجلّ</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گفتار روشن می شود که سفارشهای فراوان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بداء، به خاطر این است که هر اندیشه ای که قدرت خدا وخواست او را در حد ومرز خاصّی محدود می سازد، باطل نموده وثابت بکند که قدرت الهی از هر جهت، حقیقتی مطلق است، حتّی از جهت تقدیری که خود خدای تعالی آن را در عالم تکوین، خلقت، تدبیر و ربوبیت مقدّر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نسبت به این مقدّرات، او را در مقابل آن بی اراده وبی اختیار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آنان در ضمن بیان تقدیر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لوح محفوظ و تغییر ناپذیر در بارۀ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بداء را مطرح کرده اند و بدین گونه بر اراده واختیار انسان و لوح محو و اثبات که خدای سبحان آن را ازآغاز به تبع اعمال دنیوی‌انسان مقدّر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نموده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اعتقاد به بدا برای تکمیل نمودن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زیاده گویی وافراط را از عقیدۀ قضا وقدر بر طرف سازد و به معنای این نباشد که اختیارات را از خدای سبحان وانسان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عقیده به قضا وقدر را به وسیلۀ بداء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تأکیدی</w:t>
      </w:r>
      <w:bookmarkStart w:id="46" w:name="pg5088_50355"/>
    </w:p>
    <w:p>
      <w:pPr>
        <w:pStyle w:val="BookText"/>
        <w:rPr/>
      </w:pPr>
      <w:bookmarkEnd w:id="46"/>
      <w:r>
        <w:rPr>
          <w:rFonts w:ascii="IRNazanin" w:hAnsi="IRNazanin" w:eastAsia="IRNazanin"/>
          <w:color w:val="111111"/>
          <w:sz w:val="28"/>
          <w:sz w:val="28"/>
          <w:szCs w:val="28"/>
          <w:rtl w:val="true"/>
          <w:lang w:bidi="fa-IR"/>
        </w:rPr>
        <w:t>است بر این که تقدیر به مرزی نمی رسد که اختیار را از خدا وانسان سلب نماید</w:t>
      </w:r>
      <w:r>
        <w:rPr>
          <w:rFonts w:eastAsia="IRNazanin" w:cs="IRNazanin"/>
          <w:color w:val="111111"/>
          <w:sz w:val="28"/>
          <w:szCs w:val="28"/>
          <w:rtl w:val="true"/>
          <w:lang w:bidi="fa-IR"/>
        </w:rPr>
        <w:t>.</w:t>
      </w:r>
    </w:p>
    <w:p>
      <w:pPr>
        <w:pStyle w:val="Heading4"/>
        <w:numPr>
          <w:ilvl w:val="3"/>
          <w:numId w:val="1"/>
        </w:numPr>
        <w:rPr/>
      </w:pPr>
      <w:bookmarkStart w:id="47" w:name="__RefHeading___Toc1182604_774463916"/>
      <w:bookmarkStart w:id="48" w:name="_Toc18"/>
      <w:bookmarkEnd w:id="47"/>
      <w:r>
        <w:rPr/>
        <w:t>2</w:t>
      </w:r>
      <w:r>
        <w:rPr>
          <w:rtl w:val="true"/>
        </w:rPr>
        <w:t xml:space="preserve">- </w:t>
      </w:r>
      <w:r>
        <w:rPr>
          <w:rtl w:val="true"/>
        </w:rPr>
        <w:t>از نظر تربیتی</w:t>
      </w:r>
      <w:r>
        <w:rPr>
          <w:rtl w:val="true"/>
        </w:rPr>
        <w:t>:</w:t>
      </w:r>
      <w:bookmarkEnd w:id="48"/>
    </w:p>
    <w:p>
      <w:pPr>
        <w:pStyle w:val="BookText"/>
        <w:rPr/>
      </w:pPr>
      <w:r>
        <w:rPr>
          <w:rFonts w:ascii="IRNazanin" w:hAnsi="IRNazanin" w:eastAsia="IRNazanin"/>
          <w:color w:val="111111"/>
          <w:sz w:val="28"/>
          <w:sz w:val="28"/>
          <w:szCs w:val="28"/>
          <w:rtl w:val="true"/>
          <w:lang w:bidi="fa-IR"/>
        </w:rPr>
        <w:t>اعتقاد به بداء دارای اثر تربیتی سازنده ای در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سفارش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منتفی دانسته وثابت کردند که خدای تعالی در هر روزی، در یک مقام است؛ از قبیل از بین بردن یکی وایجاد کردن دیگری، میراندن کسی وزنده کردن دیگری واز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بندگان تضرّع به درگاه خدا و درخواست از او، پیروزی از او ونزدیکی به او را به وسیلۀ آنچه دنیا وآخرتشان را اصلاح می کند، ترک نکنند و نسبت به صدقه دادن به فقیران، صلۀ رحم، نیکی به پدر ومادر و نیز خوبی ونیکی که در مقابل آنها وعدۀ طول عمر وزیاد شدن روزی داده شده امیدوار 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وعقیده به بداء از این نظر، با ایجاد اعتقاد به توبه وشرایط قبولی آن، نزد خداوند مساوی است، پس همان گونه که توبه در جهت سازندگی انسان، جلوگیری از یأس ونومیدی، گشودن درب آرزو، امید وایجاد روحیۀ تغییر وآمادگی برای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مثبت دارد، بداء این اثرات را در زندگی انسان به جای می گذارد بلکه بداء از لوازم توبه واعمالی مانند آن است</w:t>
      </w:r>
      <w:r>
        <w:rPr>
          <w:rFonts w:eastAsia="IRNazanin" w:cs="IRNazanin"/>
          <w:color w:val="111111"/>
          <w:sz w:val="28"/>
          <w:szCs w:val="28"/>
          <w:rtl w:val="true"/>
          <w:lang w:bidi="fa-IR"/>
        </w:rPr>
        <w:t>.</w:t>
      </w:r>
      <w:bookmarkStart w:id="49" w:name="pg5088_50356"/>
    </w:p>
    <w:p>
      <w:pPr>
        <w:pStyle w:val="BookText"/>
        <w:rPr/>
      </w:pPr>
      <w:bookmarkEnd w:id="49"/>
      <w:r>
        <w:rPr>
          <w:rFonts w:ascii="IRNazanin" w:hAnsi="IRNazanin" w:eastAsia="IRNazanin"/>
          <w:color w:val="111111"/>
          <w:sz w:val="28"/>
          <w:sz w:val="28"/>
          <w:szCs w:val="28"/>
          <w:rtl w:val="true"/>
          <w:lang w:bidi="fa-IR"/>
        </w:rPr>
        <w:t>از لوازم توبه اعتقاد به این است که قلم خدای سبحان، هنوز در لوح محو و اثبات خشک نشده است و او می تواند آنچه را بخواهد محو، یا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اساس آنچه بنده خود را به مکارم اخلاق واعمال شایسته می آراید ویا دست به اعمال ناشایست می زند، هر که را بخواهد، خوشبخت وهر که را بخواهد، بدبخت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الهی، گزافه ای نیست که تابع دلیل حکیمانه ای نباشد بلکه اگر بنده توبه کند و واجبات را بجا آورد و به حقایق الهی، چنگ زند، از صفوف اشقیا خارج وبه شمار سعادتمندان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آنچه گذشت، می توان سخن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هیچ چیزی همانند بداء پرسش نشده است </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هیچ چیزی همانند بداء بزرگ داشته نشده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پیغمبری را بر نگزید مگر آن که در او سه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بندگی وراندن شریکان واین که خدا هر آنچه بخواهد مقدم می دارد وهر آنچه بخواهد به تأخیر می اندازد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182606_774463916"/>
      <w:bookmarkStart w:id="51" w:name="_Toc19"/>
      <w:bookmarkEnd w:id="50"/>
      <w:r>
        <w:rPr>
          <w:rtl w:val="true"/>
        </w:rPr>
        <w:t>پرسشهائی در باره ی بدا</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به شرح زیر وجود دارد که بایسته است بدانها پاسخی کافی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بداء منجر به سرزدن کارهای بیهوده از سوی خدای تعالی می شود؛ چون با توجّه به این که خداوند می داند در آیندۀ نزدیک، از طرف او تغییر وبداء پیش می آید، خبر دادن از حالت اوّل بیهوده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بیهودگی در صورتی است که هدف ومنفعت مورد نظری، برای خبر دادن از حالت اوّل تصوّر نکنیم واثبات این فرض ممکن نیست، پس ممکن است در این خبر دادن، هدف ومنفعت بزرگی وجود داشته باشد که به خود بنده 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یا امام از چیزی خبر دهند، سپس در تحقّق آن چیز، بداء پیش آید، باید خبر اوّل به مصدری نسبت داده شود، حال، سؤال این است که پیامبر یا امام، در خبر دادن به چه منبع و مصدری تکیه دارند؟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نیاز به بیان یک مثال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سمّ مهلکی می خورد که قطعاً به مرگ او منجر خواهد شد؛ چنانچه شما این حادثه را مشاهده کنید، از فرا رسیدن مرگ او بعد از چند ساعت، خبر می دهید؛ این خبر دادن، به مقتضای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صادقی است واگر به علّت پیدایش مانعی، او نمیرد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حاضر شدن پزشکی که وی را کاملاً معالجه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خبر دادن، دروغ نخواهد بود واز خبرهای بدون دلیل،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آسمانی نیز که از واقع شدن برخی امور در آینده خبر می دهند، این چنین هستند؛ چرا که آنها به علّت مقتضی آن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مشروط به نرسیدن 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دائمی اند واز این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بی اطّلاعی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از رسیدن مانع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به وجود نمی آید، پس گفتنی است که خدای تعالی،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علّت حادثه با خبر ساخته، ولی خواسته است او را از رسیدن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برای بندگان پیش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بداء، منجر به این می شود که پیامبر یا امام، در معرض اتّهام به دروغ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متّهم کردن پیامبر یا امام به دروغگویی، بر عهدۀ گویندۀ‌آن است؛ اگر اتّهام از سوی کافر باشد که این مطلب در قبال نپذیرفتن ایمان به توحید ونبوّت ومعاد، از آنان بعید نیست واگر از مؤمنی سرزده که فرض این است که ایمانش، او را از این عمل باز می دارد واگر او را باز نمی دارد، آن هم دلیل بر ضعف ایمان اوست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مهم است این که بداء دلیل منطقی برای متّهم نمودن به دروغ نیست بلکه بسیاری از حالات بداء نوعی تصدیق است، مثل قصّۀ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به سر بریدن فرزندش شده بود، دستور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قربانی کردن قوچ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تصدیق دستور اوّل به سر بریدن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خبر اوّل صادق نبود، قربانی کردن گوسفند نیز به 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وعوض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bookmarkStart w:id="52" w:name="pg5088_50359"/>
    </w:p>
    <w:p>
      <w:pPr>
        <w:pStyle w:val="Heading2"/>
        <w:numPr>
          <w:ilvl w:val="1"/>
          <w:numId w:val="1"/>
        </w:numPr>
        <w:rPr/>
      </w:pPr>
      <w:bookmarkStart w:id="53" w:name="__RefHeading___Toc1182608_774463916"/>
      <w:bookmarkStart w:id="54" w:name="_Toc20"/>
      <w:bookmarkEnd w:id="52"/>
      <w:bookmarkEnd w:id="53"/>
      <w:r>
        <w:rPr>
          <w:rtl w:val="true"/>
        </w:rPr>
        <w:t>چکیدۀ بحث</w:t>
      </w:r>
      <w:bookmarkEnd w:id="54"/>
    </w:p>
    <w:p>
      <w:pPr>
        <w:pStyle w:val="BookText"/>
        <w:rPr/>
      </w:pPr>
      <w:r>
        <w:rPr>
          <w:rFonts w:ascii="IRNazanin" w:hAnsi="IRNazanin" w:eastAsia="IRNazanin"/>
          <w:color w:val="111111"/>
          <w:sz w:val="28"/>
          <w:sz w:val="28"/>
          <w:szCs w:val="28"/>
          <w:rtl w:val="true"/>
          <w:lang w:bidi="fa-IR"/>
        </w:rPr>
        <w:t xml:space="preserve">نسبت دادن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عوض شدن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خدای متعال، محال است وامامیه به آن اعتقاد ندارند بلکه آن را محال می دانند ومی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بدان اعتقاد داشته باشد، کافر است وباید از او بیزاری جست</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معقول بداء وآنچه اعتقاد به آن واجب است، آن چیزی است که در آیات قرآن کریم؛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 اللّهُ مَا یشَاء وَیثْبِتُ وَعِندَهُ أُمُّ الْکِتَابِ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این محو و اثبات، آن جاست که خداوند در ظاهر چیزی را به خاطر مصلحت، بر زبان پیامبر یا ولیّش جاری می کند وسپس آن را محو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امر جدید، غیر از آن چیزی است که در مرحلۀ اوّل ظهور پیدا کرده بود، با توجّه به این که خدا قبلاً آن را می دانسته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بداء شبیه نسخ شدن احکام ادیان گذشته به وسیلۀ دین پیامبر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ویا شبیه به نسخ شدن برخی از احکام شریعت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احکامی است که بعد از آن حکم اوّلی آمده است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کسی که به این شکل از بداء معتقد نباشد، در واقع قدرت وارادۀ مطلق خداوند را محدود ساخته است و قرآن کریم در ضمن بر شمردن برخی از عقاید یهود، به آن اشاره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الْیهُودُ یدُ اللّهِ مَغْلُولَةٌ غُلَّتْ أَیدِیهِمْ </w:t>
      </w:r>
      <w:r>
        <w:rPr>
          <w:rStyle w:val="FootnoteAnchor"/>
          <w:rtl w:val="true"/>
        </w:rPr>
        <w:footnoteReference w:id="37"/>
      </w:r>
      <w:r>
        <w:rPr>
          <w:rFonts w:ascii="IRNazanin" w:hAnsi="IRNazanin" w:eastAsia="IRNazanin"/>
          <w:color w:val="111111"/>
          <w:sz w:val="28"/>
          <w:sz w:val="28"/>
          <w:szCs w:val="28"/>
          <w:rtl w:val="true"/>
          <w:lang w:bidi="fa-IR"/>
        </w:rPr>
        <w:t>این دیدگاه در عقاید برخی از فرقه های اسلامی غیر امامیه نیز رخنه کرده‌است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اجوبۀ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اعتقادات الامامیه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المفید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مصابیح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اجوبۀ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خدا بسته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کتاب توحید، باب بداء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کتاب توحید، باب بداء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چاپ نجف اشرف، چاپ دوّم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عقائد امامیّه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6912</Words>
  <Characters>26747</Characters>
  <CharactersWithSpaces>33412</CharactersWithSpaces>
  <Paragraphs>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2026-08-18T23:06:30Z</dcterms:created>
  <dc:creator>ghaemiyeh.com</dc:creator>
  <dc:description/>
  <dc:language>en-US</dc:language>
  <cp:lastModifiedBy/>
  <dcterms:modified xsi:type="dcterms:W3CDTF">2026-08-19T02:36:32Z</dcterms:modified>
  <cp:revision>1</cp:revision>
  <dc:subject/>
  <dc:title>بداء</dc:title>
</cp:coreProperties>
</file>

<file path=docProps/custom.xml><?xml version="1.0" encoding="utf-8"?>
<Properties xmlns="http://schemas.openxmlformats.org/officeDocument/2006/custom-properties" xmlns:vt="http://schemas.openxmlformats.org/officeDocument/2006/docPropsVTypes"/>
</file>