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العقیده الشیعیه و فرقها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5143_203518539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95145_203518539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95147_203518539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295149_2035185390">
            <w:r>
              <w:rPr>
                <w:webHidden/>
                <w:rStyle w:val="IndexLink"/>
                <w:rtl w:val="true"/>
              </w:rPr>
              <w:t>شکر و تقدیر</w:t>
            </w:r>
            <w:r>
              <w:rPr>
                <w:rStyle w:val="IndexLink"/>
                <w:rtl w:val="true"/>
              </w:rPr>
              <w:tab/>
            </w:r>
            <w:r>
              <w:rPr>
                <w:rStyle w:val="IndexLink"/>
              </w:rPr>
              <w:t>9</w:t>
            </w:r>
          </w:hyperlink>
        </w:p>
        <w:p>
          <w:pPr>
            <w:pStyle w:val="Contents2"/>
            <w:tabs>
              <w:tab w:val="clear" w:pos="8743"/>
              <w:tab w:val="right" w:pos="9026" w:leader="dot"/>
            </w:tabs>
            <w:rPr/>
          </w:pPr>
          <w:hyperlink w:anchor="__RefHeading___Toc2295151_2035185390">
            <w:r>
              <w:rPr>
                <w:webHidden/>
                <w:rStyle w:val="IndexLink"/>
                <w:rtl w:val="true"/>
              </w:rPr>
              <w:t>فهرس العناوین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2295153_2035185390">
            <w:r>
              <w:rPr>
                <w:webHidden/>
                <w:rStyle w:val="IndexLink"/>
                <w:rtl w:val="true"/>
              </w:rPr>
              <w:t>مقدّمة المحقّق</w:t>
            </w:r>
            <w:r>
              <w:rPr>
                <w:rStyle w:val="IndexLink"/>
                <w:rtl w:val="true"/>
              </w:rPr>
              <w:tab/>
            </w:r>
            <w:r>
              <w:rPr>
                <w:rStyle w:val="IndexLink"/>
              </w:rPr>
              <w:t>17</w:t>
            </w:r>
          </w:hyperlink>
        </w:p>
        <w:p>
          <w:pPr>
            <w:pStyle w:val="Contents2"/>
            <w:tabs>
              <w:tab w:val="clear" w:pos="8743"/>
              <w:tab w:val="right" w:pos="9026" w:leader="dot"/>
            </w:tabs>
            <w:rPr/>
          </w:pPr>
          <w:hyperlink w:anchor="__RefHeading___Toc2295155_2035185390">
            <w:r>
              <w:rPr>
                <w:webHidden/>
                <w:rStyle w:val="IndexLink"/>
                <w:rtl w:val="true"/>
              </w:rPr>
              <w:t>تمهید</w:t>
            </w:r>
            <w:r>
              <w:rPr>
                <w:rStyle w:val="IndexLink"/>
                <w:rtl w:val="true"/>
              </w:rPr>
              <w:tab/>
            </w:r>
            <w:r>
              <w:rPr>
                <w:rStyle w:val="IndexLink"/>
              </w:rPr>
              <w:t>17</w:t>
            </w:r>
          </w:hyperlink>
        </w:p>
        <w:p>
          <w:pPr>
            <w:pStyle w:val="Contents3"/>
            <w:tabs>
              <w:tab w:val="clear" w:pos="8459"/>
              <w:tab w:val="right" w:pos="9026" w:leader="dot"/>
            </w:tabs>
            <w:rPr/>
          </w:pPr>
          <w:hyperlink w:anchor="__RefHeading___Toc2295157_203518539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295159_2035185390">
            <w:r>
              <w:rPr>
                <w:webHidden/>
                <w:rStyle w:val="IndexLink"/>
                <w:rtl w:val="true"/>
              </w:rPr>
              <w:t>الفصل الأوّل</w:t>
            </w:r>
            <w:r>
              <w:rPr>
                <w:rStyle w:val="IndexLink"/>
                <w:rtl w:val="true"/>
              </w:rPr>
              <w:t xml:space="preserve">: </w:t>
            </w:r>
            <w:r>
              <w:rPr>
                <w:rStyle w:val="IndexLink"/>
                <w:rtl w:val="true"/>
              </w:rPr>
              <w:t>فی حالة العرب بین الجاهلیّة و الإسلام</w:t>
            </w:r>
            <w:r>
              <w:rPr>
                <w:rStyle w:val="IndexLink"/>
                <w:rtl w:val="true"/>
              </w:rPr>
              <w:tab/>
            </w:r>
            <w:r>
              <w:rPr>
                <w:rStyle w:val="IndexLink"/>
              </w:rPr>
              <w:t>20</w:t>
            </w:r>
          </w:hyperlink>
        </w:p>
        <w:p>
          <w:pPr>
            <w:pStyle w:val="Contents3"/>
            <w:tabs>
              <w:tab w:val="clear" w:pos="8459"/>
              <w:tab w:val="right" w:pos="9026" w:leader="dot"/>
            </w:tabs>
            <w:rPr/>
          </w:pPr>
          <w:hyperlink w:anchor="__RefHeading___Toc2295161_2035185390">
            <w:r>
              <w:rPr>
                <w:webHidden/>
                <w:rStyle w:val="IndexLink"/>
                <w:rtl w:val="true"/>
              </w:rPr>
              <w:t>الفصل الثانی</w:t>
            </w:r>
            <w:r>
              <w:rPr>
                <w:rStyle w:val="IndexLink"/>
                <w:rtl w:val="true"/>
              </w:rPr>
              <w:t xml:space="preserve">: </w:t>
            </w:r>
            <w:r>
              <w:rPr>
                <w:rStyle w:val="IndexLink"/>
                <w:rtl w:val="true"/>
              </w:rPr>
              <w:t>أعداء الدین فی الصدر الأوّل</w:t>
            </w:r>
            <w:r>
              <w:rPr>
                <w:rStyle w:val="IndexLink"/>
                <w:rtl w:val="true"/>
              </w:rPr>
              <w:tab/>
            </w:r>
            <w:r>
              <w:rPr>
                <w:rStyle w:val="IndexLink"/>
              </w:rPr>
              <w:t>22</w:t>
            </w:r>
          </w:hyperlink>
        </w:p>
        <w:p>
          <w:pPr>
            <w:pStyle w:val="Contents3"/>
            <w:tabs>
              <w:tab w:val="clear" w:pos="8459"/>
              <w:tab w:val="right" w:pos="9026" w:leader="dot"/>
            </w:tabs>
            <w:rPr/>
          </w:pPr>
          <w:hyperlink w:anchor="__RefHeading___Toc2295163_2035185390">
            <w:r>
              <w:rPr>
                <w:webHidden/>
                <w:rStyle w:val="IndexLink"/>
                <w:rtl w:val="true"/>
              </w:rPr>
              <w:t>الفصل الثالث</w:t>
            </w:r>
            <w:r>
              <w:rPr>
                <w:rStyle w:val="IndexLink"/>
                <w:rtl w:val="true"/>
              </w:rPr>
              <w:t xml:space="preserve">: </w:t>
            </w:r>
            <w:r>
              <w:rPr>
                <w:rStyle w:val="IndexLink"/>
                <w:rtl w:val="true"/>
              </w:rPr>
              <w:t>موقف المسلمین من الکتاب و السنّة</w:t>
            </w:r>
            <w:r>
              <w:rPr>
                <w:rStyle w:val="IndexLink"/>
                <w:rtl w:val="true"/>
              </w:rPr>
              <w:tab/>
            </w:r>
            <w:r>
              <w:rPr>
                <w:rStyle w:val="IndexLink"/>
              </w:rPr>
              <w:t>23</w:t>
            </w:r>
          </w:hyperlink>
        </w:p>
        <w:p>
          <w:pPr>
            <w:pStyle w:val="Contents3"/>
            <w:tabs>
              <w:tab w:val="clear" w:pos="8459"/>
              <w:tab w:val="right" w:pos="9026" w:leader="dot"/>
            </w:tabs>
            <w:rPr/>
          </w:pPr>
          <w:hyperlink w:anchor="__RefHeading___Toc2295165_2035185390">
            <w:r>
              <w:rPr>
                <w:webHidden/>
                <w:rStyle w:val="IndexLink"/>
                <w:rtl w:val="true"/>
              </w:rPr>
              <w:t>الفصل الرابع</w:t>
            </w:r>
            <w:r>
              <w:rPr>
                <w:rStyle w:val="IndexLink"/>
                <w:rtl w:val="true"/>
              </w:rPr>
              <w:t xml:space="preserve">: </w:t>
            </w:r>
            <w:r>
              <w:rPr>
                <w:rStyle w:val="IndexLink"/>
                <w:rtl w:val="true"/>
              </w:rPr>
              <w:t>أصول الفرق الإسلامیّة فی الصدر الأوّل</w:t>
            </w:r>
            <w:r>
              <w:rPr>
                <w:rStyle w:val="IndexLink"/>
                <w:rtl w:val="true"/>
              </w:rPr>
              <w:tab/>
            </w:r>
            <w:r>
              <w:rPr>
                <w:rStyle w:val="IndexLink"/>
              </w:rPr>
              <w:t>26</w:t>
            </w:r>
          </w:hyperlink>
        </w:p>
        <w:p>
          <w:pPr>
            <w:pStyle w:val="Contents4"/>
            <w:tabs>
              <w:tab w:val="clear" w:pos="8176"/>
              <w:tab w:val="right" w:pos="9026" w:leader="dot"/>
            </w:tabs>
            <w:rPr/>
          </w:pPr>
          <w:hyperlink w:anchor="__RefHeading___Toc2295167_203518539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295169_2035185390">
            <w:r>
              <w:rPr>
                <w:webHidden/>
                <w:rStyle w:val="IndexLink"/>
                <w:rtl w:val="true"/>
              </w:rPr>
              <w:t>الشیعة فی اللغة و الاصطلاح</w:t>
            </w:r>
            <w:r>
              <w:rPr>
                <w:rStyle w:val="IndexLink"/>
                <w:rtl w:val="true"/>
              </w:rPr>
              <w:tab/>
            </w:r>
            <w:r>
              <w:rPr>
                <w:rStyle w:val="IndexLink"/>
              </w:rPr>
              <w:t>27</w:t>
            </w:r>
          </w:hyperlink>
        </w:p>
        <w:p>
          <w:pPr>
            <w:pStyle w:val="Contents4"/>
            <w:tabs>
              <w:tab w:val="clear" w:pos="8176"/>
              <w:tab w:val="right" w:pos="9026" w:leader="dot"/>
            </w:tabs>
            <w:rPr/>
          </w:pPr>
          <w:hyperlink w:anchor="__RefHeading___Toc2295171_2035185390">
            <w:r>
              <w:rPr>
                <w:webHidden/>
                <w:rStyle w:val="IndexLink"/>
                <w:rtl w:val="true"/>
              </w:rPr>
              <w:t>متی نشأ التشیّع ؟</w:t>
            </w:r>
            <w:r>
              <w:rPr>
                <w:rStyle w:val="IndexLink"/>
                <w:rtl w:val="true"/>
              </w:rPr>
              <w:tab/>
            </w:r>
            <w:r>
              <w:rPr>
                <w:rStyle w:val="IndexLink"/>
              </w:rPr>
              <w:t>29</w:t>
            </w:r>
          </w:hyperlink>
        </w:p>
        <w:p>
          <w:pPr>
            <w:pStyle w:val="Contents4"/>
            <w:tabs>
              <w:tab w:val="clear" w:pos="8176"/>
              <w:tab w:val="right" w:pos="9026" w:leader="dot"/>
            </w:tabs>
            <w:rPr/>
          </w:pPr>
          <w:hyperlink w:anchor="__RefHeading___Toc2295173_2035185390">
            <w:r>
              <w:rPr>
                <w:webHidden/>
                <w:rStyle w:val="IndexLink"/>
                <w:rtl w:val="true"/>
              </w:rPr>
              <w:t>الخوارج و نشأتهم</w:t>
            </w:r>
            <w:r>
              <w:rPr>
                <w:rStyle w:val="IndexLink"/>
                <w:rtl w:val="true"/>
              </w:rPr>
              <w:tab/>
            </w:r>
            <w:r>
              <w:rPr>
                <w:rStyle w:val="IndexLink"/>
              </w:rPr>
              <w:t>31</w:t>
            </w:r>
          </w:hyperlink>
        </w:p>
        <w:p>
          <w:pPr>
            <w:pStyle w:val="Contents4"/>
            <w:tabs>
              <w:tab w:val="clear" w:pos="8176"/>
              <w:tab w:val="right" w:pos="9026" w:leader="dot"/>
            </w:tabs>
            <w:rPr/>
          </w:pPr>
          <w:hyperlink w:anchor="__RefHeading___Toc2295175_2035185390">
            <w:r>
              <w:rPr>
                <w:webHidden/>
                <w:rStyle w:val="IndexLink"/>
                <w:rtl w:val="true"/>
              </w:rPr>
              <w:t>المرجئة و فکرتهم</w:t>
            </w:r>
            <w:r>
              <w:rPr>
                <w:rStyle w:val="IndexLink"/>
                <w:rtl w:val="true"/>
              </w:rPr>
              <w:tab/>
            </w:r>
            <w:r>
              <w:rPr>
                <w:rStyle w:val="IndexLink"/>
              </w:rPr>
              <w:t>32</w:t>
            </w:r>
          </w:hyperlink>
        </w:p>
        <w:p>
          <w:pPr>
            <w:pStyle w:val="Contents4"/>
            <w:tabs>
              <w:tab w:val="clear" w:pos="8176"/>
              <w:tab w:val="right" w:pos="9026" w:leader="dot"/>
            </w:tabs>
            <w:rPr/>
          </w:pPr>
          <w:hyperlink w:anchor="__RefHeading___Toc2295177_2035185390">
            <w:r>
              <w:rPr>
                <w:webHidden/>
                <w:rStyle w:val="IndexLink"/>
                <w:rtl w:val="true"/>
              </w:rPr>
              <w:t>الاعتزال منشؤه و مؤسّسوه</w:t>
            </w:r>
            <w:r>
              <w:rPr>
                <w:rStyle w:val="IndexLink"/>
                <w:rtl w:val="true"/>
              </w:rPr>
              <w:tab/>
            </w:r>
            <w:r>
              <w:rPr>
                <w:rStyle w:val="IndexLink"/>
              </w:rPr>
              <w:t>37</w:t>
            </w:r>
          </w:hyperlink>
        </w:p>
        <w:p>
          <w:pPr>
            <w:pStyle w:val="Contents3"/>
            <w:tabs>
              <w:tab w:val="clear" w:pos="8459"/>
              <w:tab w:val="right" w:pos="9026" w:leader="dot"/>
            </w:tabs>
            <w:rPr/>
          </w:pPr>
          <w:hyperlink w:anchor="__RefHeading___Toc2295179_2035185390">
            <w:r>
              <w:rPr>
                <w:webHidden/>
                <w:rStyle w:val="IndexLink"/>
                <w:rtl w:val="true"/>
              </w:rPr>
              <w:t>الفصل الخامس</w:t>
            </w:r>
            <w:r>
              <w:rPr>
                <w:rStyle w:val="IndexLink"/>
                <w:rtl w:val="true"/>
              </w:rPr>
              <w:t xml:space="preserve">: </w:t>
            </w:r>
            <w:r>
              <w:rPr>
                <w:rStyle w:val="IndexLink"/>
                <w:rtl w:val="true"/>
              </w:rPr>
              <w:t>المسائل الخلافیّات و نُشوء علم الکلام</w:t>
            </w:r>
            <w:r>
              <w:rPr>
                <w:rStyle w:val="IndexLink"/>
                <w:rtl w:val="true"/>
              </w:rPr>
              <w:tab/>
            </w:r>
            <w:r>
              <w:rPr>
                <w:rStyle w:val="IndexLink"/>
              </w:rPr>
              <w:t>39</w:t>
            </w:r>
          </w:hyperlink>
        </w:p>
        <w:p>
          <w:pPr>
            <w:pStyle w:val="Contents3"/>
            <w:tabs>
              <w:tab w:val="clear" w:pos="8459"/>
              <w:tab w:val="right" w:pos="9026" w:leader="dot"/>
            </w:tabs>
            <w:rPr/>
          </w:pPr>
          <w:hyperlink w:anchor="__RefHeading___Toc2295181_2035185390">
            <w:r>
              <w:rPr>
                <w:webHidden/>
                <w:rStyle w:val="IndexLink"/>
                <w:rtl w:val="true"/>
              </w:rPr>
              <w:t>الفصل السادس</w:t>
            </w:r>
            <w:r>
              <w:rPr>
                <w:rStyle w:val="IndexLink"/>
                <w:rtl w:val="true"/>
              </w:rPr>
              <w:t xml:space="preserve">: </w:t>
            </w:r>
            <w:r>
              <w:rPr>
                <w:rStyle w:val="IndexLink"/>
                <w:rtl w:val="true"/>
              </w:rPr>
              <w:t>تاریخ الشیعة نشأةً و فکرةً و حرکةً علمیّة</w:t>
            </w:r>
            <w:r>
              <w:rPr>
                <w:rStyle w:val="IndexLink"/>
                <w:rtl w:val="true"/>
              </w:rPr>
              <w:tab/>
            </w:r>
            <w:r>
              <w:rPr>
                <w:rStyle w:val="IndexLink"/>
              </w:rPr>
              <w:t>43</w:t>
            </w:r>
          </w:hyperlink>
        </w:p>
        <w:p>
          <w:pPr>
            <w:pStyle w:val="Contents4"/>
            <w:tabs>
              <w:tab w:val="clear" w:pos="8176"/>
              <w:tab w:val="right" w:pos="9026" w:leader="dot"/>
            </w:tabs>
            <w:rPr/>
          </w:pPr>
          <w:hyperlink w:anchor="__RefHeading___Toc2295183_203518539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295185_2035185390">
            <w:r>
              <w:rPr>
                <w:webHidden/>
                <w:rStyle w:val="IndexLink"/>
                <w:rtl w:val="true"/>
              </w:rPr>
              <w:t>لمحة سریعة فی مؤلّفی الفرق و مؤلَّفاتهم</w:t>
            </w:r>
            <w:r>
              <w:rPr>
                <w:rStyle w:val="IndexLink"/>
                <w:rtl w:val="true"/>
              </w:rPr>
              <w:tab/>
            </w:r>
            <w:r>
              <w:rPr>
                <w:rStyle w:val="IndexLink"/>
              </w:rPr>
              <w:t>52</w:t>
            </w:r>
          </w:hyperlink>
        </w:p>
        <w:p>
          <w:pPr>
            <w:pStyle w:val="Contents3"/>
            <w:tabs>
              <w:tab w:val="clear" w:pos="8459"/>
              <w:tab w:val="right" w:pos="9026" w:leader="dot"/>
            </w:tabs>
            <w:rPr/>
          </w:pPr>
          <w:hyperlink w:anchor="__RefHeading___Toc2295187_2035185390">
            <w:r>
              <w:rPr>
                <w:webHidden/>
                <w:rStyle w:val="IndexLink"/>
                <w:rtl w:val="true"/>
              </w:rPr>
              <w:t>الفصل السابع</w:t>
            </w:r>
            <w:r>
              <w:rPr>
                <w:rStyle w:val="IndexLink"/>
                <w:rtl w:val="true"/>
              </w:rPr>
              <w:t xml:space="preserve">: </w:t>
            </w:r>
            <w:r>
              <w:rPr>
                <w:rStyle w:val="IndexLink"/>
                <w:rtl w:val="true"/>
              </w:rPr>
              <w:t>مؤلّف الکتاب</w:t>
            </w:r>
            <w:r>
              <w:rPr>
                <w:rStyle w:val="IndexLink"/>
                <w:rtl w:val="true"/>
              </w:rPr>
              <w:tab/>
            </w:r>
            <w:r>
              <w:rPr>
                <w:rStyle w:val="IndexLink"/>
              </w:rPr>
              <w:t>54</w:t>
            </w:r>
          </w:hyperlink>
        </w:p>
        <w:p>
          <w:pPr>
            <w:pStyle w:val="Contents4"/>
            <w:tabs>
              <w:tab w:val="clear" w:pos="8176"/>
              <w:tab w:val="right" w:pos="9026" w:leader="dot"/>
            </w:tabs>
            <w:rPr/>
          </w:pPr>
          <w:hyperlink w:anchor="__RefHeading___Toc2295189_2035185390">
            <w:r>
              <w:rPr>
                <w:webHidden/>
                <w:rStyle w:val="IndexLink"/>
                <w:rtl w:val="true"/>
              </w:rPr>
              <w:t>اسمه و نسبه</w:t>
            </w:r>
            <w:r>
              <w:rPr>
                <w:rStyle w:val="IndexLink"/>
                <w:rtl w:val="true"/>
              </w:rPr>
              <w:tab/>
            </w:r>
            <w:r>
              <w:rPr>
                <w:rStyle w:val="IndexLink"/>
              </w:rPr>
              <w:t>54</w:t>
            </w:r>
          </w:hyperlink>
        </w:p>
        <w:p>
          <w:pPr>
            <w:pStyle w:val="Contents4"/>
            <w:tabs>
              <w:tab w:val="clear" w:pos="8176"/>
              <w:tab w:val="right" w:pos="9026" w:leader="dot"/>
            </w:tabs>
            <w:rPr/>
          </w:pPr>
          <w:hyperlink w:anchor="__RefHeading___Toc2295191_2035185390">
            <w:r>
              <w:rPr>
                <w:webHidden/>
                <w:rStyle w:val="IndexLink"/>
                <w:rtl w:val="true"/>
              </w:rPr>
              <w:t>مولده و وفاته</w:t>
            </w:r>
            <w:r>
              <w:rPr>
                <w:rStyle w:val="IndexLink"/>
                <w:rtl w:val="true"/>
              </w:rPr>
              <w:tab/>
            </w:r>
            <w:r>
              <w:rPr>
                <w:rStyle w:val="IndexLink"/>
              </w:rPr>
              <w:t>54</w:t>
            </w:r>
          </w:hyperlink>
        </w:p>
        <w:p>
          <w:pPr>
            <w:pStyle w:val="Contents4"/>
            <w:tabs>
              <w:tab w:val="clear" w:pos="8176"/>
              <w:tab w:val="right" w:pos="9026" w:leader="dot"/>
            </w:tabs>
            <w:rPr/>
          </w:pPr>
          <w:hyperlink w:anchor="__RefHeading___Toc2295193_2035185390">
            <w:r>
              <w:rPr>
                <w:webHidden/>
                <w:rStyle w:val="IndexLink"/>
                <w:rtl w:val="true"/>
              </w:rPr>
              <w:t>أسرته</w:t>
            </w:r>
            <w:r>
              <w:rPr>
                <w:rStyle w:val="IndexLink"/>
                <w:rtl w:val="true"/>
              </w:rPr>
              <w:tab/>
            </w:r>
            <w:r>
              <w:rPr>
                <w:rStyle w:val="IndexLink"/>
              </w:rPr>
              <w:t>54</w:t>
            </w:r>
          </w:hyperlink>
        </w:p>
        <w:p>
          <w:pPr>
            <w:pStyle w:val="Contents4"/>
            <w:tabs>
              <w:tab w:val="clear" w:pos="8176"/>
              <w:tab w:val="right" w:pos="9026" w:leader="dot"/>
            </w:tabs>
            <w:rPr/>
          </w:pPr>
          <w:hyperlink w:anchor="__RefHeading___Toc2295195_2035185390">
            <w:r>
              <w:rPr>
                <w:webHidden/>
                <w:rStyle w:val="IndexLink"/>
                <w:rtl w:val="true"/>
              </w:rPr>
              <w:t>حیاته العلمیّة</w:t>
            </w:r>
            <w:r>
              <w:rPr>
                <w:rStyle w:val="IndexLink"/>
                <w:rtl w:val="true"/>
              </w:rPr>
              <w:tab/>
            </w:r>
            <w:r>
              <w:rPr>
                <w:rStyle w:val="IndexLink"/>
              </w:rPr>
              <w:t>58</w:t>
            </w:r>
          </w:hyperlink>
        </w:p>
        <w:p>
          <w:pPr>
            <w:pStyle w:val="Contents4"/>
            <w:tabs>
              <w:tab w:val="clear" w:pos="8176"/>
              <w:tab w:val="right" w:pos="9026" w:leader="dot"/>
            </w:tabs>
            <w:rPr/>
          </w:pPr>
          <w:hyperlink w:anchor="__RefHeading___Toc2295197_2035185390">
            <w:r>
              <w:rPr>
                <w:webHidden/>
                <w:rStyle w:val="IndexLink"/>
                <w:rtl w:val="true"/>
              </w:rPr>
              <w:t>ملامح من سیرته</w:t>
            </w:r>
            <w:r>
              <w:rPr>
                <w:rStyle w:val="IndexLink"/>
                <w:rtl w:val="true"/>
              </w:rPr>
              <w:tab/>
            </w:r>
            <w:r>
              <w:rPr>
                <w:rStyle w:val="IndexLink"/>
              </w:rPr>
              <w:t>59</w:t>
            </w:r>
          </w:hyperlink>
        </w:p>
        <w:p>
          <w:pPr>
            <w:pStyle w:val="Contents4"/>
            <w:tabs>
              <w:tab w:val="clear" w:pos="8176"/>
              <w:tab w:val="right" w:pos="9026" w:leader="dot"/>
            </w:tabs>
            <w:rPr/>
          </w:pPr>
          <w:hyperlink w:anchor="__RefHeading___Toc2295199_2035185390">
            <w:r>
              <w:rPr>
                <w:webHidden/>
                <w:rStyle w:val="IndexLink"/>
                <w:rtl w:val="true"/>
              </w:rPr>
              <w:t>إجازاته</w:t>
            </w:r>
            <w:r>
              <w:rPr>
                <w:rStyle w:val="IndexLink"/>
                <w:rtl w:val="true"/>
              </w:rPr>
              <w:tab/>
            </w:r>
            <w:r>
              <w:rPr>
                <w:rStyle w:val="IndexLink"/>
              </w:rPr>
              <w:t>60</w:t>
            </w:r>
          </w:hyperlink>
        </w:p>
        <w:p>
          <w:pPr>
            <w:pStyle w:val="Contents4"/>
            <w:tabs>
              <w:tab w:val="clear" w:pos="8176"/>
              <w:tab w:val="right" w:pos="9026" w:leader="dot"/>
            </w:tabs>
            <w:rPr/>
          </w:pPr>
          <w:hyperlink w:anchor="__RefHeading___Toc2295201_2035185390">
            <w:r>
              <w:rPr>
                <w:webHidden/>
                <w:rStyle w:val="IndexLink"/>
                <w:rtl w:val="true"/>
              </w:rPr>
              <w:t>مؤلّفاته</w:t>
            </w:r>
            <w:r>
              <w:rPr>
                <w:rStyle w:val="IndexLink"/>
                <w:rtl w:val="true"/>
              </w:rPr>
              <w:tab/>
            </w:r>
            <w:r>
              <w:rPr>
                <w:rStyle w:val="IndexLink"/>
              </w:rPr>
              <w:t>62</w:t>
            </w:r>
          </w:hyperlink>
        </w:p>
        <w:p>
          <w:pPr>
            <w:pStyle w:val="Contents2"/>
            <w:tabs>
              <w:tab w:val="clear" w:pos="8743"/>
              <w:tab w:val="right" w:pos="9026" w:leader="dot"/>
            </w:tabs>
            <w:rPr/>
          </w:pPr>
          <w:hyperlink w:anchor="__RefHeading___Toc2295203_2035185390">
            <w:r>
              <w:rPr>
                <w:webHidden/>
                <w:rStyle w:val="IndexLink"/>
                <w:rtl w:val="true"/>
              </w:rPr>
              <w:t>الکتاب الحاضر</w:t>
            </w:r>
            <w:r>
              <w:rPr>
                <w:rStyle w:val="IndexLink"/>
                <w:rtl w:val="true"/>
              </w:rPr>
              <w:tab/>
            </w:r>
            <w:r>
              <w:rPr>
                <w:rStyle w:val="IndexLink"/>
              </w:rPr>
              <w:t>63</w:t>
            </w:r>
          </w:hyperlink>
        </w:p>
        <w:p>
          <w:pPr>
            <w:pStyle w:val="Contents2"/>
            <w:tabs>
              <w:tab w:val="clear" w:pos="8743"/>
              <w:tab w:val="right" w:pos="9026" w:leader="dot"/>
            </w:tabs>
            <w:rPr/>
          </w:pPr>
          <w:hyperlink w:anchor="__RefHeading___Toc2295205_2035185390">
            <w:r>
              <w:rPr>
                <w:webHidden/>
                <w:rStyle w:val="IndexLink"/>
                <w:rtl w:val="true"/>
              </w:rPr>
              <w:t>منهجنا فی تحقیق الکتاب</w:t>
            </w:r>
            <w:r>
              <w:rPr>
                <w:rStyle w:val="IndexLink"/>
                <w:rtl w:val="true"/>
              </w:rPr>
              <w:tab/>
            </w:r>
            <w:r>
              <w:rPr>
                <w:rStyle w:val="IndexLink"/>
              </w:rPr>
              <w:t>65</w:t>
            </w:r>
          </w:hyperlink>
        </w:p>
        <w:p>
          <w:pPr>
            <w:pStyle w:val="Contents2"/>
            <w:tabs>
              <w:tab w:val="clear" w:pos="8743"/>
              <w:tab w:val="right" w:pos="9026" w:leader="dot"/>
            </w:tabs>
            <w:rPr/>
          </w:pPr>
          <w:hyperlink w:anchor="__RefHeading___Toc2295207_2035185390">
            <w:r>
              <w:rPr>
                <w:webHidden/>
                <w:rStyle w:val="IndexLink"/>
                <w:rtl w:val="true"/>
              </w:rPr>
              <w:t>مقدّمة الکتاب</w:t>
            </w:r>
            <w:r>
              <w:rPr>
                <w:rStyle w:val="IndexLink"/>
                <w:rtl w:val="true"/>
              </w:rPr>
              <w:tab/>
            </w:r>
            <w:r>
              <w:rPr>
                <w:rStyle w:val="IndexLink"/>
              </w:rPr>
              <w:t>67</w:t>
            </w:r>
          </w:hyperlink>
        </w:p>
        <w:p>
          <w:pPr>
            <w:pStyle w:val="Contents2"/>
            <w:tabs>
              <w:tab w:val="clear" w:pos="8743"/>
              <w:tab w:val="right" w:pos="9026" w:leader="dot"/>
            </w:tabs>
            <w:rPr/>
          </w:pPr>
          <w:hyperlink w:anchor="__RefHeading___Toc2295209_2035185390">
            <w:r>
              <w:rPr>
                <w:webHidden/>
                <w:rStyle w:val="IndexLink"/>
                <w:rtl w:val="true"/>
              </w:rPr>
              <w:t>الباب الأوّل</w:t>
            </w:r>
            <w:r>
              <w:rPr>
                <w:rStyle w:val="IndexLink"/>
                <w:rtl w:val="true"/>
              </w:rPr>
              <w:t xml:space="preserve">: </w:t>
            </w:r>
            <w:r>
              <w:rPr>
                <w:rStyle w:val="IndexLink"/>
                <w:rtl w:val="true"/>
              </w:rPr>
              <w:t>الشیعة و فرقها</w:t>
            </w:r>
            <w:r>
              <w:rPr>
                <w:rStyle w:val="IndexLink"/>
                <w:rtl w:val="true"/>
              </w:rPr>
              <w:tab/>
            </w:r>
            <w:r>
              <w:rPr>
                <w:rStyle w:val="IndexLink"/>
              </w:rPr>
              <w:t>71</w:t>
            </w:r>
          </w:hyperlink>
        </w:p>
        <w:p>
          <w:pPr>
            <w:pStyle w:val="Contents3"/>
            <w:tabs>
              <w:tab w:val="clear" w:pos="8459"/>
              <w:tab w:val="right" w:pos="9026" w:leader="dot"/>
            </w:tabs>
            <w:rPr/>
          </w:pPr>
          <w:hyperlink w:anchor="__RefHeading___Toc2295211_203518539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295213_2035185390">
            <w:r>
              <w:rPr>
                <w:webHidden/>
                <w:rStyle w:val="IndexLink"/>
                <w:rtl w:val="true"/>
              </w:rPr>
              <w:t>الفصل الأوّل</w:t>
            </w:r>
            <w:r>
              <w:rPr>
                <w:rStyle w:val="IndexLink"/>
                <w:rtl w:val="true"/>
              </w:rPr>
              <w:t xml:space="preserve">: </w:t>
            </w:r>
            <w:r>
              <w:rPr>
                <w:rStyle w:val="IndexLink"/>
                <w:rtl w:val="true"/>
              </w:rPr>
              <w:t>الشیعة و الإمامیّة فی اللّغة و الاصطلاح</w:t>
            </w:r>
            <w:r>
              <w:rPr>
                <w:rStyle w:val="IndexLink"/>
                <w:rtl w:val="true"/>
              </w:rPr>
              <w:tab/>
            </w:r>
            <w:r>
              <w:rPr>
                <w:rStyle w:val="IndexLink"/>
              </w:rPr>
              <w:t>72</w:t>
            </w:r>
          </w:hyperlink>
        </w:p>
        <w:p>
          <w:pPr>
            <w:pStyle w:val="Contents3"/>
            <w:tabs>
              <w:tab w:val="clear" w:pos="8459"/>
              <w:tab w:val="right" w:pos="9026" w:leader="dot"/>
            </w:tabs>
            <w:rPr/>
          </w:pPr>
          <w:hyperlink w:anchor="__RefHeading___Toc2295215_2035185390">
            <w:r>
              <w:rPr>
                <w:webHidden/>
                <w:rStyle w:val="IndexLink"/>
                <w:rtl w:val="true"/>
              </w:rPr>
              <w:t>الفصل الثانی</w:t>
            </w:r>
            <w:r>
              <w:rPr>
                <w:rStyle w:val="IndexLink"/>
                <w:rtl w:val="true"/>
              </w:rPr>
              <w:t xml:space="preserve">: </w:t>
            </w:r>
            <w:r>
              <w:rPr>
                <w:rStyle w:val="IndexLink"/>
                <w:rtl w:val="true"/>
              </w:rPr>
              <w:t xml:space="preserve">اختلاف فرق الشیعة </w:t>
            </w:r>
            <w:r>
              <w:rPr>
                <w:rStyle w:val="IndexLink"/>
                <w:rtl w:val="true"/>
              </w:rPr>
              <w:t xml:space="preserve">: </w:t>
            </w:r>
            <w:r>
              <w:rPr>
                <w:rStyle w:val="IndexLink"/>
                <w:rtl w:val="true"/>
              </w:rPr>
              <w:t>علله و أسبابه</w:t>
            </w:r>
            <w:r>
              <w:rPr>
                <w:rStyle w:val="IndexLink"/>
                <w:rtl w:val="true"/>
              </w:rPr>
              <w:tab/>
            </w:r>
            <w:r>
              <w:rPr>
                <w:rStyle w:val="IndexLink"/>
              </w:rPr>
              <w:t>75</w:t>
            </w:r>
          </w:hyperlink>
        </w:p>
        <w:p>
          <w:pPr>
            <w:pStyle w:val="Contents4"/>
            <w:tabs>
              <w:tab w:val="clear" w:pos="8176"/>
              <w:tab w:val="right" w:pos="9026" w:leader="dot"/>
            </w:tabs>
            <w:rPr/>
          </w:pPr>
          <w:hyperlink w:anchor="__RefHeading___Toc2295217_203518539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295219_2035185390">
            <w:r>
              <w:rPr>
                <w:webHidden/>
                <w:rStyle w:val="IndexLink"/>
                <w:rtl w:val="true"/>
              </w:rPr>
              <w:t>[</w:t>
            </w:r>
            <w:r>
              <w:rPr>
                <w:rStyle w:val="IndexLink"/>
                <w:rtl w:val="true"/>
              </w:rPr>
              <w:t>حذر الأئمّة من النصّ علی اسم الإمام</w:t>
            </w:r>
            <w:r>
              <w:rPr>
                <w:rStyle w:val="IndexLink"/>
                <w:rtl w:val="true"/>
              </w:rPr>
              <w:t>]</w:t>
              <w:tab/>
            </w:r>
            <w:r>
              <w:rPr>
                <w:rStyle w:val="IndexLink"/>
              </w:rPr>
              <w:t>79</w:t>
            </w:r>
          </w:hyperlink>
        </w:p>
        <w:p>
          <w:pPr>
            <w:pStyle w:val="Contents4"/>
            <w:tabs>
              <w:tab w:val="clear" w:pos="8176"/>
              <w:tab w:val="right" w:pos="9026" w:leader="dot"/>
            </w:tabs>
            <w:rPr/>
          </w:pPr>
          <w:hyperlink w:anchor="__RefHeading___Toc2295221_2035185390">
            <w:r>
              <w:rPr>
                <w:webHidden/>
                <w:rStyle w:val="IndexLink"/>
                <w:rtl w:val="true"/>
              </w:rPr>
              <w:t>[</w:t>
            </w:r>
            <w:r>
              <w:rPr>
                <w:rStyle w:val="IndexLink"/>
                <w:rtl w:val="true"/>
              </w:rPr>
              <w:t>منشأ ظهور بعض فرق الشیعة و انقراضها</w:t>
            </w:r>
            <w:r>
              <w:rPr>
                <w:rStyle w:val="IndexLink"/>
                <w:rtl w:val="true"/>
              </w:rPr>
              <w:t>]</w:t>
              <w:tab/>
            </w:r>
            <w:r>
              <w:rPr>
                <w:rStyle w:val="IndexLink"/>
              </w:rPr>
              <w:t>81</w:t>
            </w:r>
          </w:hyperlink>
        </w:p>
        <w:p>
          <w:pPr>
            <w:pStyle w:val="Contents4"/>
            <w:tabs>
              <w:tab w:val="clear" w:pos="8176"/>
              <w:tab w:val="right" w:pos="9026" w:leader="dot"/>
            </w:tabs>
            <w:rPr/>
          </w:pPr>
          <w:hyperlink w:anchor="__RefHeading___Toc2295223_2035185390">
            <w:r>
              <w:rPr>
                <w:webHidden/>
                <w:rStyle w:val="IndexLink"/>
                <w:rtl w:val="true"/>
              </w:rPr>
              <w:t>[</w:t>
            </w:r>
            <w:r>
              <w:rPr>
                <w:rStyle w:val="IndexLink"/>
                <w:rtl w:val="true"/>
              </w:rPr>
              <w:t>إلماح إلی دعوات شیعیّة غیر إمامیّة</w:t>
            </w:r>
            <w:r>
              <w:rPr>
                <w:rStyle w:val="IndexLink"/>
                <w:rtl w:val="true"/>
              </w:rPr>
              <w:t>]</w:t>
              <w:tab/>
            </w:r>
            <w:r>
              <w:rPr>
                <w:rStyle w:val="IndexLink"/>
              </w:rPr>
              <w:t>85</w:t>
            </w:r>
          </w:hyperlink>
        </w:p>
        <w:p>
          <w:pPr>
            <w:pStyle w:val="Contents4"/>
            <w:tabs>
              <w:tab w:val="clear" w:pos="8176"/>
              <w:tab w:val="right" w:pos="9026" w:leader="dot"/>
            </w:tabs>
            <w:rPr/>
          </w:pPr>
          <w:hyperlink w:anchor="__RefHeading___Toc2295225_2035185390">
            <w:r>
              <w:rPr>
                <w:webHidden/>
                <w:rStyle w:val="IndexLink"/>
                <w:rtl w:val="true"/>
              </w:rPr>
              <w:t>أمّا الإسماعیلیّة</w:t>
            </w:r>
            <w:r>
              <w:rPr>
                <w:rStyle w:val="IndexLink"/>
                <w:rtl w:val="true"/>
              </w:rPr>
              <w:tab/>
            </w:r>
            <w:r>
              <w:rPr>
                <w:rStyle w:val="IndexLink"/>
              </w:rPr>
              <w:t>85</w:t>
            </w:r>
          </w:hyperlink>
        </w:p>
        <w:p>
          <w:pPr>
            <w:pStyle w:val="Contents4"/>
            <w:tabs>
              <w:tab w:val="clear" w:pos="8176"/>
              <w:tab w:val="right" w:pos="9026" w:leader="dot"/>
            </w:tabs>
            <w:rPr/>
          </w:pPr>
          <w:hyperlink w:anchor="__RefHeading___Toc2295227_2035185390">
            <w:r>
              <w:rPr>
                <w:webHidden/>
                <w:rStyle w:val="IndexLink"/>
                <w:rtl w:val="true"/>
              </w:rPr>
              <w:t>[</w:t>
            </w:r>
            <w:r>
              <w:rPr>
                <w:rStyle w:val="IndexLink"/>
                <w:rtl w:val="true"/>
              </w:rPr>
              <w:t>و أمّا الکیسانیّة</w:t>
            </w:r>
            <w:r>
              <w:rPr>
                <w:rStyle w:val="IndexLink"/>
                <w:rtl w:val="true"/>
              </w:rPr>
              <w:t>]</w:t>
              <w:tab/>
            </w:r>
            <w:r>
              <w:rPr>
                <w:rStyle w:val="IndexLink"/>
              </w:rPr>
              <w:t>87</w:t>
            </w:r>
          </w:hyperlink>
        </w:p>
        <w:p>
          <w:pPr>
            <w:pStyle w:val="Contents4"/>
            <w:tabs>
              <w:tab w:val="clear" w:pos="8176"/>
              <w:tab w:val="right" w:pos="9026" w:leader="dot"/>
            </w:tabs>
            <w:rPr/>
          </w:pPr>
          <w:hyperlink w:anchor="__RefHeading___Toc2295229_2035185390">
            <w:r>
              <w:rPr>
                <w:webHidden/>
                <w:rStyle w:val="IndexLink"/>
                <w:rtl w:val="true"/>
              </w:rPr>
              <w:t>[</w:t>
            </w:r>
            <w:r>
              <w:rPr>
                <w:rStyle w:val="IndexLink"/>
                <w:rtl w:val="true"/>
              </w:rPr>
              <w:t>إلماح إلی دعوة الزیدیّة</w:t>
            </w:r>
            <w:r>
              <w:rPr>
                <w:rStyle w:val="IndexLink"/>
                <w:rtl w:val="true"/>
              </w:rPr>
              <w:t>]</w:t>
              <w:tab/>
            </w:r>
            <w:r>
              <w:rPr>
                <w:rStyle w:val="IndexLink"/>
              </w:rPr>
              <w:t>91</w:t>
            </w:r>
          </w:hyperlink>
        </w:p>
        <w:p>
          <w:pPr>
            <w:pStyle w:val="Contents4"/>
            <w:tabs>
              <w:tab w:val="clear" w:pos="8176"/>
              <w:tab w:val="right" w:pos="9026" w:leader="dot"/>
            </w:tabs>
            <w:rPr/>
          </w:pPr>
          <w:hyperlink w:anchor="__RefHeading___Toc2295231_2035185390">
            <w:r>
              <w:rPr>
                <w:webHidden/>
                <w:rStyle w:val="IndexLink"/>
                <w:rtl w:val="true"/>
              </w:rPr>
              <w:t>[</w:t>
            </w:r>
            <w:r>
              <w:rPr>
                <w:rStyle w:val="IndexLink"/>
                <w:rtl w:val="true"/>
              </w:rPr>
              <w:t>دعوة الفطحیّة و الواقفیّة بالإجمال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95233_2035185390">
            <w:r>
              <w:rPr>
                <w:webHidden/>
                <w:rStyle w:val="IndexLink"/>
                <w:rtl w:val="true"/>
              </w:rPr>
              <w:t>الفصل الثالث</w:t>
            </w:r>
            <w:r>
              <w:rPr>
                <w:rStyle w:val="IndexLink"/>
                <w:rtl w:val="true"/>
              </w:rPr>
              <w:t xml:space="preserve">: </w:t>
            </w:r>
            <w:r>
              <w:rPr>
                <w:rStyle w:val="IndexLink"/>
                <w:rtl w:val="true"/>
              </w:rPr>
              <w:t>ذکر فرق الشیعة تفصیلاً</w:t>
            </w:r>
            <w:r>
              <w:rPr>
                <w:rStyle w:val="IndexLink"/>
                <w:rtl w:val="true"/>
              </w:rPr>
              <w:tab/>
            </w:r>
            <w:r>
              <w:rPr>
                <w:rStyle w:val="IndexLink"/>
              </w:rPr>
              <w:t>93</w:t>
            </w:r>
          </w:hyperlink>
        </w:p>
        <w:p>
          <w:pPr>
            <w:pStyle w:val="Contents4"/>
            <w:tabs>
              <w:tab w:val="clear" w:pos="8176"/>
              <w:tab w:val="right" w:pos="9026" w:leader="dot"/>
            </w:tabs>
            <w:rPr/>
          </w:pPr>
          <w:hyperlink w:anchor="__RefHeading___Toc2295235_203518539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295237_2035185390">
            <w:r>
              <w:rPr>
                <w:webHidden/>
                <w:rStyle w:val="IndexLink"/>
                <w:rtl w:val="true"/>
              </w:rPr>
              <w:t>[</w:t>
            </w:r>
            <w:r>
              <w:rPr>
                <w:rStyle w:val="IndexLink"/>
              </w:rPr>
              <w:t>1</w:t>
            </w:r>
            <w:r>
              <w:rPr>
                <w:rStyle w:val="IndexLink"/>
                <w:rtl w:val="true"/>
              </w:rPr>
              <w:t xml:space="preserve">] </w:t>
            </w:r>
            <w:r>
              <w:rPr>
                <w:rStyle w:val="IndexLink"/>
                <w:rtl w:val="true"/>
              </w:rPr>
              <w:t>الکیسانیّة</w:t>
            </w:r>
            <w:r>
              <w:rPr>
                <w:rStyle w:val="IndexLink"/>
                <w:rtl w:val="true"/>
              </w:rPr>
              <w:tab/>
            </w:r>
            <w:r>
              <w:rPr>
                <w:rStyle w:val="IndexLink"/>
              </w:rPr>
              <w:t>93</w:t>
            </w:r>
          </w:hyperlink>
        </w:p>
        <w:p>
          <w:pPr>
            <w:pStyle w:val="Contents4"/>
            <w:tabs>
              <w:tab w:val="clear" w:pos="8176"/>
              <w:tab w:val="right" w:pos="9026" w:leader="dot"/>
            </w:tabs>
            <w:rPr/>
          </w:pPr>
          <w:hyperlink w:anchor="__RefHeading___Toc2295239_2035185390">
            <w:r>
              <w:rPr>
                <w:webHidden/>
                <w:rStyle w:val="IndexLink"/>
                <w:rtl w:val="true"/>
              </w:rPr>
              <w:t>[</w:t>
            </w:r>
            <w:r>
              <w:rPr>
                <w:rStyle w:val="IndexLink"/>
              </w:rPr>
              <w:t>2</w:t>
            </w:r>
            <w:r>
              <w:rPr>
                <w:rStyle w:val="IndexLink"/>
                <w:rtl w:val="true"/>
              </w:rPr>
              <w:t xml:space="preserve">] </w:t>
            </w:r>
            <w:r>
              <w:rPr>
                <w:rStyle w:val="IndexLink"/>
                <w:rtl w:val="true"/>
              </w:rPr>
              <w:t xml:space="preserve">الزیدیّة </w:t>
            </w:r>
            <w:r>
              <w:rPr>
                <w:rStyle w:val="IndexLink"/>
                <w:rtl w:val="true"/>
              </w:rPr>
              <w:t>[</w:t>
            </w:r>
            <w:r>
              <w:rPr>
                <w:rStyle w:val="IndexLink"/>
                <w:rtl w:val="true"/>
              </w:rPr>
              <w:t>فِرقها و أئمّتها</w:t>
            </w:r>
            <w:r>
              <w:rPr>
                <w:rStyle w:val="IndexLink"/>
                <w:rtl w:val="true"/>
              </w:rPr>
              <w:t>]</w:t>
              <w:tab/>
            </w:r>
            <w:r>
              <w:rPr>
                <w:rStyle w:val="IndexLink"/>
              </w:rPr>
              <w:t>94</w:t>
            </w:r>
          </w:hyperlink>
        </w:p>
        <w:p>
          <w:pPr>
            <w:pStyle w:val="Contents4"/>
            <w:tabs>
              <w:tab w:val="clear" w:pos="8176"/>
              <w:tab w:val="right" w:pos="9026" w:leader="dot"/>
            </w:tabs>
            <w:rPr/>
          </w:pPr>
          <w:hyperlink w:anchor="__RefHeading___Toc2295241_2035185390">
            <w:r>
              <w:rPr>
                <w:webHidden/>
                <w:rStyle w:val="IndexLink"/>
                <w:rtl w:val="true"/>
              </w:rPr>
              <w:t xml:space="preserve">الإسماعیلیّة </w:t>
            </w:r>
            <w:r>
              <w:rPr>
                <w:rStyle w:val="IndexLink"/>
                <w:rtl w:val="true"/>
              </w:rPr>
              <w:t>[</w:t>
            </w:r>
            <w:r>
              <w:rPr>
                <w:rStyle w:val="IndexLink"/>
                <w:rtl w:val="true"/>
              </w:rPr>
              <w:t>فِرَقها و منشأها</w:t>
            </w:r>
            <w:r>
              <w:rPr>
                <w:rStyle w:val="IndexLink"/>
                <w:rtl w:val="true"/>
              </w:rPr>
              <w:t>]</w:t>
              <w:tab/>
            </w:r>
            <w:r>
              <w:rPr>
                <w:rStyle w:val="IndexLink"/>
              </w:rPr>
              <w:t>98</w:t>
            </w:r>
          </w:hyperlink>
        </w:p>
        <w:p>
          <w:pPr>
            <w:pStyle w:val="Contents4"/>
            <w:tabs>
              <w:tab w:val="clear" w:pos="8176"/>
              <w:tab w:val="right" w:pos="9026" w:leader="dot"/>
            </w:tabs>
            <w:rPr/>
          </w:pPr>
          <w:hyperlink w:anchor="__RefHeading___Toc2295243_2035185390">
            <w:r>
              <w:rPr>
                <w:webHidden/>
                <w:rStyle w:val="IndexLink"/>
                <w:rtl w:val="true"/>
              </w:rPr>
              <w:t xml:space="preserve">الفطحیّة </w:t>
            </w:r>
            <w:r>
              <w:rPr>
                <w:rStyle w:val="IndexLink"/>
                <w:rtl w:val="true"/>
              </w:rPr>
              <w:t>[</w:t>
            </w:r>
            <w:r>
              <w:rPr>
                <w:rStyle w:val="IndexLink"/>
                <w:rtl w:val="true"/>
              </w:rPr>
              <w:t>ظهورها و انقراضها</w:t>
            </w:r>
            <w:r>
              <w:rPr>
                <w:rStyle w:val="IndexLink"/>
                <w:rtl w:val="true"/>
              </w:rPr>
              <w:t>]</w:t>
              <w:tab/>
            </w:r>
            <w:r>
              <w:rPr>
                <w:rStyle w:val="IndexLink"/>
              </w:rPr>
              <w:t>99</w:t>
            </w:r>
          </w:hyperlink>
        </w:p>
        <w:p>
          <w:pPr>
            <w:pStyle w:val="Contents4"/>
            <w:tabs>
              <w:tab w:val="clear" w:pos="8176"/>
              <w:tab w:val="right" w:pos="9026" w:leader="dot"/>
            </w:tabs>
            <w:rPr/>
          </w:pPr>
          <w:hyperlink w:anchor="__RefHeading___Toc2295245_2035185390">
            <w:r>
              <w:rPr>
                <w:webHidden/>
                <w:rStyle w:val="IndexLink"/>
                <w:rtl w:val="true"/>
              </w:rPr>
              <w:t xml:space="preserve">الواقفیّة أو الواقفة </w:t>
            </w:r>
            <w:r>
              <w:rPr>
                <w:rStyle w:val="IndexLink"/>
                <w:rtl w:val="true"/>
              </w:rPr>
              <w:t>[</w:t>
            </w:r>
            <w:r>
              <w:rPr>
                <w:rStyle w:val="IndexLink"/>
                <w:rtl w:val="true"/>
              </w:rPr>
              <w:t>و السبب الأصلیّ لنشوئها و انقراضها</w:t>
            </w:r>
            <w:r>
              <w:rPr>
                <w:rStyle w:val="IndexLink"/>
                <w:rtl w:val="true"/>
              </w:rPr>
              <w:t>]</w:t>
              <w:tab/>
            </w:r>
            <w:r>
              <w:rPr>
                <w:rStyle w:val="IndexLink"/>
              </w:rPr>
              <w:t>100</w:t>
            </w:r>
          </w:hyperlink>
        </w:p>
        <w:p>
          <w:pPr>
            <w:pStyle w:val="Contents2"/>
            <w:tabs>
              <w:tab w:val="clear" w:pos="8743"/>
              <w:tab w:val="right" w:pos="9026" w:leader="dot"/>
            </w:tabs>
            <w:rPr/>
          </w:pPr>
          <w:hyperlink w:anchor="__RefHeading___Toc2295247_2035185390">
            <w:r>
              <w:rPr>
                <w:webHidden/>
                <w:rStyle w:val="IndexLink"/>
                <w:rtl w:val="true"/>
              </w:rPr>
              <w:t>الباب الثانی</w:t>
            </w:r>
            <w:r>
              <w:rPr>
                <w:rStyle w:val="IndexLink"/>
                <w:rtl w:val="true"/>
              </w:rPr>
              <w:t xml:space="preserve">: </w:t>
            </w:r>
            <w:r>
              <w:rPr>
                <w:rStyle w:val="IndexLink"/>
                <w:rtl w:val="true"/>
              </w:rPr>
              <w:t>الغلاة</w:t>
            </w:r>
            <w:r>
              <w:rPr>
                <w:rStyle w:val="IndexLink"/>
                <w:rtl w:val="true"/>
              </w:rPr>
              <w:tab/>
            </w:r>
            <w:r>
              <w:rPr>
                <w:rStyle w:val="IndexLink"/>
              </w:rPr>
              <w:t>104</w:t>
            </w:r>
          </w:hyperlink>
        </w:p>
        <w:p>
          <w:pPr>
            <w:pStyle w:val="Contents3"/>
            <w:tabs>
              <w:tab w:val="clear" w:pos="8459"/>
              <w:tab w:val="right" w:pos="9026" w:leader="dot"/>
            </w:tabs>
            <w:rPr/>
          </w:pPr>
          <w:hyperlink w:anchor="__RefHeading___Toc2295249_203518539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295251_2035185390">
            <w:r>
              <w:rPr>
                <w:webHidden/>
                <w:rStyle w:val="IndexLink"/>
                <w:rtl w:val="true"/>
              </w:rPr>
              <w:t>الفصل الأوّل</w:t>
            </w:r>
            <w:r>
              <w:rPr>
                <w:rStyle w:val="IndexLink"/>
                <w:rtl w:val="true"/>
              </w:rPr>
              <w:t xml:space="preserve">: </w:t>
            </w:r>
            <w:r>
              <w:rPr>
                <w:rStyle w:val="IndexLink"/>
                <w:rtl w:val="true"/>
              </w:rPr>
              <w:t>منشأ فرق الغلاة</w:t>
            </w:r>
            <w:r>
              <w:rPr>
                <w:rStyle w:val="IndexLink"/>
                <w:rtl w:val="true"/>
              </w:rPr>
              <w:tab/>
            </w:r>
            <w:r>
              <w:rPr>
                <w:rStyle w:val="IndexLink"/>
              </w:rPr>
              <w:t>105</w:t>
            </w:r>
          </w:hyperlink>
        </w:p>
        <w:p>
          <w:pPr>
            <w:pStyle w:val="Contents4"/>
            <w:tabs>
              <w:tab w:val="clear" w:pos="8176"/>
              <w:tab w:val="right" w:pos="9026" w:leader="dot"/>
            </w:tabs>
            <w:rPr/>
          </w:pPr>
          <w:hyperlink w:anchor="__RefHeading___Toc2295253_203518539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295255_2035185390">
            <w:r>
              <w:rPr>
                <w:webHidden/>
                <w:rStyle w:val="IndexLink"/>
                <w:rtl w:val="true"/>
              </w:rPr>
              <w:t>[</w:t>
            </w:r>
            <w:r>
              <w:rPr>
                <w:rStyle w:val="IndexLink"/>
                <w:rtl w:val="true"/>
              </w:rPr>
              <w:t>أصناف الغلاة و أسماؤهم</w:t>
            </w:r>
            <w:r>
              <w:rPr>
                <w:rStyle w:val="IndexLink"/>
                <w:rtl w:val="true"/>
              </w:rPr>
              <w:t>]</w:t>
              <w:tab/>
            </w:r>
            <w:r>
              <w:rPr>
                <w:rStyle w:val="IndexLink"/>
              </w:rPr>
              <w:t>110</w:t>
            </w:r>
          </w:hyperlink>
        </w:p>
        <w:p>
          <w:pPr>
            <w:pStyle w:val="Contents4"/>
            <w:tabs>
              <w:tab w:val="clear" w:pos="8176"/>
              <w:tab w:val="right" w:pos="9026" w:leader="dot"/>
            </w:tabs>
            <w:rPr/>
          </w:pPr>
          <w:hyperlink w:anchor="__RefHeading___Toc2295257_2035185390">
            <w:r>
              <w:rPr>
                <w:webHidden/>
                <w:rStyle w:val="IndexLink"/>
                <w:rtl w:val="true"/>
              </w:rPr>
              <w:t>[</w:t>
            </w:r>
            <w:r>
              <w:rPr>
                <w:rStyle w:val="IndexLink"/>
                <w:rtl w:val="true"/>
              </w:rPr>
              <w:t>المغیرة بن سعید</w:t>
            </w:r>
            <w:r>
              <w:rPr>
                <w:rStyle w:val="IndexLink"/>
                <w:rtl w:val="true"/>
              </w:rPr>
              <w:t>]</w:t>
              <w:tab/>
            </w:r>
            <w:r>
              <w:rPr>
                <w:rStyle w:val="IndexLink"/>
              </w:rPr>
              <w:t>110</w:t>
            </w:r>
          </w:hyperlink>
        </w:p>
        <w:p>
          <w:pPr>
            <w:pStyle w:val="Contents4"/>
            <w:tabs>
              <w:tab w:val="clear" w:pos="8176"/>
              <w:tab w:val="right" w:pos="9026" w:leader="dot"/>
            </w:tabs>
            <w:rPr/>
          </w:pPr>
          <w:hyperlink w:anchor="__RefHeading___Toc2295259_2035185390">
            <w:r>
              <w:rPr>
                <w:webHidden/>
                <w:rStyle w:val="IndexLink"/>
                <w:rtl w:val="true"/>
              </w:rPr>
              <w:t>[</w:t>
            </w:r>
            <w:r>
              <w:rPr>
                <w:rStyle w:val="IndexLink"/>
                <w:rtl w:val="true"/>
              </w:rPr>
              <w:t>أبو منصور العِجلیّ</w:t>
            </w:r>
            <w:r>
              <w:rPr>
                <w:rStyle w:val="IndexLink"/>
                <w:rtl w:val="true"/>
              </w:rPr>
              <w:t>]</w:t>
              <w:tab/>
            </w:r>
            <w:r>
              <w:rPr>
                <w:rStyle w:val="IndexLink"/>
              </w:rPr>
              <w:t>112</w:t>
            </w:r>
          </w:hyperlink>
        </w:p>
        <w:p>
          <w:pPr>
            <w:pStyle w:val="Contents4"/>
            <w:tabs>
              <w:tab w:val="clear" w:pos="8176"/>
              <w:tab w:val="right" w:pos="9026" w:leader="dot"/>
            </w:tabs>
            <w:rPr/>
          </w:pPr>
          <w:hyperlink w:anchor="__RefHeading___Toc2295261_2035185390">
            <w:r>
              <w:rPr>
                <w:webHidden/>
                <w:rStyle w:val="IndexLink"/>
                <w:rtl w:val="true"/>
              </w:rPr>
              <w:t>[</w:t>
            </w:r>
            <w:r>
              <w:rPr>
                <w:rStyle w:val="IndexLink"/>
                <w:rtl w:val="true"/>
              </w:rPr>
              <w:t>ابن کَرب الضریر</w:t>
            </w:r>
            <w:r>
              <w:rPr>
                <w:rStyle w:val="IndexLink"/>
                <w:rtl w:val="true"/>
              </w:rPr>
              <w:t>]</w:t>
              <w:tab/>
            </w:r>
            <w:r>
              <w:rPr>
                <w:rStyle w:val="IndexLink"/>
              </w:rPr>
              <w:t>113</w:t>
            </w:r>
          </w:hyperlink>
        </w:p>
        <w:p>
          <w:pPr>
            <w:pStyle w:val="Contents4"/>
            <w:tabs>
              <w:tab w:val="clear" w:pos="8176"/>
              <w:tab w:val="right" w:pos="9026" w:leader="dot"/>
            </w:tabs>
            <w:rPr/>
          </w:pPr>
          <w:hyperlink w:anchor="__RefHeading___Toc2295263_2035185390">
            <w:r>
              <w:rPr>
                <w:webHidden/>
                <w:rStyle w:val="IndexLink"/>
                <w:rtl w:val="true"/>
              </w:rPr>
              <w:t>[</w:t>
            </w:r>
            <w:r>
              <w:rPr>
                <w:rStyle w:val="IndexLink"/>
                <w:rtl w:val="true"/>
              </w:rPr>
              <w:t>أبو الخطّاب الأسدیّ</w:t>
            </w:r>
            <w:r>
              <w:rPr>
                <w:rStyle w:val="IndexLink"/>
                <w:rtl w:val="true"/>
              </w:rPr>
              <w:t>]</w:t>
              <w:tab/>
            </w:r>
            <w:r>
              <w:rPr>
                <w:rStyle w:val="IndexLink"/>
              </w:rPr>
              <w:t>113</w:t>
            </w:r>
          </w:hyperlink>
        </w:p>
        <w:p>
          <w:pPr>
            <w:pStyle w:val="Contents4"/>
            <w:tabs>
              <w:tab w:val="clear" w:pos="8176"/>
              <w:tab w:val="right" w:pos="9026" w:leader="dot"/>
            </w:tabs>
            <w:rPr/>
          </w:pPr>
          <w:hyperlink w:anchor="__RefHeading___Toc2295265_2035185390">
            <w:r>
              <w:rPr>
                <w:webHidden/>
                <w:rStyle w:val="IndexLink"/>
                <w:rtl w:val="true"/>
              </w:rPr>
              <w:t>[</w:t>
            </w:r>
            <w:r>
              <w:rPr>
                <w:rStyle w:val="IndexLink"/>
                <w:rtl w:val="true"/>
              </w:rPr>
              <w:t>محمّد بن بشیر</w:t>
            </w:r>
            <w:r>
              <w:rPr>
                <w:rStyle w:val="IndexLink"/>
                <w:rtl w:val="true"/>
              </w:rPr>
              <w:t>]</w:t>
              <w:tab/>
            </w:r>
            <w:r>
              <w:rPr>
                <w:rStyle w:val="IndexLink"/>
              </w:rPr>
              <w:t>115</w:t>
            </w:r>
          </w:hyperlink>
        </w:p>
        <w:p>
          <w:pPr>
            <w:pStyle w:val="Contents4"/>
            <w:tabs>
              <w:tab w:val="clear" w:pos="8176"/>
              <w:tab w:val="right" w:pos="9026" w:leader="dot"/>
            </w:tabs>
            <w:rPr/>
          </w:pPr>
          <w:hyperlink w:anchor="__RefHeading___Toc2295267_2035185390">
            <w:r>
              <w:rPr>
                <w:webHidden/>
                <w:rStyle w:val="IndexLink"/>
                <w:rtl w:val="true"/>
              </w:rPr>
              <w:t>[</w:t>
            </w:r>
            <w:r>
              <w:rPr>
                <w:rStyle w:val="IndexLink"/>
                <w:rtl w:val="true"/>
              </w:rPr>
              <w:t>أبو محمّد الشَّریعیّ</w:t>
            </w:r>
            <w:r>
              <w:rPr>
                <w:rStyle w:val="IndexLink"/>
                <w:rtl w:val="true"/>
              </w:rPr>
              <w:t>]</w:t>
              <w:tab/>
            </w:r>
            <w:r>
              <w:rPr>
                <w:rStyle w:val="IndexLink"/>
              </w:rPr>
              <w:t>116</w:t>
            </w:r>
          </w:hyperlink>
        </w:p>
        <w:p>
          <w:pPr>
            <w:pStyle w:val="Contents4"/>
            <w:tabs>
              <w:tab w:val="clear" w:pos="8176"/>
              <w:tab w:val="right" w:pos="9026" w:leader="dot"/>
            </w:tabs>
            <w:rPr/>
          </w:pPr>
          <w:hyperlink w:anchor="__RefHeading___Toc2295269_2035185390">
            <w:r>
              <w:rPr>
                <w:webHidden/>
                <w:rStyle w:val="IndexLink"/>
                <w:rtl w:val="true"/>
              </w:rPr>
              <w:t>[</w:t>
            </w:r>
            <w:r>
              <w:rPr>
                <w:rStyle w:val="IndexLink"/>
                <w:rtl w:val="true"/>
              </w:rPr>
              <w:t>محمّد بن نَصیر النمیریّ</w:t>
            </w:r>
            <w:r>
              <w:rPr>
                <w:rStyle w:val="IndexLink"/>
                <w:rtl w:val="true"/>
              </w:rPr>
              <w:t>]</w:t>
              <w:tab/>
            </w:r>
            <w:r>
              <w:rPr>
                <w:rStyle w:val="IndexLink"/>
              </w:rPr>
              <w:t>116</w:t>
            </w:r>
          </w:hyperlink>
        </w:p>
        <w:p>
          <w:pPr>
            <w:pStyle w:val="Contents4"/>
            <w:tabs>
              <w:tab w:val="clear" w:pos="8176"/>
              <w:tab w:val="right" w:pos="9026" w:leader="dot"/>
            </w:tabs>
            <w:rPr/>
          </w:pPr>
          <w:hyperlink w:anchor="__RefHeading___Toc2295271_2035185390">
            <w:r>
              <w:rPr>
                <w:webHidden/>
                <w:rStyle w:val="IndexLink"/>
                <w:rtl w:val="true"/>
              </w:rPr>
              <w:t>[</w:t>
            </w:r>
            <w:r>
              <w:rPr>
                <w:rStyle w:val="IndexLink"/>
                <w:rtl w:val="true"/>
              </w:rPr>
              <w:t>الشَّلمَغانیّ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2295273_2035185390">
            <w:r>
              <w:rPr>
                <w:webHidden/>
                <w:rStyle w:val="IndexLink"/>
                <w:rtl w:val="true"/>
              </w:rPr>
              <w:t>الفصل الثانی</w:t>
            </w:r>
            <w:r>
              <w:rPr>
                <w:rStyle w:val="IndexLink"/>
                <w:rtl w:val="true"/>
              </w:rPr>
              <w:t xml:space="preserve">: </w:t>
            </w:r>
            <w:r>
              <w:rPr>
                <w:rStyle w:val="IndexLink"/>
                <w:rtl w:val="true"/>
              </w:rPr>
              <w:t>مقالات الغلاة</w:t>
            </w:r>
            <w:r>
              <w:rPr>
                <w:rStyle w:val="IndexLink"/>
                <w:rtl w:val="true"/>
              </w:rPr>
              <w:tab/>
            </w:r>
            <w:r>
              <w:rPr>
                <w:rStyle w:val="IndexLink"/>
              </w:rPr>
              <w:t>120</w:t>
            </w:r>
          </w:hyperlink>
        </w:p>
        <w:p>
          <w:pPr>
            <w:pStyle w:val="Contents4"/>
            <w:tabs>
              <w:tab w:val="clear" w:pos="8176"/>
              <w:tab w:val="right" w:pos="9026" w:leader="dot"/>
            </w:tabs>
            <w:rPr/>
          </w:pPr>
          <w:hyperlink w:anchor="__RefHeading___Toc2295275_203518539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295277_2035185390">
            <w:r>
              <w:rPr>
                <w:webHidden/>
                <w:rStyle w:val="IndexLink"/>
                <w:rtl w:val="true"/>
              </w:rPr>
              <w:t>[</w:t>
            </w:r>
            <w:r>
              <w:rPr>
                <w:rStyle w:val="IndexLink"/>
                <w:rtl w:val="true"/>
              </w:rPr>
              <w:t>القول بالتناسخ و الحلول</w:t>
            </w:r>
            <w:r>
              <w:rPr>
                <w:rStyle w:val="IndexLink"/>
                <w:rtl w:val="true"/>
              </w:rPr>
              <w:t>]</w:t>
              <w:tab/>
            </w:r>
            <w:r>
              <w:rPr>
                <w:rStyle w:val="IndexLink"/>
              </w:rPr>
              <w:t>121</w:t>
            </w:r>
          </w:hyperlink>
        </w:p>
        <w:p>
          <w:pPr>
            <w:pStyle w:val="Contents4"/>
            <w:tabs>
              <w:tab w:val="clear" w:pos="8176"/>
              <w:tab w:val="right" w:pos="9026" w:leader="dot"/>
            </w:tabs>
            <w:rPr/>
          </w:pPr>
          <w:hyperlink w:anchor="__RefHeading___Toc2295279_2035185390">
            <w:r>
              <w:rPr>
                <w:webHidden/>
                <w:rStyle w:val="IndexLink"/>
                <w:rtl w:val="true"/>
              </w:rPr>
              <w:t>[</w:t>
            </w:r>
            <w:r>
              <w:rPr>
                <w:rStyle w:val="IndexLink"/>
                <w:rtl w:val="true"/>
              </w:rPr>
              <w:t>القول بالأشباح و الأظلّة</w:t>
            </w:r>
            <w:r>
              <w:rPr>
                <w:rStyle w:val="IndexLink"/>
                <w:rtl w:val="true"/>
              </w:rPr>
              <w:t>]</w:t>
              <w:tab/>
            </w:r>
            <w:r>
              <w:rPr>
                <w:rStyle w:val="IndexLink"/>
              </w:rPr>
              <w:t>123</w:t>
            </w:r>
          </w:hyperlink>
        </w:p>
        <w:p>
          <w:pPr>
            <w:pStyle w:val="Contents4"/>
            <w:tabs>
              <w:tab w:val="clear" w:pos="8176"/>
              <w:tab w:val="right" w:pos="9026" w:leader="dot"/>
            </w:tabs>
            <w:rPr/>
          </w:pPr>
          <w:hyperlink w:anchor="__RefHeading___Toc2295281_2035185390">
            <w:r>
              <w:rPr>
                <w:webHidden/>
                <w:rStyle w:val="IndexLink"/>
                <w:rtl w:val="true"/>
              </w:rPr>
              <w:t>[</w:t>
            </w:r>
            <w:r>
              <w:rPr>
                <w:rStyle w:val="IndexLink"/>
                <w:rtl w:val="true"/>
              </w:rPr>
              <w:t>إنّ الدین طاعة رجل</w:t>
            </w:r>
            <w:r>
              <w:rPr>
                <w:rStyle w:val="IndexLink"/>
                <w:rtl w:val="true"/>
              </w:rPr>
              <w:t>]</w:t>
              <w:tab/>
            </w:r>
            <w:r>
              <w:rPr>
                <w:rStyle w:val="IndexLink"/>
              </w:rPr>
              <w:t>124</w:t>
            </w:r>
          </w:hyperlink>
        </w:p>
        <w:p>
          <w:pPr>
            <w:pStyle w:val="Contents3"/>
            <w:tabs>
              <w:tab w:val="clear" w:pos="8459"/>
              <w:tab w:val="right" w:pos="9026" w:leader="dot"/>
            </w:tabs>
            <w:rPr/>
          </w:pPr>
          <w:hyperlink w:anchor="__RefHeading___Toc2295283_2035185390">
            <w:r>
              <w:rPr>
                <w:webHidden/>
                <w:rStyle w:val="IndexLink"/>
                <w:rtl w:val="true"/>
              </w:rPr>
              <w:t>الفصل الثالث</w:t>
            </w:r>
            <w:r>
              <w:rPr>
                <w:rStyle w:val="IndexLink"/>
                <w:rtl w:val="true"/>
              </w:rPr>
              <w:t xml:space="preserve">: </w:t>
            </w:r>
            <w:r>
              <w:rPr>
                <w:rStyle w:val="IndexLink"/>
                <w:rtl w:val="true"/>
              </w:rPr>
              <w:t>تبرُّؤ الأئمّة علیهم‌السلام من مقالات الغالیة</w:t>
            </w:r>
            <w:r>
              <w:rPr>
                <w:rStyle w:val="IndexLink"/>
                <w:rtl w:val="true"/>
              </w:rPr>
              <w:tab/>
            </w:r>
            <w:r>
              <w:rPr>
                <w:rStyle w:val="IndexLink"/>
              </w:rPr>
              <w:t>126</w:t>
            </w:r>
          </w:hyperlink>
        </w:p>
        <w:p>
          <w:pPr>
            <w:pStyle w:val="Contents4"/>
            <w:tabs>
              <w:tab w:val="clear" w:pos="8176"/>
              <w:tab w:val="right" w:pos="9026" w:leader="dot"/>
            </w:tabs>
            <w:rPr/>
          </w:pPr>
          <w:hyperlink w:anchor="__RefHeading___Toc2295285_203518539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295287_2035185390">
            <w:r>
              <w:rPr>
                <w:webHidden/>
                <w:rStyle w:val="IndexLink"/>
                <w:rtl w:val="true"/>
              </w:rPr>
              <w:t>[</w:t>
            </w:r>
            <w:r>
              <w:rPr>
                <w:rStyle w:val="IndexLink"/>
                <w:rtl w:val="true"/>
              </w:rPr>
              <w:t>دعوی النیابة و البابیّة من قِبَل الغلاة</w:t>
            </w:r>
            <w:r>
              <w:rPr>
                <w:rStyle w:val="IndexLink"/>
                <w:rtl w:val="true"/>
              </w:rPr>
              <w:t>]</w:t>
              <w:tab/>
            </w:r>
            <w:r>
              <w:rPr>
                <w:rStyle w:val="IndexLink"/>
              </w:rPr>
              <w:t>127</w:t>
            </w:r>
          </w:hyperlink>
        </w:p>
        <w:p>
          <w:pPr>
            <w:pStyle w:val="Contents3"/>
            <w:tabs>
              <w:tab w:val="clear" w:pos="8459"/>
              <w:tab w:val="right" w:pos="9026" w:leader="dot"/>
            </w:tabs>
            <w:rPr/>
          </w:pPr>
          <w:hyperlink w:anchor="__RefHeading___Toc2295289_2035185390">
            <w:r>
              <w:rPr>
                <w:webHidden/>
                <w:rStyle w:val="IndexLink"/>
                <w:rtl w:val="true"/>
              </w:rPr>
              <w:t>الفصل الرابع</w:t>
            </w:r>
            <w:r>
              <w:rPr>
                <w:rStyle w:val="IndexLink"/>
                <w:rtl w:val="true"/>
              </w:rPr>
              <w:t xml:space="preserve">: </w:t>
            </w:r>
            <w:r>
              <w:rPr>
                <w:rStyle w:val="IndexLink"/>
                <w:rtl w:val="true"/>
              </w:rPr>
              <w:t>الغلاة و رواة الشیعة</w:t>
            </w:r>
            <w:r>
              <w:rPr>
                <w:rStyle w:val="IndexLink"/>
                <w:rtl w:val="true"/>
              </w:rPr>
              <w:tab/>
            </w:r>
            <w:r>
              <w:rPr>
                <w:rStyle w:val="IndexLink"/>
              </w:rPr>
              <w:t>129</w:t>
            </w:r>
          </w:hyperlink>
        </w:p>
        <w:p>
          <w:pPr>
            <w:pStyle w:val="Contents4"/>
            <w:tabs>
              <w:tab w:val="clear" w:pos="8176"/>
              <w:tab w:val="right" w:pos="9026" w:leader="dot"/>
            </w:tabs>
            <w:rPr/>
          </w:pPr>
          <w:hyperlink w:anchor="__RefHeading___Toc2295291_203518539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295293_2035185390">
            <w:r>
              <w:rPr>
                <w:webHidden/>
                <w:rStyle w:val="IndexLink"/>
                <w:rtl w:val="true"/>
              </w:rPr>
              <w:t>[</w:t>
            </w:r>
            <w:r>
              <w:rPr>
                <w:rStyle w:val="IndexLink"/>
                <w:rtl w:val="true"/>
              </w:rPr>
              <w:t>اختلاط الغلاة برواة الحدیث</w:t>
            </w:r>
            <w:r>
              <w:rPr>
                <w:rStyle w:val="IndexLink"/>
                <w:rtl w:val="true"/>
              </w:rPr>
              <w:t>]</w:t>
              <w:tab/>
            </w:r>
            <w:r>
              <w:rPr>
                <w:rStyle w:val="IndexLink"/>
              </w:rPr>
              <w:t>131</w:t>
            </w:r>
          </w:hyperlink>
        </w:p>
        <w:p>
          <w:pPr>
            <w:pStyle w:val="Contents2"/>
            <w:tabs>
              <w:tab w:val="clear" w:pos="8743"/>
              <w:tab w:val="right" w:pos="9026" w:leader="dot"/>
            </w:tabs>
            <w:rPr/>
          </w:pPr>
          <w:hyperlink w:anchor="__RefHeading___Toc2295295_2035185390">
            <w:r>
              <w:rPr>
                <w:webHidden/>
                <w:rStyle w:val="IndexLink"/>
                <w:rtl w:val="true"/>
              </w:rPr>
              <w:t>الباب الثالث</w:t>
            </w:r>
            <w:r>
              <w:rPr>
                <w:rStyle w:val="IndexLink"/>
                <w:rtl w:val="true"/>
              </w:rPr>
              <w:t xml:space="preserve">: </w:t>
            </w:r>
            <w:r>
              <w:rPr>
                <w:rStyle w:val="IndexLink"/>
                <w:rtl w:val="true"/>
              </w:rPr>
              <w:t>الشیعة الإمامیّة</w:t>
            </w:r>
            <w:r>
              <w:rPr>
                <w:rStyle w:val="IndexLink"/>
                <w:rtl w:val="true"/>
              </w:rPr>
              <w:tab/>
            </w:r>
            <w:r>
              <w:rPr>
                <w:rStyle w:val="IndexLink"/>
              </w:rPr>
              <w:t>134</w:t>
            </w:r>
          </w:hyperlink>
        </w:p>
        <w:p>
          <w:pPr>
            <w:pStyle w:val="Contents3"/>
            <w:tabs>
              <w:tab w:val="clear" w:pos="8459"/>
              <w:tab w:val="right" w:pos="9026" w:leader="dot"/>
            </w:tabs>
            <w:rPr/>
          </w:pPr>
          <w:hyperlink w:anchor="__RefHeading___Toc2295297_203518539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295299_2035185390">
            <w:r>
              <w:rPr>
                <w:webHidden/>
                <w:rStyle w:val="IndexLink"/>
                <w:rtl w:val="true"/>
              </w:rPr>
              <w:t>الفصل الأوّل</w:t>
            </w:r>
            <w:r>
              <w:rPr>
                <w:rStyle w:val="IndexLink"/>
                <w:rtl w:val="true"/>
              </w:rPr>
              <w:t xml:space="preserve">: </w:t>
            </w:r>
            <w:r>
              <w:rPr>
                <w:rStyle w:val="IndexLink"/>
                <w:rtl w:val="true"/>
              </w:rPr>
              <w:t>خلاصة إجمالیّة لعقائد الإمامیّة فی أصول الدین</w:t>
            </w:r>
            <w:r>
              <w:rPr>
                <w:rStyle w:val="IndexLink"/>
                <w:rtl w:val="true"/>
              </w:rPr>
              <w:tab/>
            </w:r>
            <w:r>
              <w:rPr>
                <w:rStyle w:val="IndexLink"/>
              </w:rPr>
              <w:t>136</w:t>
            </w:r>
          </w:hyperlink>
        </w:p>
        <w:p>
          <w:pPr>
            <w:pStyle w:val="Contents4"/>
            <w:tabs>
              <w:tab w:val="clear" w:pos="8176"/>
              <w:tab w:val="right" w:pos="9026" w:leader="dot"/>
            </w:tabs>
            <w:rPr/>
          </w:pPr>
          <w:hyperlink w:anchor="__RefHeading___Toc2295301_203518539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295303_2035185390">
            <w:r>
              <w:rPr>
                <w:webHidden/>
                <w:rStyle w:val="IndexLink"/>
                <w:rtl w:val="true"/>
              </w:rPr>
              <w:t>[</w:t>
            </w:r>
            <w:r>
              <w:rPr>
                <w:rStyle w:val="IndexLink"/>
                <w:rtl w:val="true"/>
              </w:rPr>
              <w:t>توحید اللّه تعالی</w:t>
            </w:r>
            <w:r>
              <w:rPr>
                <w:rStyle w:val="IndexLink"/>
                <w:rtl w:val="true"/>
              </w:rPr>
              <w:t>]</w:t>
              <w:tab/>
            </w:r>
            <w:r>
              <w:rPr>
                <w:rStyle w:val="IndexLink"/>
              </w:rPr>
              <w:t>136</w:t>
            </w:r>
          </w:hyperlink>
        </w:p>
        <w:p>
          <w:pPr>
            <w:pStyle w:val="Contents4"/>
            <w:tabs>
              <w:tab w:val="clear" w:pos="8176"/>
              <w:tab w:val="right" w:pos="9026" w:leader="dot"/>
            </w:tabs>
            <w:rPr/>
          </w:pPr>
          <w:hyperlink w:anchor="__RefHeading___Toc2295305_2035185390">
            <w:r>
              <w:rPr>
                <w:webHidden/>
                <w:rStyle w:val="IndexLink"/>
                <w:rtl w:val="true"/>
              </w:rPr>
              <w:t>[</w:t>
            </w:r>
            <w:r>
              <w:rPr>
                <w:rStyle w:val="IndexLink"/>
                <w:rtl w:val="true"/>
              </w:rPr>
              <w:t>صفاته تعالی</w:t>
            </w:r>
            <w:r>
              <w:rPr>
                <w:rStyle w:val="IndexLink"/>
                <w:rtl w:val="true"/>
              </w:rPr>
              <w:t>]</w:t>
              <w:tab/>
            </w:r>
            <w:r>
              <w:rPr>
                <w:rStyle w:val="IndexLink"/>
              </w:rPr>
              <w:t>137</w:t>
            </w:r>
          </w:hyperlink>
        </w:p>
        <w:p>
          <w:pPr>
            <w:pStyle w:val="Contents4"/>
            <w:tabs>
              <w:tab w:val="clear" w:pos="8176"/>
              <w:tab w:val="right" w:pos="9026" w:leader="dot"/>
            </w:tabs>
            <w:rPr/>
          </w:pPr>
          <w:hyperlink w:anchor="__RefHeading___Toc2295307_2035185390">
            <w:r>
              <w:rPr>
                <w:webHidden/>
                <w:rStyle w:val="IndexLink"/>
                <w:rtl w:val="true"/>
              </w:rPr>
              <w:t>[</w:t>
            </w:r>
            <w:r>
              <w:rPr>
                <w:rStyle w:val="IndexLink"/>
                <w:rtl w:val="true"/>
              </w:rPr>
              <w:t>النبوّة</w:t>
            </w:r>
            <w:r>
              <w:rPr>
                <w:rStyle w:val="IndexLink"/>
                <w:rtl w:val="true"/>
              </w:rPr>
              <w:t>]</w:t>
              <w:tab/>
            </w:r>
            <w:r>
              <w:rPr>
                <w:rStyle w:val="IndexLink"/>
              </w:rPr>
              <w:t>138</w:t>
            </w:r>
          </w:hyperlink>
        </w:p>
        <w:p>
          <w:pPr>
            <w:pStyle w:val="Contents4"/>
            <w:tabs>
              <w:tab w:val="clear" w:pos="8176"/>
              <w:tab w:val="right" w:pos="9026" w:leader="dot"/>
            </w:tabs>
            <w:rPr/>
          </w:pPr>
          <w:hyperlink w:anchor="__RefHeading___Toc2295309_2035185390">
            <w:r>
              <w:rPr>
                <w:webHidden/>
                <w:rStyle w:val="IndexLink"/>
                <w:rtl w:val="true"/>
              </w:rPr>
              <w:t>[</w:t>
            </w:r>
            <w:r>
              <w:rPr>
                <w:rStyle w:val="IndexLink"/>
                <w:rtl w:val="true"/>
              </w:rPr>
              <w:t>الإمامة</w:t>
            </w:r>
            <w:r>
              <w:rPr>
                <w:rStyle w:val="IndexLink"/>
                <w:rtl w:val="true"/>
              </w:rPr>
              <w:t>]</w:t>
              <w:tab/>
            </w:r>
            <w:r>
              <w:rPr>
                <w:rStyle w:val="IndexLink"/>
              </w:rPr>
              <w:t>138</w:t>
            </w:r>
          </w:hyperlink>
        </w:p>
        <w:p>
          <w:pPr>
            <w:pStyle w:val="Contents4"/>
            <w:tabs>
              <w:tab w:val="clear" w:pos="8176"/>
              <w:tab w:val="right" w:pos="9026" w:leader="dot"/>
            </w:tabs>
            <w:rPr/>
          </w:pPr>
          <w:hyperlink w:anchor="__RefHeading___Toc2295311_2035185390">
            <w:r>
              <w:rPr>
                <w:webHidden/>
                <w:rStyle w:val="IndexLink"/>
                <w:rtl w:val="true"/>
              </w:rPr>
              <w:t>[</w:t>
            </w:r>
            <w:r>
              <w:rPr>
                <w:rStyle w:val="IndexLink"/>
                <w:rtl w:val="true"/>
              </w:rPr>
              <w:t>المعاد</w:t>
            </w:r>
            <w:r>
              <w:rPr>
                <w:rStyle w:val="IndexLink"/>
                <w:rtl w:val="true"/>
              </w:rPr>
              <w:t>]</w:t>
              <w:tab/>
            </w:r>
            <w:r>
              <w:rPr>
                <w:rStyle w:val="IndexLink"/>
              </w:rPr>
              <w:t>139</w:t>
            </w:r>
          </w:hyperlink>
        </w:p>
        <w:p>
          <w:pPr>
            <w:pStyle w:val="Contents3"/>
            <w:tabs>
              <w:tab w:val="clear" w:pos="8459"/>
              <w:tab w:val="right" w:pos="9026" w:leader="dot"/>
            </w:tabs>
            <w:rPr/>
          </w:pPr>
          <w:hyperlink w:anchor="__RefHeading___Toc2295313_2035185390">
            <w:r>
              <w:rPr>
                <w:webHidden/>
                <w:rStyle w:val="IndexLink"/>
                <w:rtl w:val="true"/>
              </w:rPr>
              <w:t>الفصل الثانی</w:t>
            </w:r>
            <w:r>
              <w:rPr>
                <w:rStyle w:val="IndexLink"/>
                <w:rtl w:val="true"/>
              </w:rPr>
              <w:t xml:space="preserve">: </w:t>
            </w:r>
            <w:r>
              <w:rPr>
                <w:rStyle w:val="IndexLink"/>
                <w:rtl w:val="true"/>
              </w:rPr>
              <w:t>جملة معتقدات للشیعة یخالفهم فیها أهل السنّة</w:t>
            </w:r>
            <w:r>
              <w:rPr>
                <w:rStyle w:val="IndexLink"/>
                <w:rtl w:val="true"/>
              </w:rPr>
              <w:tab/>
            </w:r>
            <w:r>
              <w:rPr>
                <w:rStyle w:val="IndexLink"/>
              </w:rPr>
              <w:t>140</w:t>
            </w:r>
          </w:hyperlink>
        </w:p>
        <w:p>
          <w:pPr>
            <w:pStyle w:val="Contents4"/>
            <w:tabs>
              <w:tab w:val="clear" w:pos="8176"/>
              <w:tab w:val="right" w:pos="9026" w:leader="dot"/>
            </w:tabs>
            <w:rPr/>
          </w:pPr>
          <w:hyperlink w:anchor="__RefHeading___Toc2295315_203518539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295317_2035185390">
            <w:r>
              <w:rPr>
                <w:webHidden/>
                <w:rStyle w:val="IndexLink"/>
                <w:rtl w:val="true"/>
              </w:rPr>
              <w:t>مسألة الإمامة</w:t>
            </w:r>
            <w:r>
              <w:rPr>
                <w:rStyle w:val="IndexLink"/>
                <w:rtl w:val="true"/>
              </w:rPr>
              <w:tab/>
            </w:r>
            <w:r>
              <w:rPr>
                <w:rStyle w:val="IndexLink"/>
              </w:rPr>
              <w:t>140</w:t>
            </w:r>
          </w:hyperlink>
        </w:p>
        <w:p>
          <w:pPr>
            <w:pStyle w:val="Contents4"/>
            <w:tabs>
              <w:tab w:val="clear" w:pos="8176"/>
              <w:tab w:val="right" w:pos="9026" w:leader="dot"/>
            </w:tabs>
            <w:rPr/>
          </w:pPr>
          <w:hyperlink w:anchor="__RefHeading___Toc2295319_2035185390">
            <w:r>
              <w:rPr>
                <w:webHidden/>
                <w:rStyle w:val="IndexLink"/>
                <w:rtl w:val="true"/>
              </w:rPr>
              <w:t>[</w:t>
            </w:r>
            <w:r>
              <w:rPr>
                <w:rStyle w:val="IndexLink"/>
                <w:rtl w:val="true"/>
              </w:rPr>
              <w:t>قصّة السقیفة</w:t>
            </w:r>
            <w:r>
              <w:rPr>
                <w:rStyle w:val="IndexLink"/>
                <w:rtl w:val="true"/>
              </w:rPr>
              <w:t>]</w:t>
              <w:tab/>
            </w:r>
            <w:r>
              <w:rPr>
                <w:rStyle w:val="IndexLink"/>
              </w:rPr>
              <w:t>141</w:t>
            </w:r>
          </w:hyperlink>
        </w:p>
        <w:p>
          <w:pPr>
            <w:pStyle w:val="Contents4"/>
            <w:tabs>
              <w:tab w:val="clear" w:pos="8176"/>
              <w:tab w:val="right" w:pos="9026" w:leader="dot"/>
            </w:tabs>
            <w:rPr/>
          </w:pPr>
          <w:hyperlink w:anchor="__RefHeading___Toc2295321_2035185390">
            <w:r>
              <w:rPr>
                <w:webHidden/>
                <w:rStyle w:val="IndexLink"/>
                <w:rtl w:val="true"/>
              </w:rPr>
              <w:t>[</w:t>
            </w:r>
            <w:r>
              <w:rPr>
                <w:rStyle w:val="IndexLink"/>
                <w:rtl w:val="true"/>
              </w:rPr>
              <w:t>نظرات حول الإمامة و فروعها</w:t>
            </w:r>
            <w:r>
              <w:rPr>
                <w:rStyle w:val="IndexLink"/>
                <w:rtl w:val="true"/>
              </w:rPr>
              <w:t>]</w:t>
              <w:tab/>
            </w:r>
            <w:r>
              <w:rPr>
                <w:rStyle w:val="IndexLink"/>
              </w:rPr>
              <w:t>142</w:t>
            </w:r>
          </w:hyperlink>
        </w:p>
        <w:p>
          <w:pPr>
            <w:pStyle w:val="Contents4"/>
            <w:tabs>
              <w:tab w:val="clear" w:pos="8176"/>
              <w:tab w:val="right" w:pos="9026" w:leader="dot"/>
            </w:tabs>
            <w:rPr/>
          </w:pPr>
          <w:hyperlink w:anchor="__RefHeading___Toc2295323_2035185390">
            <w:r>
              <w:rPr>
                <w:webHidden/>
                <w:rStyle w:val="IndexLink"/>
                <w:rtl w:val="true"/>
              </w:rPr>
              <w:t>[</w:t>
            </w:r>
            <w:r>
              <w:rPr>
                <w:rStyle w:val="IndexLink"/>
                <w:rtl w:val="true"/>
              </w:rPr>
              <w:t>الإمامة عند الشیعة</w:t>
            </w:r>
            <w:r>
              <w:rPr>
                <w:rStyle w:val="IndexLink"/>
                <w:rtl w:val="true"/>
              </w:rPr>
              <w:t>]</w:t>
              <w:tab/>
            </w:r>
            <w:r>
              <w:rPr>
                <w:rStyle w:val="IndexLink"/>
              </w:rPr>
              <w:t>143</w:t>
            </w:r>
          </w:hyperlink>
        </w:p>
        <w:p>
          <w:pPr>
            <w:pStyle w:val="Contents4"/>
            <w:tabs>
              <w:tab w:val="clear" w:pos="8176"/>
              <w:tab w:val="right" w:pos="9026" w:leader="dot"/>
            </w:tabs>
            <w:rPr/>
          </w:pPr>
          <w:hyperlink w:anchor="__RefHeading___Toc2295325_2035185390">
            <w:r>
              <w:rPr>
                <w:webHidden/>
                <w:rStyle w:val="IndexLink"/>
                <w:rtl w:val="true"/>
              </w:rPr>
              <w:t xml:space="preserve">النصّ الجلیّ </w:t>
            </w:r>
            <w:r>
              <w:rPr>
                <w:rStyle w:val="IndexLink"/>
                <w:rtl w:val="true"/>
              </w:rPr>
              <w:t>[</w:t>
            </w:r>
            <w:r>
              <w:rPr>
                <w:rStyle w:val="IndexLink"/>
                <w:rtl w:val="true"/>
              </w:rPr>
              <w:t>و الخفیّ</w:t>
            </w:r>
            <w:r>
              <w:rPr>
                <w:rStyle w:val="IndexLink"/>
                <w:rtl w:val="true"/>
              </w:rPr>
              <w:t>]</w:t>
              <w:tab/>
            </w:r>
            <w:r>
              <w:rPr>
                <w:rStyle w:val="IndexLink"/>
              </w:rPr>
              <w:t>144</w:t>
            </w:r>
          </w:hyperlink>
        </w:p>
        <w:p>
          <w:pPr>
            <w:pStyle w:val="Contents4"/>
            <w:tabs>
              <w:tab w:val="clear" w:pos="8176"/>
              <w:tab w:val="right" w:pos="9026" w:leader="dot"/>
            </w:tabs>
            <w:rPr/>
          </w:pPr>
          <w:hyperlink w:anchor="__RefHeading___Toc2295327_2035185390">
            <w:r>
              <w:rPr>
                <w:webHidden/>
                <w:rStyle w:val="IndexLink"/>
                <w:rtl w:val="true"/>
              </w:rPr>
              <w:t>[</w:t>
            </w:r>
            <w:r>
              <w:rPr>
                <w:rStyle w:val="IndexLink"/>
                <w:rtl w:val="true"/>
              </w:rPr>
              <w:t>أسباب الخلاف فی مسألة الإمامة</w:t>
            </w:r>
            <w:r>
              <w:rPr>
                <w:rStyle w:val="IndexLink"/>
                <w:rtl w:val="true"/>
              </w:rPr>
              <w:t>]</w:t>
              <w:tab/>
            </w:r>
            <w:r>
              <w:rPr>
                <w:rStyle w:val="IndexLink"/>
              </w:rPr>
              <w:t>147</w:t>
            </w:r>
          </w:hyperlink>
        </w:p>
        <w:p>
          <w:pPr>
            <w:pStyle w:val="Contents4"/>
            <w:tabs>
              <w:tab w:val="clear" w:pos="8176"/>
              <w:tab w:val="right" w:pos="9026" w:leader="dot"/>
            </w:tabs>
            <w:rPr/>
          </w:pPr>
          <w:hyperlink w:anchor="__RefHeading___Toc2295329_2035185390">
            <w:r>
              <w:rPr>
                <w:webHidden/>
                <w:rStyle w:val="IndexLink"/>
                <w:rtl w:val="true"/>
              </w:rPr>
              <w:t>[</w:t>
            </w:r>
            <w:r>
              <w:rPr>
                <w:rStyle w:val="IndexLink"/>
                <w:rtl w:val="true"/>
              </w:rPr>
              <w:t>مسألة</w:t>
            </w:r>
            <w:r>
              <w:rPr>
                <w:rStyle w:val="IndexLink"/>
                <w:rtl w:val="true"/>
              </w:rPr>
              <w:t xml:space="preserve">] </w:t>
            </w:r>
            <w:r>
              <w:rPr>
                <w:rStyle w:val="IndexLink"/>
                <w:rtl w:val="true"/>
              </w:rPr>
              <w:t>الغَیبة</w:t>
            </w:r>
            <w:r>
              <w:rPr>
                <w:rStyle w:val="IndexLink"/>
                <w:rtl w:val="true"/>
              </w:rPr>
              <w:tab/>
            </w:r>
            <w:r>
              <w:rPr>
                <w:rStyle w:val="IndexLink"/>
              </w:rPr>
              <w:t>151</w:t>
            </w:r>
          </w:hyperlink>
        </w:p>
        <w:p>
          <w:pPr>
            <w:pStyle w:val="Contents4"/>
            <w:tabs>
              <w:tab w:val="clear" w:pos="8176"/>
              <w:tab w:val="right" w:pos="9026" w:leader="dot"/>
            </w:tabs>
            <w:rPr/>
          </w:pPr>
          <w:hyperlink w:anchor="__RefHeading___Toc2295331_2035185390">
            <w:r>
              <w:rPr>
                <w:webHidden/>
                <w:rStyle w:val="IndexLink"/>
                <w:rtl w:val="true"/>
              </w:rPr>
              <w:t>[</w:t>
            </w:r>
            <w:r>
              <w:rPr>
                <w:rStyle w:val="IndexLink"/>
                <w:rtl w:val="true"/>
              </w:rPr>
              <w:t>تواتر الروایات حول المهدیّ علیه‌السلام و غیبته</w:t>
            </w:r>
            <w:r>
              <w:rPr>
                <w:rStyle w:val="IndexLink"/>
                <w:rtl w:val="true"/>
              </w:rPr>
              <w:t>]</w:t>
              <w:tab/>
            </w:r>
            <w:r>
              <w:rPr>
                <w:rStyle w:val="IndexLink"/>
              </w:rPr>
              <w:t>153</w:t>
            </w:r>
          </w:hyperlink>
        </w:p>
        <w:p>
          <w:pPr>
            <w:pStyle w:val="Contents3"/>
            <w:tabs>
              <w:tab w:val="clear" w:pos="8459"/>
              <w:tab w:val="right" w:pos="9026" w:leader="dot"/>
            </w:tabs>
            <w:rPr/>
          </w:pPr>
          <w:hyperlink w:anchor="__RefHeading___Toc2295333_2035185390">
            <w:r>
              <w:rPr>
                <w:webHidden/>
                <w:rStyle w:val="IndexLink"/>
                <w:rtl w:val="true"/>
              </w:rPr>
              <w:t>الفصل الثالث</w:t>
            </w:r>
            <w:r>
              <w:rPr>
                <w:rStyle w:val="IndexLink"/>
                <w:rtl w:val="true"/>
              </w:rPr>
              <w:t xml:space="preserve">: </w:t>
            </w:r>
            <w:r>
              <w:rPr>
                <w:rStyle w:val="IndexLink"/>
                <w:rtl w:val="true"/>
              </w:rPr>
              <w:t>جملة أمور نُسبت إلی الشیعة الإمامیّة</w:t>
            </w:r>
            <w:r>
              <w:rPr>
                <w:rStyle w:val="IndexLink"/>
                <w:rtl w:val="true"/>
              </w:rPr>
              <w:tab/>
            </w:r>
            <w:r>
              <w:rPr>
                <w:rStyle w:val="IndexLink"/>
              </w:rPr>
              <w:t>157</w:t>
            </w:r>
          </w:hyperlink>
        </w:p>
        <w:p>
          <w:pPr>
            <w:pStyle w:val="Contents4"/>
            <w:tabs>
              <w:tab w:val="clear" w:pos="8176"/>
              <w:tab w:val="right" w:pos="9026" w:leader="dot"/>
            </w:tabs>
            <w:rPr/>
          </w:pPr>
          <w:hyperlink w:anchor="__RefHeading___Toc2295335_203518539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295337_2035185390">
            <w:r>
              <w:rPr>
                <w:webHidden/>
                <w:rStyle w:val="IndexLink"/>
                <w:rtl w:val="true"/>
              </w:rPr>
              <w:t>رمی قدماء الإمامیّة بالقول بالجبر و التشبیه</w:t>
            </w:r>
            <w:r>
              <w:rPr>
                <w:rStyle w:val="IndexLink"/>
                <w:rtl w:val="true"/>
              </w:rPr>
              <w:tab/>
            </w:r>
            <w:r>
              <w:rPr>
                <w:rStyle w:val="IndexLink"/>
              </w:rPr>
              <w:t>157</w:t>
            </w:r>
          </w:hyperlink>
        </w:p>
        <w:p>
          <w:pPr>
            <w:pStyle w:val="Contents4"/>
            <w:tabs>
              <w:tab w:val="clear" w:pos="8176"/>
              <w:tab w:val="right" w:pos="9026" w:leader="dot"/>
            </w:tabs>
            <w:rPr/>
          </w:pPr>
          <w:hyperlink w:anchor="__RefHeading___Toc2295339_2035185390">
            <w:r>
              <w:rPr>
                <w:webHidden/>
                <w:rStyle w:val="IndexLink"/>
                <w:rtl w:val="true"/>
              </w:rPr>
              <w:t>[</w:t>
            </w:r>
            <w:r>
              <w:rPr>
                <w:rStyle w:val="IndexLink"/>
                <w:rtl w:val="true"/>
              </w:rPr>
              <w:t>نسبة الضلالات إلی الشیعة</w:t>
            </w:r>
            <w:r>
              <w:rPr>
                <w:rStyle w:val="IndexLink"/>
                <w:rtl w:val="true"/>
              </w:rPr>
              <w:t>]</w:t>
              <w:tab/>
            </w:r>
            <w:r>
              <w:rPr>
                <w:rStyle w:val="IndexLink"/>
              </w:rPr>
              <w:t>158</w:t>
            </w:r>
          </w:hyperlink>
        </w:p>
        <w:p>
          <w:pPr>
            <w:pStyle w:val="Contents4"/>
            <w:tabs>
              <w:tab w:val="clear" w:pos="8176"/>
              <w:tab w:val="right" w:pos="9026" w:leader="dot"/>
            </w:tabs>
            <w:rPr/>
          </w:pPr>
          <w:hyperlink w:anchor="__RefHeading___Toc2295341_2035185390">
            <w:r>
              <w:rPr>
                <w:webHidden/>
                <w:rStyle w:val="IndexLink"/>
                <w:rtl w:val="true"/>
              </w:rPr>
              <w:t>[</w:t>
            </w:r>
            <w:r>
              <w:rPr>
                <w:rStyle w:val="IndexLink"/>
                <w:rtl w:val="true"/>
              </w:rPr>
              <w:t>مسألة</w:t>
            </w:r>
            <w:r>
              <w:rPr>
                <w:rStyle w:val="IndexLink"/>
                <w:rtl w:val="true"/>
              </w:rPr>
              <w:t xml:space="preserve">] </w:t>
            </w:r>
            <w:r>
              <w:rPr>
                <w:rStyle w:val="IndexLink"/>
                <w:rtl w:val="true"/>
              </w:rPr>
              <w:t>البَداء</w:t>
            </w:r>
            <w:r>
              <w:rPr>
                <w:rStyle w:val="IndexLink"/>
                <w:rtl w:val="true"/>
              </w:rPr>
              <w:tab/>
            </w:r>
            <w:r>
              <w:rPr>
                <w:rStyle w:val="IndexLink"/>
              </w:rPr>
              <w:t>160</w:t>
            </w:r>
          </w:hyperlink>
        </w:p>
        <w:p>
          <w:pPr>
            <w:pStyle w:val="Contents4"/>
            <w:tabs>
              <w:tab w:val="clear" w:pos="8176"/>
              <w:tab w:val="right" w:pos="9026" w:leader="dot"/>
            </w:tabs>
            <w:rPr/>
          </w:pPr>
          <w:hyperlink w:anchor="__RefHeading___Toc2295343_2035185390">
            <w:r>
              <w:rPr>
                <w:webHidden/>
                <w:rStyle w:val="IndexLink"/>
                <w:rtl w:val="true"/>
              </w:rPr>
              <w:t>[</w:t>
            </w:r>
            <w:r>
              <w:rPr>
                <w:rStyle w:val="IndexLink"/>
                <w:rtl w:val="true"/>
              </w:rPr>
              <w:t>موقف العامّة من مسألة البَداء</w:t>
            </w:r>
            <w:r>
              <w:rPr>
                <w:rStyle w:val="IndexLink"/>
                <w:rtl w:val="true"/>
              </w:rPr>
              <w:t>]</w:t>
              <w:tab/>
            </w:r>
            <w:r>
              <w:rPr>
                <w:rStyle w:val="IndexLink"/>
              </w:rPr>
              <w:t>162</w:t>
            </w:r>
          </w:hyperlink>
        </w:p>
        <w:p>
          <w:pPr>
            <w:pStyle w:val="Contents4"/>
            <w:tabs>
              <w:tab w:val="clear" w:pos="8176"/>
              <w:tab w:val="right" w:pos="9026" w:leader="dot"/>
            </w:tabs>
            <w:rPr/>
          </w:pPr>
          <w:hyperlink w:anchor="__RefHeading___Toc2295345_2035185390">
            <w:r>
              <w:rPr>
                <w:webHidden/>
                <w:rStyle w:val="IndexLink"/>
                <w:rtl w:val="true"/>
              </w:rPr>
              <w:t>[</w:t>
            </w:r>
            <w:r>
              <w:rPr>
                <w:rStyle w:val="IndexLink"/>
                <w:rtl w:val="true"/>
              </w:rPr>
              <w:t>مسألة</w:t>
            </w:r>
            <w:r>
              <w:rPr>
                <w:rStyle w:val="IndexLink"/>
                <w:rtl w:val="true"/>
              </w:rPr>
              <w:t xml:space="preserve">] </w:t>
            </w:r>
            <w:r>
              <w:rPr>
                <w:rStyle w:val="IndexLink"/>
                <w:rtl w:val="true"/>
              </w:rPr>
              <w:t>تحریف القرآن و النقصان فیه</w:t>
            </w:r>
            <w:r>
              <w:rPr>
                <w:rStyle w:val="IndexLink"/>
                <w:rtl w:val="true"/>
              </w:rPr>
              <w:tab/>
            </w:r>
            <w:r>
              <w:rPr>
                <w:rStyle w:val="IndexLink"/>
              </w:rPr>
              <w:t>163</w:t>
            </w:r>
          </w:hyperlink>
        </w:p>
        <w:p>
          <w:pPr>
            <w:pStyle w:val="Contents4"/>
            <w:tabs>
              <w:tab w:val="clear" w:pos="8176"/>
              <w:tab w:val="right" w:pos="9026" w:leader="dot"/>
            </w:tabs>
            <w:rPr/>
          </w:pPr>
          <w:hyperlink w:anchor="__RefHeading___Toc2295347_2035185390">
            <w:r>
              <w:rPr>
                <w:webHidden/>
                <w:rStyle w:val="IndexLink"/>
                <w:rtl w:val="true"/>
              </w:rPr>
              <w:t>[</w:t>
            </w:r>
            <w:r>
              <w:rPr>
                <w:rStyle w:val="IndexLink"/>
                <w:rtl w:val="true"/>
              </w:rPr>
              <w:t>نصّ مشایخ الإمامیّة علی عدم تحریف القرآن</w:t>
            </w:r>
            <w:r>
              <w:rPr>
                <w:rStyle w:val="IndexLink"/>
                <w:rtl w:val="true"/>
              </w:rPr>
              <w:t>]</w:t>
              <w:tab/>
            </w:r>
            <w:r>
              <w:rPr>
                <w:rStyle w:val="IndexLink"/>
              </w:rPr>
              <w:t>164</w:t>
            </w:r>
          </w:hyperlink>
        </w:p>
        <w:p>
          <w:pPr>
            <w:pStyle w:val="Contents4"/>
            <w:tabs>
              <w:tab w:val="clear" w:pos="8176"/>
              <w:tab w:val="right" w:pos="9026" w:leader="dot"/>
            </w:tabs>
            <w:rPr/>
          </w:pPr>
          <w:hyperlink w:anchor="__RefHeading___Toc2295349_2035185390">
            <w:r>
              <w:rPr>
                <w:webHidden/>
                <w:rStyle w:val="IndexLink"/>
                <w:rtl w:val="true"/>
              </w:rPr>
              <w:t>[</w:t>
            </w:r>
            <w:r>
              <w:rPr>
                <w:rStyle w:val="IndexLink"/>
                <w:rtl w:val="true"/>
              </w:rPr>
              <w:t>مسألة</w:t>
            </w:r>
            <w:r>
              <w:rPr>
                <w:rStyle w:val="IndexLink"/>
                <w:rtl w:val="true"/>
              </w:rPr>
              <w:t xml:space="preserve">] </w:t>
            </w:r>
            <w:r>
              <w:rPr>
                <w:rStyle w:val="IndexLink"/>
                <w:rtl w:val="true"/>
              </w:rPr>
              <w:t>الرجعة</w:t>
            </w:r>
            <w:r>
              <w:rPr>
                <w:rStyle w:val="IndexLink"/>
                <w:rtl w:val="true"/>
              </w:rPr>
              <w:tab/>
            </w:r>
            <w:r>
              <w:rPr>
                <w:rStyle w:val="IndexLink"/>
              </w:rPr>
              <w:t>165</w:t>
            </w:r>
          </w:hyperlink>
        </w:p>
        <w:p>
          <w:pPr>
            <w:pStyle w:val="Contents4"/>
            <w:tabs>
              <w:tab w:val="clear" w:pos="8176"/>
              <w:tab w:val="right" w:pos="9026" w:leader="dot"/>
            </w:tabs>
            <w:rPr/>
          </w:pPr>
          <w:hyperlink w:anchor="__RefHeading___Toc2295351_2035185390">
            <w:r>
              <w:rPr>
                <w:webHidden/>
                <w:rStyle w:val="IndexLink"/>
                <w:rtl w:val="true"/>
              </w:rPr>
              <w:t>[</w:t>
            </w:r>
            <w:r>
              <w:rPr>
                <w:rStyle w:val="IndexLink"/>
                <w:rtl w:val="true"/>
              </w:rPr>
              <w:t>الرجعة عند الغلاة و تبرّؤ الشیعة منها</w:t>
            </w:r>
            <w:r>
              <w:rPr>
                <w:rStyle w:val="IndexLink"/>
                <w:rtl w:val="true"/>
              </w:rPr>
              <w:t>]</w:t>
              <w:tab/>
            </w:r>
            <w:r>
              <w:rPr>
                <w:rStyle w:val="IndexLink"/>
              </w:rPr>
              <w:t>166</w:t>
            </w:r>
          </w:hyperlink>
        </w:p>
        <w:p>
          <w:pPr>
            <w:pStyle w:val="Contents3"/>
            <w:tabs>
              <w:tab w:val="clear" w:pos="8459"/>
              <w:tab w:val="right" w:pos="9026" w:leader="dot"/>
            </w:tabs>
            <w:rPr/>
          </w:pPr>
          <w:hyperlink w:anchor="__RefHeading___Toc2295353_2035185390">
            <w:r>
              <w:rPr>
                <w:webHidden/>
                <w:rStyle w:val="IndexLink"/>
                <w:rtl w:val="true"/>
              </w:rPr>
              <w:t>الفصل الرابع</w:t>
            </w:r>
            <w:r>
              <w:rPr>
                <w:rStyle w:val="IndexLink"/>
                <w:rtl w:val="true"/>
              </w:rPr>
              <w:t xml:space="preserve">: </w:t>
            </w:r>
            <w:r>
              <w:rPr>
                <w:rStyle w:val="IndexLink"/>
                <w:rtl w:val="true"/>
              </w:rPr>
              <w:t>تفصیل مقالات نُسبت إلی بعض متکلّمی الشیعة</w:t>
            </w:r>
            <w:r>
              <w:rPr>
                <w:rStyle w:val="IndexLink"/>
                <w:rtl w:val="true"/>
              </w:rPr>
              <w:tab/>
            </w:r>
            <w:r>
              <w:rPr>
                <w:rStyle w:val="IndexLink"/>
              </w:rPr>
              <w:t>167</w:t>
            </w:r>
          </w:hyperlink>
        </w:p>
        <w:p>
          <w:pPr>
            <w:pStyle w:val="Contents4"/>
            <w:tabs>
              <w:tab w:val="clear" w:pos="8176"/>
              <w:tab w:val="right" w:pos="9026" w:leader="dot"/>
            </w:tabs>
            <w:rPr/>
          </w:pPr>
          <w:hyperlink w:anchor="__RefHeading___Toc2295355_203518539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295357_2035185390">
            <w:r>
              <w:rPr>
                <w:webHidden/>
                <w:rStyle w:val="IndexLink"/>
                <w:rtl w:val="true"/>
              </w:rPr>
              <w:t>هشام بن الحکم و ما رُمی به من القول بالتشبیه و التجسیم و غیره</w:t>
            </w:r>
            <w:r>
              <w:rPr>
                <w:rStyle w:val="IndexLink"/>
                <w:rtl w:val="true"/>
              </w:rPr>
              <w:tab/>
            </w:r>
            <w:r>
              <w:rPr>
                <w:rStyle w:val="IndexLink"/>
              </w:rPr>
              <w:t>167</w:t>
            </w:r>
          </w:hyperlink>
        </w:p>
        <w:p>
          <w:pPr>
            <w:pStyle w:val="Contents4"/>
            <w:tabs>
              <w:tab w:val="clear" w:pos="8176"/>
              <w:tab w:val="right" w:pos="9026" w:leader="dot"/>
            </w:tabs>
            <w:rPr/>
          </w:pPr>
          <w:hyperlink w:anchor="__RefHeading___Toc2295359_2035185390">
            <w:r>
              <w:rPr>
                <w:webHidden/>
                <w:rStyle w:val="IndexLink"/>
                <w:rtl w:val="true"/>
              </w:rPr>
              <w:t>[</w:t>
            </w:r>
            <w:r>
              <w:rPr>
                <w:rStyle w:val="IndexLink"/>
                <w:rtl w:val="true"/>
              </w:rPr>
              <w:t>المقالات المنسوبة إلی هشام و الجواب عنها</w:t>
            </w:r>
            <w:r>
              <w:rPr>
                <w:rStyle w:val="IndexLink"/>
                <w:rtl w:val="true"/>
              </w:rPr>
              <w:t>]</w:t>
              <w:tab/>
            </w:r>
            <w:r>
              <w:rPr>
                <w:rStyle w:val="IndexLink"/>
              </w:rPr>
              <w:t>168</w:t>
            </w:r>
          </w:hyperlink>
        </w:p>
        <w:p>
          <w:pPr>
            <w:pStyle w:val="Contents4"/>
            <w:tabs>
              <w:tab w:val="clear" w:pos="8176"/>
              <w:tab w:val="right" w:pos="9026" w:leader="dot"/>
            </w:tabs>
            <w:rPr/>
          </w:pPr>
          <w:hyperlink w:anchor="__RefHeading___Toc2295361_2035185390">
            <w:r>
              <w:rPr>
                <w:webHidden/>
                <w:rStyle w:val="IndexLink"/>
                <w:rtl w:val="true"/>
              </w:rPr>
              <w:t>محمّد بن علیّ بن النعمان أبوجعفر الطاقیّ</w:t>
            </w:r>
            <w:r>
              <w:rPr>
                <w:rStyle w:val="IndexLink"/>
                <w:rtl w:val="true"/>
              </w:rPr>
              <w:tab/>
            </w:r>
            <w:r>
              <w:rPr>
                <w:rStyle w:val="IndexLink"/>
              </w:rPr>
              <w:t>172</w:t>
            </w:r>
          </w:hyperlink>
        </w:p>
        <w:p>
          <w:pPr>
            <w:pStyle w:val="Contents4"/>
            <w:tabs>
              <w:tab w:val="clear" w:pos="8176"/>
              <w:tab w:val="right" w:pos="9026" w:leader="dot"/>
            </w:tabs>
            <w:rPr/>
          </w:pPr>
          <w:hyperlink w:anchor="__RefHeading___Toc2295363_2035185390">
            <w:r>
              <w:rPr>
                <w:webHidden/>
                <w:rStyle w:val="IndexLink"/>
                <w:rtl w:val="true"/>
              </w:rPr>
              <w:t>زرارة بن أعین الشیبانیّ</w:t>
            </w:r>
            <w:r>
              <w:rPr>
                <w:rStyle w:val="IndexLink"/>
                <w:rtl w:val="true"/>
              </w:rPr>
              <w:tab/>
            </w:r>
            <w:r>
              <w:rPr>
                <w:rStyle w:val="IndexLink"/>
              </w:rPr>
              <w:t>173</w:t>
            </w:r>
          </w:hyperlink>
        </w:p>
        <w:p>
          <w:pPr>
            <w:pStyle w:val="Contents4"/>
            <w:tabs>
              <w:tab w:val="clear" w:pos="8176"/>
              <w:tab w:val="right" w:pos="9026" w:leader="dot"/>
            </w:tabs>
            <w:rPr/>
          </w:pPr>
          <w:hyperlink w:anchor="__RefHeading___Toc2295365_2035185390">
            <w:r>
              <w:rPr>
                <w:webHidden/>
                <w:rStyle w:val="IndexLink"/>
                <w:rtl w:val="true"/>
              </w:rPr>
              <w:t>یونس بن عبد الرحمن القمّیّ مولی آل یقطین</w:t>
            </w:r>
            <w:r>
              <w:rPr>
                <w:rStyle w:val="IndexLink"/>
                <w:rtl w:val="true"/>
              </w:rPr>
              <w:tab/>
            </w:r>
            <w:r>
              <w:rPr>
                <w:rStyle w:val="IndexLink"/>
              </w:rPr>
              <w:t>174</w:t>
            </w:r>
          </w:hyperlink>
        </w:p>
        <w:p>
          <w:pPr>
            <w:pStyle w:val="Contents4"/>
            <w:tabs>
              <w:tab w:val="clear" w:pos="8176"/>
              <w:tab w:val="right" w:pos="9026" w:leader="dot"/>
            </w:tabs>
            <w:rPr/>
          </w:pPr>
          <w:hyperlink w:anchor="__RefHeading___Toc2295367_2035185390">
            <w:r>
              <w:rPr>
                <w:webHidden/>
                <w:rStyle w:val="IndexLink"/>
                <w:rtl w:val="true"/>
              </w:rPr>
              <w:t>أبو عیسی محمّد بن هارون الورّاق</w:t>
            </w:r>
            <w:r>
              <w:rPr>
                <w:rStyle w:val="IndexLink"/>
                <w:rtl w:val="true"/>
              </w:rPr>
              <w:tab/>
            </w:r>
            <w:r>
              <w:rPr>
                <w:rStyle w:val="IndexLink"/>
              </w:rPr>
              <w:t>174</w:t>
            </w:r>
          </w:hyperlink>
        </w:p>
        <w:p>
          <w:pPr>
            <w:pStyle w:val="Contents4"/>
            <w:tabs>
              <w:tab w:val="clear" w:pos="8176"/>
              <w:tab w:val="right" w:pos="9026" w:leader="dot"/>
            </w:tabs>
            <w:rPr/>
          </w:pPr>
          <w:hyperlink w:anchor="__RefHeading___Toc2295369_2035185390">
            <w:r>
              <w:rPr>
                <w:webHidden/>
                <w:rStyle w:val="IndexLink"/>
                <w:rtl w:val="true"/>
              </w:rPr>
              <w:t>[</w:t>
            </w:r>
            <w:r>
              <w:rPr>
                <w:rStyle w:val="IndexLink"/>
                <w:rtl w:val="true"/>
              </w:rPr>
              <w:t>أوّل المصنّفات فی الفِرَق و المقالات</w:t>
            </w:r>
            <w:r>
              <w:rPr>
                <w:rStyle w:val="IndexLink"/>
                <w:rtl w:val="true"/>
              </w:rPr>
              <w:t>]</w:t>
              <w:tab/>
            </w:r>
            <w:r>
              <w:rPr>
                <w:rStyle w:val="IndexLink"/>
              </w:rPr>
              <w:t>176</w:t>
            </w:r>
          </w:hyperlink>
        </w:p>
        <w:p>
          <w:pPr>
            <w:pStyle w:val="Contents4"/>
            <w:tabs>
              <w:tab w:val="clear" w:pos="8176"/>
              <w:tab w:val="right" w:pos="9026" w:leader="dot"/>
            </w:tabs>
            <w:rPr/>
          </w:pPr>
          <w:hyperlink w:anchor="__RefHeading___Toc2295371_2035185390">
            <w:r>
              <w:rPr>
                <w:webHidden/>
                <w:rStyle w:val="IndexLink"/>
                <w:rtl w:val="true"/>
              </w:rPr>
              <w:t>[</w:t>
            </w:r>
            <w:r>
              <w:rPr>
                <w:rStyle w:val="IndexLink"/>
                <w:rtl w:val="true"/>
              </w:rPr>
              <w:t>منشأ آخر للأقاویل المنسوبة إلی شیوخ الشیعة</w:t>
            </w:r>
            <w:r>
              <w:rPr>
                <w:rStyle w:val="IndexLink"/>
                <w:rtl w:val="true"/>
              </w:rPr>
              <w:t>]</w:t>
              <w:tab/>
            </w:r>
            <w:r>
              <w:rPr>
                <w:rStyle w:val="IndexLink"/>
              </w:rPr>
              <w:t>179</w:t>
            </w:r>
          </w:hyperlink>
        </w:p>
        <w:p>
          <w:pPr>
            <w:pStyle w:val="Contents2"/>
            <w:tabs>
              <w:tab w:val="clear" w:pos="8743"/>
              <w:tab w:val="right" w:pos="9026" w:leader="dot"/>
            </w:tabs>
            <w:rPr/>
          </w:pPr>
          <w:hyperlink w:anchor="__RefHeading___Toc2295373_2035185390">
            <w:r>
              <w:rPr>
                <w:webHidden/>
                <w:rStyle w:val="IndexLink"/>
                <w:rtl w:val="true"/>
              </w:rPr>
              <w:t>الباب الرابع</w:t>
            </w:r>
            <w:r>
              <w:rPr>
                <w:rStyle w:val="IndexLink"/>
                <w:rtl w:val="true"/>
              </w:rPr>
              <w:t xml:space="preserve">: </w:t>
            </w:r>
            <w:r>
              <w:rPr>
                <w:rStyle w:val="IndexLink"/>
                <w:rtl w:val="true"/>
              </w:rPr>
              <w:t>الشیعة و فروع الدین</w:t>
            </w:r>
            <w:r>
              <w:rPr>
                <w:rStyle w:val="IndexLink"/>
                <w:rtl w:val="true"/>
              </w:rPr>
              <w:tab/>
            </w:r>
            <w:r>
              <w:rPr>
                <w:rStyle w:val="IndexLink"/>
              </w:rPr>
              <w:t>182</w:t>
            </w:r>
          </w:hyperlink>
        </w:p>
        <w:p>
          <w:pPr>
            <w:pStyle w:val="Contents3"/>
            <w:tabs>
              <w:tab w:val="clear" w:pos="8459"/>
              <w:tab w:val="right" w:pos="9026" w:leader="dot"/>
            </w:tabs>
            <w:rPr/>
          </w:pPr>
          <w:hyperlink w:anchor="__RefHeading___Toc2295375_203518539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2295377_2035185390">
            <w:r>
              <w:rPr>
                <w:webHidden/>
                <w:rStyle w:val="IndexLink"/>
                <w:rtl w:val="true"/>
              </w:rPr>
              <w:t>[</w:t>
            </w:r>
            <w:r>
              <w:rPr>
                <w:rStyle w:val="IndexLink"/>
                <w:rtl w:val="true"/>
              </w:rPr>
              <w:t>مقدّمة</w:t>
            </w:r>
            <w:r>
              <w:rPr>
                <w:rStyle w:val="IndexLink"/>
                <w:rtl w:val="true"/>
              </w:rPr>
              <w:t>]</w:t>
              <w:tab/>
            </w:r>
            <w:r>
              <w:rPr>
                <w:rStyle w:val="IndexLink"/>
              </w:rPr>
              <w:t>184</w:t>
            </w:r>
          </w:hyperlink>
        </w:p>
        <w:p>
          <w:pPr>
            <w:pStyle w:val="Contents3"/>
            <w:tabs>
              <w:tab w:val="clear" w:pos="8459"/>
              <w:tab w:val="right" w:pos="9026" w:leader="dot"/>
            </w:tabs>
            <w:rPr/>
          </w:pPr>
          <w:hyperlink w:anchor="__RefHeading___Toc2295379_2035185390">
            <w:r>
              <w:rPr>
                <w:webHidden/>
                <w:rStyle w:val="IndexLink"/>
                <w:rtl w:val="true"/>
              </w:rPr>
              <w:t>الفصل الأوّل</w:t>
            </w:r>
            <w:r>
              <w:rPr>
                <w:rStyle w:val="IndexLink"/>
                <w:rtl w:val="true"/>
              </w:rPr>
              <w:t xml:space="preserve">: </w:t>
            </w:r>
            <w:r>
              <w:rPr>
                <w:rStyle w:val="IndexLink"/>
                <w:rtl w:val="true"/>
              </w:rPr>
              <w:t>الأئمّة علیهم‌السلام و بیان الأحکام و الواقعیّات</w:t>
            </w:r>
            <w:r>
              <w:rPr>
                <w:rStyle w:val="IndexLink"/>
                <w:rtl w:val="true"/>
              </w:rPr>
              <w:tab/>
            </w:r>
            <w:r>
              <w:rPr>
                <w:rStyle w:val="IndexLink"/>
              </w:rPr>
              <w:t>185</w:t>
            </w:r>
          </w:hyperlink>
        </w:p>
        <w:p>
          <w:pPr>
            <w:pStyle w:val="Contents4"/>
            <w:tabs>
              <w:tab w:val="clear" w:pos="8176"/>
              <w:tab w:val="right" w:pos="9026" w:leader="dot"/>
            </w:tabs>
            <w:rPr/>
          </w:pPr>
          <w:hyperlink w:anchor="__RefHeading___Toc2295381_203518539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295383_2035185390">
            <w:r>
              <w:rPr>
                <w:webHidden/>
                <w:rStyle w:val="IndexLink"/>
                <w:rtl w:val="true"/>
              </w:rPr>
              <w:t>[</w:t>
            </w:r>
            <w:r>
              <w:rPr>
                <w:rStyle w:val="IndexLink"/>
                <w:rtl w:val="true"/>
              </w:rPr>
              <w:t>دور أمیر المؤمنین علیه‌السلام فی بیان الأحکام</w:t>
            </w:r>
            <w:r>
              <w:rPr>
                <w:rStyle w:val="IndexLink"/>
                <w:rtl w:val="true"/>
              </w:rPr>
              <w:t>]</w:t>
              <w:tab/>
            </w:r>
            <w:r>
              <w:rPr>
                <w:rStyle w:val="IndexLink"/>
              </w:rPr>
              <w:t>186</w:t>
            </w:r>
          </w:hyperlink>
        </w:p>
        <w:p>
          <w:pPr>
            <w:pStyle w:val="Contents4"/>
            <w:tabs>
              <w:tab w:val="clear" w:pos="8176"/>
              <w:tab w:val="right" w:pos="9026" w:leader="dot"/>
            </w:tabs>
            <w:rPr/>
          </w:pPr>
          <w:hyperlink w:anchor="__RefHeading___Toc2295385_2035185390">
            <w:r>
              <w:rPr>
                <w:webHidden/>
                <w:rStyle w:val="IndexLink"/>
                <w:rtl w:val="true"/>
              </w:rPr>
              <w:t>[</w:t>
            </w:r>
            <w:r>
              <w:rPr>
                <w:rStyle w:val="IndexLink"/>
                <w:rtl w:val="true"/>
              </w:rPr>
              <w:t>المِحَن التی منعت الإمام من تغییر البدع</w:t>
            </w:r>
            <w:r>
              <w:rPr>
                <w:rStyle w:val="IndexLink"/>
                <w:rtl w:val="true"/>
              </w:rPr>
              <w:t>]</w:t>
              <w:tab/>
            </w:r>
            <w:r>
              <w:rPr>
                <w:rStyle w:val="IndexLink"/>
              </w:rPr>
              <w:t>187</w:t>
            </w:r>
          </w:hyperlink>
        </w:p>
        <w:p>
          <w:pPr>
            <w:pStyle w:val="Contents4"/>
            <w:tabs>
              <w:tab w:val="clear" w:pos="8176"/>
              <w:tab w:val="right" w:pos="9026" w:leader="dot"/>
            </w:tabs>
            <w:rPr/>
          </w:pPr>
          <w:hyperlink w:anchor="__RefHeading___Toc2295387_2035185390">
            <w:r>
              <w:rPr>
                <w:webHidden/>
                <w:rStyle w:val="IndexLink"/>
                <w:rtl w:val="true"/>
              </w:rPr>
              <w:t>[</w:t>
            </w:r>
            <w:r>
              <w:rPr>
                <w:rStyle w:val="IndexLink"/>
                <w:rtl w:val="true"/>
              </w:rPr>
              <w:t>دَور الصادقَین علیهماالسلام فی بیان الأحکام</w:t>
            </w:r>
            <w:r>
              <w:rPr>
                <w:rStyle w:val="IndexLink"/>
                <w:rtl w:val="true"/>
              </w:rPr>
              <w:t>]</w:t>
              <w:tab/>
            </w:r>
            <w:r>
              <w:rPr>
                <w:rStyle w:val="IndexLink"/>
              </w:rPr>
              <w:t>191</w:t>
            </w:r>
          </w:hyperlink>
        </w:p>
        <w:p>
          <w:pPr>
            <w:pStyle w:val="Contents4"/>
            <w:tabs>
              <w:tab w:val="clear" w:pos="8176"/>
              <w:tab w:val="right" w:pos="9026" w:leader="dot"/>
            </w:tabs>
            <w:rPr/>
          </w:pPr>
          <w:hyperlink w:anchor="__RefHeading___Toc2295389_2035185390">
            <w:r>
              <w:rPr>
                <w:webHidden/>
                <w:rStyle w:val="IndexLink"/>
                <w:rtl w:val="true"/>
              </w:rPr>
              <w:t>[</w:t>
            </w:r>
            <w:r>
              <w:rPr>
                <w:rStyle w:val="IndexLink"/>
                <w:rtl w:val="true"/>
              </w:rPr>
              <w:t>شدّة الأمر علی الشیعة بعد الصادقَین علیهماالسلام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2295391_2035185390">
            <w:r>
              <w:rPr>
                <w:webHidden/>
                <w:rStyle w:val="IndexLink"/>
                <w:rtl w:val="true"/>
              </w:rPr>
              <w:t>[</w:t>
            </w:r>
            <w:r>
              <w:rPr>
                <w:rStyle w:val="IndexLink"/>
                <w:rtl w:val="true"/>
              </w:rPr>
              <w:t>التقیّة و تأثیرها فی اختلاف الأخبار</w:t>
            </w:r>
            <w:r>
              <w:rPr>
                <w:rStyle w:val="IndexLink"/>
                <w:rtl w:val="true"/>
              </w:rPr>
              <w:t>]</w:t>
              <w:tab/>
            </w:r>
            <w:r>
              <w:rPr>
                <w:rStyle w:val="IndexLink"/>
              </w:rPr>
              <w:t>197</w:t>
            </w:r>
          </w:hyperlink>
        </w:p>
        <w:p>
          <w:pPr>
            <w:pStyle w:val="Contents4"/>
            <w:tabs>
              <w:tab w:val="clear" w:pos="8176"/>
              <w:tab w:val="right" w:pos="9026" w:leader="dot"/>
            </w:tabs>
            <w:rPr/>
          </w:pPr>
          <w:hyperlink w:anchor="__RefHeading___Toc2295393_2035185390">
            <w:r>
              <w:rPr>
                <w:webHidden/>
                <w:rStyle w:val="IndexLink"/>
                <w:rtl w:val="true"/>
              </w:rPr>
              <w:t>[</w:t>
            </w:r>
            <w:r>
              <w:rPr>
                <w:rStyle w:val="IndexLink"/>
                <w:rtl w:val="true"/>
              </w:rPr>
              <w:t>حصیلة البحث</w:t>
            </w:r>
            <w:r>
              <w:rPr>
                <w:rStyle w:val="IndexLink"/>
                <w:rtl w:val="true"/>
              </w:rPr>
              <w:t>]</w:t>
              <w:tab/>
            </w:r>
            <w:r>
              <w:rPr>
                <w:rStyle w:val="IndexLink"/>
              </w:rPr>
              <w:t>198</w:t>
            </w:r>
          </w:hyperlink>
        </w:p>
        <w:p>
          <w:pPr>
            <w:pStyle w:val="Contents4"/>
            <w:tabs>
              <w:tab w:val="clear" w:pos="8176"/>
              <w:tab w:val="right" w:pos="9026" w:leader="dot"/>
            </w:tabs>
            <w:rPr/>
          </w:pPr>
          <w:hyperlink w:anchor="__RefHeading___Toc2295395_2035185390">
            <w:r>
              <w:rPr>
                <w:webHidden/>
                <w:rStyle w:val="IndexLink"/>
                <w:rtl w:val="true"/>
              </w:rPr>
              <w:t>[</w:t>
            </w:r>
            <w:r>
              <w:rPr>
                <w:rStyle w:val="IndexLink"/>
                <w:rtl w:val="true"/>
              </w:rPr>
              <w:t>علل اختلاف الحدیث</w:t>
            </w:r>
            <w:r>
              <w:rPr>
                <w:rStyle w:val="IndexLink"/>
                <w:rtl w:val="true"/>
              </w:rPr>
              <w:t>]</w:t>
              <w:tab/>
            </w:r>
            <w:r>
              <w:rPr>
                <w:rStyle w:val="IndexLink"/>
              </w:rPr>
              <w:t>203</w:t>
            </w:r>
          </w:hyperlink>
        </w:p>
        <w:p>
          <w:pPr>
            <w:pStyle w:val="Contents3"/>
            <w:tabs>
              <w:tab w:val="clear" w:pos="8459"/>
              <w:tab w:val="right" w:pos="9026" w:leader="dot"/>
            </w:tabs>
            <w:rPr/>
          </w:pPr>
          <w:hyperlink w:anchor="__RefHeading___Toc2295397_2035185390">
            <w:r>
              <w:rPr>
                <w:webHidden/>
                <w:rStyle w:val="IndexLink"/>
                <w:rtl w:val="true"/>
              </w:rPr>
              <w:t>الفصل الثانی</w:t>
            </w:r>
            <w:r>
              <w:rPr>
                <w:rStyle w:val="IndexLink"/>
                <w:rtl w:val="true"/>
              </w:rPr>
              <w:t xml:space="preserve">: </w:t>
            </w:r>
            <w:r>
              <w:rPr>
                <w:rStyle w:val="IndexLink"/>
                <w:rtl w:val="true"/>
              </w:rPr>
              <w:t>مدارک الأحکام الشرعیّة عند الشیعة</w:t>
            </w:r>
            <w:r>
              <w:rPr>
                <w:rStyle w:val="IndexLink"/>
                <w:rtl w:val="true"/>
              </w:rPr>
              <w:tab/>
            </w:r>
            <w:r>
              <w:rPr>
                <w:rStyle w:val="IndexLink"/>
              </w:rPr>
              <w:t>206</w:t>
            </w:r>
          </w:hyperlink>
        </w:p>
        <w:p>
          <w:pPr>
            <w:pStyle w:val="Contents4"/>
            <w:tabs>
              <w:tab w:val="clear" w:pos="8176"/>
              <w:tab w:val="right" w:pos="9026" w:leader="dot"/>
            </w:tabs>
            <w:rPr/>
          </w:pPr>
          <w:hyperlink w:anchor="__RefHeading___Toc2295399_203518539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295401_2035185390">
            <w:r>
              <w:rPr>
                <w:webHidden/>
                <w:rStyle w:val="IndexLink"/>
                <w:rtl w:val="true"/>
              </w:rPr>
              <w:t>الکتاب الکریم</w:t>
            </w:r>
            <w:r>
              <w:rPr>
                <w:rStyle w:val="IndexLink"/>
                <w:rtl w:val="true"/>
              </w:rPr>
              <w:tab/>
            </w:r>
            <w:r>
              <w:rPr>
                <w:rStyle w:val="IndexLink"/>
              </w:rPr>
              <w:t>206</w:t>
            </w:r>
          </w:hyperlink>
        </w:p>
        <w:p>
          <w:pPr>
            <w:pStyle w:val="Contents4"/>
            <w:tabs>
              <w:tab w:val="clear" w:pos="8176"/>
              <w:tab w:val="right" w:pos="9026" w:leader="dot"/>
            </w:tabs>
            <w:rPr/>
          </w:pPr>
          <w:hyperlink w:anchor="__RefHeading___Toc2295403_2035185390">
            <w:r>
              <w:rPr>
                <w:webHidden/>
                <w:rStyle w:val="IndexLink"/>
                <w:rtl w:val="true"/>
              </w:rPr>
              <w:t>[</w:t>
            </w:r>
            <w:r>
              <w:rPr>
                <w:rStyle w:val="IndexLink"/>
                <w:rtl w:val="true"/>
              </w:rPr>
              <w:t>آیات الأحکام</w:t>
            </w:r>
            <w:r>
              <w:rPr>
                <w:rStyle w:val="IndexLink"/>
                <w:rtl w:val="true"/>
              </w:rPr>
              <w:t>]</w:t>
              <w:tab/>
            </w:r>
            <w:r>
              <w:rPr>
                <w:rStyle w:val="IndexLink"/>
              </w:rPr>
              <w:t>208</w:t>
            </w:r>
          </w:hyperlink>
        </w:p>
        <w:p>
          <w:pPr>
            <w:pStyle w:val="Contents4"/>
            <w:tabs>
              <w:tab w:val="clear" w:pos="8176"/>
              <w:tab w:val="right" w:pos="9026" w:leader="dot"/>
            </w:tabs>
            <w:rPr/>
          </w:pPr>
          <w:hyperlink w:anchor="__RefHeading___Toc2295405_2035185390">
            <w:r>
              <w:rPr>
                <w:webHidden/>
                <w:rStyle w:val="IndexLink"/>
                <w:rtl w:val="true"/>
              </w:rPr>
              <w:t>السنّة</w:t>
            </w:r>
            <w:r>
              <w:rPr>
                <w:rStyle w:val="IndexLink"/>
                <w:rtl w:val="true"/>
              </w:rPr>
              <w:tab/>
            </w:r>
            <w:r>
              <w:rPr>
                <w:rStyle w:val="IndexLink"/>
              </w:rPr>
              <w:t>208</w:t>
            </w:r>
          </w:hyperlink>
        </w:p>
        <w:p>
          <w:pPr>
            <w:pStyle w:val="Contents4"/>
            <w:tabs>
              <w:tab w:val="clear" w:pos="8176"/>
              <w:tab w:val="right" w:pos="9026" w:leader="dot"/>
            </w:tabs>
            <w:rPr/>
          </w:pPr>
          <w:hyperlink w:anchor="__RefHeading___Toc2295407_2035185390">
            <w:r>
              <w:rPr>
                <w:webHidden/>
                <w:rStyle w:val="IndexLink"/>
                <w:rtl w:val="true"/>
              </w:rPr>
              <w:t>[</w:t>
            </w:r>
            <w:r>
              <w:rPr>
                <w:rStyle w:val="IndexLink"/>
                <w:rtl w:val="true"/>
              </w:rPr>
              <w:t>الخبر المتواتر و الواحد</w:t>
            </w:r>
            <w:r>
              <w:rPr>
                <w:rStyle w:val="IndexLink"/>
                <w:rtl w:val="true"/>
              </w:rPr>
              <w:t>]</w:t>
              <w:tab/>
            </w:r>
            <w:r>
              <w:rPr>
                <w:rStyle w:val="IndexLink"/>
              </w:rPr>
              <w:t>209</w:t>
            </w:r>
          </w:hyperlink>
        </w:p>
        <w:p>
          <w:pPr>
            <w:pStyle w:val="Contents4"/>
            <w:tabs>
              <w:tab w:val="clear" w:pos="8176"/>
              <w:tab w:val="right" w:pos="9026" w:leader="dot"/>
            </w:tabs>
            <w:rPr/>
          </w:pPr>
          <w:hyperlink w:anchor="__RefHeading___Toc2295409_2035185390">
            <w:r>
              <w:rPr>
                <w:webHidden/>
                <w:rStyle w:val="IndexLink"/>
                <w:rtl w:val="true"/>
              </w:rPr>
              <w:t>[</w:t>
            </w:r>
            <w:r>
              <w:rPr>
                <w:rStyle w:val="IndexLink"/>
                <w:rtl w:val="true"/>
              </w:rPr>
              <w:t>أسباب الوضع و التدلیس، و ضرورة نقد الحدیث</w:t>
            </w:r>
            <w:r>
              <w:rPr>
                <w:rStyle w:val="IndexLink"/>
                <w:rtl w:val="true"/>
              </w:rPr>
              <w:t>]</w:t>
              <w:tab/>
            </w:r>
            <w:r>
              <w:rPr>
                <w:rStyle w:val="IndexLink"/>
              </w:rPr>
              <w:t>211</w:t>
            </w:r>
          </w:hyperlink>
        </w:p>
        <w:p>
          <w:pPr>
            <w:pStyle w:val="Contents4"/>
            <w:tabs>
              <w:tab w:val="clear" w:pos="8176"/>
              <w:tab w:val="right" w:pos="9026" w:leader="dot"/>
            </w:tabs>
            <w:rPr/>
          </w:pPr>
          <w:hyperlink w:anchor="__RefHeading___Toc2295411_2035185390">
            <w:r>
              <w:rPr>
                <w:webHidden/>
                <w:rStyle w:val="IndexLink"/>
                <w:rtl w:val="true"/>
              </w:rPr>
              <w:t>الإجماع</w:t>
            </w:r>
            <w:r>
              <w:rPr>
                <w:rStyle w:val="IndexLink"/>
                <w:rtl w:val="true"/>
              </w:rPr>
              <w:tab/>
            </w:r>
            <w:r>
              <w:rPr>
                <w:rStyle w:val="IndexLink"/>
              </w:rPr>
              <w:t>215</w:t>
            </w:r>
          </w:hyperlink>
        </w:p>
        <w:p>
          <w:pPr>
            <w:pStyle w:val="Contents4"/>
            <w:tabs>
              <w:tab w:val="clear" w:pos="8176"/>
              <w:tab w:val="right" w:pos="9026" w:leader="dot"/>
            </w:tabs>
            <w:rPr/>
          </w:pPr>
          <w:hyperlink w:anchor="__RefHeading___Toc2295413_2035185390">
            <w:r>
              <w:rPr>
                <w:webHidden/>
                <w:rStyle w:val="IndexLink"/>
                <w:rtl w:val="true"/>
              </w:rPr>
              <w:t>[</w:t>
            </w:r>
            <w:r>
              <w:rPr>
                <w:rStyle w:val="IndexLink"/>
                <w:rtl w:val="true"/>
              </w:rPr>
              <w:t>حجّیّة الإجماع عند الشیعة</w:t>
            </w:r>
            <w:r>
              <w:rPr>
                <w:rStyle w:val="IndexLink"/>
                <w:rtl w:val="true"/>
              </w:rPr>
              <w:t>]</w:t>
              <w:tab/>
            </w:r>
            <w:r>
              <w:rPr>
                <w:rStyle w:val="IndexLink"/>
              </w:rPr>
              <w:t>216</w:t>
            </w:r>
          </w:hyperlink>
        </w:p>
        <w:p>
          <w:pPr>
            <w:pStyle w:val="Contents4"/>
            <w:tabs>
              <w:tab w:val="clear" w:pos="8176"/>
              <w:tab w:val="right" w:pos="9026" w:leader="dot"/>
            </w:tabs>
            <w:rPr/>
          </w:pPr>
          <w:hyperlink w:anchor="__RefHeading___Toc2295415_2035185390">
            <w:r>
              <w:rPr>
                <w:webHidden/>
                <w:rStyle w:val="IndexLink"/>
                <w:rtl w:val="true"/>
              </w:rPr>
              <w:t>دلیل العقل</w:t>
            </w:r>
            <w:r>
              <w:rPr>
                <w:rStyle w:val="IndexLink"/>
                <w:rtl w:val="true"/>
              </w:rPr>
              <w:tab/>
            </w:r>
            <w:r>
              <w:rPr>
                <w:rStyle w:val="IndexLink"/>
              </w:rPr>
              <w:t>218</w:t>
            </w:r>
          </w:hyperlink>
        </w:p>
        <w:p>
          <w:pPr>
            <w:pStyle w:val="Contents3"/>
            <w:tabs>
              <w:tab w:val="clear" w:pos="8459"/>
              <w:tab w:val="right" w:pos="9026" w:leader="dot"/>
            </w:tabs>
            <w:rPr/>
          </w:pPr>
          <w:hyperlink w:anchor="__RefHeading___Toc2295417_2035185390">
            <w:r>
              <w:rPr>
                <w:webHidden/>
                <w:rStyle w:val="IndexLink"/>
                <w:rtl w:val="true"/>
              </w:rPr>
              <w:t>الفصل الثالث</w:t>
            </w:r>
            <w:r>
              <w:rPr>
                <w:rStyle w:val="IndexLink"/>
                <w:rtl w:val="true"/>
              </w:rPr>
              <w:t xml:space="preserve">: </w:t>
            </w:r>
            <w:r>
              <w:rPr>
                <w:rStyle w:val="IndexLink"/>
                <w:rtl w:val="true"/>
              </w:rPr>
              <w:t>أدلّة غیر معتبرة عند الشیعة</w:t>
            </w:r>
            <w:r>
              <w:rPr>
                <w:rStyle w:val="IndexLink"/>
                <w:rtl w:val="true"/>
              </w:rPr>
              <w:tab/>
            </w:r>
            <w:r>
              <w:rPr>
                <w:rStyle w:val="IndexLink"/>
              </w:rPr>
              <w:t>221</w:t>
            </w:r>
          </w:hyperlink>
        </w:p>
        <w:p>
          <w:pPr>
            <w:pStyle w:val="Contents4"/>
            <w:tabs>
              <w:tab w:val="clear" w:pos="8176"/>
              <w:tab w:val="right" w:pos="9026" w:leader="dot"/>
            </w:tabs>
            <w:rPr/>
          </w:pPr>
          <w:hyperlink w:anchor="__RefHeading___Toc2295419_203518539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295421_2035185390">
            <w:r>
              <w:rPr>
                <w:webHidden/>
                <w:rStyle w:val="IndexLink"/>
                <w:rtl w:val="true"/>
              </w:rPr>
              <w:t>[</w:t>
            </w:r>
            <w:r>
              <w:rPr>
                <w:rStyle w:val="IndexLink"/>
                <w:rtl w:val="true"/>
              </w:rPr>
              <w:t>العمل بالرأی عند الصحابة</w:t>
            </w:r>
            <w:r>
              <w:rPr>
                <w:rStyle w:val="IndexLink"/>
                <w:rtl w:val="true"/>
              </w:rPr>
              <w:t>]</w:t>
              <w:tab/>
            </w:r>
            <w:r>
              <w:rPr>
                <w:rStyle w:val="IndexLink"/>
              </w:rPr>
              <w:t>225</w:t>
            </w:r>
          </w:hyperlink>
        </w:p>
        <w:p>
          <w:pPr>
            <w:pStyle w:val="Contents4"/>
            <w:tabs>
              <w:tab w:val="clear" w:pos="8176"/>
              <w:tab w:val="right" w:pos="9026" w:leader="dot"/>
            </w:tabs>
            <w:rPr/>
          </w:pPr>
          <w:hyperlink w:anchor="__RefHeading___Toc2295423_2035185390">
            <w:r>
              <w:rPr>
                <w:webHidden/>
                <w:rStyle w:val="IndexLink"/>
                <w:rtl w:val="true"/>
              </w:rPr>
              <w:t>منها القیاس</w:t>
            </w:r>
            <w:r>
              <w:rPr>
                <w:rStyle w:val="IndexLink"/>
                <w:rtl w:val="true"/>
              </w:rPr>
              <w:tab/>
            </w:r>
            <w:r>
              <w:rPr>
                <w:rStyle w:val="IndexLink"/>
              </w:rPr>
              <w:t>228</w:t>
            </w:r>
          </w:hyperlink>
        </w:p>
        <w:p>
          <w:pPr>
            <w:pStyle w:val="Contents4"/>
            <w:tabs>
              <w:tab w:val="clear" w:pos="8176"/>
              <w:tab w:val="right" w:pos="9026" w:leader="dot"/>
            </w:tabs>
            <w:rPr/>
          </w:pPr>
          <w:hyperlink w:anchor="__RefHeading___Toc2295425_2035185390">
            <w:r>
              <w:rPr>
                <w:webHidden/>
                <w:rStyle w:val="IndexLink"/>
                <w:rtl w:val="true"/>
              </w:rPr>
              <w:t>[</w:t>
            </w:r>
            <w:r>
              <w:rPr>
                <w:rStyle w:val="IndexLink"/>
                <w:rtl w:val="true"/>
              </w:rPr>
              <w:t>القیاس عند أئمّة الشیعة</w:t>
            </w:r>
            <w:r>
              <w:rPr>
                <w:rStyle w:val="IndexLink"/>
                <w:rtl w:val="true"/>
              </w:rPr>
              <w:t>]</w:t>
              <w:tab/>
            </w:r>
            <w:r>
              <w:rPr>
                <w:rStyle w:val="IndexLink"/>
              </w:rPr>
              <w:t>229</w:t>
            </w:r>
          </w:hyperlink>
        </w:p>
        <w:p>
          <w:pPr>
            <w:pStyle w:val="Contents4"/>
            <w:tabs>
              <w:tab w:val="clear" w:pos="8176"/>
              <w:tab w:val="right" w:pos="9026" w:leader="dot"/>
            </w:tabs>
            <w:rPr/>
          </w:pPr>
          <w:hyperlink w:anchor="__RefHeading___Toc2295427_2035185390">
            <w:r>
              <w:rPr>
                <w:webHidden/>
                <w:rStyle w:val="IndexLink"/>
                <w:rtl w:val="true"/>
              </w:rPr>
              <w:t>[</w:t>
            </w:r>
            <w:r>
              <w:rPr>
                <w:rStyle w:val="IndexLink"/>
                <w:rtl w:val="true"/>
              </w:rPr>
              <w:t>القیاس عند أئمّة أهل السنّة</w:t>
            </w:r>
            <w:r>
              <w:rPr>
                <w:rStyle w:val="IndexLink"/>
                <w:rtl w:val="true"/>
              </w:rPr>
              <w:t>]</w:t>
              <w:tab/>
            </w:r>
            <w:r>
              <w:rPr>
                <w:rStyle w:val="IndexLink"/>
              </w:rPr>
              <w:t>231</w:t>
            </w:r>
          </w:hyperlink>
        </w:p>
        <w:p>
          <w:pPr>
            <w:pStyle w:val="Contents4"/>
            <w:tabs>
              <w:tab w:val="clear" w:pos="8176"/>
              <w:tab w:val="right" w:pos="9026" w:leader="dot"/>
            </w:tabs>
            <w:rPr/>
          </w:pPr>
          <w:hyperlink w:anchor="__RefHeading___Toc2295429_2035185390">
            <w:r>
              <w:rPr>
                <w:webHidden/>
                <w:rStyle w:val="IndexLink"/>
                <w:rtl w:val="true"/>
              </w:rPr>
              <w:t>الاستحسان</w:t>
            </w:r>
            <w:r>
              <w:rPr>
                <w:rStyle w:val="IndexLink"/>
                <w:rtl w:val="true"/>
              </w:rPr>
              <w:tab/>
            </w:r>
            <w:r>
              <w:rPr>
                <w:rStyle w:val="IndexLink"/>
              </w:rPr>
              <w:t>233</w:t>
            </w:r>
          </w:hyperlink>
        </w:p>
        <w:p>
          <w:pPr>
            <w:pStyle w:val="Contents4"/>
            <w:tabs>
              <w:tab w:val="clear" w:pos="8176"/>
              <w:tab w:val="right" w:pos="9026" w:leader="dot"/>
            </w:tabs>
            <w:rPr/>
          </w:pPr>
          <w:hyperlink w:anchor="__RefHeading___Toc2295431_2035185390">
            <w:r>
              <w:rPr>
                <w:webHidden/>
                <w:rStyle w:val="IndexLink"/>
                <w:rtl w:val="true"/>
              </w:rPr>
              <w:t>المصالح المرسلة</w:t>
            </w:r>
            <w:r>
              <w:rPr>
                <w:rStyle w:val="IndexLink"/>
                <w:rtl w:val="true"/>
              </w:rPr>
              <w:tab/>
            </w:r>
            <w:r>
              <w:rPr>
                <w:rStyle w:val="IndexLink"/>
              </w:rPr>
              <w:t>234</w:t>
            </w:r>
          </w:hyperlink>
        </w:p>
        <w:p>
          <w:pPr>
            <w:pStyle w:val="Contents4"/>
            <w:tabs>
              <w:tab w:val="clear" w:pos="8176"/>
              <w:tab w:val="right" w:pos="9026" w:leader="dot"/>
            </w:tabs>
            <w:rPr/>
          </w:pPr>
          <w:hyperlink w:anchor="__RefHeading___Toc2295433_2035185390">
            <w:r>
              <w:rPr>
                <w:webHidden/>
                <w:rStyle w:val="IndexLink"/>
                <w:rtl w:val="true"/>
              </w:rPr>
              <w:t>مذهب الصحابیّ</w:t>
            </w:r>
            <w:r>
              <w:rPr>
                <w:rStyle w:val="IndexLink"/>
                <w:rtl w:val="true"/>
              </w:rPr>
              <w:tab/>
            </w:r>
            <w:r>
              <w:rPr>
                <w:rStyle w:val="IndexLink"/>
              </w:rPr>
              <w:t>235</w:t>
            </w:r>
          </w:hyperlink>
        </w:p>
        <w:p>
          <w:pPr>
            <w:pStyle w:val="Contents3"/>
            <w:tabs>
              <w:tab w:val="clear" w:pos="8459"/>
              <w:tab w:val="right" w:pos="9026" w:leader="dot"/>
            </w:tabs>
            <w:rPr/>
          </w:pPr>
          <w:hyperlink w:anchor="__RefHeading___Toc2295435_2035185390">
            <w:r>
              <w:rPr>
                <w:webHidden/>
                <w:rStyle w:val="IndexLink"/>
                <w:rtl w:val="true"/>
              </w:rPr>
              <w:t>الفصل الرابع</w:t>
            </w:r>
            <w:r>
              <w:rPr>
                <w:rStyle w:val="IndexLink"/>
                <w:rtl w:val="true"/>
              </w:rPr>
              <w:t xml:space="preserve">: </w:t>
            </w:r>
            <w:r>
              <w:rPr>
                <w:rStyle w:val="IndexLink"/>
                <w:rtl w:val="true"/>
              </w:rPr>
              <w:t>طریقة الإمامیّة فی العمل بالأحکام الشرعیّة</w:t>
            </w:r>
            <w:r>
              <w:rPr>
                <w:rStyle w:val="IndexLink"/>
                <w:rtl w:val="true"/>
              </w:rPr>
              <w:tab/>
            </w:r>
            <w:r>
              <w:rPr>
                <w:rStyle w:val="IndexLink"/>
              </w:rPr>
              <w:t>237</w:t>
            </w:r>
          </w:hyperlink>
        </w:p>
        <w:p>
          <w:pPr>
            <w:pStyle w:val="Contents4"/>
            <w:tabs>
              <w:tab w:val="clear" w:pos="8176"/>
              <w:tab w:val="right" w:pos="9026" w:leader="dot"/>
            </w:tabs>
            <w:rPr/>
          </w:pPr>
          <w:hyperlink w:anchor="__RefHeading___Toc2295437_203518539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295439_2035185390">
            <w:r>
              <w:rPr>
                <w:webHidden/>
                <w:rStyle w:val="IndexLink"/>
                <w:rtl w:val="true"/>
              </w:rPr>
              <w:t>[</w:t>
            </w:r>
            <w:r>
              <w:rPr>
                <w:rStyle w:val="IndexLink"/>
                <w:rtl w:val="true"/>
              </w:rPr>
              <w:t>الحاجة إلی علوم الحدیث و علم أصول الفقه</w:t>
            </w:r>
            <w:r>
              <w:rPr>
                <w:rStyle w:val="IndexLink"/>
                <w:rtl w:val="true"/>
              </w:rPr>
              <w:t>]</w:t>
              <w:tab/>
            </w:r>
            <w:r>
              <w:rPr>
                <w:rStyle w:val="IndexLink"/>
              </w:rPr>
              <w:t>239</w:t>
            </w:r>
          </w:hyperlink>
        </w:p>
        <w:p>
          <w:pPr>
            <w:pStyle w:val="Contents4"/>
            <w:tabs>
              <w:tab w:val="clear" w:pos="8176"/>
              <w:tab w:val="right" w:pos="9026" w:leader="dot"/>
            </w:tabs>
            <w:rPr/>
          </w:pPr>
          <w:hyperlink w:anchor="__RefHeading___Toc2295441_2035185390">
            <w:r>
              <w:rPr>
                <w:webHidden/>
                <w:rStyle w:val="IndexLink"/>
                <w:rtl w:val="true"/>
              </w:rPr>
              <w:t>[</w:t>
            </w:r>
            <w:r>
              <w:rPr>
                <w:rStyle w:val="IndexLink"/>
                <w:rtl w:val="true"/>
              </w:rPr>
              <w:t>الاجتهاد المطلق و المتجزّئ</w:t>
            </w:r>
            <w:r>
              <w:rPr>
                <w:rStyle w:val="IndexLink"/>
                <w:rtl w:val="true"/>
              </w:rPr>
              <w:t>]</w:t>
              <w:tab/>
            </w:r>
            <w:r>
              <w:rPr>
                <w:rStyle w:val="IndexLink"/>
              </w:rPr>
              <w:t>241</w:t>
            </w:r>
          </w:hyperlink>
        </w:p>
        <w:p>
          <w:pPr>
            <w:pStyle w:val="Contents2"/>
            <w:tabs>
              <w:tab w:val="clear" w:pos="8743"/>
              <w:tab w:val="right" w:pos="9026" w:leader="dot"/>
            </w:tabs>
            <w:rPr/>
          </w:pPr>
          <w:hyperlink w:anchor="__RefHeading___Toc2295443_2035185390">
            <w:r>
              <w:rPr>
                <w:webHidden/>
                <w:rStyle w:val="IndexLink"/>
                <w:rtl w:val="true"/>
              </w:rPr>
              <w:t>فهارس</w:t>
            </w:r>
            <w:r>
              <w:rPr>
                <w:rStyle w:val="IndexLink"/>
                <w:rtl w:val="true"/>
              </w:rPr>
              <w:tab/>
            </w:r>
            <w:r>
              <w:rPr>
                <w:rStyle w:val="IndexLink"/>
              </w:rPr>
              <w:t>242</w:t>
            </w:r>
          </w:hyperlink>
        </w:p>
        <w:p>
          <w:pPr>
            <w:pStyle w:val="Contents3"/>
            <w:tabs>
              <w:tab w:val="clear" w:pos="8459"/>
              <w:tab w:val="right" w:pos="9026" w:leader="dot"/>
            </w:tabs>
            <w:rPr/>
          </w:pPr>
          <w:hyperlink w:anchor="__RefHeading___Toc2295445_203518539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295447_2035185390">
            <w:r>
              <w:rPr>
                <w:webHidden/>
                <w:rStyle w:val="IndexLink"/>
                <w:rtl w:val="true"/>
              </w:rPr>
              <w:t>فهرس الآیات</w:t>
            </w:r>
            <w:r>
              <w:rPr>
                <w:rStyle w:val="IndexLink"/>
                <w:rtl w:val="true"/>
              </w:rPr>
              <w:tab/>
            </w:r>
            <w:r>
              <w:rPr>
                <w:rStyle w:val="IndexLink"/>
              </w:rPr>
              <w:t>244</w:t>
            </w:r>
          </w:hyperlink>
        </w:p>
        <w:p>
          <w:pPr>
            <w:pStyle w:val="Contents3"/>
            <w:tabs>
              <w:tab w:val="clear" w:pos="8459"/>
              <w:tab w:val="right" w:pos="9026" w:leader="dot"/>
            </w:tabs>
            <w:rPr/>
          </w:pPr>
          <w:hyperlink w:anchor="__RefHeading___Toc2295449_2035185390">
            <w:r>
              <w:rPr>
                <w:webHidden/>
                <w:rStyle w:val="IndexLink"/>
                <w:rtl w:val="true"/>
              </w:rPr>
              <w:t>فهرس الأحادیث</w:t>
            </w:r>
            <w:r>
              <w:rPr>
                <w:rStyle w:val="IndexLink"/>
                <w:rtl w:val="true"/>
              </w:rPr>
              <w:tab/>
            </w:r>
            <w:r>
              <w:rPr>
                <w:rStyle w:val="IndexLink"/>
              </w:rPr>
              <w:t>246</w:t>
            </w:r>
          </w:hyperlink>
        </w:p>
        <w:p>
          <w:pPr>
            <w:pStyle w:val="Contents3"/>
            <w:tabs>
              <w:tab w:val="clear" w:pos="8459"/>
              <w:tab w:val="right" w:pos="9026" w:leader="dot"/>
            </w:tabs>
            <w:rPr/>
          </w:pPr>
          <w:hyperlink w:anchor="__RefHeading___Toc2295451_2035185390">
            <w:r>
              <w:rPr>
                <w:webHidden/>
                <w:rStyle w:val="IndexLink"/>
                <w:rtl w:val="true"/>
              </w:rPr>
              <w:t>المصطلحات</w:t>
            </w:r>
            <w:r>
              <w:rPr>
                <w:rStyle w:val="IndexLink"/>
                <w:rtl w:val="true"/>
              </w:rPr>
              <w:tab/>
            </w:r>
            <w:r>
              <w:rPr>
                <w:rStyle w:val="IndexLink"/>
              </w:rPr>
              <w:t>249</w:t>
            </w:r>
          </w:hyperlink>
        </w:p>
        <w:p>
          <w:pPr>
            <w:pStyle w:val="Contents3"/>
            <w:tabs>
              <w:tab w:val="clear" w:pos="8459"/>
              <w:tab w:val="right" w:pos="9026" w:leader="dot"/>
            </w:tabs>
            <w:rPr/>
          </w:pPr>
          <w:hyperlink w:anchor="__RefHeading___Toc2295453_2035185390">
            <w:r>
              <w:rPr>
                <w:webHidden/>
                <w:rStyle w:val="IndexLink"/>
                <w:rtl w:val="true"/>
              </w:rPr>
              <w:t>فهرس الفرق و المذاهب و الأقوام</w:t>
            </w:r>
            <w:r>
              <w:rPr>
                <w:rStyle w:val="IndexLink"/>
                <w:rtl w:val="true"/>
              </w:rPr>
              <w:tab/>
            </w:r>
            <w:r>
              <w:rPr>
                <w:rStyle w:val="IndexLink"/>
              </w:rPr>
              <w:t>262</w:t>
            </w:r>
          </w:hyperlink>
        </w:p>
        <w:p>
          <w:pPr>
            <w:pStyle w:val="Contents3"/>
            <w:tabs>
              <w:tab w:val="clear" w:pos="8459"/>
              <w:tab w:val="right" w:pos="9026" w:leader="dot"/>
            </w:tabs>
            <w:rPr/>
          </w:pPr>
          <w:hyperlink w:anchor="__RefHeading___Toc2295455_2035185390">
            <w:r>
              <w:rPr>
                <w:webHidden/>
                <w:rStyle w:val="IndexLink"/>
                <w:rtl w:val="true"/>
              </w:rPr>
              <w:t>الکتب المذکورة فی الکتاب</w:t>
            </w:r>
            <w:r>
              <w:rPr>
                <w:rStyle w:val="IndexLink"/>
                <w:rtl w:val="true"/>
              </w:rPr>
              <w:tab/>
            </w:r>
            <w:r>
              <w:rPr>
                <w:rStyle w:val="IndexLink"/>
              </w:rPr>
              <w:t>269</w:t>
            </w:r>
          </w:hyperlink>
        </w:p>
        <w:p>
          <w:pPr>
            <w:pStyle w:val="Contents3"/>
            <w:tabs>
              <w:tab w:val="clear" w:pos="8459"/>
              <w:tab w:val="right" w:pos="9026" w:leader="dot"/>
            </w:tabs>
            <w:rPr/>
          </w:pPr>
          <w:hyperlink w:anchor="__RefHeading___Toc2295457_2035185390">
            <w:r>
              <w:rPr>
                <w:webHidden/>
                <w:rStyle w:val="IndexLink"/>
                <w:rtl w:val="true"/>
              </w:rPr>
              <w:t>فهرس الأعلام</w:t>
            </w:r>
            <w:r>
              <w:rPr>
                <w:rStyle w:val="IndexLink"/>
                <w:rtl w:val="true"/>
              </w:rPr>
              <w:tab/>
            </w:r>
            <w:r>
              <w:rPr>
                <w:rStyle w:val="IndexLink"/>
              </w:rPr>
              <w:t>273</w:t>
            </w:r>
          </w:hyperlink>
        </w:p>
        <w:p>
          <w:pPr>
            <w:pStyle w:val="Contents3"/>
            <w:tabs>
              <w:tab w:val="clear" w:pos="8459"/>
              <w:tab w:val="right" w:pos="9026" w:leader="dot"/>
            </w:tabs>
            <w:rPr/>
          </w:pPr>
          <w:hyperlink w:anchor="__RefHeading___Toc2295459_2035185390">
            <w:r>
              <w:rPr>
                <w:webHidden/>
                <w:rStyle w:val="IndexLink"/>
                <w:rtl w:val="true"/>
              </w:rPr>
              <w:t>مصادر التحقیق</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3_55494"/>
      <w:bookmarkStart w:id="1" w:name="pg4793_55494"/>
      <w:bookmarkEnd w:id="1"/>
    </w:p>
    <w:p>
      <w:pPr>
        <w:pStyle w:val="Heading2"/>
        <w:numPr>
          <w:ilvl w:val="1"/>
          <w:numId w:val="1"/>
        </w:numPr>
        <w:rPr/>
      </w:pPr>
      <w:bookmarkStart w:id="2" w:name="pg4793_55494"/>
      <w:bookmarkStart w:id="3" w:name="__RefHeading___Toc2295143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فضل‌الله،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العقیده الشیعیه و 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شیخ الاسلام الزنجانی؛ تقدیم و تحقیق و تعلیق غلام علی غلام‌علی‌پور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اصل پایان‌نامه سطح چهارم علوم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می‌باشد که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به تایید لجنه تقمیم الدراسات الحوزویه فی خراسان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علی‌پور، غلام‌علی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5145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93_55498"/>
      <w:bookmarkStart w:id="8" w:name="pg4793_55498"/>
      <w:bookmarkEnd w:id="8"/>
    </w:p>
    <w:p>
      <w:pPr>
        <w:pStyle w:val="Heading2"/>
        <w:numPr>
          <w:ilvl w:val="1"/>
          <w:numId w:val="1"/>
        </w:numPr>
        <w:rPr/>
      </w:pPr>
      <w:bookmarkStart w:id="9" w:name="pg4793_55498"/>
      <w:bookmarkStart w:id="10" w:name="__RefHeading___Toc2295147_2035185390"/>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هذه بضاعتی المزجاة أهدیها إلی</w:t>
      </w:r>
    </w:p>
    <w:p>
      <w:pPr>
        <w:pStyle w:val="BookText"/>
        <w:rPr/>
      </w:pPr>
      <w:r>
        <w:rPr>
          <w:rFonts w:ascii="IRNazanin" w:hAnsi="IRNazanin" w:eastAsia="IRNazanin"/>
          <w:color w:val="111111"/>
          <w:sz w:val="28"/>
          <w:sz w:val="28"/>
          <w:szCs w:val="28"/>
          <w:rtl w:val="true"/>
          <w:lang w:bidi="fa-IR"/>
        </w:rPr>
        <w:t>صاحب الولایة الکبری مولانا أمیر المؤمنین علیه‌السلام</w:t>
      </w:r>
    </w:p>
    <w:p>
      <w:pPr>
        <w:pStyle w:val="BookText"/>
        <w:rPr/>
      </w:pPr>
      <w:r>
        <w:rPr>
          <w:rFonts w:ascii="IRNazanin" w:hAnsi="IRNazanin" w:eastAsia="IRNazanin"/>
          <w:color w:val="111111"/>
          <w:sz w:val="28"/>
          <w:sz w:val="28"/>
          <w:szCs w:val="28"/>
          <w:rtl w:val="true"/>
          <w:lang w:bidi="fa-IR"/>
        </w:rPr>
        <w:t>و زوجته الصدّیقة الطاهرة أمّ الأئمّة النجباء فاطمة الزهراء سلام‌اللّه علیها</w:t>
      </w:r>
    </w:p>
    <w:p>
      <w:pPr>
        <w:pStyle w:val="BookText"/>
        <w:rPr/>
      </w:pPr>
      <w:r>
        <w:rPr>
          <w:rFonts w:ascii="IRNazanin" w:hAnsi="IRNazanin" w:eastAsia="IRNazanin"/>
          <w:color w:val="111111"/>
          <w:sz w:val="28"/>
          <w:sz w:val="28"/>
          <w:szCs w:val="28"/>
          <w:rtl w:val="true"/>
          <w:lang w:bidi="fa-IR"/>
        </w:rPr>
        <w:t>و إلیک یا بقیّة اللّه و یا إمام العصر عجّل اللّه تعالی فرجک</w:t>
      </w:r>
    </w:p>
    <w:p>
      <w:pPr>
        <w:pStyle w:val="BookText"/>
        <w:rPr/>
      </w:pPr>
      <w:r>
        <w:rPr>
          <w:rFonts w:ascii="Amiri" w:hAnsi="Amiri" w:eastAsia="Amiri" w:cs="Amiri"/>
          <w:color w:val="111111"/>
          <w:sz w:val="28"/>
          <w:sz w:val="28"/>
          <w:szCs w:val="28"/>
          <w:rtl w:val="true"/>
          <w:lang w:bidi="ar-SA"/>
        </w:rPr>
        <w:t>جاءت سلیمانَ یومَ العیدِ قُبَّرةٌ</w:t>
      </w:r>
    </w:p>
    <w:p>
      <w:pPr>
        <w:pStyle w:val="BookText"/>
        <w:rPr/>
      </w:pPr>
      <w:r>
        <w:rPr>
          <w:rFonts w:ascii="Amiri" w:hAnsi="Amiri" w:eastAsia="Amiri" w:cs="Amiri"/>
          <w:color w:val="111111"/>
          <w:sz w:val="28"/>
          <w:sz w:val="28"/>
          <w:szCs w:val="28"/>
          <w:rtl w:val="true"/>
          <w:lang w:bidi="ar-SA"/>
        </w:rPr>
        <w:t>أتت بفَخذِ جَرادٍ کان فی فیها</w:t>
      </w:r>
    </w:p>
    <w:p>
      <w:pPr>
        <w:pStyle w:val="BookText"/>
        <w:rPr/>
      </w:pPr>
      <w:r>
        <w:rPr>
          <w:rFonts w:ascii="Amiri" w:hAnsi="Amiri" w:eastAsia="Amiri" w:cs="Amiri"/>
          <w:color w:val="111111"/>
          <w:sz w:val="28"/>
          <w:sz w:val="28"/>
          <w:szCs w:val="28"/>
          <w:rtl w:val="true"/>
          <w:lang w:bidi="ar-SA"/>
        </w:rPr>
        <w:t xml:space="preserve">تَرَنّمَت بفصیحِ القولِ و اعتَذَرَت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الهدایا علی مقدار مُهدیها</w:t>
      </w:r>
    </w:p>
    <w:p>
      <w:pPr>
        <w:pStyle w:val="Heading2"/>
        <w:numPr>
          <w:ilvl w:val="1"/>
          <w:numId w:val="1"/>
        </w:numPr>
        <w:rPr/>
      </w:pPr>
      <w:bookmarkStart w:id="12" w:name="__RefHeading___Toc2295149_2035185390"/>
      <w:bookmarkStart w:id="13" w:name="_Toc4"/>
      <w:bookmarkEnd w:id="12"/>
      <w:r>
        <w:rPr>
          <w:rtl w:val="true"/>
        </w:rPr>
        <w:t>شکر و تقدیر</w:t>
      </w:r>
      <w:bookmarkEnd w:id="13"/>
    </w:p>
    <w:p>
      <w:pPr>
        <w:pStyle w:val="BookText"/>
        <w:rPr/>
      </w:pPr>
      <w:r>
        <w:rPr>
          <w:rFonts w:ascii="IRNazanin" w:hAnsi="IRNazanin" w:eastAsia="IRNazanin"/>
          <w:color w:val="111111"/>
          <w:sz w:val="28"/>
          <w:sz w:val="28"/>
          <w:szCs w:val="28"/>
          <w:rtl w:val="true"/>
          <w:lang w:bidi="fa-IR"/>
        </w:rPr>
        <w:t>الحمد للّه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الانتهاء من هذا العمل المتواضع لا أنسی أن أُقدّم خالص</w:t>
      </w:r>
    </w:p>
    <w:p>
      <w:pPr>
        <w:pStyle w:val="BookText"/>
        <w:rPr/>
      </w:pPr>
      <w:r>
        <w:rPr>
          <w:rFonts w:ascii="IRNazanin" w:hAnsi="IRNazanin" w:eastAsia="IRNazanin"/>
          <w:color w:val="111111"/>
          <w:sz w:val="28"/>
          <w:sz w:val="28"/>
          <w:szCs w:val="28"/>
          <w:rtl w:val="true"/>
          <w:lang w:bidi="fa-IR"/>
        </w:rPr>
        <w:t>الشکر و الامتنان إلی سماحة الأُستاذ المُشرف إلهی الخراسانیّ لإشرافه علی مراحل التحقیق راجیاً له السلامة و التوفیق، کما أتقدّم بوافر الشکر للأخ المحقّق الأدیب علیّ</w:t>
      </w:r>
    </w:p>
    <w:p>
      <w:pPr>
        <w:pStyle w:val="BookText"/>
        <w:rPr/>
      </w:pPr>
      <w:r>
        <w:rPr>
          <w:rFonts w:ascii="IRNazanin" w:hAnsi="IRNazanin" w:eastAsia="IRNazanin"/>
          <w:color w:val="111111"/>
          <w:sz w:val="28"/>
          <w:sz w:val="28"/>
          <w:szCs w:val="28"/>
          <w:rtl w:val="true"/>
          <w:lang w:bidi="fa-IR"/>
        </w:rPr>
        <w:t>البصریّ علی ملاحظاته القیّمة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أشکر کلّ من أعان بطریقة ما فی هذا العمل، خاصّة منضّد الحروف السیّد نعمة اللّه الطباطبائیّ و أعضاء قسم الکلام و الفلسفة</w:t>
      </w:r>
    </w:p>
    <w:p>
      <w:pPr>
        <w:pStyle w:val="BookText"/>
        <w:rPr/>
      </w:pPr>
      <w:r>
        <w:rPr>
          <w:rFonts w:ascii="IRNazanin" w:hAnsi="IRNazanin" w:eastAsia="IRNazanin"/>
          <w:color w:val="111111"/>
          <w:sz w:val="28"/>
          <w:sz w:val="28"/>
          <w:szCs w:val="28"/>
          <w:rtl w:val="true"/>
          <w:lang w:bidi="fa-IR"/>
        </w:rPr>
        <w:t>فی مجمع البحوث الإسلامیّة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الیعقوبیّ </w:t>
      </w:r>
    </w:p>
    <w:p>
      <w:pPr>
        <w:pStyle w:val="BookText"/>
        <w:rPr/>
      </w:pPr>
      <w:r>
        <w:rPr>
          <w:rFonts w:ascii="IRNazanin" w:hAnsi="IRNazanin" w:eastAsia="IRNazanin"/>
          <w:color w:val="111111"/>
          <w:sz w:val="28"/>
          <w:sz w:val="28"/>
          <w:szCs w:val="28"/>
          <w:rtl w:val="true"/>
          <w:lang w:bidi="fa-IR"/>
        </w:rPr>
        <w:t>تاریخ العقیدة الشیعیّة و فِرقها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الزنجانیّ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تقدیم و تحقیق و تعلیق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غلام‌علیپور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bookmarkStart w:id="14" w:name="pg4793_55502"/>
    </w:p>
    <w:p>
      <w:pPr>
        <w:pStyle w:val="Heading2"/>
        <w:numPr>
          <w:ilvl w:val="1"/>
          <w:numId w:val="1"/>
        </w:numPr>
        <w:rPr/>
      </w:pPr>
      <w:bookmarkStart w:id="15" w:name="__RefHeading___Toc2295151_2035185390"/>
      <w:bookmarkStart w:id="16" w:name="_Toc5"/>
      <w:bookmarkEnd w:id="14"/>
      <w:bookmarkEnd w:id="15"/>
      <w:r>
        <w:rPr>
          <w:rtl w:val="true"/>
        </w:rPr>
        <w:t>فهرس العناوین</w:t>
      </w:r>
      <w:bookmarkEnd w:id="16"/>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العرب بین الجاهلیّة و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الدین فی الصدر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المسلمین من الکتاب 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الفرق الإسلامیّة فی الصدر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الشیعة فی اللغة و 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متی نشأ التشیّع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الخوارج و نشأتهم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المرجئة و فکرتهم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الاعتزال منشؤه و مؤسّسوه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الخلافیّات و نُشوء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الشیعة نشأةً و فکرةً و حرکةً 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لمحة سریعة فی مؤلّفی الفرق و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مولده و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ملامح من 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إجازاته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الکتاب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منهجنا فی تحقیق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فرقها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و الإمامیّة فی اللّغة و الاصطلاح</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فرق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و 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الأئمّة من النصّ علی اسم 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ظهور بعض فرق الشیعة و انقراضها</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إلماح إلی دعوات شیعیّة غیر إمامیّة</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أمّا الإسماعیلیّة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الکیسانیّة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إلماح إلی دعوة الزیدیّة</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الفطحیّة و الواقفیّة بالإجمال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فرق الشیعة تفصیلاً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فِرَقها و أئمّتها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الإسماعیلیّة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فِرَقها و منشأها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 و انقراضها</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الواقفیّة أو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الأصلیّ لنشوئها و انقراضها</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فرق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الغلاة و أسماؤهم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العجلیّ</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کرب الضریر</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 الأسدیّ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الشریعیّ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نصیر النمیریّ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الغلاة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بالتناسخ و الحلول</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بالأشباح و الأظلّة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طاعة رجل</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تبرُّؤ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مقالات الغالیة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النیابة و البابیّة من قِبَل الغلاة</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و رواة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الغلاة برواة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إجمالیّة لعقائد الإمامیّة فی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معتقدات للشیعة یخالفهم فیها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مسألة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السقیفة</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حول الإمامة و فروعها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عند الشیعة</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النصّ الجلیّ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الخفیّ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الخلاف فی مسألة الإمامة</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الروایات حول المهدیّ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غیبته</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أمور نُسبت إلی 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رمی قدماء الإمامیّة بالقول بالجبر و التشبیه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الضلالات إلی الشیعة</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العامّة عند مسألة البداء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القرآن و النقصان فیه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مشایخ الإمامیّة علی عدم تحریف القرآن</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عند الغلاة و تبرّؤ الشیعة عنها</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مقالات نُسبت إلی بعض متکلّمی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هشام بن الحکم و ما رُمی به من القول بالتشبیه و التجسیم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المنسوبة إلی هشام و الجواب عنها</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 علیّ بن النعمان أبو جعفر الطاقیّ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أعین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 بن عبد الرحمن القمّیّ مولی آل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أبو عیسی محمّد بن هارون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المصنّفات فی الفِرَق و المقالات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آخر للأقاویل المنسوبة إلی شیوخ الشیعة</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فروع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الأحکام و الواقعیّات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 التی منعت الإمام عن تغییر البدع</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الصادقَین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شدّة الأمر علی الشیعة بعد الصادقَین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و تأثیرها فی اختلاف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اختلاف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 الشرعیّة عند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الکتاب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و الواحد</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الوضع و التدلیس و ضرورة نقد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الإجماع عند الشیعة</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غیر معتبرة عند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بالرأی عند الصحابة</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منها 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عند أئمّة الشیعة</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عند أئمّة أهل السنّة</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مذهب الصحابیّ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الإمامیّة فی العمل بالأحکام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إلی علوم الحدیث و علم أصول الفقه</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المطلق و المتجزّئ</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فهرس الأحادیث و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المصطلحات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فهرس الفرق و المذاهب و الأقوام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الکتب المذکورة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7" w:name="pg4793_55514"/>
    </w:p>
    <w:p>
      <w:pPr>
        <w:pStyle w:val="Heading2"/>
        <w:numPr>
          <w:ilvl w:val="1"/>
          <w:numId w:val="1"/>
        </w:numPr>
        <w:rPr/>
      </w:pPr>
      <w:bookmarkStart w:id="18" w:name="__RefHeading___Toc2295153_2035185390"/>
      <w:bookmarkStart w:id="19" w:name="_Toc6"/>
      <w:bookmarkEnd w:id="17"/>
      <w:bookmarkEnd w:id="18"/>
      <w:r>
        <w:rPr>
          <w:rtl w:val="true"/>
        </w:rPr>
        <w:t>مقدّمة المحقّق</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أشرف الأنبیاء و المرسلین</w:t>
      </w:r>
    </w:p>
    <w:p>
      <w:pPr>
        <w:pStyle w:val="BookText"/>
        <w:rPr/>
      </w:pPr>
      <w:r>
        <w:rPr>
          <w:rFonts w:ascii="IRNazanin" w:hAnsi="IRNazanin" w:eastAsia="IRNazanin"/>
          <w:color w:val="111111"/>
          <w:sz w:val="28"/>
          <w:sz w:val="28"/>
          <w:szCs w:val="28"/>
          <w:rtl w:val="true"/>
          <w:lang w:bidi="fa-IR"/>
        </w:rPr>
        <w:t>محمّد و آله الطیّبین الطاهرین و اللعن الدائم علی أعدائهم أجمعین</w:t>
      </w:r>
    </w:p>
    <w:p>
      <w:pPr>
        <w:pStyle w:val="Heading2"/>
        <w:numPr>
          <w:ilvl w:val="1"/>
          <w:numId w:val="1"/>
        </w:numPr>
        <w:rPr/>
      </w:pPr>
      <w:bookmarkStart w:id="20" w:name="__RefHeading___Toc2295155_2035185390"/>
      <w:bookmarkStart w:id="21" w:name="_Toc7"/>
      <w:bookmarkEnd w:id="20"/>
      <w:r>
        <w:rPr>
          <w:rtl w:val="true"/>
        </w:rPr>
        <w:t>تمهید</w:t>
      </w:r>
      <w:bookmarkEnd w:id="21"/>
    </w:p>
    <w:p>
      <w:pPr>
        <w:pStyle w:val="Heading3"/>
        <w:numPr>
          <w:ilvl w:val="2"/>
          <w:numId w:val="1"/>
        </w:numPr>
        <w:rPr/>
      </w:pPr>
      <w:bookmarkStart w:id="22" w:name="__RefHeading___Toc2295157_203518539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اِنَّنی مِنَ الْمُسْلِمینَ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 أمر سبحانه و تعالی بالاعتصام بحبل اللّه و توحید کلمة المسلمین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فعملاً بهذه الآیات نأتی إلی عتبة الرسول الذی وصفه اللّه تعالی فی کتابه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w:t>
      </w:r>
    </w:p>
    <w:p>
      <w:pPr>
        <w:pStyle w:val="BookText"/>
        <w:rPr/>
      </w:pPr>
      <w:r>
        <w:rPr>
          <w:rFonts w:ascii="Amiri" w:hAnsi="Amiri" w:eastAsia="Amiri" w:cs="Amiri"/>
          <w:color w:val="111111"/>
          <w:sz w:val="28"/>
          <w:sz w:val="28"/>
          <w:szCs w:val="28"/>
          <w:rtl w:val="true"/>
          <w:lang w:bidi="ar-SA"/>
        </w:rPr>
        <w:t>رَءُوفٌ رَحیمٌ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فنراه صلوات اللّه علیه أ نّه أمر المسلمین بالتمسّک بالثقلین،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فیکم الثقلین کتاب اللّه و عترتی،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حجّة الوداع، تحذیراً من الشقاق و النفاق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کان النبیّ صلی‌الله‌علیه‌و‌آله حریصاً علی المؤمنین و وحدتهم، و مشفقاً من تفرّقهم، و لأجل هذا کان أوّل ما فعل بعد هجرته إلی المدینة بناء المسجد الذی یجمعهم، ثمّ المؤاخاة بین</w:t>
      </w:r>
    </w:p>
    <w:p>
      <w:pPr>
        <w:pStyle w:val="BookText"/>
        <w:rPr/>
      </w:pPr>
      <w:r>
        <w:rPr>
          <w:rFonts w:ascii="IRNazanin" w:hAnsi="IRNazanin" w:eastAsia="IRNazanin"/>
          <w:color w:val="111111"/>
          <w:sz w:val="28"/>
          <w:sz w:val="28"/>
          <w:szCs w:val="28"/>
          <w:rtl w:val="true"/>
          <w:lang w:bidi="fa-IR"/>
        </w:rPr>
        <w:t>المهاجرین و الأنصار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حدث ما کان یخاف منه و هو افتراق الأمّة إلی فرق متعدّدة تکاد تتطابق مع إخباره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الیهود علی إحدی و سبعین فرقة فواحدة فی الجنّة و سبعون فی النار،</w:t>
      </w:r>
    </w:p>
    <w:p>
      <w:pPr>
        <w:pStyle w:val="BookText"/>
        <w:rPr/>
      </w:pPr>
      <w:r>
        <w:rPr>
          <w:rFonts w:ascii="IRNazanin" w:hAnsi="IRNazanin" w:eastAsia="IRNazanin"/>
          <w:color w:val="111111"/>
          <w:sz w:val="28"/>
          <w:sz w:val="28"/>
          <w:szCs w:val="28"/>
          <w:rtl w:val="true"/>
          <w:lang w:bidi="fa-IR"/>
        </w:rPr>
        <w:t>و افترقت النصاری علی اثنتین و سبعین فرقة فإحدی و سبعون فی النار و واحدة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لتفترق أمّتی علی ثلاث و سبعین فرقة ؛ واحدة فی الجنّة</w:t>
      </w:r>
    </w:p>
    <w:p>
      <w:pPr>
        <w:pStyle w:val="BookText"/>
        <w:rPr/>
      </w:pPr>
      <w:r>
        <w:rPr>
          <w:rFonts w:ascii="IRNazanin" w:hAnsi="IRNazanin" w:eastAsia="IRNazanin"/>
          <w:color w:val="111111"/>
          <w:sz w:val="28"/>
          <w:sz w:val="28"/>
          <w:szCs w:val="28"/>
          <w:rtl w:val="true"/>
          <w:lang w:bidi="fa-IR"/>
        </w:rPr>
        <w:t>و اثنتان و سبعون فی النار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یستحیل لو بقی المسلمون علی هذا الحال و هذه التفرّقات أن تقوم لهم قائمة أو تجتمع لهم کلمة، و هیهات أن یسعدوا ما لم یتّحدوا، و هیهات أن یتّحدوا ما لم </w:t>
      </w:r>
    </w:p>
    <w:p>
      <w:pPr>
        <w:pStyle w:val="BookText"/>
        <w:rPr/>
      </w:pPr>
      <w:r>
        <w:rPr>
          <w:rFonts w:ascii="IRNazanin" w:hAnsi="IRNazanin" w:eastAsia="IRNazanin"/>
          <w:color w:val="111111"/>
          <w:sz w:val="28"/>
          <w:sz w:val="28"/>
          <w:szCs w:val="28"/>
          <w:rtl w:val="true"/>
          <w:lang w:bidi="fa-IR"/>
        </w:rPr>
        <w:t>یتساعدوا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یوجب الحسد، و الحسد یوجب البغضاء، و البغضاء</w:t>
      </w:r>
    </w:p>
    <w:p>
      <w:pPr>
        <w:pStyle w:val="BookText"/>
        <w:rPr/>
      </w:pPr>
      <w:r>
        <w:rPr>
          <w:rFonts w:ascii="IRNazanin" w:hAnsi="IRNazanin" w:eastAsia="IRNazanin"/>
          <w:color w:val="111111"/>
          <w:sz w:val="28"/>
          <w:sz w:val="28"/>
          <w:szCs w:val="28"/>
          <w:rtl w:val="true"/>
          <w:lang w:bidi="fa-IR"/>
        </w:rPr>
        <w:t>توجب الاختلاف، و الاختلاف یوجب الفرقة، و الفرقة توجب الضعف، و الضعف یوجب الذلّ، و الذلّ یوجب زوال الدولة و زوال النعمة، و هما هلاک الأمّة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کُتبت حول افتراق الأمّة الإسلامیّة تآلیف و تصانیف، و لکنّها کما حکی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فی حکایة ما یحکون من ذکر المقالات و یصنّفون فی النحل و الدیانات من بین مقصّرٍ فیما یحکیه، و غالطٍ فیما یذکره من قول مخالفیه، و من بین</w:t>
      </w:r>
    </w:p>
    <w:p>
      <w:pPr>
        <w:pStyle w:val="BookText"/>
        <w:rPr/>
      </w:pPr>
      <w:r>
        <w:rPr>
          <w:rFonts w:ascii="IRNazanin" w:hAnsi="IRNazanin" w:eastAsia="IRNazanin"/>
          <w:color w:val="111111"/>
          <w:sz w:val="28"/>
          <w:sz w:val="28"/>
          <w:szCs w:val="28"/>
          <w:rtl w:val="true"/>
          <w:lang w:bidi="fa-IR"/>
        </w:rPr>
        <w:t>متعمّدٍ للکذب فی الحکایة إرادةَ التشنیع علی مَن یخالفه، و من بین تارکٍ للتقصّی فی</w:t>
      </w:r>
    </w:p>
    <w:p>
      <w:pPr>
        <w:pStyle w:val="BookText"/>
        <w:rPr/>
      </w:pPr>
      <w:r>
        <w:rPr>
          <w:rFonts w:ascii="IRNazanin" w:hAnsi="IRNazanin" w:eastAsia="IRNazanin"/>
          <w:color w:val="111111"/>
          <w:sz w:val="28"/>
          <w:sz w:val="28"/>
          <w:szCs w:val="28"/>
          <w:rtl w:val="true"/>
          <w:lang w:bidi="fa-IR"/>
        </w:rPr>
        <w:t>روایته لما یرویه من اختلاف المختلفین، و من بین مَن یضیف إلی قول مخالفیه ما یظنّ أنّ</w:t>
      </w:r>
    </w:p>
    <w:p>
      <w:pPr>
        <w:pStyle w:val="BookText"/>
        <w:rPr/>
      </w:pPr>
      <w:r>
        <w:rPr>
          <w:rFonts w:ascii="IRNazanin" w:hAnsi="IRNazanin" w:eastAsia="IRNazanin"/>
          <w:color w:val="111111"/>
          <w:sz w:val="28"/>
          <w:sz w:val="28"/>
          <w:szCs w:val="28"/>
          <w:rtl w:val="true"/>
          <w:lang w:bidi="fa-IR"/>
        </w:rPr>
        <w:t>الحجّة تلزمهم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سبیل الربّانیّین، و لا سبیل الفطناء الممیّزین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إنّ هذا الکلام و إن کان یکشف عن حال المؤلَّفات و المؤلِّفین القدامی، لکنّه یصدق فی کلّ عصر ؛ ما یأتی منه و ما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قام أحد علماء الشیعة ، مؤلّف الکتاب</w:t>
      </w:r>
    </w:p>
    <w:p>
      <w:pPr>
        <w:pStyle w:val="BookText"/>
        <w:rPr/>
      </w:pPr>
      <w:r>
        <w:rPr>
          <w:rFonts w:ascii="IRNazanin" w:hAnsi="IRNazanin" w:eastAsia="IRNazanin"/>
          <w:color w:val="111111"/>
          <w:sz w:val="28"/>
          <w:sz w:val="28"/>
          <w:szCs w:val="28"/>
          <w:rtl w:val="true"/>
          <w:lang w:bidi="fa-IR"/>
        </w:rPr>
        <w:t>الحاضر، بتعریف الشیعة و فرقها و عقائدها و أئمّتها و أعلامها، و الدفاع عمّا نُسب بالباطل</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الکتاب مخطوطاً بخطّ المؤلّف، یتطلّب التحقیق و التعلیق بما یلیق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التزمت من جانب الأساتذة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تقییم الدراسات الحوزویّة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بتنظیم رسالة تحقیقیّة لمرحلة شهادة الدکتوراه و وافقوا بإنجاز العمل فی هذا المجال</w:t>
      </w:r>
    </w:p>
    <w:p>
      <w:pPr>
        <w:pStyle w:val="BookText"/>
        <w:rPr/>
      </w:pPr>
      <w:r>
        <w:rPr>
          <w:rFonts w:ascii="IRNazanin" w:hAnsi="IRNazanin" w:eastAsia="IRNazanin"/>
          <w:color w:val="111111"/>
          <w:sz w:val="28"/>
          <w:sz w:val="28"/>
          <w:szCs w:val="28"/>
          <w:rtl w:val="true"/>
          <w:lang w:bidi="fa-IR"/>
        </w:rPr>
        <w:t>علی تحقیق ذاک الکتاب القیّم، شرعت بعون اللّه سبحانه قبل سنوات، و أتممته فی خاتمة</w:t>
      </w:r>
    </w:p>
    <w:p>
      <w:pPr>
        <w:pStyle w:val="BookText"/>
        <w:rPr/>
      </w:pPr>
      <w:r>
        <w:rPr>
          <w:rFonts w:ascii="IRNazanin" w:hAnsi="IRNazanin" w:eastAsia="IRNazanin"/>
          <w:color w:val="111111"/>
          <w:sz w:val="28"/>
          <w:sz w:val="28"/>
          <w:szCs w:val="28"/>
          <w:rtl w:val="true"/>
          <w:lang w:bidi="fa-IR"/>
        </w:rPr>
        <w:t xml:space="preserve">هذه السنة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الشروع فی الکتاب رأیت ضرورة تقدیم هذه المقدّمة فی فصول ؛ للتعرّف علی وضع العرب و المجتمع الإسلامیّ فی عصر الرسالة، ثمّ موقف المسلمین و أعدائهم تجاه الکتاب و السنّة، ثمّ حدوث الفرق الأساسیّة و نشوء مسائل علم الکلام، ثمّ البحث عن الشیعة و تاریخها و حرکتها العلمیّة، مع الإشارة إلی موقف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مؤلّفی الفرق حولَ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نختم المقدّمة بتعریف الکتاب و مؤلّفه الفقید مع </w:t>
      </w:r>
      <w:bookmarkStart w:id="24" w:name="pg4793_55520"/>
    </w:p>
    <w:p>
      <w:pPr>
        <w:pStyle w:val="BookText"/>
        <w:rPr/>
      </w:pPr>
      <w:bookmarkEnd w:id="24"/>
      <w:r>
        <w:rPr>
          <w:rFonts w:ascii="IRNazanin" w:hAnsi="IRNazanin" w:eastAsia="IRNazanin"/>
          <w:color w:val="111111"/>
          <w:sz w:val="28"/>
          <w:sz w:val="28"/>
          <w:szCs w:val="28"/>
          <w:rtl w:val="true"/>
          <w:lang w:bidi="fa-IR"/>
        </w:rPr>
        <w:t xml:space="preserve">إلماح إلی منهجیّتنا فی التحقیق، فنضعها فی فصول سبعة </w:t>
      </w:r>
      <w:r>
        <w:rPr>
          <w:rFonts w:eastAsia="IRNazanin" w:cs="IRNazanin"/>
          <w:color w:val="111111"/>
          <w:sz w:val="28"/>
          <w:szCs w:val="28"/>
          <w:rtl w:val="true"/>
          <w:lang w:bidi="fa-IR"/>
        </w:rPr>
        <w:t>:</w:t>
      </w:r>
    </w:p>
    <w:p>
      <w:pPr>
        <w:pStyle w:val="Heading3"/>
        <w:numPr>
          <w:ilvl w:val="2"/>
          <w:numId w:val="1"/>
        </w:numPr>
        <w:rPr/>
      </w:pPr>
      <w:bookmarkStart w:id="25" w:name="__RefHeading___Toc2295159_2035185390"/>
      <w:bookmarkStart w:id="26" w:name="_Toc9"/>
      <w:bookmarkEnd w:id="25"/>
      <w:r>
        <w:rPr>
          <w:rtl w:val="true"/>
        </w:rPr>
        <w:t>الفصل الأوّل</w:t>
      </w:r>
      <w:r>
        <w:rPr>
          <w:rtl w:val="true"/>
        </w:rPr>
        <w:t xml:space="preserve">: </w:t>
      </w:r>
      <w:r>
        <w:rPr>
          <w:rtl w:val="true"/>
        </w:rPr>
        <w:t>فی حالة العرب بین الجاهلیّة و الإسلام</w:t>
      </w:r>
      <w:bookmarkEnd w:id="26"/>
    </w:p>
    <w:p>
      <w:pPr>
        <w:pStyle w:val="BookText"/>
        <w:rPr/>
      </w:pPr>
      <w:r>
        <w:rPr>
          <w:rFonts w:ascii="IRNazanin" w:hAnsi="IRNazanin" w:eastAsia="IRNazanin"/>
          <w:color w:val="111111"/>
          <w:sz w:val="28"/>
          <w:sz w:val="28"/>
          <w:szCs w:val="28"/>
          <w:rtl w:val="true"/>
          <w:lang w:bidi="fa-IR"/>
        </w:rPr>
        <w:t>یبدو لنا أ نّه لم یکن للعرب فی الجاهلیّة نوع من الحکومات المعروفة الآن، و لم یکن لهم شعور قویّ بأ نّهم أمّة واحدة کبیرة، بل کان الشعور القویّ عندهم شعور الفرد</w:t>
      </w:r>
    </w:p>
    <w:p>
      <w:pPr>
        <w:pStyle w:val="BookText"/>
        <w:rPr/>
      </w:pPr>
      <w:r>
        <w:rPr>
          <w:rFonts w:ascii="IRNazanin" w:hAnsi="IRNazanin" w:eastAsia="IRNazanin"/>
          <w:color w:val="111111"/>
          <w:sz w:val="28"/>
          <w:sz w:val="28"/>
          <w:szCs w:val="28"/>
          <w:rtl w:val="true"/>
          <w:lang w:bidi="fa-IR"/>
        </w:rPr>
        <w:t>بقبیلته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واضح، و هو أنّ العرب فی الجاهلیّة لم یکوّنوا أمّة بالمعنی الصحیح، إذ لم یتّحدوا فی دین و لا آمال، و فی ما هو شرط ضروریّ للأمّة، من وجود شخص أو هیئة لها قوّة لإنفاذ أمر علی کافّة أفرادها، و یشهد علی ذلک ما حکاه الطبریّ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قتادة بن دعامة السَّدوسیّ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عربیّ 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الحیّ من العرب أذلّ الناس ذلاًّ، و أشقاه عیشاً، و أبیَنه ضلالة، و أعراه جُلوداً، و أجوَعه بطوناً، معکومین علی رأس جُحر بین أسدین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فی بلادهم یومئذٍ شیء</w:t>
      </w:r>
    </w:p>
    <w:p>
      <w:pPr>
        <w:pStyle w:val="BookText"/>
        <w:rPr/>
      </w:pPr>
      <w:r>
        <w:rPr>
          <w:rFonts w:ascii="Amiri" w:hAnsi="Amiri" w:eastAsia="Amiri" w:cs="Amiri"/>
          <w:color w:val="111111"/>
          <w:sz w:val="28"/>
          <w:sz w:val="28"/>
          <w:szCs w:val="28"/>
          <w:rtl w:val="true"/>
          <w:lang w:bidi="ar-SA"/>
        </w:rPr>
        <w:t>یُحسدون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منهم عاش شقیّاً، و من مات رُدی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یُؤکَلون و لا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نعلم قبیلاً یومئذٍ من حاضر الأرض کانوا فیها أصغر حظّاً و أدقّ فیها شأناً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 اللّه عزّوجلّ، بالإسلام، فورّثکم به الکتاب و أحلّ لکم به دار الجهاد،</w:t>
      </w:r>
    </w:p>
    <w:p>
      <w:pPr>
        <w:pStyle w:val="BookText"/>
        <w:rPr/>
      </w:pPr>
      <w:r>
        <w:rPr>
          <w:rFonts w:ascii="IRNazanin" w:hAnsi="IRNazanin" w:eastAsia="IRNazanin"/>
          <w:color w:val="111111"/>
          <w:sz w:val="28"/>
          <w:sz w:val="28"/>
          <w:szCs w:val="28"/>
          <w:rtl w:val="true"/>
          <w:lang w:bidi="fa-IR"/>
        </w:rPr>
        <w:t>و وسّع لکم به من الرزق، و جعلکم به ملوکاً علی رقاب الناس</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دَهْماء العرب یَدینون بالدین الوثنیّ، و إلی جانب الوثنیّة فی بلاد العرب نِحل و دیانات أخری ؛ منها الصابئة فی بلاد الیمن و أعالی العراق، و الزرادشتیّة القائلون بأنّ النار مصدر النور الذی هو أساس کلّ خیر، و کانت هذه الدیانة سائدة فی بلاد فارس و شرقیّ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انتشرت المسیحیّة فی قبائل تَغلِب و غَسّان و قُضاعة فی </w:t>
      </w:r>
    </w:p>
    <w:p>
      <w:pPr>
        <w:pStyle w:val="BookText"/>
        <w:rPr/>
      </w:pPr>
      <w:r>
        <w:rPr>
          <w:rFonts w:ascii="IRNazanin" w:hAnsi="IRNazanin" w:eastAsia="IRNazanin"/>
          <w:color w:val="111111"/>
          <w:sz w:val="28"/>
          <w:sz w:val="28"/>
          <w:szCs w:val="28"/>
          <w:rtl w:val="true"/>
          <w:lang w:bidi="fa-IR"/>
        </w:rPr>
        <w:t>بعض بلاد الیمن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المتتبّع لحالة العرب یقف علی حیاة الأوهام و الخرافات عندهم فی الجاهلیّة، و قد اشتهر بینهم کهّان کثیرون، یرون أنّ لهم صلة بالجنّ یأخذون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یظهر أنّ العرب قبل الإسلام کانوا فی آخر هذه المرحلة، فإنّا نری کثیرین آنئذٍ قد دخلوا فی طور الشکّ ؛ الشکّ فی ما علیه قومهم من خرافات و أوهام، و کان بینهم أناس مستنیرون فطنوا إلی سوء حالتهم الدینیّة، و حاولوا الارتقاء من الوثنیّة إلی اعتقادات أرقی منها، و ذلک لاختلاطهم بالیهود و النصاری، و یقال لأصحاب هذه النزعة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فئة قلیلة تؤمن باللّه و الیوم الآخر، و تنتظر النبوّة، و کانوا أصحاب ورع و تحرّج عن الآثام ؛ منهم عبد المطّلب، و ابنه أبو طالب، و قسّ بن ساعدة حکیم العرب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الإسلام فجمع العرب تحت لوائه، یدعو إلی إله واحد، و قضی علی ما کان لهم من خرافات و عبادة أصنام، فاعتنقوا الإسلام فی حماسة و قوّة، فکان المسلمون أمّة</w:t>
      </w:r>
    </w:p>
    <w:p>
      <w:pPr>
        <w:pStyle w:val="BookText"/>
        <w:rPr/>
      </w:pPr>
      <w:r>
        <w:rPr>
          <w:rFonts w:ascii="IRNazanin" w:hAnsi="IRNazanin" w:eastAsia="IRNazanin"/>
          <w:color w:val="111111"/>
          <w:sz w:val="28"/>
          <w:sz w:val="28"/>
          <w:szCs w:val="28"/>
          <w:rtl w:val="true"/>
          <w:lang w:bidi="fa-IR"/>
        </w:rPr>
        <w:t>واحدة تؤمن برسالتها و لا تختلف فی شیء من شؤونها ؛ لأنّ فیهم رسول اللّه صلی‌الله‌علیه‌و‌آله و هو مبلّغ الوحی و معلّم القرآن، و العالم بتأویله و تنزیله، فهو المرجع الوحید فیهم،</w:t>
      </w:r>
    </w:p>
    <w:p>
      <w:pPr>
        <w:pStyle w:val="BookText"/>
        <w:rPr/>
      </w:pPr>
      <w:r>
        <w:rPr>
          <w:rFonts w:ascii="IRNazanin" w:hAnsi="IRNazanin" w:eastAsia="IRNazanin"/>
          <w:color w:val="111111"/>
          <w:sz w:val="28"/>
          <w:sz w:val="28"/>
          <w:szCs w:val="28"/>
          <w:rtl w:val="true"/>
          <w:lang w:bidi="fa-IR"/>
        </w:rPr>
        <w:t>و مبیّن الشریعة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المسلمون الاختلاف العمیق بینهم فی الأحکام و العقیدة، کما لم تکن هناک آراء و اجتهادات وراء قول النبیّ صلی‌الله‌علیه‌و‌آلهو سیرته، فعاشوا فی عهده فی ظلّ وحدة فکریّة و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القرآن یرشدهم و یوجّههم إلی ذلک کلّما طرأ بینهم اختلاف 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أو حیرة و بلبلة فی الحیاة</w:t>
      </w:r>
      <w:r>
        <w:rPr>
          <w:rFonts w:eastAsia="IRNazanin" w:cs="IRNazanin"/>
          <w:color w:val="111111"/>
          <w:sz w:val="28"/>
          <w:szCs w:val="28"/>
          <w:rtl w:val="true"/>
          <w:lang w:bidi="fa-IR"/>
        </w:rPr>
        <w:t xml:space="preserve">. </w:t>
      </w:r>
      <w:bookmarkStart w:id="27" w:name="pg4793_55523"/>
    </w:p>
    <w:p>
      <w:pPr>
        <w:pStyle w:val="BookText"/>
        <w:rPr/>
      </w:pPr>
      <w:bookmarkEnd w:id="27"/>
      <w:r>
        <w:rPr>
          <w:rFonts w:ascii="IRNazanin" w:hAnsi="IRNazanin" w:eastAsia="IRNazanin"/>
          <w:color w:val="111111"/>
          <w:sz w:val="28"/>
          <w:sz w:val="28"/>
          <w:szCs w:val="28"/>
          <w:rtl w:val="true"/>
          <w:lang w:bidi="fa-IR"/>
        </w:rPr>
        <w:t xml:space="preserve">یقول أحد المستشرقین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جَمَعَت فکرةُ الدین المشترک تحت زعامة واحدة</w:t>
      </w:r>
    </w:p>
    <w:p>
      <w:pPr>
        <w:pStyle w:val="BookText"/>
        <w:rPr/>
      </w:pPr>
      <w:r>
        <w:rPr>
          <w:rFonts w:ascii="IRNazanin" w:hAnsi="IRNazanin" w:eastAsia="IRNazanin"/>
          <w:color w:val="111111"/>
          <w:sz w:val="28"/>
          <w:sz w:val="28"/>
          <w:szCs w:val="28"/>
          <w:rtl w:val="true"/>
          <w:lang w:bidi="fa-IR"/>
        </w:rPr>
        <w:t>شتّی القبائل فی نظام سیاسیّ واحد ؛ ذلک النظام الذی سَرَت مزایاه فی سرعة تبعث علی الإعجاب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الفکرة الواحدة و إن حقّقت هذه النتیجة إلاّ أ نّها لم تَقضِ علی النظام القبلیّ فیهم نهائیّاً ؛ إذ کان ذلک مستحیلاً، و لکن کان شیئاً ثانویّاً بالنسبة إلی الشعور بالوحدة الدینیّة التی مهّدت لهم السبیل إلی هذا الائتلاف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295161_2035185390"/>
      <w:bookmarkStart w:id="29" w:name="_Toc10"/>
      <w:bookmarkEnd w:id="28"/>
      <w:r>
        <w:rPr>
          <w:rtl w:val="true"/>
        </w:rPr>
        <w:t>الفصل الثانی</w:t>
      </w:r>
      <w:r>
        <w:rPr>
          <w:rtl w:val="true"/>
        </w:rPr>
        <w:t xml:space="preserve">: </w:t>
      </w:r>
      <w:r>
        <w:rPr>
          <w:rtl w:val="true"/>
        </w:rPr>
        <w:t>أعداء الدین فی الصدر الأوّل</w:t>
      </w:r>
      <w:bookmarkEnd w:id="29"/>
    </w:p>
    <w:p>
      <w:pPr>
        <w:pStyle w:val="BookText"/>
        <w:rPr/>
      </w:pPr>
      <w:r>
        <w:rPr>
          <w:rFonts w:ascii="IRNazanin" w:hAnsi="IRNazanin" w:eastAsia="IRNazanin"/>
          <w:color w:val="111111"/>
          <w:sz w:val="28"/>
          <w:sz w:val="28"/>
          <w:szCs w:val="28"/>
          <w:rtl w:val="true"/>
          <w:lang w:bidi="fa-IR"/>
        </w:rPr>
        <w:t>امتاز هذا العصر بقیام حرکات کان لها أثر بعید فی السیاسة و الدین، فإنّا نری الخلاف یدبّ بین العرب منذ انتقل الرسول إلی جوار ربّه، فلا تخضع أکثر القبائل لسلطان</w:t>
      </w:r>
    </w:p>
    <w:p>
      <w:pPr>
        <w:pStyle w:val="BookText"/>
        <w:rPr/>
      </w:pPr>
      <w:r>
        <w:rPr>
          <w:rFonts w:ascii="IRNazanin" w:hAnsi="IRNazanin" w:eastAsia="IRNazanin"/>
          <w:color w:val="111111"/>
          <w:sz w:val="28"/>
          <w:sz w:val="28"/>
          <w:szCs w:val="28"/>
          <w:rtl w:val="true"/>
          <w:lang w:bidi="fa-IR"/>
        </w:rPr>
        <w:t>الخلیفة، و یرتدّ بعضها عن الإسلام و یمتنع بعض آخر عن أداء الزکاة، و یدّعی ثالث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الطبریّ همّة ثقیف بالردّة، و ادّعاء مسیلمة و الأسود العنسیّ و طُلیحة بن خُویلد النبوّة، ممّن بادر أبو بکر إلی تیسیر الجیوش إلیهم و عقد اللواء لقتالهم علی أحد عشر قائداً، منهم عکرمة بن أبی جهل، و عمرو بن العاص، و سعید بن العاص، و خالد بن الولید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فُتحت علی أیدی المسلمین البلاد و الأمصار، و وصلت رایاتهم إلی أقاصی الأقطار، و أذلّوا الفرس و أکاسرتها و الروم و قیاصرتها، فدخل قاطنو تلک البلاد المفتوحة</w:t>
      </w:r>
    </w:p>
    <w:p>
      <w:pPr>
        <w:pStyle w:val="BookText"/>
        <w:rPr/>
      </w:pPr>
      <w:r>
        <w:rPr>
          <w:rFonts w:ascii="IRNazanin" w:hAnsi="IRNazanin" w:eastAsia="IRNazanin"/>
          <w:color w:val="111111"/>
          <w:sz w:val="28"/>
          <w:sz w:val="28"/>
          <w:szCs w:val="28"/>
          <w:rtl w:val="true"/>
          <w:lang w:bidi="fa-IR"/>
        </w:rPr>
        <w:t>فی الإسلام طوعاً و رغبة، أو قهراً و خشیة، و منهم من تستّر بإظهار کلمتَی الإسلام للخوف من سطوات أهله و لحقن دمه و ماله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کثیر منهم مَن یطمع فی إطفاء نور الإسلام و هدم بنیانه، و لکنّهم شاهدوا مِن </w:t>
      </w:r>
      <w:bookmarkStart w:id="30" w:name="pg4793_55525"/>
    </w:p>
    <w:p>
      <w:pPr>
        <w:pStyle w:val="BookText"/>
        <w:rPr/>
      </w:pPr>
      <w:bookmarkEnd w:id="30"/>
      <w:r>
        <w:rPr>
          <w:rFonts w:ascii="IRNazanin" w:hAnsi="IRNazanin" w:eastAsia="IRNazanin"/>
          <w:color w:val="111111"/>
          <w:sz w:val="28"/>
          <w:sz w:val="28"/>
          <w:szCs w:val="28"/>
          <w:rtl w:val="true"/>
          <w:lang w:bidi="fa-IR"/>
        </w:rPr>
        <w:t>غلبة المسلمین و علوّ کلمتهم ما لا یمکنهم معه المنازعة من طریق القهر و السطوة، و لا</w:t>
      </w:r>
    </w:p>
    <w:p>
      <w:pPr>
        <w:pStyle w:val="BookText"/>
        <w:rPr/>
      </w:pPr>
      <w:r>
        <w:rPr>
          <w:rFonts w:ascii="IRNazanin" w:hAnsi="IRNazanin" w:eastAsia="IRNazanin"/>
          <w:color w:val="111111"/>
          <w:sz w:val="28"/>
          <w:sz w:val="28"/>
          <w:szCs w:val="28"/>
          <w:rtl w:val="true"/>
          <w:lang w:bidi="fa-IR"/>
        </w:rPr>
        <w:t>من طریق الجدل و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عدّة من أحبار الیهود و رهبان النصاری و مَوابِذة المجوس أظهروا الإسلام فی عهد الراشدین، ثمّ أخذوا بعده فی بثّ ما عندهم من الأساطیر بین مَن</w:t>
      </w:r>
    </w:p>
    <w:p>
      <w:pPr>
        <w:pStyle w:val="BookText"/>
        <w:rPr/>
      </w:pPr>
      <w:r>
        <w:rPr>
          <w:rFonts w:ascii="IRNazanin" w:hAnsi="IRNazanin" w:eastAsia="IRNazanin"/>
          <w:color w:val="111111"/>
          <w:sz w:val="28"/>
          <w:sz w:val="28"/>
          <w:szCs w:val="28"/>
          <w:rtl w:val="true"/>
          <w:lang w:bidi="fa-IR"/>
        </w:rPr>
        <w:t>لم یتهذّب بالعلم مِن أعراب الرواة و بسطاء موالیهم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الشهرستانیّ عن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زادوا فی الأخبار أکاذیب وضعوها و نسبوها إلی النبیّ صلی‌الله‌علیه‌و‌آله، و أکثرها مقتبسة من الیهود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لا یُرتاب فی صحّته ما حکاه المؤرّخون و العلماء من أنّ ابن أبی العوجاء لمّا أیقن أ نّه مقتول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قتلتمونی لقد وضعتُ أربعة آلاف حدیث ؛ أحرّم فیها الحلال و أحلّل بها الحرام، و لقد فطّرتکم فی یوم صومکم، و صوّمتکم فی یوم فطرکم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295163_2035185390"/>
      <w:bookmarkStart w:id="32" w:name="_Toc11"/>
      <w:bookmarkEnd w:id="31"/>
      <w:r>
        <w:rPr>
          <w:rtl w:val="true"/>
        </w:rPr>
        <w:t>الفصل الثالث</w:t>
      </w:r>
      <w:r>
        <w:rPr>
          <w:rtl w:val="true"/>
        </w:rPr>
        <w:t xml:space="preserve">: </w:t>
      </w:r>
      <w:r>
        <w:rPr>
          <w:rtl w:val="true"/>
        </w:rPr>
        <w:t>موقف المسلمین من الکتاب و السنّة</w:t>
      </w:r>
      <w:bookmarkEnd w:id="32"/>
    </w:p>
    <w:p>
      <w:pPr>
        <w:pStyle w:val="BookText"/>
        <w:rPr/>
      </w:pPr>
      <w:r>
        <w:rPr>
          <w:rFonts w:ascii="IRNazanin" w:hAnsi="IRNazanin" w:eastAsia="IRNazanin"/>
          <w:color w:val="111111"/>
          <w:sz w:val="28"/>
          <w:sz w:val="28"/>
          <w:szCs w:val="28"/>
          <w:rtl w:val="true"/>
          <w:lang w:bidi="fa-IR"/>
        </w:rPr>
        <w:t>القرآن هو کلام اللّه الذی نزّله نجوماً علی خاتم أنبیائه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هذا اللفظ علی جمیع القرآن و بعضه، حتّی یقال للآیة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أسماء من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الذِّکر، و الفرقان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السنّة فی اللغة بمعنی السِّیرة، و فی اصطلاح المسلمین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رسول اللّه صلی‌الله‌علیه‌و‌آله یراد منها حدیثه و فعله و تقریره، و کانت ثانیة المصادر التشریعیّة بعد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أحادیث الأئمّة المعصومین من أهل البیت علیهم‌السلام الذین هم العترة النبویّة الطاهرة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صلی‌الله‌علیه‌و‌آله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أحدُهما أکبر مِن الآخر، </w:t>
      </w:r>
    </w:p>
    <w:p>
      <w:pPr>
        <w:pStyle w:val="BookText"/>
        <w:rPr/>
      </w:pPr>
      <w:r>
        <w:rPr>
          <w:rFonts w:ascii="IRNazanin" w:hAnsi="IRNazanin" w:eastAsia="IRNazanin"/>
          <w:color w:val="111111"/>
          <w:sz w:val="28"/>
          <w:sz w:val="28"/>
          <w:szCs w:val="28"/>
          <w:rtl w:val="true"/>
          <w:lang w:bidi="fa-IR"/>
        </w:rPr>
        <w:t>کتاب اللّه حبلٌ ممدود مِن السماء إلی الأرض و عترتی أهل بیتی، و إنّ اللطیف الخبیر</w:t>
      </w:r>
    </w:p>
    <w:p>
      <w:pPr>
        <w:pStyle w:val="BookText"/>
        <w:rPr/>
      </w:pPr>
      <w:r>
        <w:rPr>
          <w:rFonts w:ascii="Amiri" w:hAnsi="Amiri" w:eastAsia="Amiri" w:cs="Amiri"/>
          <w:color w:val="111111"/>
          <w:sz w:val="28"/>
          <w:sz w:val="28"/>
          <w:szCs w:val="28"/>
          <w:rtl w:val="true"/>
          <w:lang w:bidi="ar-SA"/>
        </w:rPr>
        <w:t>أخبرنی أ 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هاجر الرسول صلی‌الله‌علیه‌و‌آله إلی المدینة حثّ المسلمین علی تعلّم الکتابة فتبادروا إلیها، کما حثّهم علی کتابة القرآن و حفظه، فتسابقوا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توفّاه اللّه کان فی المدینة عشرات الصحابة ممّن حفظ جمیع القرآن، و جماعة منهم کتبوا جمیع القرآن، إلاّ أ نّه لم</w:t>
      </w:r>
    </w:p>
    <w:p>
      <w:pPr>
        <w:pStyle w:val="BookText"/>
        <w:rPr/>
      </w:pPr>
      <w:r>
        <w:rPr>
          <w:rFonts w:ascii="IRNazanin" w:hAnsi="IRNazanin" w:eastAsia="IRNazanin"/>
          <w:color w:val="111111"/>
          <w:sz w:val="28"/>
          <w:sz w:val="28"/>
          <w:szCs w:val="28"/>
          <w:rtl w:val="true"/>
          <w:lang w:bidi="fa-IR"/>
        </w:rPr>
        <w:t>یکن کتاباً مدوّناً کما هو علیه الیوم، فبادر الإمام علیّ علیه‌السلام إلی تدوین القرآن فی کتاب واحد، و لمّا طلبوه للبیعة،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 ألاّ آخذ علیّ ردائی إلاّ لصلاة جمعة حتّی أجمع</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أبو بکر عدداً من الصحابة بتدوینه ککتاب، ثمّ أودعه أمّ المؤمنین حفصة، حتّی إذ جاء عهد عثمان أمر باستنساخ عدّة نسخ علی النسخة المحفوظة لدی حفصة</w:t>
      </w:r>
      <w:r>
        <w:rPr>
          <w:rStyle w:val="FootnoteAnchor"/>
          <w:rtl w:val="true"/>
        </w:rPr>
        <w:footnoteReference w:id="25"/>
      </w:r>
      <w:r>
        <w:rPr>
          <w:rFonts w:ascii="IRNazanin" w:hAnsi="IRNazanin" w:eastAsia="IRNazanin"/>
          <w:color w:val="111111"/>
          <w:sz w:val="28"/>
          <w:sz w:val="28"/>
          <w:szCs w:val="28"/>
          <w:rtl w:val="true"/>
          <w:lang w:bidi="fa-IR"/>
        </w:rPr>
        <w:t>، و وزّعها علی بلاد المسلمین، و کُتِبت نسخ أخری علی تلک النسخ، و تداولها المسلمون جیلاً بعد جیل إلی یومنا الحاضر، و أجمع المسلمون علی عدم وجود زیادة أو نقصان فی هذا المتداول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لقدر جهود المسلمین فی حفظ القرآن من محاولات الزیادة و النقصان، موقف الصحابیّ أُبیّ بن کعب من عثمان حینما أراد أن یکتب المصاحف، فإنّهم أرادوا أن</w:t>
      </w:r>
    </w:p>
    <w:p>
      <w:pPr>
        <w:pStyle w:val="BookText"/>
        <w:rPr/>
      </w:pPr>
      <w:r>
        <w:rPr>
          <w:rFonts w:ascii="Amiri" w:hAnsi="Amiri" w:eastAsia="Amiri" w:cs="Amiri"/>
          <w:color w:val="111111"/>
          <w:sz w:val="28"/>
          <w:sz w:val="28"/>
          <w:szCs w:val="28"/>
          <w:rtl w:val="true"/>
          <w:lang w:bidi="ar-SA"/>
        </w:rPr>
        <w:t xml:space="preserve">یُلغوا الواو التی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فقال لهم أُبیّ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لَتُلحِقُنّها أو لأضَعَنّ سیفی علی عاتقی</w:t>
      </w:r>
      <w:r>
        <w:rPr>
          <w:rStyle w:val="FootnoteAnchor"/>
          <w:rtl w:val="true"/>
        </w:rPr>
        <w:footnoteReference w:id="28"/>
      </w:r>
      <w:r>
        <w:rPr>
          <w:rFonts w:ascii="IRNazanin" w:hAnsi="IRNazanin" w:eastAsia="IRNazanin"/>
          <w:color w:val="111111"/>
          <w:sz w:val="28"/>
          <w:sz w:val="28"/>
          <w:szCs w:val="28"/>
          <w:rtl w:val="true"/>
          <w:lang w:bidi="fa-IR"/>
        </w:rPr>
        <w:t>، فألحقوها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موقف المسلمین من السنّة النبویّة فالحقّ أنّ القرآن غیر متکفّل ببیان تفاصیل </w:t>
      </w:r>
    </w:p>
    <w:p>
      <w:pPr>
        <w:pStyle w:val="BookText"/>
        <w:rPr/>
      </w:pPr>
      <w:r>
        <w:rPr>
          <w:rFonts w:ascii="IRNazanin" w:hAnsi="IRNazanin" w:eastAsia="IRNazanin"/>
          <w:color w:val="111111"/>
          <w:sz w:val="28"/>
          <w:sz w:val="28"/>
          <w:szCs w:val="28"/>
          <w:rtl w:val="true"/>
          <w:lang w:bidi="fa-IR"/>
        </w:rPr>
        <w:t>الأحکام فی شتّی شؤون الحیاة، و إنّما السنّة هی القائمة ببیان تلک التفاصیل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النبیّ صلی‌الله‌علیه‌و‌آلهبنفسه یقوم ببیانها و أداء ما أمره اللّه تعالی، فی مثل</w:t>
      </w:r>
    </w:p>
    <w:p>
      <w:pPr>
        <w:pStyle w:val="BookText"/>
        <w:rPr/>
      </w:pP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وجود تصریحات فی کلام النبیّ صلی‌الله‌علیه‌و‌آلهبلزوم کتابة ما یُسمَع منه، کما فی روایة عبد اللّه بن عمرو بن العاص، و عمرو بن شبیب، و غیرهما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الأمر کما ذکر، فکیف ینهی أبو بکر عن کتابة الحدیث و نقله ؟ و کیف یحرق خمسمائة حدیث بروایة عائشة ؟ و کیف یتأسّی به عمر و یحبس الصحابة کی لا یَروون الحدیث للناس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کیف یعلن عثمان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یحلّ لأحد یروی حدیثاً لم یسمع به فی عهد أبی بکر و لا فی عهد عمر؟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حَرَموا المسلمین من تلقّی الحدیث و سنّة رسول اللّه صلی‌الله‌علیه‌و‌آلهأکثر من مائة سنة، و بقی هذا الحرمان إلی أن ولی الأمر عمر بن عبد العزیز، فرفع المنع؟</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عن ابن القیّم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نجزم بأ نّنا نَسِینا و أضَعنا من حدیث نبیّنا صلی‌الله‌علیه‌و‌آله حظّاً عظیماً، لعدم کتابة علماء الصحابة کلّ ما سمعوه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للنهی عن کتابة الحدیث بعد وفاة الرسول سابقة فی أُخرَیات حیاته، أسِی علیه عبد اللّه بن عبّاس، فقال کلمته الذائعة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الرزیئة کلّ الرزیئة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بروایة البخاریّ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بن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بالنبیّ صلی‌الله‌علیه‌و‌آلهوَجَعه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3" w:name="pg4793_55531"/>
    </w:p>
    <w:p>
      <w:pPr>
        <w:pStyle w:val="BookText"/>
        <w:rPr/>
      </w:pPr>
      <w:bookmarkEnd w:id="33"/>
      <w:r>
        <w:rPr>
          <w:rFonts w:ascii="IRNazanin" w:hAnsi="IRNazanin" w:eastAsia="IRNazanin"/>
          <w:color w:val="111111"/>
          <w:sz w:val="28"/>
          <w:sz w:val="28"/>
          <w:szCs w:val="28"/>
          <w:rtl w:val="true"/>
          <w:lang w:bidi="fa-IR"/>
        </w:rPr>
        <w:t>النبیّ صلی‌الله‌علیه‌و‌آله غلبه الوجع و عندنا کتاب اللّه حسبُنا، فاختلفوا و کثر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و 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الرزیئة کلّ الرزیئة ما حال بین</w:t>
      </w:r>
    </w:p>
    <w:p>
      <w:pPr>
        <w:pStyle w:val="BookText"/>
        <w:rPr/>
      </w:pPr>
      <w:r>
        <w:rPr>
          <w:rFonts w:ascii="IRNazanin" w:hAnsi="IRNazanin" w:eastAsia="IRNazanin"/>
          <w:color w:val="111111"/>
          <w:sz w:val="28"/>
          <w:sz w:val="28"/>
          <w:szCs w:val="28"/>
          <w:rtl w:val="true"/>
          <w:lang w:bidi="fa-IR"/>
        </w:rPr>
        <w:t>رسول اللّه صلی‌الله‌علیه‌و‌آلهو بین کتابه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فی حوادث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علماء الإسلام فی هذا العصر فی تدوین الحدیث و الفقه و التفسیر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لمّا أُمروا بتدوین الحدیث لم یستجیبوا للأمر إلاّ مُکرَهین ؛ ذلک بأ نّهم کانوا یتحرّجون من کتابته بعد أن استمرّت سُنّةُ مَن کان قبلهم من الصحابة علی منع تدوینه </w:t>
      </w:r>
      <w:r>
        <w:rPr>
          <w:rFonts w:eastAsia="IRNazanin" w:cs="IRNazanin"/>
          <w:color w:val="111111"/>
          <w:sz w:val="28"/>
          <w:szCs w:val="28"/>
          <w:rtl w:val="true"/>
          <w:lang w:bidi="fa-IR"/>
        </w:rPr>
        <w:t>.</w:t>
      </w:r>
    </w:p>
    <w:p>
      <w:pPr>
        <w:pStyle w:val="Heading3"/>
        <w:numPr>
          <w:ilvl w:val="2"/>
          <w:numId w:val="1"/>
        </w:numPr>
        <w:rPr/>
      </w:pPr>
      <w:bookmarkStart w:id="34" w:name="__RefHeading___Toc2295165_2035185390"/>
      <w:bookmarkStart w:id="35" w:name="_Toc12"/>
      <w:bookmarkEnd w:id="34"/>
      <w:r>
        <w:rPr>
          <w:rtl w:val="true"/>
        </w:rPr>
        <w:t>الفصل الرابع</w:t>
      </w:r>
      <w:r>
        <w:rPr>
          <w:rtl w:val="true"/>
        </w:rPr>
        <w:t xml:space="preserve">: </w:t>
      </w:r>
      <w:r>
        <w:rPr>
          <w:rtl w:val="true"/>
        </w:rPr>
        <w:t>أصول الفرق الإسلامیّة فی الصدر الأوّل</w:t>
      </w:r>
      <w:bookmarkEnd w:id="35"/>
    </w:p>
    <w:p>
      <w:pPr>
        <w:pStyle w:val="Heading4"/>
        <w:numPr>
          <w:ilvl w:val="3"/>
          <w:numId w:val="1"/>
        </w:numPr>
        <w:rPr/>
      </w:pPr>
      <w:bookmarkStart w:id="36" w:name="__RefHeading___Toc2295167_2035185390"/>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لا شکّ أنّ تعدّد الفرق و کثرتها لیس مقصوراً علی المسلمین، بل هو حالة قائمة بین أتباع جمیع الدیانات، و هذه حقیقة غنیّة عن الإثبات، و یکفی فیها مراجعة کتب الفرق و المقالات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الاختلاف و إن کان سنّة کونیّة إلاّ أ نّه لا یُحمَد تعدّد الفرق بین المسلمین ؛ لما ترکه من نتائج و آثار مستمرّة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بدایات ظهور الفرق فی مرحلتها الأولی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تعود إلی عصر الرسالة، إذ تبدأ مرحلتها الأولی بأُخریات حیاة النبیّ صلی‌الله‌علیه‌و‌آله و ما بعد وفاته ، فی ما یتعلّق بأمر الخلافة، و فی نقل الحدیث أو المنع عنه</w:t>
      </w:r>
      <w:r>
        <w:rPr>
          <w:rFonts w:eastAsia="IRNazanin" w:cs="IRNazanin"/>
          <w:color w:val="111111"/>
          <w:sz w:val="28"/>
          <w:szCs w:val="28"/>
          <w:rtl w:val="true"/>
          <w:lang w:bidi="fa-IR"/>
        </w:rPr>
        <w:t xml:space="preserve">. </w:t>
      </w:r>
      <w:bookmarkStart w:id="38" w:name="pg4793_55533"/>
    </w:p>
    <w:p>
      <w:pPr>
        <w:pStyle w:val="BookText"/>
        <w:rPr/>
      </w:pPr>
      <w:bookmarkEnd w:id="38"/>
      <w:r>
        <w:rPr>
          <w:rFonts w:ascii="IRNazanin" w:hAnsi="IRNazanin" w:eastAsia="IRNazanin"/>
          <w:color w:val="111111"/>
          <w:sz w:val="28"/>
          <w:sz w:val="28"/>
          <w:szCs w:val="28"/>
          <w:rtl w:val="true"/>
          <w:lang w:bidi="fa-IR"/>
        </w:rPr>
        <w:t>و المرحلة الثانیة تبدأ بخلافة عثمان و تنتهی بموته و خلافة علیّ علیه‌السلام، وقد تمیّزت ببروز شیعة علیّ و شیعة عثمان، و بروز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الثالثة تبدأ باستشهاد علیّ علیه‌السلام و بروز انشقاقات کثیرة فی کیان الخوارج و ظهور المرجئة و بدء تشکیلات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الأمر هکذا فی العصر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العصر</w:t>
      </w:r>
    </w:p>
    <w:p>
      <w:pPr>
        <w:pStyle w:val="BookText"/>
        <w:rPr/>
      </w:pPr>
      <w:r>
        <w:rPr>
          <w:rFonts w:ascii="IRNazanin" w:hAnsi="IRNazanin" w:eastAsia="IRNazanin"/>
          <w:color w:val="111111"/>
          <w:sz w:val="28"/>
          <w:sz w:val="28"/>
          <w:szCs w:val="28"/>
          <w:rtl w:val="true"/>
          <w:lang w:bidi="fa-IR"/>
        </w:rPr>
        <w:t>العبّاسیّ فیعتبر عصر کثرة الفرق الإسلامیّة أو المحسوبة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أصول الفرق کلّها الجامعة لها أربع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المرجئة و المعتزلة، و الخوارج</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أبو الحسن الأشعریّ أمّهات الفرق إلی عشرة أصناف، و عدّ منها بعد الشیعة و الخوارج و المرجئة و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الجَهمیّة و الضِّراریّة و الحسینیّة و البکریّة و العامّة و أصحاب الحدیث و الکُلاّبیّة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عند البغدادیّ عشرة أیضاً</w:t>
      </w:r>
      <w:r>
        <w:rPr>
          <w:rStyle w:val="FootnoteAnchor"/>
          <w:rtl w:val="true"/>
        </w:rPr>
        <w:footnoteReference w:id="40"/>
      </w:r>
      <w:r>
        <w:rPr>
          <w:rFonts w:ascii="IRNazanin" w:hAnsi="IRNazanin" w:eastAsia="IRNazanin"/>
          <w:color w:val="111111"/>
          <w:sz w:val="28"/>
          <w:sz w:val="28"/>
          <w:szCs w:val="28"/>
          <w:rtl w:val="true"/>
          <w:lang w:bidi="fa-IR"/>
        </w:rPr>
        <w:t>، و بعض المؤلّفین فی الفرق و المقالات جعل أصول الفرق تلک الأربعة الأساسیّة، مع الحشویّة و الجبریّة، و المشبّهة، و العامّة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تلک الروایات و النصوص أنّ الفرق الأساسیّة التی تکوّنت بذورها فی الصدر الأوّل لا تخرج عن الشیعة و الخوارج و المعتزلة و المرجئة و عامّة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الجبریّة فهو اسم آخر للعامّة، و القدریّة اسم آخر للمعتزلة أو العامّة، علی اختلافٍ سیأتی بیانه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هنا من بحث هذه الفرق من خلال دراسة موجزة</w:t>
      </w:r>
      <w:r>
        <w:rPr>
          <w:rFonts w:eastAsia="IRNazanin" w:cs="IRNazanin"/>
          <w:color w:val="111111"/>
          <w:sz w:val="28"/>
          <w:szCs w:val="28"/>
          <w:rtl w:val="true"/>
          <w:lang w:bidi="fa-IR"/>
        </w:rPr>
        <w:t>.</w:t>
      </w:r>
    </w:p>
    <w:p>
      <w:pPr>
        <w:pStyle w:val="Heading4"/>
        <w:numPr>
          <w:ilvl w:val="3"/>
          <w:numId w:val="1"/>
        </w:numPr>
        <w:rPr/>
      </w:pPr>
      <w:bookmarkStart w:id="39" w:name="__RefHeading___Toc2295169_2035185390"/>
      <w:bookmarkStart w:id="40" w:name="_Toc14"/>
      <w:bookmarkEnd w:id="39"/>
      <w:r>
        <w:rPr>
          <w:rtl w:val="true"/>
        </w:rPr>
        <w:t>الشیعة فی اللغة و الاصطلاح</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من الناس، و قد غلب هذا الاسم علی من یتوالی علیّاً و أهل بیته علیهم‌السلام، حتّی صار لهم اسماً خاصّاً</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 أهل اللغة علی أنّ کلّ قوم اجتمعوا </w:t>
      </w:r>
    </w:p>
    <w:p>
      <w:pPr>
        <w:pStyle w:val="BookText"/>
        <w:rPr/>
      </w:pPr>
      <w:r>
        <w:rPr>
          <w:rFonts w:ascii="Amiri" w:hAnsi="Amiri" w:eastAsia="Amiri" w:cs="Amiri"/>
          <w:color w:val="111111"/>
          <w:sz w:val="28"/>
          <w:sz w:val="28"/>
          <w:szCs w:val="28"/>
          <w:rtl w:val="true"/>
          <w:lang w:bidi="ar-SA"/>
        </w:rPr>
        <w:t>علی أمر فهُم شیعة، و کلّ قوم یَتبَع بعضُهم رأی بعض فهم شِیَع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لها فی الاصطلاح إطلاقات عدیدة بالملاکات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مَن أحبّ علیّاً و أولاده باعتبارهم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بهذا المعنی تعمّ</w:t>
      </w:r>
    </w:p>
    <w:p>
      <w:pPr>
        <w:pStyle w:val="BookText"/>
        <w:rPr/>
      </w:pPr>
      <w:r>
        <w:rPr>
          <w:rFonts w:ascii="IRNazanin" w:hAnsi="IRNazanin" w:eastAsia="IRNazanin"/>
          <w:color w:val="111111"/>
          <w:sz w:val="28"/>
          <w:sz w:val="28"/>
          <w:szCs w:val="28"/>
          <w:rtl w:val="true"/>
          <w:lang w:bidi="fa-IR"/>
        </w:rPr>
        <w:t>کلّ المسلمین إلاّ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إمام الشافعیّة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ما الرفضُ دِینی و لا اعتقادی</w:t>
      </w:r>
    </w:p>
    <w:p>
      <w:pPr>
        <w:pStyle w:val="BookText"/>
        <w:rPr/>
      </w:pPr>
      <w:r>
        <w:rPr>
          <w:rFonts w:ascii="Amiri" w:hAnsi="Amiri" w:eastAsia="Amiri" w:cs="Amiri"/>
          <w:color w:val="111111"/>
          <w:sz w:val="28"/>
          <w:sz w:val="28"/>
          <w:szCs w:val="28"/>
          <w:rtl w:val="true"/>
          <w:lang w:bidi="ar-SA"/>
        </w:rPr>
        <w:t>لکنْ تَوَلّیتُ غیرَ شکٍّ</w:t>
      </w:r>
    </w:p>
    <w:p>
      <w:pPr>
        <w:pStyle w:val="BookText"/>
        <w:rPr/>
      </w:pPr>
      <w:r>
        <w:rPr>
          <w:rFonts w:ascii="Amiri" w:hAnsi="Amiri" w:eastAsia="Amiri" w:cs="Amiri"/>
          <w:color w:val="111111"/>
          <w:sz w:val="28"/>
          <w:sz w:val="28"/>
          <w:szCs w:val="28"/>
          <w:rtl w:val="true"/>
          <w:lang w:bidi="ar-SA"/>
        </w:rPr>
        <w:t>خیرَ إمامٍ و خیرَ هادی</w:t>
      </w:r>
    </w:p>
    <w:p>
      <w:pPr>
        <w:pStyle w:val="BookText"/>
        <w:rPr/>
      </w:pPr>
      <w:r>
        <w:rPr>
          <w:rFonts w:ascii="Amiri" w:hAnsi="Amiri" w:eastAsia="Amiri" w:cs="Amiri"/>
          <w:color w:val="111111"/>
          <w:sz w:val="28"/>
          <w:sz w:val="28"/>
          <w:szCs w:val="28"/>
          <w:rtl w:val="true"/>
          <w:lang w:bidi="ar-SA"/>
        </w:rPr>
        <w:t>إن کان حُبُّ الوصیّ رفضاً</w:t>
      </w:r>
    </w:p>
    <w:p>
      <w:pPr>
        <w:pStyle w:val="BookText"/>
        <w:rPr/>
      </w:pPr>
      <w:r>
        <w:rPr>
          <w:rFonts w:ascii="Amiri" w:hAnsi="Amiri" w:eastAsia="Amiri" w:cs="Amiri"/>
          <w:color w:val="111111"/>
          <w:sz w:val="28"/>
          <w:sz w:val="28"/>
          <w:szCs w:val="28"/>
          <w:rtl w:val="true"/>
          <w:lang w:bidi="ar-SA"/>
        </w:rPr>
        <w:t>فإنّنی أرفَضُ العِبادِ</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مَن فضّل علیّاً علی غیره مع اعتقاد أ نّه رابع الخلفاء، و علی ذاک معتزلة بغداد و جمع من أهل الحدیث، و لذلک رُمی الحاکم النیسابوریّ و النسائیّ بالتشیّع، و کذلک معتزلة بغداد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نُسب واصل بن عطاء إلی التشیّع، لمّا کان یقدّم علیّاً علی عثمان، کما فی بعض کتب المعتزلة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مَن یشایع علیّاً و أولاده باعتبار أ نّهم خلفاء الرسول و أئمّة الناس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یستحقّ اسم التشیّع و یغلب علیه مَن دان بإمامة أمیر المؤمنین علیه‌السلامعلی حسب ما قدّمنا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هم الذین شایعوا علیّاً علی الخصوص و قالوا بإمامته و خلافته نصّاً و وصیّة، إمّا جلیّاً أو خفیّاً، و اعتقدوا أنّ الإمامة لا تخرج من أولاده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وافق الشیعة فی أنّ علیّاً أفضل الناس بعد رسول اللّه و أحقّهم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بالإمامة، و وُلده من بعده، فهو شیعیّ، و إن خالفهم فی ما عدا ذلک ممّا اختلف فیه </w:t>
      </w:r>
      <w:bookmarkStart w:id="41" w:name="pg4793_55537"/>
    </w:p>
    <w:p>
      <w:pPr>
        <w:pStyle w:val="BookText"/>
        <w:rPr/>
      </w:pPr>
      <w:bookmarkEnd w:id="41"/>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خالفهم فی ما ذکرنا فلیس شیعیّاً</w:t>
      </w:r>
    </w:p>
    <w:p>
      <w:pPr>
        <w:pStyle w:val="Heading4"/>
        <w:numPr>
          <w:ilvl w:val="3"/>
          <w:numId w:val="1"/>
        </w:numPr>
        <w:rPr/>
      </w:pPr>
      <w:bookmarkStart w:id="42" w:name="__RefHeading___Toc2295171_2035185390"/>
      <w:bookmarkStart w:id="43" w:name="_Toc15"/>
      <w:bookmarkEnd w:id="42"/>
      <w:r>
        <w:rPr>
          <w:rtl w:val="true"/>
        </w:rPr>
        <w:t>متی نشأ التشیّع ؟</w:t>
      </w:r>
      <w:bookmarkEnd w:id="43"/>
    </w:p>
    <w:p>
      <w:pPr>
        <w:pStyle w:val="BookText"/>
        <w:rPr/>
      </w:pPr>
      <w:r>
        <w:rPr>
          <w:rFonts w:ascii="IRNazanin" w:hAnsi="IRNazanin" w:eastAsia="IRNazanin"/>
          <w:color w:val="111111"/>
          <w:sz w:val="28"/>
          <w:sz w:val="28"/>
          <w:szCs w:val="28"/>
          <w:rtl w:val="true"/>
          <w:lang w:bidi="fa-IR"/>
        </w:rPr>
        <w:t>تناول کثیر من الباحثین فی قضایا الفکر و المذاهب و الآراء الإسلامیّة، الکیان</w:t>
      </w:r>
    </w:p>
    <w:p>
      <w:pPr>
        <w:pStyle w:val="BookText"/>
        <w:rPr/>
      </w:pPr>
      <w:r>
        <w:rPr>
          <w:rFonts w:ascii="IRNazanin" w:hAnsi="IRNazanin" w:eastAsia="IRNazanin"/>
          <w:color w:val="111111"/>
          <w:sz w:val="28"/>
          <w:sz w:val="28"/>
          <w:szCs w:val="28"/>
          <w:rtl w:val="true"/>
          <w:lang w:bidi="fa-IR"/>
        </w:rPr>
        <w:t>الشیعیّ بالبحث و الدراسة، من حیث النشأة و البیئة و المحتوی، و الأثر السیاسیّ و الحضاریّ 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المؤسف أنّ معظم تلک الدراسات حملت الدسّ و التشویه و الخلط،و جانبت الإنصاف و الموضوعیّة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تجنّی کثیر من الباحثین علی نشأة التشیّع و بدء ولادته، حتّی قاد ذلک بعضاً منهم إلی اتّهام الشیعة بأ نّهم فرقة أُسّست بأفکار 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آخر إلی أنّ التشیّع نشأ فی خلافة الإمام علیّ بن أبی طالب علیه‌السلام</w:t>
      </w:r>
    </w:p>
    <w:p>
      <w:pPr>
        <w:pStyle w:val="BookText"/>
        <w:rPr/>
      </w:pP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فریق آخر أنّ التشیّع وُلِد بعد وفاة الرسول صلی‌الله‌علیه‌و‌آله، حیث اجتمع یوم السقیفة عدد بارز من الصحابة حول علیّ فی بیت فاطمة، فکان هذا الاجتماع أوّل کتلة تشیّع ظهرت حول علیّ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التشیّع نشأ فی عهد رسول اللّه صلی‌الله‌علیه‌و‌آله، و أنّ الرسول هو الذی أطلق هذا</w:t>
      </w:r>
    </w:p>
    <w:p>
      <w:pPr>
        <w:pStyle w:val="BookText"/>
        <w:rPr/>
      </w:pPr>
      <w:r>
        <w:rPr>
          <w:rFonts w:ascii="IRNazanin" w:hAnsi="IRNazanin" w:eastAsia="IRNazanin"/>
          <w:color w:val="111111"/>
          <w:sz w:val="28"/>
          <w:sz w:val="28"/>
          <w:szCs w:val="28"/>
          <w:rtl w:val="true"/>
          <w:lang w:bidi="fa-IR"/>
        </w:rPr>
        <w:t>الاسم علی أتباع علیّ علیه‌السلامو موالیه، کما ذکره السیوطیّ فی تفسیره، و ابن الأثیر فی نهایته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عن أبی حاتم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اسم ظهر فی الإسلام علی عهد رسول اللّه صلی‌الله‌علیه‌و‌آلههو الشیعة ؛ کان هذا لقب أربعة من الصحابة، هم أبو ذرّ الغفاریّ، و سلمان الفارسیّ، و مقداد بن الأسود، و عمّار بن یاسر إلی أوان صفّین، </w:t>
      </w:r>
    </w:p>
    <w:p>
      <w:pPr>
        <w:pStyle w:val="BookText"/>
        <w:rPr/>
      </w:pPr>
      <w:r>
        <w:rPr>
          <w:rFonts w:ascii="IRNazanin" w:hAnsi="IRNazanin" w:eastAsia="IRNazanin"/>
          <w:color w:val="111111"/>
          <w:sz w:val="28"/>
          <w:sz w:val="28"/>
          <w:szCs w:val="28"/>
          <w:rtl w:val="true"/>
          <w:lang w:bidi="fa-IR"/>
        </w:rPr>
        <w:t>فانتشرت بین موالی علیّ علیه‌السلام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الدالّة علی ظهور التشیّع فی عهد الرسول صلی‌الله‌علیه‌و‌آله کثیرة ، رواها علماء التفسیر و الحدیث و أرباب المقالات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هذه الأحادیث و أمثالها أنّ لفظ الشیعة استعمله صاحب الشریعة فیمن تولّی علیّاً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یحقّ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إلی التشیّع ابتدأت من الیوم الذی هتف فیه النبیّ صلی‌الله‌علیه‌و‌آله صارخاً بکلمة لا إله إلاّاللّه فی شعاب مکّة و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آیة</w:t>
      </w:r>
    </w:p>
    <w:p>
      <w:pPr>
        <w:pStyle w:val="BookText"/>
        <w:rPr/>
      </w:pPr>
      <w:r>
        <w:rPr>
          <w:rFonts w:ascii="IRNazanin" w:hAnsi="IRNazanin" w:eastAsia="IRNazanin"/>
          <w:color w:val="111111"/>
          <w:sz w:val="28"/>
          <w:sz w:val="28"/>
          <w:szCs w:val="28"/>
          <w:rtl w:val="true"/>
          <w:lang w:bidi="fa-IR"/>
        </w:rPr>
        <w:t>الإنذار و حدیث یوم الدار فی شأنها شاهد علی ذلک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کفانا مؤنة التدلیل علی ذلک محمّد کرد علیّ فی کتابه خطط الشام، فإنّه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جماعة من کبار الصحابة بموالاة علیّ فی عصر رسول‌اللّه صلی‌الله‌علیه‌و‌آله ؛ مثل سلمان الفارسیّ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بایَعْنا رسولَ اللّه علی النصح للمسلمین، و الایتمام بعلیّ بن أبی طالب و الموالاة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أبی سعید الخدریّ الذی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الناس بخمس، فعملوا بأربع</w:t>
      </w:r>
    </w:p>
    <w:p>
      <w:pPr>
        <w:pStyle w:val="BookText"/>
        <w:rPr/>
      </w:pPr>
      <w:r>
        <w:rPr>
          <w:rFonts w:ascii="IRNazanin" w:hAnsi="IRNazanin" w:eastAsia="IRNazanin"/>
          <w:color w:val="111111"/>
          <w:sz w:val="28"/>
          <w:sz w:val="28"/>
          <w:szCs w:val="28"/>
          <w:rtl w:val="true"/>
          <w:lang w:bidi="fa-IR"/>
        </w:rPr>
        <w:t>و ترکوا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سئل عن الأربع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 الزکاة و صوم شهر رمضان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الواحدة التی ترکوها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لَمفروضة معهنّ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مفروضة معهنّ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یمکننا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فرقة الشیعة من أقدم الفرق الأساسیّة فی الإسلام، کما صرّح بذلک الأستاذ أبو زهرة،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أقدم المذاهب السیاسیّة الإسلامیّة، و قد ذکرنا أ نّهم ظهروا بمذهبهم فی أواخر عصر عثمان، و نما هذا المذهب و ترعرع فی عهد علیّ علیه‌السلام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4" w:name="pg4793_55541"/>
    </w:p>
    <w:p>
      <w:pPr>
        <w:pStyle w:val="BookText"/>
        <w:rPr/>
      </w:pPr>
      <w:bookmarkEnd w:id="44"/>
      <w:r>
        <w:rPr>
          <w:rFonts w:ascii="Amiri" w:hAnsi="Amiri" w:eastAsia="Amiri" w:cs="Amiri"/>
          <w:color w:val="111111"/>
          <w:sz w:val="28"/>
          <w:sz w:val="28"/>
          <w:szCs w:val="28"/>
          <w:rtl w:val="true"/>
          <w:lang w:bidi="ar-SA"/>
        </w:rPr>
        <w:t xml:space="preserve">و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الصدر الأوّل لا یسمّی شیعیّاً إلاّ مَن قدّم علیّاً علی عثمان، و 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 و عثمانیّ ؛ فالشیعیّ من قدّم علیّاً علی عثمان، و العثمانیّ من قدّم عثمان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واصل یُنسب إلی التشیّع فی ذلک الزمان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295173_2035185390"/>
      <w:bookmarkStart w:id="46" w:name="_Toc16"/>
      <w:bookmarkEnd w:id="45"/>
      <w:r>
        <w:rPr>
          <w:rtl w:val="true"/>
        </w:rPr>
        <w:t>الخوارج و نشأتهم</w:t>
      </w:r>
      <w:bookmarkEnd w:id="46"/>
    </w:p>
    <w:p>
      <w:pPr>
        <w:pStyle w:val="BookText"/>
        <w:rPr/>
      </w:pPr>
      <w:r>
        <w:rPr>
          <w:rFonts w:ascii="IRNazanin" w:hAnsi="IRNazanin" w:eastAsia="IRNazanin"/>
          <w:color w:val="111111"/>
          <w:sz w:val="28"/>
          <w:sz w:val="28"/>
          <w:szCs w:val="28"/>
          <w:rtl w:val="true"/>
          <w:lang w:bidi="fa-IR"/>
        </w:rPr>
        <w:t xml:space="preserve">قال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فرقة ممّن کان مع علیّ، و خالفته بعد تحکیم الحکمَین بینه و بین معاویة و أهل الشام، و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کفّروا علیّاً و تبرّأوا منه و أمّروا علیهم ذا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المارقون و الحَروریّة و الخوارج، و منهم افترقت فرق الخوارج کلّها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أنّه من الممکن أن نعدّ الخوارج من أقدم الفرق بعد الشیعة ؛ و یستفاد بتقدّم الخوارج علی المرجئة من نصّ تاریخیّ حکاه سعد الأشعریّ و النوبختیّ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یکن الأمر فمن المقطوع به أنّ الأساس الذی یدور علیه مذهب الخوارج هو الأساس الذی یدور علیه الإرجاء ، أعنی مسألة الکفر و الإیمان ؛ فإنّ المرجئة نظروا</w:t>
      </w:r>
    </w:p>
    <w:p>
      <w:pPr>
        <w:pStyle w:val="BookText"/>
        <w:rPr/>
      </w:pPr>
      <w:r>
        <w:rPr>
          <w:rFonts w:ascii="IRNazanin" w:hAnsi="IRNazanin" w:eastAsia="IRNazanin"/>
          <w:color w:val="111111"/>
          <w:sz w:val="28"/>
          <w:sz w:val="28"/>
          <w:szCs w:val="28"/>
          <w:rtl w:val="true"/>
          <w:lang w:bidi="fa-IR"/>
        </w:rPr>
        <w:t>إلیها نظراً واسعاً حتّی أدخلوا فی ساحة الإیمان أمثال یزید الخمور و الحجّاج الشرّیر</w:t>
      </w:r>
    </w:p>
    <w:p>
      <w:pPr>
        <w:pStyle w:val="BookText"/>
        <w:rPr/>
      </w:pPr>
      <w:r>
        <w:rPr>
          <w:rFonts w:ascii="IRNazanin" w:hAnsi="IRNazanin" w:eastAsia="IRNazanin"/>
          <w:color w:val="111111"/>
          <w:sz w:val="28"/>
          <w:sz w:val="28"/>
          <w:szCs w:val="28"/>
          <w:rtl w:val="true"/>
          <w:lang w:bidi="fa-IR"/>
        </w:rPr>
        <w:t>و کلّ مرتکب للکبیرة، فی حین کان نظر الخوارج إلی المسألة شدیداً ضیّقاً ؛ فلم یعدّوا مؤمناً إلاّ مَن تحرّز عن الکبائر، و فی ضوء هذا خطّأوا أصحاب حرب صفّین و کفّروا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الباحث الناقد مع قبوله للربط التاریخیّ بین ظهور حرب صفّین و حادثة التحکیم، لا بدّ أن یلتمس لظهور الخوارج أسباباً غیر هذا؛ إذ لا یمکن أن یکون هذا الفکر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تکوّن دفعة واحدة، مع أنّ الخوارج کانوا یقاتلون وراء قائدهم و کانوا مشرفین علی </w:t>
      </w:r>
      <w:bookmarkStart w:id="47" w:name="pg4793_55543"/>
    </w:p>
    <w:p>
      <w:pPr>
        <w:pStyle w:val="BookText"/>
        <w:rPr/>
      </w:pPr>
      <w:bookmarkEnd w:id="47"/>
      <w:r>
        <w:rPr>
          <w:rFonts w:ascii="IRNazanin" w:hAnsi="IRNazanin" w:eastAsia="IRNazanin"/>
          <w:color w:val="111111"/>
          <w:sz w:val="28"/>
          <w:sz w:val="28"/>
          <w:szCs w:val="28"/>
          <w:rtl w:val="true"/>
          <w:lang w:bidi="fa-IR"/>
        </w:rPr>
        <w:t>الانتصار، فکیف لهم أن یقتنعوا بوقف القتال بحجّة رفع المصاحف إلاّ أن یکون وراء هذا</w:t>
      </w:r>
    </w:p>
    <w:p>
      <w:pPr>
        <w:pStyle w:val="BookText"/>
        <w:rPr/>
      </w:pPr>
      <w:r>
        <w:rPr>
          <w:rFonts w:ascii="IRNazanin" w:hAnsi="IRNazanin" w:eastAsia="IRNazanin"/>
          <w:color w:val="111111"/>
          <w:sz w:val="28"/>
          <w:sz w:val="28"/>
          <w:szCs w:val="28"/>
          <w:rtl w:val="true"/>
          <w:lang w:bidi="fa-IR"/>
        </w:rPr>
        <w:t>تدبیر ؟ فلنا أن نستریب فی هذه الفرقة و فی دوافعها ؛ فهی أوّلاً دَعَت إلی وقف القتال،</w:t>
      </w:r>
    </w:p>
    <w:p>
      <w:pPr>
        <w:pStyle w:val="BookText"/>
        <w:rPr/>
      </w:pPr>
      <w:r>
        <w:rPr>
          <w:rFonts w:ascii="IRNazanin" w:hAnsi="IRNazanin" w:eastAsia="IRNazanin"/>
          <w:color w:val="111111"/>
          <w:sz w:val="28"/>
          <w:sz w:val="28"/>
          <w:szCs w:val="28"/>
          <w:rtl w:val="true"/>
          <w:lang w:bidi="fa-IR"/>
        </w:rPr>
        <w:t>و تحمّست ثانیا لاختیار أبی موسی الأشعریّ ممثّلاً لعلیّ علیه‌السلام، و تراجعت ثالثا عن هذا کلّه و ناصبت قائدها العَداء، حتّی وصل الأمر إلی قتاله و تحریض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لنا نصر بن مزاحم أنّ علیّاً کان لا یعدل بربیعة أحداً، و کانت هذه القبیلة أهمّ عنصر فی جیشه علیه‌السلام، فشقّ ذلک علی مضر 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رؤساء الخوارج تمیمیّون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w:t>
      </w:r>
    </w:p>
    <w:p>
      <w:pPr>
        <w:pStyle w:val="BookText"/>
        <w:rPr/>
      </w:pPr>
      <w:r>
        <w:rPr>
          <w:rFonts w:ascii="IRNazanin" w:hAnsi="IRNazanin" w:eastAsia="IRNazanin"/>
          <w:color w:val="111111"/>
          <w:sz w:val="28"/>
          <w:sz w:val="28"/>
          <w:szCs w:val="28"/>
          <w:rtl w:val="true"/>
          <w:lang w:bidi="fa-IR"/>
        </w:rPr>
        <w:t>هذه الفئات یتربّص بعضها ببعض و یعزّ علیها أن تکون الصدارة لبعضها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هناک شیء آخر، هو أنّ زعماء الخوارج أو بعضاً منهم علی الأقلّ کان یجمعهم المعارضة لولایة عثمان، و اشترکوا جمیعاً فی مسؤولیّة قتله، و فاخروا به، کما</w:t>
      </w:r>
    </w:p>
    <w:p>
      <w:pPr>
        <w:pStyle w:val="BookText"/>
        <w:rPr/>
      </w:pPr>
      <w:r>
        <w:rPr>
          <w:rFonts w:ascii="IRNazanin" w:hAnsi="IRNazanin" w:eastAsia="IRNazanin"/>
          <w:color w:val="111111"/>
          <w:sz w:val="28"/>
          <w:sz w:val="28"/>
          <w:szCs w:val="28"/>
          <w:rtl w:val="true"/>
          <w:lang w:bidi="fa-IR"/>
        </w:rPr>
        <w:t xml:space="preserve">یظهر من قول الأشعث لعلیّ عند طلبه وقف القتال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نفعل بک ما فعلنا بعثمان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خیانة الأشعث و رؤساء الخوارج غیر ذلک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2295175_2035185390"/>
      <w:bookmarkStart w:id="49" w:name="_Toc17"/>
      <w:bookmarkEnd w:id="48"/>
      <w:r>
        <w:rPr>
          <w:rtl w:val="true"/>
        </w:rPr>
        <w:t>المرجئة و فکرتهم</w:t>
      </w:r>
      <w:bookmarkEnd w:id="49"/>
    </w:p>
    <w:p>
      <w:pPr>
        <w:pStyle w:val="BookText"/>
        <w:rPr/>
      </w:pPr>
      <w:r>
        <w:rPr>
          <w:rFonts w:ascii="IRNazanin" w:hAnsi="IRNazanin" w:eastAsia="IRNazanin"/>
          <w:color w:val="111111"/>
          <w:sz w:val="28"/>
          <w:sz w:val="28"/>
          <w:szCs w:val="28"/>
          <w:rtl w:val="true"/>
          <w:lang w:bidi="fa-IR"/>
        </w:rPr>
        <w:t>الإرجاء فی الأصل هو التأخیر، و کان یقال أوّلاً بمعنی ترک الکلام فی حقّ بعض الصحابة، و فی الأخیر غدا یقال بمعنی إرجاء مرتکب الکبیرة إلی اللّه تعالی، إن یشأ یعذّبه أو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فرقة المرجئة ظهرت یوم تکوّنها بصورة حزب سیاسیّ لا یرید أن یغمس یده فی الفتن، فیتّصل دَورهما بعصر خلافة الإمام علیّ علیه‌السلام، کما حکی أنّ الأحنف بن قیس اعتزل بعد ذلک فی خاصّة قومه لا علی التدیّن بالاعتزال، لکن علی طلب السلامة من القتل</w:t>
      </w:r>
      <w:r>
        <w:rPr>
          <w:rFonts w:eastAsia="IRNazanin" w:cs="IRNazanin"/>
          <w:color w:val="111111"/>
          <w:sz w:val="28"/>
          <w:szCs w:val="28"/>
          <w:rtl w:val="true"/>
          <w:lang w:bidi="fa-IR"/>
        </w:rPr>
        <w:t>...</w:t>
      </w:r>
      <w:r>
        <w:rPr>
          <w:rStyle w:val="FootnoteAnchor"/>
          <w:rtl w:val="true"/>
        </w:rPr>
        <w:footnoteReference w:id="6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ولدت نظرة هؤلاء فیما بعدُ عقیدة المرجئة، فقد تمسّک مؤیّدو مذهب الإرجاء </w:t>
      </w:r>
    </w:p>
    <w:p>
      <w:pPr>
        <w:pStyle w:val="BookText"/>
        <w:rPr/>
      </w:pPr>
      <w:r>
        <w:rPr>
          <w:rFonts w:ascii="IRNazanin" w:hAnsi="IRNazanin" w:eastAsia="IRNazanin"/>
          <w:color w:val="111111"/>
          <w:sz w:val="28"/>
          <w:sz w:val="28"/>
          <w:szCs w:val="28"/>
          <w:rtl w:val="true"/>
          <w:lang w:bidi="fa-IR"/>
        </w:rPr>
        <w:t>بعمل هؤلاء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المرجئة ظهرت فرقة ذات منهج فکریّ فی عصر الأمویّین، کما حکی الأشعریّ القمّیّ أ نّه بعد استشهاد الإمام علیّ علیه‌السلام و تسلّم الأمویّین مقالید الأمور قام جمهور الناس الذی یعرف بالسواد الأعظم بتشکیل فرقة واحدة تُدعی المرجئة ؛ لأ نّهم تولّوا المختلفین جمیعاً ، فزعموا أنّ أهل القبلة کلّهم مؤمنون بإقرارهم الظاهر</w:t>
      </w:r>
    </w:p>
    <w:p>
      <w:pPr>
        <w:pStyle w:val="BookText"/>
        <w:rPr/>
      </w:pPr>
      <w:r>
        <w:rPr>
          <w:rFonts w:ascii="Amiri" w:hAnsi="Amiri" w:eastAsia="Amiri" w:cs="Amiri"/>
          <w:color w:val="111111"/>
          <w:sz w:val="28"/>
          <w:sz w:val="28"/>
          <w:szCs w:val="28"/>
          <w:rtl w:val="true"/>
          <w:lang w:bidi="ar-SA"/>
        </w:rPr>
        <w:t>بالإیمان وَ رَجَوا لهم جمیعاً المغفرة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قصّة اعتزال واصل بن عطاء حلقةَ الحسن البصریّ، تقدّم المرجئة علی الاعتزال و تکوّنهم فی زمن تکوّن وعیدیّة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ابن المرتضی أنّ رجلاً دخل علی الحسن البصریّ،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الدین، لقد ظهر فی زماننا جماعة یکفّرون أصحاب الکبائر، و الکبیرة عندهم یُخرَج بها عن الملّة، و هم وعیدیّة الخوارج، و جماعة یرجئون أصحاب الکبائر، و الکبیرة عندهم لا تضرّ مع الإیمان، بل العمل عندهم لیس من الإیمان رکناً، و لا یضرّ مع الإیمان معصیة کما لا ینفع</w:t>
      </w:r>
    </w:p>
    <w:p>
      <w:pPr>
        <w:pStyle w:val="BookText"/>
        <w:rPr/>
      </w:pPr>
      <w:r>
        <w:rPr>
          <w:rFonts w:ascii="IRNazanin" w:hAnsi="IRNazanin" w:eastAsia="IRNazanin"/>
          <w:color w:val="111111"/>
          <w:sz w:val="28"/>
          <w:sz w:val="28"/>
          <w:szCs w:val="28"/>
          <w:rtl w:val="true"/>
          <w:lang w:bidi="fa-IR"/>
        </w:rPr>
        <w:t>مع الکفر طاعة، و هم مرجئة الأمّة، فکیف تحکم أنت لنا فی ذلک اعتقاداً ؟</w:t>
      </w:r>
    </w:p>
    <w:p>
      <w:pPr>
        <w:pStyle w:val="BookText"/>
        <w:rPr/>
      </w:pPr>
      <w:r>
        <w:rPr>
          <w:rFonts w:ascii="IRNazanin" w:hAnsi="IRNazanin" w:eastAsia="IRNazanin"/>
          <w:color w:val="111111"/>
          <w:sz w:val="28"/>
          <w:sz w:val="28"/>
          <w:szCs w:val="28"/>
          <w:rtl w:val="true"/>
          <w:lang w:bidi="fa-IR"/>
        </w:rPr>
        <w:t xml:space="preserve">فتفکّر الحسن فی ذلک، و قبل أن یجیب، قال واصل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الکبیرة مؤمن مطلقاً و لا کافر مطلقاً، بل هو فی منزلة بین المنزلتین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النصّ یستفاد تقدّم المرجئة علی المعتزلة نشأة و تکتّلاً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یستفاد أیضاً أ نّه</w:t>
      </w:r>
    </w:p>
    <w:p>
      <w:pPr>
        <w:pStyle w:val="BookText"/>
        <w:rPr/>
      </w:pPr>
      <w:r>
        <w:rPr>
          <w:rFonts w:ascii="IRNazanin" w:hAnsi="IRNazanin" w:eastAsia="IRNazanin"/>
          <w:color w:val="111111"/>
          <w:sz w:val="28"/>
          <w:sz w:val="28"/>
          <w:szCs w:val="28"/>
          <w:rtl w:val="true"/>
          <w:lang w:bidi="fa-IR"/>
        </w:rPr>
        <w:t xml:space="preserve">لم یکن یومئذٍ بین المسلمین فی هذه المسألة إلاّ ثلاثة أقاویل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الخوارج فی إکفار مرتکب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المرجئة فی إیمان مرتکب الکبیرة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الحسن، و هو ممثّل جمهور المسلمین، فی کون مرتکب الکبیرة مؤمناً </w:t>
      </w:r>
    </w:p>
    <w:p>
      <w:pPr>
        <w:pStyle w:val="BookText"/>
        <w:rPr/>
      </w:pPr>
      <w:r>
        <w:rPr>
          <w:rFonts w:ascii="IRNazanin" w:hAnsi="IRNazanin" w:eastAsia="IRNazanin"/>
          <w:color w:val="111111"/>
          <w:sz w:val="28"/>
          <w:sz w:val="28"/>
          <w:szCs w:val="28"/>
          <w:rtl w:val="true"/>
          <w:lang w:bidi="fa-IR"/>
        </w:rPr>
        <w:t>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فالمسلمون مجتمعون علی فساد قول مَن زعم أنّ مذنبی الموحّدین لم یکونوا لا</w:t>
      </w:r>
    </w:p>
    <w:p>
      <w:pPr>
        <w:pStyle w:val="BookText"/>
        <w:rPr/>
      </w:pPr>
      <w:r>
        <w:rPr>
          <w:rFonts w:ascii="IRNazanin" w:hAnsi="IRNazanin" w:eastAsia="IRNazanin"/>
          <w:color w:val="111111"/>
          <w:sz w:val="28"/>
          <w:sz w:val="28"/>
          <w:szCs w:val="28"/>
          <w:rtl w:val="true"/>
          <w:lang w:bidi="fa-IR"/>
        </w:rPr>
        <w:t>مؤمنین و لا کافرین کما یقوله واصل بن عطاء رأس المعتزلة، فیبدو أ نّهم نُسبوا إلی الاعتزال لأجل خروجهم عن إجماع المسلمین فی تلک المسألة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کانت النتیجة لموقف المرجئة أ نّهم أرجأوا الحکم فی بنی أمیّة و لم یحکموا علیهم بالکفر ، کما حکم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هذا استطاعت المرجئة أن تضمن رضا الحکّام عنهم، أو عدم التعرّض لهم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ربّما خاصموهم و لکنّ</w:t>
      </w:r>
    </w:p>
    <w:p>
      <w:pPr>
        <w:pStyle w:val="BookText"/>
        <w:rPr/>
      </w:pPr>
      <w:r>
        <w:rPr>
          <w:rFonts w:ascii="IRNazanin" w:hAnsi="IRNazanin" w:eastAsia="IRNazanin"/>
          <w:color w:val="111111"/>
          <w:sz w:val="28"/>
          <w:sz w:val="28"/>
          <w:szCs w:val="28"/>
          <w:rtl w:val="true"/>
          <w:lang w:bidi="fa-IR"/>
        </w:rPr>
        <w:t>مخاصمتهم کانت فی رفق و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یشیر کلام المأمون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الإرجاء دین الملوک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نَرَ الأمویّین اضطهدوا مرجئاً لإرجائه کما کانوا یضطهدون المعتزلة لاعتزالهم و الخوارج لخارجیّتهم و الشیعة لتشیّعهم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تراهم ربّما یستعملون مَن عُرف بالإرجاء فی أعمالهم ، کما اتّفق لثابت بن قُطنة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شاعر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وُلّی عملاً من أعمال الثغور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أعلن أهل البیت علیهم‌السلام عن خطر المرجئة و أنّ إشاعة فکرتهم ستُرجِع الناس إلی الجاهلیّة، فقاموا بتحذیر الشیعة منهم، و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أولادکم بالحدیث قبل أن یسبقکم</w:t>
      </w:r>
    </w:p>
    <w:p>
      <w:pPr>
        <w:pStyle w:val="BookText"/>
        <w:rPr/>
      </w:pPr>
      <w:r>
        <w:rPr>
          <w:rFonts w:ascii="IRNazanin" w:hAnsi="IRNazanin" w:eastAsia="IRNazanin"/>
          <w:color w:val="111111"/>
          <w:sz w:val="28"/>
          <w:sz w:val="28"/>
          <w:szCs w:val="28"/>
          <w:rtl w:val="true"/>
          <w:lang w:bidi="fa-IR"/>
        </w:rPr>
        <w:t>إلیهم المرجئة</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القدریّة، و لعنَ اللّه‌ُ الخوارج، و لعن اللّه المرجئة، لعن اللّه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هؤلاء مرّة مرّة، و لعنتَ هؤلاء مرّتین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قتَلَتنا مؤمنون، فدماؤنا متلطّخة بثیابهم إلی یوم القیامة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 فی أوّل من تکلّم فی الإرجاء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سلت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بلال بن حارث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المشهور أنّ أوّل مَن وضع الإرجاء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محمّد الحسن بن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کان یکتب إلی الأمصار </w:t>
      </w:r>
    </w:p>
    <w:p>
      <w:pPr>
        <w:pStyle w:val="BookText"/>
        <w:rPr/>
      </w:pPr>
      <w:r>
        <w:rPr>
          <w:rFonts w:ascii="IRNazanin" w:hAnsi="IRNazanin" w:eastAsia="IRNazanin"/>
          <w:color w:val="111111"/>
          <w:sz w:val="28"/>
          <w:sz w:val="28"/>
          <w:szCs w:val="28"/>
          <w:rtl w:val="true"/>
          <w:lang w:bidi="fa-IR"/>
        </w:rPr>
        <w:t>و یدعو الناس إلی الإرجاء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إنّه کان یتوقّف فی عثمان و طلحة و الزبیر فلا یتولاّهم و لا یذمّهم، فلمّا بلغ</w:t>
      </w:r>
    </w:p>
    <w:p>
      <w:pPr>
        <w:pStyle w:val="BookText"/>
        <w:rPr/>
      </w:pPr>
      <w:r>
        <w:rPr>
          <w:rFonts w:ascii="IRNazanin" w:hAnsi="IRNazanin" w:eastAsia="IRNazanin"/>
          <w:color w:val="111111"/>
          <w:sz w:val="28"/>
          <w:sz w:val="28"/>
          <w:szCs w:val="28"/>
          <w:rtl w:val="true"/>
          <w:lang w:bidi="fa-IR"/>
        </w:rPr>
        <w:t xml:space="preserve">ذلک أباه ضربه و شجّه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تتولّی أباک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ندم علی کتابة رسالته فی الإرجاء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فکرة الجبر و إن کانت موجودة فی المجتمع الإسلامیّ منذ الصدر</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73"/>
      </w:r>
      <w:r>
        <w:rPr>
          <w:rFonts w:ascii="IRNazanin" w:hAnsi="IRNazanin" w:eastAsia="IRNazanin"/>
          <w:color w:val="111111"/>
          <w:sz w:val="28"/>
          <w:sz w:val="28"/>
          <w:szCs w:val="28"/>
          <w:rtl w:val="true"/>
          <w:lang w:bidi="fa-IR"/>
        </w:rPr>
        <w:t>، إلاّ أ نّها صارت متکاملة فی العصر الأمویّ، و کانت السلطة الأمویّة ترتضیها کما ترتضی فکرة الإرجاء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قال بالجبر و أظهره معاویة، و إ نّه أظهر أنّ ما</w:t>
      </w:r>
    </w:p>
    <w:p>
      <w:pPr>
        <w:pStyle w:val="BookText"/>
        <w:rPr/>
      </w:pPr>
      <w:r>
        <w:rPr>
          <w:rFonts w:ascii="IRNazanin" w:hAnsi="IRNazanin" w:eastAsia="IRNazanin"/>
          <w:color w:val="111111"/>
          <w:sz w:val="28"/>
          <w:sz w:val="28"/>
          <w:szCs w:val="28"/>
          <w:rtl w:val="true"/>
          <w:lang w:bidi="fa-IR"/>
        </w:rPr>
        <w:t>یأتیه فإنّما هو بقضاء اللّه و مِن خلقه، لیجعله عذراً فیما یأتیه، و یوهم أ نّه مصیب فیه، و أنّ اللّه جعله إماماً و ولاّه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 ذلک فی ملوک بنی أمیّة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حکی أیضاً أنّ معاویة قال فی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یَرَنی ربّی أهلاً لهذا الأمر ما ترکنی و إیّاه، و لو کره اللّه أمرَنا لغیّره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فأنکره علیه عُبادة بن الصامت و أبو ذرّ الغفاریّ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موضع آخر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 تلوموننی إذا قصّرتُ فی إعطائکم ؟ فقال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نلومک علی ما فی خزائن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لکن علی ما أنزله لنا من خزائنه فجعلتَه فی خزائنک، و حُلتَ بیننا و بینه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فلا غرو أن یُحکی عن عثمان أ نّه أعلن بصراحة علی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بیدی مفاتیح الجنّة لأعطیتها بنی أمیّة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سردنا علیک من موقف الأمویّین تجاه فکرة الإرجاء و الجبر یمکننا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المرجئة و المجبّرة ولیدتان للحکومة الأمویّة تبرّران سلطتهم و مظالمهم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ما قیل إنّه کان فی دمشق دعاة یدعون المسلمین إلی الخضوع للحکّام الأمویّین، بحجّة أنّ الحاکم منهم مفروض علیهم بقضاء اللّه و قدره، و أنّ التمرّد</w:t>
      </w:r>
    </w:p>
    <w:p>
      <w:pPr>
        <w:pStyle w:val="BookText"/>
        <w:rPr/>
      </w:pPr>
      <w:r>
        <w:rPr>
          <w:rFonts w:ascii="IRNazanin" w:hAnsi="IRNazanin" w:eastAsia="IRNazanin"/>
          <w:color w:val="111111"/>
          <w:sz w:val="28"/>
          <w:sz w:val="28"/>
          <w:szCs w:val="28"/>
          <w:rtl w:val="true"/>
          <w:lang w:bidi="fa-IR"/>
        </w:rPr>
        <w:t>علیه تمرّد علی قضاء اللّه‌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حیال هذه الظروف نهض رجال ذوو بصیرة لا یستسیغون فکرة الجبر هذه، بل یرونها من حبائل بنی أمیّة ألقوها لاصطیاد المستضعفین ، و القضاء علی الثائرین علیهم،</w:t>
      </w:r>
    </w:p>
    <w:p>
      <w:pPr>
        <w:pStyle w:val="BookText"/>
        <w:rPr/>
      </w:pPr>
      <w:r>
        <w:rPr>
          <w:rFonts w:ascii="IRNazanin" w:hAnsi="IRNazanin" w:eastAsia="IRNazanin"/>
          <w:color w:val="111111"/>
          <w:sz w:val="28"/>
          <w:sz w:val="28"/>
          <w:szCs w:val="28"/>
          <w:rtl w:val="true"/>
          <w:lang w:bidi="fa-IR"/>
        </w:rPr>
        <w:t>فأمعنوا فیهم قتلاً و صلباً و إبادة، بعد الحکم علیهم بالتکفیر من جانب قضاة البلاط</w:t>
      </w:r>
    </w:p>
    <w:p>
      <w:pPr>
        <w:pStyle w:val="BookText"/>
        <w:rPr/>
      </w:pPr>
      <w:r>
        <w:rPr>
          <w:rFonts w:ascii="IRNazanin" w:hAnsi="IRNazanin" w:eastAsia="IRNazanin"/>
          <w:color w:val="111111"/>
          <w:sz w:val="28"/>
          <w:sz w:val="28"/>
          <w:szCs w:val="28"/>
          <w:rtl w:val="true"/>
          <w:lang w:bidi="fa-IR"/>
        </w:rPr>
        <w:t>المرتزقة، و لقّبوهم بالقدریّة التی لعنها النبیّ صلی‌الله‌علیه‌و‌آله ،بزعمهم أنّ القدریّة الملعونة هم القائلون بقدرة العبد و سلب تقدیر اللّه فی فعله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سُئل زید بن علیّ بن الحسین عمّا یذهب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من القدریّة الذین حملوا ذنوبهم علی اللّه، و من المرجئة الذین أطمعوا الفسّاق فی عفو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یطلق القدریّة علی المجبّرة و علی المفوّضة المنکرین لقضاء اللّه و قدره، و الظاهر أنّ المراد هنا الثانی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دور الأمویّین الذین یَرَون استمرار حیاتهم و سلطتهم فی الاعتقاد بالجبر قد لعب بهذه الکلمة، فطبّقوها علی أمثال معبد الجهنیّ و غیلان الدمشقیّ، و حکموا</w:t>
      </w:r>
    </w:p>
    <w:p>
      <w:pPr>
        <w:pStyle w:val="BookText"/>
        <w:rPr/>
      </w:pPr>
      <w:r>
        <w:rPr>
          <w:rFonts w:ascii="IRNazanin" w:hAnsi="IRNazanin" w:eastAsia="IRNazanin"/>
          <w:color w:val="111111"/>
          <w:sz w:val="28"/>
          <w:sz w:val="28"/>
          <w:szCs w:val="28"/>
          <w:rtl w:val="true"/>
          <w:lang w:bidi="fa-IR"/>
        </w:rPr>
        <w:t>علیهم بأ نّهم من مجوس هذه الأمّة فقضوا علیهم، مع أنّ أرباب التراجم و الرجال وثّقوهم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اعترفوا لهم بالصدق و الأمانة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50" w:name="pg4793_55553"/>
    </w:p>
    <w:p>
      <w:pPr>
        <w:pStyle w:val="BookText"/>
        <w:rPr/>
      </w:pPr>
      <w:bookmarkEnd w:id="50"/>
      <w:r>
        <w:rPr>
          <w:rFonts w:ascii="IRNazanin" w:hAnsi="IRNazanin" w:eastAsia="IRNazanin"/>
          <w:color w:val="111111"/>
          <w:sz w:val="28"/>
          <w:sz w:val="28"/>
          <w:szCs w:val="28"/>
          <w:rtl w:val="true"/>
          <w:lang w:bidi="fa-IR"/>
        </w:rPr>
        <w:t xml:space="preserve">قال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من أسماء الفرق ما ینکره أصحابه و یتبرّأون منه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فأهل العدل یقولون لأهل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القدریّة، و أهل الجبر یقولون لأهل</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تبرّأ الجمیع من ذلک، لِما رَوَوا عن النبیّ صلی‌الله‌علیه‌و‌آله أ نّه لعن القدریّة،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مجوس هذه الأمّة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295177_2035185390"/>
      <w:bookmarkStart w:id="52" w:name="_Toc18"/>
      <w:bookmarkEnd w:id="51"/>
      <w:r>
        <w:rPr>
          <w:rtl w:val="true"/>
        </w:rPr>
        <w:t>الاعتزال منشؤه و مؤسّسوه</w:t>
      </w:r>
      <w:bookmarkEnd w:id="52"/>
    </w:p>
    <w:p>
      <w:pPr>
        <w:pStyle w:val="BookText"/>
        <w:rPr/>
      </w:pPr>
      <w:r>
        <w:rPr>
          <w:rFonts w:ascii="IRNazanin" w:hAnsi="IRNazanin" w:eastAsia="IRNazanin"/>
          <w:color w:val="111111"/>
          <w:sz w:val="28"/>
          <w:sz w:val="28"/>
          <w:szCs w:val="28"/>
          <w:rtl w:val="true"/>
          <w:lang w:bidi="fa-IR"/>
        </w:rPr>
        <w:t>الاعتزال فی الاصطلاح یُطلق علی أوّل مدرسة کلامیّة واسعة ظهرت فی الإسلام</w:t>
      </w:r>
    </w:p>
    <w:p>
      <w:pPr>
        <w:pStyle w:val="BookText"/>
        <w:rPr/>
      </w:pPr>
      <w:r>
        <w:rPr>
          <w:rFonts w:ascii="IRNazanin" w:hAnsi="IRNazanin" w:eastAsia="IRNazanin"/>
          <w:color w:val="111111"/>
          <w:sz w:val="28"/>
          <w:sz w:val="28"/>
          <w:szCs w:val="28"/>
          <w:rtl w:val="true"/>
          <w:lang w:bidi="fa-IR"/>
        </w:rPr>
        <w:t>فی أوائل القرن الثانی، و أکّدت علی الأصول العقلیّة فی التفکیر و العقائد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الاعتزال الفکریّ منشأه الاعتزال السیاسیّ، و إنّ المعتزلة الدینیّة أتباع واصل ابن عطاء کانوا فی الأصل استمراراً فی میدان النظر لفئة سیاسیّة سبقتها فی</w:t>
      </w:r>
    </w:p>
    <w:p>
      <w:pPr>
        <w:pStyle w:val="BookText"/>
        <w:rPr/>
      </w:pPr>
      <w:r>
        <w:rPr>
          <w:rFonts w:ascii="IRNazanin" w:hAnsi="IRNazanin" w:eastAsia="IRNazanin"/>
          <w:color w:val="111111"/>
          <w:sz w:val="28"/>
          <w:sz w:val="28"/>
          <w:szCs w:val="28"/>
          <w:rtl w:val="true"/>
          <w:lang w:bidi="fa-IR"/>
        </w:rPr>
        <w:t>الظهور، هی فئة الذین ظهروا فی حرب صفّین، و قبلها فی معرکة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الملطیّ عنهم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بایع الحسن بن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أصحاب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فلزموا منازلهم و مساجدهم،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نشتغل بالعلم و العبادة، و سَمَّوا أنفسهم معتزلة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یکن السبب فی تسمیة المعتزلة بهذا الاسم، و أ نّه هل نشأ من اعتزال واصل بن عطاء حلقةَ الحسن البصریّ، أم نشأ من اعتزال صاحبه عمرو بن عُبید، و سواء کان الحسن هو الذی لقّبهم بهذا أمّ قتادة بن دعامة بعد الحسن البصریّ، فواضح أنّ کلمة</w:t>
      </w:r>
    </w:p>
    <w:p>
      <w:pPr>
        <w:pStyle w:val="BookText"/>
        <w:rPr/>
      </w:pPr>
      <w:r>
        <w:rPr>
          <w:rFonts w:ascii="IRNazanin" w:hAnsi="IRNazanin" w:eastAsia="IRNazanin"/>
          <w:color w:val="111111"/>
          <w:sz w:val="28"/>
          <w:sz w:val="28"/>
          <w:szCs w:val="28"/>
          <w:rtl w:val="true"/>
          <w:lang w:bidi="fa-IR"/>
        </w:rPr>
        <w:t>الاعتزال کانت وقتئذٍ و فی العصور المتأخّرة رمزاً للتخلّف عن الفکرة السائدة فی المجتمع</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أنّ قیام معبد الجهنیّ و غیلان الدمشقیّ من مؤسّسی القدریّة، و اعتراضهم علی الأمویّین، کان مبدأ لتکوّن المعتزلة و اشتهار أمرهم، حتّی بلغ عددهم فی صدر </w:t>
      </w:r>
    </w:p>
    <w:p>
      <w:pPr>
        <w:pStyle w:val="BookText"/>
        <w:rPr/>
      </w:pPr>
      <w:r>
        <w:rPr>
          <w:rFonts w:ascii="IRNazanin" w:hAnsi="IRNazanin" w:eastAsia="IRNazanin"/>
          <w:color w:val="111111"/>
          <w:sz w:val="28"/>
          <w:sz w:val="28"/>
          <w:szCs w:val="28"/>
          <w:rtl w:val="true"/>
          <w:lang w:bidi="fa-IR"/>
        </w:rPr>
        <w:t>خلافة الولید بن عبد الملک ألف نفر، و حتّی مال ابن الخلیفة إلیهم، فجمع المعتزلة إلیه،</w:t>
      </w:r>
    </w:p>
    <w:p>
      <w:pPr>
        <w:pStyle w:val="BookText"/>
        <w:rPr/>
      </w:pPr>
      <w:r>
        <w:rPr>
          <w:rFonts w:ascii="IRNazanin" w:hAnsi="IRNazanin" w:eastAsia="IRNazanin"/>
          <w:color w:val="111111"/>
          <w:sz w:val="28"/>
          <w:sz w:val="28"/>
          <w:szCs w:val="28"/>
          <w:rtl w:val="true"/>
          <w:lang w:bidi="fa-IR"/>
        </w:rPr>
        <w:t>و قتلو الخلیفة، و جعلوا الولد فی مقام أبیه، و کان أحدهم آنذاک عمرو بن عُبید المعتزلیّ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لواصل بن عطاء الفضل الأکبر فی تأسیس الاعتزال علی أسس علمیّة، و وضع الخطط فی نشره، بإرسال الدعاة فی الآفاق یبشّرون به و یلفّون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أعلم بکلام غالیة الشیعة و مارقة الخوارج و کلام الزنادقة و الدهریّة</w:t>
      </w:r>
    </w:p>
    <w:p>
      <w:pPr>
        <w:pStyle w:val="BookText"/>
        <w:rPr/>
      </w:pPr>
      <w:r>
        <w:rPr>
          <w:rFonts w:ascii="IRNazanin" w:hAnsi="IRNazanin" w:eastAsia="IRNazanin"/>
          <w:color w:val="111111"/>
          <w:sz w:val="28"/>
          <w:sz w:val="28"/>
          <w:szCs w:val="28"/>
          <w:rtl w:val="true"/>
          <w:lang w:bidi="fa-IR"/>
        </w:rPr>
        <w:t>و المرجئة و سائر المخالفین و الردّ علیهم، منه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المعروف کما هو صریح کلام المسعودیّ أیضاً أنّ الأصول التی یجتمع حولها المعتزلة، و التی لا یوصف المتکلّم بأ نّه معتزلیّ إلاّ إذا قال بها و اعتنقها، هی الخمسة</w:t>
      </w:r>
    </w:p>
    <w:p>
      <w:pPr>
        <w:pStyle w:val="BookText"/>
        <w:rPr/>
      </w:pPr>
      <w:r>
        <w:rPr>
          <w:rFonts w:ascii="IRNazanin" w:hAnsi="IRNazanin" w:eastAsia="IRNazanin"/>
          <w:color w:val="111111"/>
          <w:sz w:val="28"/>
          <w:sz w:val="28"/>
          <w:szCs w:val="28"/>
          <w:rtl w:val="true"/>
          <w:lang w:bidi="fa-IR"/>
        </w:rPr>
        <w:t xml:space="preserve">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العدل، و الوعد و الوعید، و المنزلة بین المنزلتین، و الأمر بالمعروف</w:t>
      </w:r>
    </w:p>
    <w:p>
      <w:pPr>
        <w:pStyle w:val="BookText"/>
        <w:rPr/>
      </w:pPr>
      <w:r>
        <w:rPr>
          <w:rFonts w:ascii="IRNazanin" w:hAnsi="IRNazanin" w:eastAsia="IRNazanin"/>
          <w:color w:val="111111"/>
          <w:sz w:val="28"/>
          <w:sz w:val="28"/>
          <w:szCs w:val="28"/>
          <w:rtl w:val="true"/>
          <w:lang w:bidi="fa-IR"/>
        </w:rPr>
        <w:t>و النهی عن المنکر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یلفت النظر فی باب المعتزلة تعیین ما هو أوّل الأصول الخمسة عندهم ، فیبدو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رأس فکرة الاعتزال و الأصل الذی تدور حوله سائر الأصول ؛ لأ نّها تبحث فی قضیّة الإیمان و الکفر، و هذه لحمة الدین و مغزاه، و قد نزلت الشریعة لهدایة الکفّار إلی الإیمان، فینبغی أن یُعدّ الأصل الثانی و هو التوحید فرعاً من ذلک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الکلام فی القَدَر و حریّة الإنسان کان یُذکَر أحیانا منذ أیّام الرسول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و کان المسلمون بعد رحیله صلی‌الله‌علیه‌و‌آله فی شغل عن الجدال فی الدین بالفتوحات الکبری، فلمّا انتهی غزو فارس و الشام و مصر و استقرّت الفتوحات، أخذ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الفراغ من هذه الجهة، و مع التطلّعات السیاسیّة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فی دقائق أصول الدین </w:t>
      </w:r>
      <w:bookmarkStart w:id="53" w:name="pg4793_55556"/>
    </w:p>
    <w:p>
      <w:pPr>
        <w:pStyle w:val="BookText"/>
        <w:rPr/>
      </w:pPr>
      <w:bookmarkEnd w:id="53"/>
      <w:r>
        <w:rPr>
          <w:rFonts w:ascii="IRNazanin" w:hAnsi="IRNazanin" w:eastAsia="IRNazanin"/>
          <w:color w:val="111111"/>
          <w:sz w:val="28"/>
          <w:sz w:val="28"/>
          <w:szCs w:val="28"/>
          <w:rtl w:val="true"/>
          <w:lang w:bidi="fa-IR"/>
        </w:rPr>
        <w:t>و بدأوا بالتفکیر فی الإنسان ؛ أحُرّ هو فی أفعاله أم مُجبَر علیها</w:t>
      </w:r>
      <w:r>
        <w:rPr>
          <w:rStyle w:val="FootnoteAnchor"/>
          <w:rtl w:val="true"/>
        </w:rPr>
        <w:footnoteReference w:id="89"/>
      </w:r>
      <w:r>
        <w:rPr>
          <w:rFonts w:ascii="IRNazanin" w:hAnsi="IRNazanin" w:eastAsia="IRNazanin"/>
          <w:color w:val="111111"/>
          <w:sz w:val="28"/>
          <w:sz w:val="28"/>
          <w:szCs w:val="28"/>
          <w:rtl w:val="true"/>
          <w:lang w:bidi="fa-IR"/>
        </w:rPr>
        <w:t>؟ و معلوم أنّ مسألة الوعد و الوعید من فروع مسألة العدل و القدر ؛ لأنّ الحکم بکون الإنسان حرّاً فی أفعاله</w:t>
      </w:r>
    </w:p>
    <w:p>
      <w:pPr>
        <w:pStyle w:val="BookText"/>
        <w:rPr/>
      </w:pPr>
      <w:r>
        <w:rPr>
          <w:rFonts w:ascii="IRNazanin" w:hAnsi="IRNazanin" w:eastAsia="IRNazanin"/>
          <w:color w:val="111111"/>
          <w:sz w:val="28"/>
          <w:sz w:val="28"/>
          <w:szCs w:val="28"/>
          <w:rtl w:val="true"/>
          <w:lang w:bidi="fa-IR"/>
        </w:rPr>
        <w:t>و مسؤولاً عنها، یقتضی کونه مستحقّاً للوعد و الوعید ، أی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المسألة نشأت مسألة الوعد و الوعید، لیکون العبد مثاباً أو معاقباً علی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مباحث القدر کانت أسبق عند المعتزلة حتّی من مسألة</w:t>
      </w:r>
    </w:p>
    <w:p>
      <w:pPr>
        <w:pStyle w:val="BookText"/>
        <w:rPr/>
      </w:pPr>
      <w:r>
        <w:rPr>
          <w:rFonts w:ascii="IRNazanin" w:hAnsi="IRNazanin" w:eastAsia="IRNazanin"/>
          <w:color w:val="111111"/>
          <w:sz w:val="28"/>
          <w:sz w:val="28"/>
          <w:szCs w:val="28"/>
          <w:rtl w:val="true"/>
          <w:lang w:bidi="fa-IR"/>
        </w:rPr>
        <w:t>التوحید أیضاً ؛ لأنّ من المعروف تاریخیّاً أنّ واصل بن عطاء أخذ القول بالقدر من غیلان</w:t>
      </w:r>
    </w:p>
    <w:p>
      <w:pPr>
        <w:pStyle w:val="BookText"/>
        <w:rPr/>
      </w:pPr>
      <w:r>
        <w:rPr>
          <w:rFonts w:ascii="Amiri" w:hAnsi="Amiri" w:eastAsia="Amiri" w:cs="Amiri"/>
          <w:color w:val="111111"/>
          <w:sz w:val="28"/>
          <w:sz w:val="28"/>
          <w:szCs w:val="28"/>
          <w:rtl w:val="true"/>
          <w:lang w:bidi="ar-SA"/>
        </w:rPr>
        <w:t xml:space="preserve">الدمشقیّ </w:t>
      </w:r>
      <w:r>
        <w:rPr>
          <w:rStyle w:val="FootnoteAnchor"/>
          <w:rtl w:val="true"/>
        </w:rPr>
        <w:footnoteReference w:id="90"/>
      </w:r>
      <w:r>
        <w:rPr>
          <w:rFonts w:ascii="IRNazanin" w:hAnsi="IRNazanin" w:eastAsia="IRNazanin"/>
          <w:color w:val="111111"/>
          <w:sz w:val="28"/>
          <w:sz w:val="28"/>
          <w:szCs w:val="28"/>
          <w:rtl w:val="true"/>
          <w:lang w:bidi="fa-IR"/>
        </w:rPr>
        <w:t>، و هذا یدلّ علی أنّ مباحث القدر کانت هی سائدة معروفة فی القرن الأوّل</w:t>
      </w:r>
      <w:r>
        <w:rPr>
          <w:rFonts w:eastAsia="IRNazanin" w:cs="IRNazanin"/>
          <w:color w:val="111111"/>
          <w:sz w:val="28"/>
          <w:szCs w:val="28"/>
          <w:rtl w:val="true"/>
          <w:lang w:bidi="fa-IR"/>
        </w:rPr>
        <w:t>.</w:t>
      </w:r>
    </w:p>
    <w:p>
      <w:pPr>
        <w:pStyle w:val="Heading3"/>
        <w:numPr>
          <w:ilvl w:val="2"/>
          <w:numId w:val="1"/>
        </w:numPr>
        <w:rPr/>
      </w:pPr>
      <w:bookmarkStart w:id="54" w:name="__RefHeading___Toc2295179_2035185390"/>
      <w:bookmarkStart w:id="55" w:name="_Toc19"/>
      <w:bookmarkEnd w:id="54"/>
      <w:r>
        <w:rPr>
          <w:rtl w:val="true"/>
        </w:rPr>
        <w:t>الفصل الخامس</w:t>
      </w:r>
      <w:r>
        <w:rPr>
          <w:rtl w:val="true"/>
        </w:rPr>
        <w:t xml:space="preserve">: </w:t>
      </w:r>
      <w:r>
        <w:rPr>
          <w:rtl w:val="true"/>
        </w:rPr>
        <w:t>المسائل الخلافیّات و نُشوء علم الکلام</w:t>
      </w:r>
      <w:bookmarkEnd w:id="55"/>
    </w:p>
    <w:p>
      <w:pPr>
        <w:pStyle w:val="BookText"/>
        <w:rPr/>
      </w:pPr>
      <w:r>
        <w:rPr>
          <w:rFonts w:ascii="IRNazanin" w:hAnsi="IRNazanin" w:eastAsia="IRNazanin"/>
          <w:color w:val="111111"/>
          <w:sz w:val="28"/>
          <w:sz w:val="28"/>
          <w:szCs w:val="28"/>
          <w:rtl w:val="true"/>
          <w:lang w:bidi="fa-IR"/>
        </w:rPr>
        <w:t xml:space="preserve">رُبّ سائل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اختلف المسلمون بعد نبیّهم و قد ترکهم علی المحجّة الواضحة، و ترک فیهم ما إن أخذوا به لن یضلّوا أبداً، فقد ترک فیهم کتاب اللّه و سنّة رسوله و عترته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أسباب الاختلاف کثیرة ، منها العصبیّة العربیّة و القَبَلیّة، کما ظهرت فی عصر الرسول بین المهاجرین و الأنصار، و بین الأنصار أنفسهم، و اعترف بها عمر بن الخطّاب حینما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قومکم کرهوا أن تجتمع لکم النبوّة و الخلافة فتذهبون</w:t>
      </w:r>
    </w:p>
    <w:p>
      <w:pPr>
        <w:pStyle w:val="BookText"/>
        <w:rPr/>
      </w:pPr>
      <w:r>
        <w:rPr>
          <w:rFonts w:ascii="Amiri" w:hAnsi="Amiri" w:eastAsia="Amiri" w:cs="Amiri"/>
          <w:color w:val="111111"/>
          <w:sz w:val="28"/>
          <w:sz w:val="28"/>
          <w:szCs w:val="28"/>
          <w:rtl w:val="true"/>
          <w:lang w:bidi="ar-SA"/>
        </w:rPr>
        <w:t>فی السماء بُذّخاً شُمّخاً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أسباب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الهوی و حبّ الرئاسة، کما أجّجت نیرانها فی قصّة انتخاب الخلیفة بین المهاجرین و الأنصار فی سقیفة بنی ساعدة؛ فقد اشتدّت الخلافات بینهم و کاد أن تقع فیهم فتن و عداوة، إلاّ أن حسد بعض الأنصار لبعض بعثهم علی السبق </w:t>
      </w:r>
    </w:p>
    <w:p>
      <w:pPr>
        <w:pStyle w:val="BookText"/>
        <w:rPr/>
      </w:pPr>
      <w:r>
        <w:rPr>
          <w:rFonts w:ascii="IRNazanin" w:hAnsi="IRNazanin" w:eastAsia="IRNazanin"/>
          <w:color w:val="111111"/>
          <w:sz w:val="28"/>
          <w:sz w:val="28"/>
          <w:szCs w:val="28"/>
          <w:rtl w:val="true"/>
          <w:lang w:bidi="fa-IR"/>
        </w:rPr>
        <w:t>إلی البیعة بعد بیعة بعض المهاجرین، فقضی الأمر</w:t>
      </w:r>
      <w:r>
        <w:rPr>
          <w:rStyle w:val="FootnoteAnchor"/>
          <w:rtl w:val="true"/>
        </w:rPr>
        <w:footnoteReference w:id="92"/>
      </w:r>
      <w:r>
        <w:rPr>
          <w:rFonts w:ascii="IRNazanin" w:hAnsi="IRNazanin" w:eastAsia="IRNazanin"/>
          <w:color w:val="111111"/>
          <w:sz w:val="28"/>
          <w:sz w:val="28"/>
          <w:szCs w:val="28"/>
          <w:rtl w:val="true"/>
          <w:lang w:bidi="fa-IR"/>
        </w:rPr>
        <w:t>، و لکن ظهر أثر هذا الخلاف فی قصّة</w:t>
      </w:r>
    </w:p>
    <w:p>
      <w:pPr>
        <w:pStyle w:val="BookText"/>
        <w:rPr/>
      </w:pPr>
      <w:r>
        <w:rPr>
          <w:rFonts w:ascii="IRNazanin" w:hAnsi="IRNazanin" w:eastAsia="IRNazanin"/>
          <w:color w:val="111111"/>
          <w:sz w:val="28"/>
          <w:sz w:val="28"/>
          <w:szCs w:val="28"/>
          <w:rtl w:val="true"/>
          <w:lang w:bidi="fa-IR"/>
        </w:rPr>
        <w:t>قتل عثمان، و نکث طلحة و الزبیر، و خروج الخوارج و غیرها، و ما حدث بین الفرق من الخصومة و العداء بمثل ما حدث فی أمر الخلافة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أسباب الاختلاف ورود ثقافات غیر إسلامیّة فی المجتمع الإسلامیّ من ناحیة أمم الأدیان السابقة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 تابعی تلک المذاهب عدد لا یحصی فی الإسلام ؛ إمّا طوعاً و رغبة، و إمّا خوفاً و رهبة من سطوة الإسلام، و إمّا نفاقاً و فتنة و من هؤلاء أبو شاکر الدَّیصانیّ و ابن المقفّع و غیرهما، فوردت أفکارهم من التشبیه و التجسیم</w:t>
      </w:r>
    </w:p>
    <w:p>
      <w:pPr>
        <w:pStyle w:val="BookText"/>
        <w:rPr/>
      </w:pPr>
      <w:r>
        <w:rPr>
          <w:rFonts w:ascii="IRNazanin" w:hAnsi="IRNazanin" w:eastAsia="IRNazanin"/>
          <w:color w:val="111111"/>
          <w:sz w:val="28"/>
          <w:sz w:val="28"/>
          <w:szCs w:val="28"/>
          <w:rtl w:val="true"/>
          <w:lang w:bidi="fa-IR"/>
        </w:rPr>
        <w:t>و غیرهما 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وجود آیات متشابهات فی القرآن الکریم تدلّ بظاهرها علی</w:t>
      </w:r>
    </w:p>
    <w:p>
      <w:pPr>
        <w:pStyle w:val="BookText"/>
        <w:rPr/>
      </w:pPr>
      <w:r>
        <w:rPr>
          <w:rFonts w:ascii="IRNazanin" w:hAnsi="IRNazanin" w:eastAsia="IRNazanin"/>
          <w:color w:val="111111"/>
          <w:sz w:val="28"/>
          <w:sz w:val="28"/>
          <w:szCs w:val="28"/>
          <w:rtl w:val="true"/>
          <w:lang w:bidi="fa-IR"/>
        </w:rPr>
        <w:t>التجسیم و الرؤیة و غیر ذلک، فتشکّلت جوانب من الاختلاف لدی هذه الأمم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جانب هذه الأسباب للاختلاف ظهر القصص فی عهد عثمان بعد ما أحدثه کعب الأحبار و تمیم الداریّ فی عهد عمر، کما ثبت فی محلّه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هناک سبب آخر للاختلاف هو أصل الأصول لخلافات أُخر ؛ یتعلّق بالعقل و النقل؛ لأیّهما التقدّم و الرجحان عند التعارض ؟ فالمعتزلة یرجّحون العقل علی النقل</w:t>
      </w:r>
    </w:p>
    <w:p>
      <w:pPr>
        <w:pStyle w:val="BookText"/>
        <w:rPr/>
      </w:pPr>
      <w:r>
        <w:rPr>
          <w:rFonts w:ascii="IRNazanin" w:hAnsi="IRNazanin" w:eastAsia="IRNazanin"/>
          <w:color w:val="111111"/>
          <w:sz w:val="28"/>
          <w:sz w:val="28"/>
          <w:szCs w:val="28"/>
          <w:rtl w:val="true"/>
          <w:lang w:bidi="fa-IR"/>
        </w:rPr>
        <w:t>دائماً و یؤوّلون النصوص الشرعیّة عند مخالفة العقل إیّاها ، کما فی مسألة الرؤیة و الصفات الزائدة مثل الید و الوجه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یعملون بظاهر النصّ و لا یعبأون بغیره و لا یقولون بالحسن و القبح العقلیّین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کثیراً مّا یکون الاختلاف لا لغموض الموضوع فی ذاته، بل لأنّ کلا المختلفَین لم </w:t>
      </w:r>
    </w:p>
    <w:p>
      <w:pPr>
        <w:pStyle w:val="BookText"/>
        <w:rPr/>
      </w:pPr>
      <w:r>
        <w:rPr>
          <w:rFonts w:ascii="IRNazanin" w:hAnsi="IRNazanin" w:eastAsia="IRNazanin"/>
          <w:color w:val="111111"/>
          <w:sz w:val="28"/>
          <w:sz w:val="28"/>
          <w:szCs w:val="28"/>
          <w:rtl w:val="true"/>
          <w:lang w:bidi="fa-IR"/>
        </w:rPr>
        <w:t xml:space="preserve">یعرف وجهة نظر الآخر، و اختلف نظرهما فی الموضوع الواحد، و لذا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موضع النزاع بطل کلّ نزاع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فقد افترقت الأمّة الإسلامیّة فی أمور کثیرة، منها سیاسیّة مثل ما وقع فی</w:t>
      </w:r>
    </w:p>
    <w:p>
      <w:pPr>
        <w:pStyle w:val="BookText"/>
        <w:rPr/>
      </w:pPr>
      <w:r>
        <w:rPr>
          <w:rFonts w:ascii="IRNazanin" w:hAnsi="IRNazanin" w:eastAsia="IRNazanin"/>
          <w:color w:val="111111"/>
          <w:sz w:val="28"/>
          <w:sz w:val="28"/>
          <w:szCs w:val="28"/>
          <w:rtl w:val="true"/>
          <w:lang w:bidi="fa-IR"/>
        </w:rPr>
        <w:t>السقیفة فی أمر الخلافة ، ثمّ حدثت منها الفرق الشیعیّة و السنّیّة فی أصولها و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اعتقادیّة، مثل ما حدث فی قصّة الخوارج فی مسألة إکفار مرتکب الکبیرة ، فقالوا بکفر علیّ و أصحابه لأجل التحکیم ؛ لأ نّه لا 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هذا بجانب من السیاسة أیضاً فیما یتعلّق بأمر الخلافة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حدث فی قصّة اعتزال واصل بن عطاء مجلسَ الحسن لأجل مسألة الإیمان ؛ أهو قول و اعتقاد أم قول و عمل ؟ و فی ضوء هذا یختلف المرجئة و الخوارج و المعتزلة، و من هنا تکوّنت فِرق المعتزلة أصولها و فروعها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مسألة العدل، و خلق القرآن التی آلت إلی اعتزال أبی الحسن الأشعریّ حلقةَ شیخه الجبّائیّ بعد ما کان معتزلیّاً، و أبدع بعدَها مذهبه و مقالته الأشعریّة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مثل مسألة القضاء و القدر التی اختلفت فیها المجبّرة و القدریّة و المفوّضة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مسألة التوحید و نفی الصفات أو إثباتها التی صارت معرکة للآراء بین الفرق الإسلامیّة، و فی ظلّها تکوّنت الفرق المجسّمة و المشبّهة و أهل التوحید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فرق فرعیّة و عملیّة ، مثل الحنفیّة و المالکیّة و الشافعیّة و الحنبلیّة و الجعفریّة</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الأمویّین و إن کان من مصلحتهم السیاسیّة المیل إلی الجبر و القول بالقضاء و القدر، إلاّ أنّ الحرکة العلمیّة و النهضة الثقافیّة التی وجدت فی خلافة یزید بن الولید، رجّحت کفّة المعتزلة علی مخالفیهم، فصار أکثر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w:t>
      </w:r>
    </w:p>
    <w:p>
      <w:pPr>
        <w:pStyle w:val="BookText"/>
        <w:rPr/>
      </w:pPr>
      <w:r>
        <w:rPr>
          <w:rFonts w:ascii="IRNazanin" w:hAnsi="IRNazanin" w:eastAsia="IRNazanin"/>
          <w:color w:val="111111"/>
          <w:sz w:val="28"/>
          <w:sz w:val="28"/>
          <w:szCs w:val="28"/>
          <w:rtl w:val="true"/>
          <w:lang w:bidi="fa-IR"/>
        </w:rPr>
        <w:t xml:space="preserve">بخلق القرآن و التنزیه و نفی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مطروحا فی الحلقات العلمیّة آنذاک</w:t>
      </w:r>
      <w:r>
        <w:rPr>
          <w:rStyle w:val="FootnoteAnchor"/>
          <w:rtl w:val="true"/>
        </w:rPr>
        <w:footnoteReference w:id="100"/>
      </w:r>
      <w:r>
        <w:rPr>
          <w:rFonts w:ascii="IRNazanin" w:hAnsi="IRNazanin" w:eastAsia="IRNazanin"/>
          <w:color w:val="111111"/>
          <w:sz w:val="28"/>
          <w:sz w:val="28"/>
          <w:szCs w:val="28"/>
          <w:rtl w:val="true"/>
          <w:lang w:bidi="fa-IR"/>
        </w:rPr>
        <w:t>، فتضاربت آراء الفرق الموجودة من الخوارج و الشیعة و المرجئة و أهل الحدیث و المعتزلة بعضها مع</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عمدة اختلافاتهم فی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الصفات الوجودیّة مثل الید و الوجه للّه تعالی و إثباتها و قِدم صفات الباری تعالی و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المسألة حدثت قصّة محنة خلق القرآن لعلماء الحدیث فی زمن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أفعال العباد، أهی مخلوقة للعباد أم مخلوقة للّه تعالی ؟ و کانت هذه المسألة معرکة آراء المعتزلة و 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دَور الشیعة فی هذا المضمار لم یکن بأقلّ من غیرهم، و أ نّهم کانوا سابقین</w:t>
      </w:r>
    </w:p>
    <w:p>
      <w:pPr>
        <w:pStyle w:val="BookText"/>
        <w:rPr/>
      </w:pPr>
      <w:r>
        <w:rPr>
          <w:rFonts w:ascii="IRNazanin" w:hAnsi="IRNazanin" w:eastAsia="IRNazanin"/>
          <w:color w:val="111111"/>
          <w:sz w:val="28"/>
          <w:sz w:val="28"/>
          <w:szCs w:val="28"/>
          <w:rtl w:val="true"/>
          <w:lang w:bidi="fa-IR"/>
        </w:rPr>
        <w:t xml:space="preserve">علی المعتزلة کما یظهر من ملاحظة کتب أصحاب علیّ علیه‌السلام، و أصحاب الصادقَین علیهماالسلام مثل هشام بن الحکم، و مؤمن الطاق، و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سهل النوبختیّ، و سعد بن عبد اللّه</w:t>
      </w:r>
    </w:p>
    <w:p>
      <w:pPr>
        <w:pStyle w:val="BookText"/>
        <w:rPr/>
      </w:pPr>
      <w:r>
        <w:rPr>
          <w:rFonts w:ascii="IRNazanin" w:hAnsi="IRNazanin" w:eastAsia="IRNazanin"/>
          <w:color w:val="111111"/>
          <w:sz w:val="28"/>
          <w:sz w:val="28"/>
          <w:szCs w:val="28"/>
          <w:rtl w:val="true"/>
          <w:lang w:bidi="fa-IR"/>
        </w:rPr>
        <w:t>الأشعریّ، و أبی محمّد النوبختیّ و المسعودیّ و غیرهم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للمسعودیّ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4793_55563"/>
    </w:p>
    <w:p>
      <w:pPr>
        <w:pStyle w:val="Heading3"/>
        <w:numPr>
          <w:ilvl w:val="2"/>
          <w:numId w:val="1"/>
        </w:numPr>
        <w:rPr/>
      </w:pPr>
      <w:bookmarkStart w:id="57" w:name="__RefHeading___Toc2295181_2035185390"/>
      <w:bookmarkStart w:id="58" w:name="_Toc20"/>
      <w:bookmarkEnd w:id="56"/>
      <w:bookmarkEnd w:id="57"/>
      <w:r>
        <w:rPr>
          <w:rtl w:val="true"/>
        </w:rPr>
        <w:t>الفصل السادس</w:t>
      </w:r>
      <w:r>
        <w:rPr>
          <w:rtl w:val="true"/>
        </w:rPr>
        <w:t xml:space="preserve">: </w:t>
      </w:r>
      <w:r>
        <w:rPr>
          <w:rtl w:val="true"/>
        </w:rPr>
        <w:t>تاریخ الشیعة نشأةً و فکرةً و حرکةً علمیّة</w:t>
      </w:r>
      <w:bookmarkEnd w:id="58"/>
    </w:p>
    <w:p>
      <w:pPr>
        <w:pStyle w:val="Heading4"/>
        <w:numPr>
          <w:ilvl w:val="3"/>
          <w:numId w:val="1"/>
        </w:numPr>
        <w:rPr/>
      </w:pPr>
      <w:bookmarkStart w:id="59" w:name="__RefHeading___Toc2295183_2035185390"/>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حکی عن أبی حاتم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اسم ظهر فی الإسلام علی عهد رسول اللّه صلی‌الله‌علیه‌و‌آله هو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لقب أربعة من الصحابة، هم أبو ذرّ و سلمان و المقداد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سلمان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صلی‌الله‌علیه‌و‌آله علی النصح للمسلمین و الائتمام بعلیّ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الأشعریّ القمّیّ أیضاً بأنّ أوّل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و هی فرقة علیّ بن أبی طالب علیه‌السلامالمُسمّون شیعة علیّ فی زمان النبیّ صلی‌الله‌علیه‌و‌آله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ابن هشام صاحب السیرة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العربیّة انقسمت إلی سنّیّین و شیعیّین من یوم السقیفة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محمّد 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أقدم المذاهب السیاسیّة الإسلامیّة، و قد ظهروا بمذهبهم فی آخر عصر عثمان، و نما و تر عرع فی خلافة علیّ ؛ إذ کلّما اختلط بالناس ازدادوا إعجاباً بمواهبه و قوّة دینه و علمه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علیک بالدین، فإنّ الدنیا ما بَنَت شیئاً إلاّ هدمه الدین، و إذا بنی الدین شیئاً لم تستطع الدنیا هدمَه ؛ ألا تری علیّ بن أبی طالب و ما یقول فیه خطباءُ بنی أمیّة مِن ذمّه و عَیبه و غِیبته، واللّه‌ِ لکأ نّما یأخذون بناصیته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تراهم کیف یندبون موتاهم و یرثیهم شعراؤهم، واللّه‌ِ لکأ نّما یندبون جِیَف الحُمُر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ما قاله الشعبیّ لولده، مع أنّ الشعبیّ معروف بالانحراف عن علیّ علیه‌السلام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سبق منّا الکلام علی بدء الدعوة إلی التشیّع، و أثبتنا أنّ الدعوة إلی التشیّع کانت </w:t>
      </w:r>
    </w:p>
    <w:p>
      <w:pPr>
        <w:pStyle w:val="BookText"/>
        <w:rPr/>
      </w:pPr>
      <w:r>
        <w:rPr>
          <w:rFonts w:ascii="IRNazanin" w:hAnsi="IRNazanin" w:eastAsia="IRNazanin"/>
          <w:color w:val="111111"/>
          <w:sz w:val="28"/>
          <w:sz w:val="28"/>
          <w:szCs w:val="28"/>
          <w:rtl w:val="true"/>
          <w:lang w:bidi="fa-IR"/>
        </w:rPr>
        <w:t>من صاحب الرسالة تمشی جَنباً إلی جنب مع الدعوة إلی الشهادتین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بیعة الغدیر آخر ما مهّده رسول الحکمة و الرحمة لخلافة علیّ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الاْءِ سلاَمَ دینَاً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فکان بإمامة علیّ علیه‌السلام إکمال الدین و إتمام النعمة، فلو کان الأمر بعد الرسول لعلیّ علیهما و آلهما السلام لکان الناس کلّهم شیعة علیّ بعد هذه البیعة، و کان المسلمون</w:t>
      </w:r>
    </w:p>
    <w:p>
      <w:pPr>
        <w:pStyle w:val="BookText"/>
        <w:rPr/>
      </w:pPr>
      <w:r>
        <w:rPr>
          <w:rFonts w:ascii="IRNazanin" w:hAnsi="IRNazanin" w:eastAsia="IRNazanin"/>
          <w:color w:val="111111"/>
          <w:sz w:val="28"/>
          <w:sz w:val="28"/>
          <w:szCs w:val="28"/>
          <w:rtl w:val="true"/>
          <w:lang w:bidi="fa-IR"/>
        </w:rPr>
        <w:t>عند ذاک مائة ألف أو یزیدون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هذا أنّ صاحب الشریعة نفسه صلی‌الله‌علیه‌و‌آله هو الذی وضع بذرة التشیّع فی حقل الإسلام، و لم یزل یتعاهدها بالسقی و العنایة حتی نمت فی حیاته و أشتهرت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عددا من أصحابه لیسوا بالقلیل اختصّوا فی حیاته صلی‌الله‌علیه‌و‌آله بعلیّ و لازموه، و اتّخذوه شارحا لتعالیمه و مفسّرا لأسرار حکمه، و صاروا یُعرَفون بأ نّهم شیعة علیّ علیه‌السلام</w:t>
      </w:r>
    </w:p>
    <w:p>
      <w:pPr>
        <w:pStyle w:val="BookText"/>
        <w:rPr/>
      </w:pPr>
      <w:r>
        <w:rPr>
          <w:rFonts w:ascii="IRNazanin" w:hAnsi="IRNazanin" w:eastAsia="IRNazanin"/>
          <w:color w:val="111111"/>
          <w:sz w:val="28"/>
          <w:sz w:val="28"/>
          <w:szCs w:val="28"/>
          <w:rtl w:val="true"/>
          <w:lang w:bidi="fa-IR"/>
        </w:rPr>
        <w:t>کعَلَم خاصّ لهم، کما نصّ علی ذلک صاحب النهایة و لسان العرب و غیرهما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ارتحل الرسول صلی‌الله‌علیه‌و‌آله من هذه الدار إلی دار القرار، و رأی جمعٌ من الصحابة أن لا تکون الخلافة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لصغر سنّه، أو لأنّ قریشاً کرهت أن تجتمع النبوّة و الخلافة لبنی هاشم، أو لأمور أخری، امتنع الإمام أوّلاً عن البیعة لأبی بکر، و ورد فی صحیح البخاریّ أ نّه لم یُبایع إلاّ بعد ستّة أشهر</w:t>
      </w:r>
      <w:r>
        <w:rPr>
          <w:rStyle w:val="FootnoteAnchor"/>
          <w:rtl w:val="true"/>
        </w:rPr>
        <w:footnoteReference w:id="111"/>
      </w:r>
      <w:r>
        <w:rPr>
          <w:rFonts w:ascii="IRNazanin" w:hAnsi="IRNazanin" w:eastAsia="IRNazanin"/>
          <w:color w:val="111111"/>
          <w:sz w:val="28"/>
          <w:sz w:val="28"/>
          <w:szCs w:val="28"/>
          <w:rtl w:val="true"/>
          <w:lang w:bidi="fa-IR"/>
        </w:rPr>
        <w:t>، و تبعه علی ذلک جماعة من الصحابة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ثبّت موقفه المعارض لسلطة الخلافة رأی أنّ استمرار تخلّفه یوجب فتقاً فی الإسلام لا یُرتَق و کسراً لا یُجبَر، فبایَع و سالَم، خاصّة بعد أن رأی أنّ أبا بکر و عمر و جماعة من الصحابة حاولوا قسراً إجباره علی أخذ البیعة و التنازلِ عن موقفه، حتّی وصل الأمر بهم إلی التهدید بإحراق بیته، مع کون بضعة الرسول صلی‌الله‌علیه‌و‌آله و ثلّة من الصحابة </w:t>
      </w:r>
    </w:p>
    <w:p>
      <w:pPr>
        <w:pStyle w:val="BookText"/>
        <w:rPr/>
      </w:pPr>
      <w:r>
        <w:rPr>
          <w:rFonts w:ascii="IRNazanin" w:hAnsi="IRNazanin" w:eastAsia="IRNazanin"/>
          <w:color w:val="111111"/>
          <w:sz w:val="28"/>
          <w:sz w:val="28"/>
          <w:szCs w:val="28"/>
          <w:rtl w:val="true"/>
          <w:lang w:bidi="fa-IR"/>
        </w:rPr>
        <w:t>فیها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أغضی الإمام علی علیه‌السلام عمّایراه حقّاً له ؛ محافظة علی الإسلام أن تتفرّق وحدته و یعود الناس إلی جاهلیّتهم الأولی</w:t>
      </w:r>
      <w:r>
        <w:rPr>
          <w:rStyle w:val="FootnoteAnchor"/>
          <w:rtl w:val="true"/>
        </w:rPr>
        <w:footnoteReference w:id="113"/>
      </w:r>
      <w:r>
        <w:rPr>
          <w:rFonts w:ascii="IRNazanin" w:hAnsi="IRNazanin" w:eastAsia="IRNazanin"/>
          <w:color w:val="111111"/>
          <w:sz w:val="28"/>
          <w:sz w:val="28"/>
          <w:szCs w:val="28"/>
          <w:rtl w:val="true"/>
          <w:lang w:bidi="fa-IR"/>
        </w:rPr>
        <w:t>، فآثر علیه‌السلام ترک المواجهة السیاسیّة و مال إلی العزلة طول أیّام حکم أبی بکر و عمر، حفظاً لوحدة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لأسلّمنّ ما سلمت أمور المسلمین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شیعته منضوین تحت جناحه و مستنیرین بمصباحه، و لم یکن للشیعة و التشیّع یومئذٍ مجال للظهور، و من ثمّ لم تفسح السلطات إلی أوائل عهد عثمان بانتشاره ؛ لأنّ السلطة کانت تخشی ظهور التشیّع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شغلت الدنیا عثمانَ و بنی أمیّة عن الحیلولة دون ظهور التشیّع، فوجد أنصاره فسحةً للدعوة إلیه و تذکیر الناس بیوم الغدیر و فضائل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جابر بن عبد اللّه الأنصاریّ یدور فی سکک المدینة و مجالسها صائحاً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حبّ علیّ بن أبی طالب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کان یطوف علی بیوت المدینة معلناً ولاء المرتضی و صائحاً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حبّ علیّ بن أبی طالب، و من أبی فانظروا فی شأن أمّه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الواقعة التی کانت بینه و بین رقیب له من ناحیة الخلیفة، ترتبط بهذا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و الدارمیّ، و اللفظ للدارمیّ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کان جالساً عند الجمرة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الوسطی، قد اجتمع الناس یستفتونه، فأتاه رجل فوقف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تُنه عن الفتیا ؟ فرفع رأسه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أرقیب أنت علَیّ ؟ لو وضعتم الصمصامة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قفاه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ظننتُ أ نّی أنفذ کلمة سمعتها من رسول اللّه صلی‌الله‌علیه‌و‌آله قبل أن تجیزوا علیّ لأنفذتها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إحداثات عثمان فی الدین أنکر الناس علیه و حرّضت علیه عائشة، و لم یکفّ عنه طلحة و الزبیر و عدد من شیعة الإمام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عثمان لم یرضخ لما طلب منه الناس، فاجترأوا علی قتله، ثمّ طلبوا أمیر المؤمنین علیه‌السلام للبیعة، فامتنع علیهم قائلاً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لکم وزیراً خیر لکم منّی أمیراً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اندفاع الأمّة بالبیعة للإمام، و إجماع الصحابة و الأقطار الإسلامیّة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عدا معاویة و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تمیّزت شیعتان ، هما شیعة علیّ و شیعة عثمان</w:t>
      </w:r>
      <w:r>
        <w:rPr>
          <w:rStyle w:val="FootnoteAnchor"/>
          <w:rtl w:val="true"/>
        </w:rPr>
        <w:footnoteReference w:id="118"/>
      </w:r>
      <w:r>
        <w:rPr>
          <w:rFonts w:ascii="IRNazanin" w:hAnsi="IRNazanin" w:eastAsia="IRNazanin"/>
          <w:color w:val="111111"/>
          <w:sz w:val="28"/>
          <w:sz w:val="28"/>
          <w:szCs w:val="28"/>
          <w:rtl w:val="true"/>
          <w:lang w:bidi="fa-IR"/>
        </w:rPr>
        <w:t>، أو شیعة آل البیت و شیعة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استعمال هذه اللفظة فی أتباع علیّ علیه‌السلام، حتّی تبادر من إطلاقه مَن یُوالی علیّاً و یتابعه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تمّ الأمر للمرتضی علیه‌السلام نکثت طائفة و قَسَطت أخری و مَرَقت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الإمام بالمهاجرین و الأنصار و أهل الکوفة إلی الناکثین فی حرب الجمل، و إلی القاسطین</w:t>
      </w:r>
    </w:p>
    <w:p>
      <w:pPr>
        <w:pStyle w:val="BookText"/>
        <w:rPr/>
      </w:pPr>
      <w:r>
        <w:rPr>
          <w:rFonts w:ascii="IRNazanin" w:hAnsi="IRNazanin" w:eastAsia="IRNazanin"/>
          <w:color w:val="111111"/>
          <w:sz w:val="28"/>
          <w:sz w:val="28"/>
          <w:szCs w:val="28"/>
          <w:rtl w:val="true"/>
          <w:lang w:bidi="fa-IR"/>
        </w:rPr>
        <w:t>فی حرب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معه من عظماء الصحابة ما یقرب من ثمانین رجلاً أمثال خزیمة، و عمّار، و أبی الهیثم، و هاشم المِرقال و غیرهم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استشهاد علیّ علیه‌السلام استمرّ التشیّع کحزب عقائدیّ سیاسیّ حول الحسن بن علیّ علیهماالسلامفبایعه المسلمون، غیر أنّ الظروف السیاسیّة اضطرّت الإمام إلی مصالحة معاویة و التنازل عن الخلافة له علی شروط، و علی أن تکون له الخلافة من بعده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معاویة لم یَفِ بذلک، و عانت الشیعة أشدّ المعاناة بما ضجّ به التاریخ ؛ فقد قَتَل عدداً کبیراً من شیعة علیّ علیه‌السلام کانوا من أفضل الصحابة و التابعین، أمثال حجر بن </w:t>
      </w:r>
    </w:p>
    <w:p>
      <w:pPr>
        <w:pStyle w:val="BookText"/>
        <w:rPr/>
      </w:pPr>
      <w:r>
        <w:rPr>
          <w:rFonts w:ascii="IRNazanin" w:hAnsi="IRNazanin" w:eastAsia="IRNazanin"/>
          <w:color w:val="111111"/>
          <w:sz w:val="28"/>
          <w:sz w:val="28"/>
          <w:szCs w:val="28"/>
          <w:rtl w:val="true"/>
          <w:lang w:bidi="fa-IR"/>
        </w:rPr>
        <w:t>عدیّ و أصحابه، و عمرو بن الحمق الخزاعیّ، و عبد اللّه بن یحیی الحضرمیّ، و رُشید الهَجَریّ و کثیر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المدائنیّ کما رواه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أشدّ الناس بلاء أهل الکوفة ؛ لکثرة مَن فیها من شیعة علیّ علیه‌السلام، فاستعمل علیهم زیاد بن أبیه و ضمّ إلیه البصرة، فکان یتّبع الشیعة و هو بهم عارف ؛ لأ نّه کان منهم أیّام علیّ علیه‌السلام، فقتلهم تحت کّل حجر و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أخافهم و قطع الأیدی و الأرجل، و سَمَل العیون، و صَلَبهم علی جذوع النخل، و طردهم</w:t>
      </w:r>
    </w:p>
    <w:p>
      <w:pPr>
        <w:pStyle w:val="BookText"/>
        <w:rPr/>
      </w:pPr>
      <w:r>
        <w:rPr>
          <w:rFonts w:ascii="IRNazanin" w:hAnsi="IRNazanin" w:eastAsia="IRNazanin"/>
          <w:color w:val="111111"/>
          <w:sz w:val="28"/>
          <w:sz w:val="28"/>
          <w:szCs w:val="28"/>
          <w:rtl w:val="true"/>
          <w:lang w:bidi="fa-IR"/>
        </w:rPr>
        <w:t>و شرّدهم عن العراق فلم یَبقَ بها معروف منهم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یزل الأمر کذلک حتّی مات الحسن بن علیّ علیهماالسلام، فازداد البلاء و الفتنة، فلم یَبقَ أحد من هذا القبیل إلاّ و هو خائف علی دمه، أو طرید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تفاقم الأمر بعد قتل الحسین علیه‌السلام، و ولیّ عبد الملک بن مروان، فاشتدّ علی الشیعة، و ولّی علیهم الحجّاج بن یوسف، فتقرّب إلیه أهل النُّسُک و الصلاح و الدین ببغض</w:t>
      </w:r>
    </w:p>
    <w:p>
      <w:pPr>
        <w:pStyle w:val="BookText"/>
        <w:rPr/>
      </w:pPr>
      <w:r>
        <w:rPr>
          <w:rFonts w:ascii="IRNazanin" w:hAnsi="IRNazanin" w:eastAsia="IRNazanin"/>
          <w:color w:val="111111"/>
          <w:sz w:val="28"/>
          <w:sz w:val="28"/>
          <w:szCs w:val="28"/>
          <w:rtl w:val="true"/>
          <w:lang w:bidi="fa-IR"/>
        </w:rPr>
        <w:t>علیّ علیه‌السلامو موالاة أعدائه، و موالاة مَن یُدّعی من الناس أ نّهم أیضاً أعداؤه، فأکثروا الروایة</w:t>
      </w:r>
    </w:p>
    <w:p>
      <w:pPr>
        <w:pStyle w:val="BookText"/>
        <w:rPr/>
      </w:pPr>
      <w:r>
        <w:rPr>
          <w:rFonts w:ascii="IRNazanin" w:hAnsi="IRNazanin" w:eastAsia="IRNazanin"/>
          <w:color w:val="111111"/>
          <w:sz w:val="28"/>
          <w:sz w:val="28"/>
          <w:szCs w:val="28"/>
          <w:rtl w:val="true"/>
          <w:lang w:bidi="fa-IR"/>
        </w:rPr>
        <w:t>فی فضل الخلفاء و سوابقهم و مناقبهم، و أکثروا من الغضّ من علیّ علیه‌السلام و عیبه و الطعن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باستقراء وقائع الکفاح السیاسیّ و الفکریّ فی تاریخ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حیاة الإمام علیّ علیه‌السلامو ولدیه الحسن و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دعوتهم علیهم‌السلام ترکّزت حول متابعة أهل البیت و المطالبة بالعمل بکتاب اللّه و سنّة نبیّه، کما صرّح به فی اشتراط الحسن بن علیّ علیهماالسلامعلی معاویة فی کتاب الصلح بینهما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مقتل الإمام الحسین علیه‌السلام انسحب الإمام زین العابدین علیه‌السلامفی تلک الفترة من المواجهة المکشوفة ؛ لعدم توفّر الظروف المناسبة لذلک، فواصَلَ مهامَّه الفکریّة فی حفظ قیادته بصورة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المرحلة نشأت تکتّلات و فِرق شیعیّة ذات أهداف سیاسیّة فی میدان الصراع ضدّ الحکم الأمویّ، منهم جماعة التوّابین، و أتباع المختار بن </w:t>
      </w:r>
    </w:p>
    <w:p>
      <w:pPr>
        <w:pStyle w:val="BookText"/>
        <w:rPr/>
      </w:pPr>
      <w:r>
        <w:rPr>
          <w:rFonts w:ascii="Amiri" w:hAnsi="Amiri" w:eastAsia="Amiri" w:cs="Amiri"/>
          <w:color w:val="111111"/>
          <w:sz w:val="28"/>
          <w:sz w:val="28"/>
          <w:szCs w:val="28"/>
          <w:rtl w:val="true"/>
          <w:lang w:bidi="ar-SA"/>
        </w:rPr>
        <w:t>أبی عبید، ثمّ أتباع زید بن علیّ الذین سُمُّوا بالزیدیّة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فترة حیاة الإمامین الصادقین علیهماالسلام بدأت تظهر الخلافات الفکریّة و السیاسیّة حول الإمامة و فهمِ معناها، و بدأ الانحراف و الضلال فی فِرق منتسبة إلی التشیّع کالمغیریّة</w:t>
      </w:r>
    </w:p>
    <w:p>
      <w:pPr>
        <w:pStyle w:val="BookText"/>
        <w:rPr/>
      </w:pPr>
      <w:r>
        <w:rPr>
          <w:rFonts w:ascii="IRNazanin" w:hAnsi="IRNazanin" w:eastAsia="IRNazanin"/>
          <w:color w:val="111111"/>
          <w:sz w:val="28"/>
          <w:sz w:val="28"/>
          <w:szCs w:val="28"/>
          <w:rtl w:val="true"/>
          <w:lang w:bidi="fa-IR"/>
        </w:rPr>
        <w:t>و الخطّابیّة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تبرّأ منهم أئمّة أهل البیت علیهم‌السلام و لعنوهم</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الکفاح من ناحیة أئمّة أهل البیت من أجل النقاء و الأصالة الإسلامیّة حتّی انتهت مسیرة التشیّع إلی قیادة الإمام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عن التشیّع فی هذه المرحلة هو حدیث عن خطّ أهل البیت و مذهبهم بنقائه و أصالته القرآنیّة، و ربّما کان یسمّی بمذهب الشیعة الإمامیّة، و ربّما یسمّی</w:t>
      </w:r>
    </w:p>
    <w:p>
      <w:pPr>
        <w:pStyle w:val="BookText"/>
        <w:rPr/>
      </w:pPr>
      <w:r>
        <w:rPr>
          <w:rFonts w:ascii="IRNazanin" w:hAnsi="IRNazanin" w:eastAsia="IRNazanin"/>
          <w:color w:val="111111"/>
          <w:sz w:val="28"/>
          <w:sz w:val="28"/>
          <w:szCs w:val="28"/>
          <w:rtl w:val="true"/>
          <w:lang w:bidi="fa-IR"/>
        </w:rPr>
        <w:t>بالمذهب الجعفریّ نسبةً إلی الإمام جعفر الصادق علیه‌السلام لِما أظهر من الفقه و العلم، کما نُسبت المذاهب الفقهیّة الأخَر إلی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 نّه عاش فی الفترة بین دولتی بنی أمیّة و بنی العبّاس، فاتّسع المجال للصادق علیه‌السلام، و ار تفع نوعا ما کابوس الظلم و حجاب التقیّة،</w:t>
      </w:r>
    </w:p>
    <w:p>
      <w:pPr>
        <w:pStyle w:val="BookText"/>
        <w:rPr/>
      </w:pPr>
      <w:r>
        <w:rPr>
          <w:rFonts w:ascii="IRNazanin" w:hAnsi="IRNazanin" w:eastAsia="IRNazanin"/>
          <w:color w:val="111111"/>
          <w:sz w:val="28"/>
          <w:sz w:val="28"/>
          <w:szCs w:val="28"/>
          <w:rtl w:val="true"/>
          <w:lang w:bidi="fa-IR"/>
        </w:rPr>
        <w:t>فتوسّع فی بثّ الأحکام الشرعیّة، و نشر الأحادیث النبویّة التی استقاها من عین صافیة من أبیه، عن جدّه، عن أمیر المؤمنین، عن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الشیعة ذلک العصر ظهوراً لم یسبق له نظیر فیما غبر من الأیّام، و بلغوا من الکثرة ما یفوق حدّ الإحصاء، حتّی أنّ الحسن بن الوشّاء قال لبعض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w:t>
      </w:r>
    </w:p>
    <w:p>
      <w:pPr>
        <w:pStyle w:val="BookText"/>
        <w:rPr/>
      </w:pPr>
      <w:r>
        <w:rPr>
          <w:rFonts w:ascii="IRNazanin" w:hAnsi="IRNazanin" w:eastAsia="IRNazanin"/>
          <w:color w:val="111111"/>
          <w:sz w:val="28"/>
          <w:sz w:val="28"/>
          <w:szCs w:val="28"/>
          <w:rtl w:val="true"/>
          <w:lang w:bidi="fa-IR"/>
        </w:rPr>
        <w:t xml:space="preserve">فی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مائة شیخ من أهل الورع و الدین، کلّ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نشأته نشأة خشونة و ملاقاة مصائب من ولاة أضاعوا الحقّ و ظلموا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أیّامه کان خروج زید بن علیّ و قتله بالکوفة، و ذلک فی حکم هشام بن عبد الملک الذی أظهر العداء لآل أبی طالب بصورة إرهابیّة، و أمر عمّاله بالتضییق علیهم، و أن تُمحی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أسماؤهم من دیوان العطاء، و ملأ منهم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أمر بقطع لسان الکُمیت و یده ؛ </w:t>
      </w:r>
    </w:p>
    <w:p>
      <w:pPr>
        <w:pStyle w:val="BookText"/>
        <w:rPr/>
      </w:pPr>
      <w:r>
        <w:rPr>
          <w:rFonts w:ascii="IRNazanin" w:hAnsi="IRNazanin" w:eastAsia="IRNazanin"/>
          <w:color w:val="111111"/>
          <w:sz w:val="28"/>
          <w:sz w:val="28"/>
          <w:szCs w:val="28"/>
          <w:rtl w:val="true"/>
          <w:lang w:bidi="fa-IR"/>
        </w:rPr>
        <w:t>لأ نّه رثی زیداً، کما منع العطاء عن أهل المدینة لاتّهامه إیّاهم بالمیل إلی زید، و ألزم آل أبی طالب البراءة من زید، إلی آخر ما هنالک من فجائع و أمور کانت تحوط بالإمام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عنایة اللّه قضت بأن یزداد شعور الناس تعاطفاً نحو آل محمّد صلی‌الله‌علیه‌و‌آله، فکانت هناک اجتماعات سرّیّة سعیاً إلی انقلاب عامّ یزیل دولة الأمویّین، بغیة تحویلها لآل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 الزمان علی بنی أمیّة، و قامت ضدّهم ثورات عنیفة إلی أن قضت علی آخر ملوکهم، و ولّی الأمرَ العبّاسیّون، فکانت فی بدئها فترة سعیدة ؛ إذ کانت بیت الإمام</w:t>
      </w:r>
    </w:p>
    <w:p>
      <w:pPr>
        <w:pStyle w:val="BookText"/>
        <w:rPr/>
      </w:pPr>
      <w:r>
        <w:rPr>
          <w:rFonts w:ascii="IRNazanin" w:hAnsi="IRNazanin" w:eastAsia="IRNazanin"/>
          <w:color w:val="111111"/>
          <w:sz w:val="28"/>
          <w:sz w:val="28"/>
          <w:szCs w:val="28"/>
          <w:rtl w:val="true"/>
          <w:lang w:bidi="fa-IR"/>
        </w:rPr>
        <w:t>الصادق علیه‌السلامفی تلک الفترة کالجامعة یرتاده علی الدوام العلماء الکبار فی الحدیث و التفسیر و الحکمة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منه العلمَ جماعة من الأئمّة و أعلامهم ، مثل یحیی بن سعید، و ابن جریج، و مالک بن أنس، و الثوریّ، و ابن عیینة، و أبی حنیفة، و أیّوب السختیانیّ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أیّام مرّت علی الشیعة فی عصره، هی الفترة التی امتزجت من أخریّات</w:t>
      </w:r>
    </w:p>
    <w:p>
      <w:pPr>
        <w:pStyle w:val="BookText"/>
        <w:rPr/>
      </w:pPr>
      <w:r>
        <w:rPr>
          <w:rFonts w:ascii="IRNazanin" w:hAnsi="IRNazanin" w:eastAsia="IRNazanin"/>
          <w:color w:val="111111"/>
          <w:sz w:val="28"/>
          <w:sz w:val="28"/>
          <w:szCs w:val="28"/>
          <w:rtl w:val="true"/>
          <w:lang w:bidi="fa-IR"/>
        </w:rPr>
        <w:t>دولة بنی مروان و أولیات دولة بنی العبّاس، بسبب اشتغال أولئک بقتل بعضهم لبعض و بانتقاض البلاد علیهم، و هؤلاء بالحرب مع المروانیّین بتطهیر البلاد منهم مرّة و استتاب الأمن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انتهز الشیعة هذه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الوقت فُرَص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للارتواء من مناهل علم الإمام و عرفانه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أحصی جمع من العلماء مَن روی عنه من الشیعة و من غیرهم، فکانوا أربعة</w:t>
      </w:r>
    </w:p>
    <w:p>
      <w:pPr>
        <w:pStyle w:val="BookText"/>
        <w:rPr/>
      </w:pP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أکثر الأصول الأربع مائة مرویّة عنه، و هذه الأصول هی الأساس لکتب الحدیث الأربعة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بذل الشیعة فی غضون هذه الفترة کلّ ما فی وسعهم لنصرة أهل البیت و نشر </w:t>
      </w:r>
    </w:p>
    <w:p>
      <w:pPr>
        <w:pStyle w:val="BookText"/>
        <w:rPr/>
      </w:pPr>
      <w:r>
        <w:rPr>
          <w:rFonts w:ascii="IRNazanin" w:hAnsi="IRNazanin" w:eastAsia="IRNazanin"/>
          <w:color w:val="111111"/>
          <w:sz w:val="28"/>
          <w:sz w:val="28"/>
          <w:szCs w:val="28"/>
          <w:rtl w:val="true"/>
          <w:lang w:bidi="fa-IR"/>
        </w:rPr>
        <w:t>مذهبهم، و الجهر بولاء آل محمّد صلوات اللّه علیهم، و ربا عددهم فی مختلف البقاع علی</w:t>
      </w:r>
    </w:p>
    <w:p>
      <w:pPr>
        <w:pStyle w:val="BookText"/>
        <w:rPr/>
      </w:pPr>
      <w:r>
        <w:rPr>
          <w:rFonts w:ascii="IRNazanin" w:hAnsi="IRNazanin" w:eastAsia="IRNazanin"/>
          <w:color w:val="111111"/>
          <w:sz w:val="28"/>
          <w:sz w:val="28"/>
          <w:szCs w:val="28"/>
          <w:rtl w:val="true"/>
          <w:lang w:bidi="fa-IR"/>
        </w:rPr>
        <w:t>مئات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حسین بحر العلوم فی هامش تلخیص الشافی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فکرة التشیّع ککلّ فکرة غیرها مرّت بمرحلتین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بدائیّة، و لیس فیها إلاّ غرس الاصطلاح بشکل بسیط جدّاً</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ثانویّة و هی مرحلة النضج و إعطاء الأُکُل علی صعید التفلسف و التعمّق و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أخذت هذه الفکرة تشرق علی أفق الحیاة السیاسیّة و الدینیّة و الاجتماعیّة منذ وفاة النبیّ صلی‌الله‌علیه‌و‌آله حتّی بعد مقتل الحسین علیه‌السلامو أخذت تتبلور و تنضج مفاهیمها العمیقة، فأشغلت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بآرائها الفکریّة</w:t>
      </w:r>
    </w:p>
    <w:p>
      <w:pPr>
        <w:pStyle w:val="BookText"/>
        <w:rPr/>
      </w:pPr>
      <w:r>
        <w:rPr>
          <w:rFonts w:ascii="IRNazanin" w:hAnsi="IRNazanin" w:eastAsia="IRNazanin"/>
          <w:color w:val="111111"/>
          <w:sz w:val="28"/>
          <w:sz w:val="28"/>
          <w:szCs w:val="28"/>
          <w:rtl w:val="true"/>
          <w:lang w:bidi="fa-IR"/>
        </w:rPr>
        <w:t>و محتویاتها السیاسیّة رغم أنف الحواجز و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نّها ربّما تشعّبت بعد عصر النبیّ صلی‌الله‌علیه‌و‌آله إلی عدّة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أنهی النوبختیّ و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علماء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الشیعة إلی أکثر من ثلاثین، لا أحسبها إلاّ متفرّعة عن أربعة أو خمسة منها فحسب،</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القائلون بإمامة علیّ بن أبی طالب علیه‌السلامو 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الحجّة القائم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الکیسانیّة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بإمامة محمّد بن الحنفیّة بعد أخوَیه الإمامین الحسن و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بإمامة زید بن علیّ بن الحسین علیهماالسلام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بإمامة إسماعیل بن الإمام جعفر الصادق علیه‌السلام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عبد اللّه الأفطح ابن الإمام الصادق علیه‌السلام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فِرق تُذکَر ربّما کانت تقوم بشخص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فئة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 بموته، کالجارودیّة و السلیمانیّة و البیانیّة و الصالحیّة و البتریّة،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التمحیص نجدها </w:t>
      </w:r>
    </w:p>
    <w:p>
      <w:pPr>
        <w:pStyle w:val="BookText"/>
        <w:rPr/>
      </w:pPr>
      <w:r>
        <w:rPr>
          <w:rFonts w:ascii="IRNazanin" w:hAnsi="IRNazanin" w:eastAsia="IRNazanin"/>
          <w:color w:val="111111"/>
          <w:sz w:val="28"/>
          <w:sz w:val="28"/>
          <w:szCs w:val="28"/>
          <w:rtl w:val="true"/>
          <w:lang w:bidi="fa-IR"/>
        </w:rPr>
        <w:t>متقاربة الآراء یستقی بعضها من بعض، فلا تستحقّ أن نسمّیها فرقاً قائمة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ضوء هذا 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لقب یختصّ بمن والی علیّاً و أبناءه الأحد عشر، و هم الإمامیّة الاثنا عشریّة الذین یؤلّفون الأکثریّة الساحقة منهم، و إلیهم ینصرف الذهن عند إطلاق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تطلق علی المنحرفین الذین خالفوا أئمّة زمانهم، و لا سیّما الغلاة</w:t>
      </w:r>
    </w:p>
    <w:p>
      <w:pPr>
        <w:pStyle w:val="BookText"/>
        <w:rPr/>
      </w:pPr>
      <w:r>
        <w:rPr>
          <w:rFonts w:ascii="IRNazanin" w:hAnsi="IRNazanin" w:eastAsia="IRNazanin"/>
          <w:color w:val="111111"/>
          <w:sz w:val="28"/>
          <w:sz w:val="28"/>
          <w:szCs w:val="28"/>
          <w:rtl w:val="true"/>
          <w:lang w:bidi="fa-IR"/>
        </w:rPr>
        <w:t>الذین تبرّأ الأئمّة منهم و لعنوهم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 أصحاب المصنّفات فی الفرق و المقالات علی إخراج فرق الغلاة من الإسلام أصلاً ، مثل الحلولیّة و التناسخیّة و أتباع أبی الخطّاب و المغیرة و غیرهم، و کذلک الذین أنکروا شیئاً من أصول الإسلام و أرکانه مثل أصحاب الإباحة و البابکیّة و الباطنیّة</w:t>
      </w:r>
    </w:p>
    <w:p>
      <w:pPr>
        <w:pStyle w:val="BookText"/>
        <w:rPr/>
      </w:pPr>
      <w:r>
        <w:rPr>
          <w:rFonts w:ascii="IRNazanin" w:hAnsi="IRNazanin" w:eastAsia="IRNazanin"/>
          <w:color w:val="111111"/>
          <w:sz w:val="28"/>
          <w:sz w:val="28"/>
          <w:szCs w:val="28"/>
          <w:rtl w:val="true"/>
          <w:lang w:bidi="fa-IR"/>
        </w:rPr>
        <w:t>و بعض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ینبغی أن یعدّ هؤلاء من فرق الإسلام و لا فرق الشیعة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الشیخ المفید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مَن شذّ عن الحقّ مِن فرق الإمامیّة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الکیسانیّة، و هم</w:t>
      </w:r>
    </w:p>
    <w:p>
      <w:pPr>
        <w:pStyle w:val="BookText"/>
        <w:rPr/>
      </w:pPr>
      <w:r>
        <w:rPr>
          <w:rFonts w:ascii="IRNazanin" w:hAnsi="IRNazanin" w:eastAsia="IRNazanin"/>
          <w:color w:val="111111"/>
          <w:sz w:val="28"/>
          <w:sz w:val="28"/>
          <w:szCs w:val="28"/>
          <w:rtl w:val="true"/>
          <w:lang w:bidi="fa-IR"/>
        </w:rPr>
        <w:t>أصحاب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ردّ دعاویَهم بحجج قویّة،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 نّه لا بقیّة للکیسانیّة</w:t>
      </w:r>
    </w:p>
    <w:p>
      <w:pPr>
        <w:pStyle w:val="BookText"/>
        <w:rPr/>
      </w:pPr>
      <w:r>
        <w:rPr>
          <w:rFonts w:ascii="IRNazanin" w:hAnsi="IRNazanin" w:eastAsia="IRNazanin"/>
          <w:color w:val="111111"/>
          <w:sz w:val="28"/>
          <w:sz w:val="28"/>
          <w:szCs w:val="28"/>
          <w:rtl w:val="true"/>
          <w:lang w:bidi="fa-IR"/>
        </w:rPr>
        <w:t>جملة، و قد انقرضوا حتّی لا یُعرف منهم فی هذا الزمان أحد إلاّ ما یُحکی و لا یعرف صحّته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الکلام قاله أیضاً بعد الردّ علی الناووسیّة</w:t>
      </w:r>
      <w:r>
        <w:rPr>
          <w:rStyle w:val="FootnoteAnchor"/>
          <w:rtl w:val="true"/>
        </w:rPr>
        <w:footnoteReference w:id="133"/>
      </w:r>
      <w:r>
        <w:rPr>
          <w:rFonts w:ascii="IRNazanin" w:hAnsi="IRNazanin" w:eastAsia="IRNazanin"/>
          <w:color w:val="111111"/>
          <w:sz w:val="28"/>
          <w:sz w:val="28"/>
          <w:szCs w:val="28"/>
          <w:rtl w:val="true"/>
          <w:lang w:bidi="fa-IR"/>
        </w:rPr>
        <w:t>، و الشمیطیّة</w:t>
      </w:r>
      <w:r>
        <w:rPr>
          <w:rStyle w:val="FootnoteAnchor"/>
          <w:rtl w:val="true"/>
        </w:rPr>
        <w:footnoteReference w:id="134"/>
      </w:r>
      <w:r>
        <w:rPr>
          <w:rFonts w:ascii="IRNazanin" w:hAnsi="IRNazanin" w:eastAsia="IRNazanin"/>
          <w:color w:val="111111"/>
          <w:sz w:val="28"/>
          <w:sz w:val="28"/>
          <w:szCs w:val="28"/>
          <w:rtl w:val="true"/>
          <w:lang w:bidi="fa-IR"/>
        </w:rPr>
        <w:t>و غیرهما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النصوص المصرّحة بانقراض أکثر الفرق المضافة إلی الشیعة، لا مجال للمطّلع علی کتب الفرق و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خاصّة کتب الفرق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یحسب أنّ </w:t>
      </w:r>
      <w:bookmarkStart w:id="61" w:name="pg4793_55581"/>
    </w:p>
    <w:p>
      <w:pPr>
        <w:pStyle w:val="BookText"/>
        <w:rPr/>
      </w:pPr>
      <w:bookmarkEnd w:id="61"/>
      <w:r>
        <w:rPr>
          <w:rFonts w:ascii="IRNazanin" w:hAnsi="IRNazanin" w:eastAsia="IRNazanin"/>
          <w:color w:val="111111"/>
          <w:sz w:val="28"/>
          <w:sz w:val="28"/>
          <w:szCs w:val="28"/>
          <w:rtl w:val="true"/>
          <w:lang w:bidi="fa-IR"/>
        </w:rPr>
        <w:t>النزعات الأهوائیّة المذکورة هناک کانت کلّها ممّا تدین به الشیعة الإمامیّة، أو یظنّ أنّ تلک الفرق المنسوبة إلی الشیعة لها کیان ثابت بین ظهرانَیها ؛ بل إنّ المنقّب فی التاریخ</w:t>
      </w:r>
    </w:p>
    <w:p>
      <w:pPr>
        <w:pStyle w:val="BookText"/>
        <w:rPr/>
      </w:pPr>
      <w:r>
        <w:rPr>
          <w:rFonts w:ascii="IRNazanin" w:hAnsi="IRNazanin" w:eastAsia="IRNazanin"/>
          <w:color w:val="111111"/>
          <w:sz w:val="28"/>
          <w:sz w:val="28"/>
          <w:szCs w:val="28"/>
          <w:rtl w:val="true"/>
          <w:lang w:bidi="fa-IR"/>
        </w:rPr>
        <w:t>و الباحث عن شؤون الأمم و الدیانات یتردّد فیها، لما کانت هناک غایات و أغراض سیاسیّة أو شخصیّته انحدرت بالنفوس الضئیلة إلی هذه البدع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أکثر المعتنقین لها کانوا أفراداً من ساقة الناس و ممّن لم یُقِم المجتمع الدینیّ لهم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مآلهم جمیعا أن طوتهم الأیّام و طحنهم الجدیدان، فعادوا کحدیث أمس الدابر ، کما أنّ غیر یسیر منها مفتعل علی أناس لم یثبت لها کیان أو دعامة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لذلک 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الاختلافات منقولة عن الشیعة، و أکثرها</w:t>
      </w:r>
    </w:p>
    <w:p>
      <w:pPr>
        <w:pStyle w:val="BookText"/>
        <w:rPr/>
      </w:pPr>
      <w:r>
        <w:rPr>
          <w:rFonts w:ascii="IRNazanin" w:hAnsi="IRNazanin" w:eastAsia="IRNazanin"/>
          <w:color w:val="111111"/>
          <w:sz w:val="28"/>
          <w:sz w:val="28"/>
          <w:szCs w:val="28"/>
          <w:rtl w:val="true"/>
          <w:lang w:bidi="fa-IR"/>
        </w:rPr>
        <w:t>لم توجد، بل وجدت فی کتب منقولة لا اعتبار لها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295185_2035185390"/>
      <w:bookmarkStart w:id="63" w:name="_Toc22"/>
      <w:bookmarkEnd w:id="62"/>
      <w:r>
        <w:rPr>
          <w:rtl w:val="true"/>
        </w:rPr>
        <w:t>لمحة سریعة فی مؤلّفی الفرق و مؤلَّفاتهم</w:t>
      </w:r>
      <w:bookmarkEnd w:id="63"/>
    </w:p>
    <w:p>
      <w:pPr>
        <w:pStyle w:val="BookText"/>
        <w:rPr/>
      </w:pPr>
      <w:r>
        <w:rPr>
          <w:rFonts w:ascii="IRNazanin" w:hAnsi="IRNazanin" w:eastAsia="IRNazanin"/>
          <w:color w:val="111111"/>
          <w:sz w:val="28"/>
          <w:sz w:val="28"/>
          <w:szCs w:val="28"/>
          <w:rtl w:val="true"/>
          <w:lang w:bidi="fa-IR"/>
        </w:rPr>
        <w:t>إنّ الذین یکتبون عن الشیعة یأخذون فی الغالب مذهب الشیعة و أحوالهم عن أمثال ابن خلدون البربریّ فی أقصی المغرب، و أحمد بن عبد ربّه الأندلسیّ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p>
    <w:p>
      <w:pPr>
        <w:pStyle w:val="BookText"/>
        <w:rPr/>
      </w:pPr>
      <w:r>
        <w:rPr>
          <w:rFonts w:ascii="IRNazanin" w:hAnsi="IRNazanin" w:eastAsia="IRNazanin"/>
          <w:color w:val="111111"/>
          <w:sz w:val="28"/>
          <w:sz w:val="28"/>
          <w:szCs w:val="28"/>
          <w:rtl w:val="true"/>
          <w:lang w:bidi="fa-IR"/>
        </w:rPr>
        <w:t>العصر متی حاولوا أن یتوسّعوا فی معرفة الشیعة رجعوا إلی کتب الغربیّین، و هی عندهم الحجّة القاطعة و 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الرجوع إلی کتب الشیعة و علمائهم فذاک ممّا لا یخطر</w:t>
      </w:r>
    </w:p>
    <w:p>
      <w:pPr>
        <w:pStyle w:val="BookText"/>
        <w:rPr/>
      </w:pPr>
      <w:r>
        <w:rPr>
          <w:rFonts w:ascii="IRNazanin" w:hAnsi="IRNazanin" w:eastAsia="IRNazanin"/>
          <w:color w:val="111111"/>
          <w:sz w:val="28"/>
          <w:sz w:val="28"/>
          <w:szCs w:val="28"/>
          <w:rtl w:val="true"/>
          <w:lang w:bidi="fa-IR"/>
        </w:rPr>
        <w:t xml:space="preserve">ببالهم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نری المؤلّفین عن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الأجانب منهم و المسلمین، و القدامی منهم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کتبوا عن الشیعة ما هم منه بُرَآء ، مثل القول بآلهیّة محمّد صلی‌الله‌علیه‌و‌آله عن المحمّدیّة</w:t>
      </w:r>
      <w:r>
        <w:rPr>
          <w:rStyle w:val="FootnoteAnchor"/>
          <w:rtl w:val="true"/>
        </w:rPr>
        <w:footnoteReference w:id="138"/>
      </w:r>
      <w:r>
        <w:rPr>
          <w:rFonts w:ascii="IRNazanin" w:hAnsi="IRNazanin" w:eastAsia="IRNazanin"/>
          <w:color w:val="111111"/>
          <w:sz w:val="28"/>
          <w:sz w:val="28"/>
          <w:szCs w:val="28"/>
          <w:rtl w:val="true"/>
          <w:lang w:bidi="fa-IR"/>
        </w:rPr>
        <w:t>، و القول بآلهیّة علیّ بن أبی طالب عن السبأیّة</w:t>
      </w:r>
      <w:r>
        <w:rPr>
          <w:rStyle w:val="FootnoteAnchor"/>
          <w:rtl w:val="true"/>
        </w:rPr>
        <w:footnoteReference w:id="139"/>
      </w:r>
      <w:r>
        <w:rPr>
          <w:rFonts w:ascii="IRNazanin" w:hAnsi="IRNazanin" w:eastAsia="IRNazanin"/>
          <w:color w:val="111111"/>
          <w:sz w:val="28"/>
          <w:sz w:val="28"/>
          <w:szCs w:val="28"/>
          <w:rtl w:val="true"/>
          <w:lang w:bidi="fa-IR"/>
        </w:rPr>
        <w:t xml:space="preserve">، و القول بآلهیّة الأئمّة عن </w:t>
      </w:r>
    </w:p>
    <w:p>
      <w:pPr>
        <w:pStyle w:val="BookText"/>
        <w:rPr/>
      </w:pPr>
      <w:r>
        <w:rPr>
          <w:rFonts w:ascii="Amiri" w:hAnsi="Amiri" w:eastAsia="Amiri" w:cs="Amiri"/>
          <w:color w:val="111111"/>
          <w:sz w:val="28"/>
          <w:sz w:val="28"/>
          <w:szCs w:val="28"/>
          <w:rtl w:val="true"/>
          <w:lang w:bidi="ar-SA"/>
        </w:rPr>
        <w:t>بعض الخطّابیّة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القول بنبوّة علیّ و أولاده الأحد عشر، أو القول بنبوّة محمّد بن إسماعیل بن جعفر، أو القول بنبوّة المغیرة بن سعید، أو نبوّة بنان بن سمعان، أو نبوّة أبی منصور</w:t>
      </w:r>
    </w:p>
    <w:p>
      <w:pPr>
        <w:pStyle w:val="BookText"/>
        <w:rPr/>
      </w:pPr>
      <w:r>
        <w:rPr>
          <w:rFonts w:ascii="Amiri" w:hAnsi="Amiri" w:eastAsia="Amiri" w:cs="Amiri"/>
          <w:color w:val="111111"/>
          <w:sz w:val="28"/>
          <w:sz w:val="28"/>
          <w:szCs w:val="28"/>
          <w:rtl w:val="true"/>
          <w:lang w:bidi="ar-SA"/>
        </w:rPr>
        <w:t>العجلیّ</w:t>
      </w:r>
      <w:r>
        <w:rPr>
          <w:rStyle w:val="FootnoteAnchor"/>
          <w:rtl w:val="true"/>
        </w:rPr>
        <w:footnoteReference w:id="141"/>
      </w:r>
      <w:r>
        <w:rPr>
          <w:rFonts w:ascii="IRNazanin" w:hAnsi="IRNazanin" w:eastAsia="IRNazanin"/>
          <w:color w:val="111111"/>
          <w:sz w:val="28"/>
          <w:sz w:val="28"/>
          <w:szCs w:val="28"/>
          <w:rtl w:val="true"/>
          <w:lang w:bidi="fa-IR"/>
        </w:rPr>
        <w:t>، و مثل القول بالتناسخ و التجسیم، و تحریف القرآن</w:t>
      </w:r>
      <w:r>
        <w:rPr>
          <w:rStyle w:val="FootnoteAnchor"/>
          <w:rtl w:val="true"/>
        </w:rPr>
        <w:footnoteReference w:id="142"/>
      </w:r>
      <w:r>
        <w:rPr>
          <w:rFonts w:ascii="IRNazanin" w:hAnsi="IRNazanin" w:eastAsia="IRNazanin"/>
          <w:color w:val="111111"/>
          <w:sz w:val="28"/>
          <w:sz w:val="28"/>
          <w:szCs w:val="28"/>
          <w:rtl w:val="true"/>
          <w:lang w:bidi="fa-IR"/>
        </w:rPr>
        <w:t>، و مثل افتراءات علی الشیعة و أصحاب الأئمّة أمثال هشام بن الحکم و هشام بن سالم و مؤمن الطاق ، من القول</w:t>
      </w:r>
    </w:p>
    <w:p>
      <w:pPr>
        <w:pStyle w:val="BookText"/>
        <w:rPr/>
      </w:pPr>
      <w:r>
        <w:rPr>
          <w:rFonts w:ascii="IRNazanin" w:hAnsi="IRNazanin" w:eastAsia="IRNazanin"/>
          <w:color w:val="111111"/>
          <w:sz w:val="28"/>
          <w:sz w:val="28"/>
          <w:szCs w:val="28"/>
          <w:rtl w:val="true"/>
          <w:lang w:bidi="fa-IR"/>
        </w:rPr>
        <w:t>بأنّ اللّه تعالی جسم، و هو سبعة أشبار بشبرِ نفسه، و القول بحدوث علمه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أشهر مؤلّفی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و الشهرستانیّ و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البغدادیّ و الشهرستانیّ فقد قال فیهما فخر الدین الرازیّ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الکتب ؟ فذکر کثیراً</w:t>
      </w:r>
    </w:p>
    <w:p>
      <w:pPr>
        <w:pStyle w:val="BookText"/>
        <w:rPr/>
      </w:pPr>
      <w:r>
        <w:rPr>
          <w:rFonts w:ascii="IRNazanin" w:hAnsi="IRNazanin" w:eastAsia="IRNazanin"/>
          <w:color w:val="111111"/>
          <w:sz w:val="28"/>
          <w:sz w:val="28"/>
          <w:szCs w:val="28"/>
          <w:rtl w:val="true"/>
          <w:lang w:bidi="fa-IR"/>
        </w:rPr>
        <w:t xml:space="preserve">منها، إلی أن ذکر کتاب الملل و النحل للشهرستانیّ،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کتاب حکی فیه مذاهب أهل العالَم بزعمه، إلاّ أ نّه غیر مُعتمَد علیه ؛ لأ نّه نقل المذاهب الإسلامیّة من الکتاب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الأستاذ أبی منصور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الأستاذ کان شدید التعصّب علی المخالفین، و لا یکاد ینقل مذهبهم علی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الشهرستانیّ نقل مذاهب الفرق الإسلامیّة من ذلک الکتاب، فلهذا السبب</w:t>
      </w:r>
    </w:p>
    <w:p>
      <w:pPr>
        <w:pStyle w:val="BookText"/>
        <w:rPr/>
      </w:pPr>
      <w:r>
        <w:rPr>
          <w:rFonts w:ascii="IRNazanin" w:hAnsi="IRNazanin" w:eastAsia="IRNazanin"/>
          <w:color w:val="111111"/>
          <w:sz w:val="28"/>
          <w:sz w:val="28"/>
          <w:szCs w:val="28"/>
          <w:rtl w:val="true"/>
          <w:lang w:bidi="fa-IR"/>
        </w:rPr>
        <w:t>وقع الخلل فی نقل هذه المذاهب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حزم فقد قال عنه ابن خلّکان فی وفیاته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الوقوع فی العلماء المتقدّمین، لا یکاد أحد یسلم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العریف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لسان ابن حزم و سیف الحجّاج شقیقَین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لکثرة وقوعه فی الأئمّة، فنفرت منه القلوب، و استهدف فقهاء وقته، فتمالأوا علی بغضه، و ردّوا قوله، و اجتمعوا علی تضلیله، و شنّعوا علیه، وحذّروا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سلاطینهم من فتنته، و نَهَوا عوامّهم من الدنوّ إلیه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64" w:name="pg4793_55584"/>
    </w:p>
    <w:p>
      <w:pPr>
        <w:pStyle w:val="BookText"/>
        <w:rPr/>
      </w:pPr>
      <w:bookmarkEnd w:id="64"/>
      <w:r>
        <w:rPr>
          <w:rFonts w:ascii="IRNazanin" w:hAnsi="IRNazanin" w:eastAsia="IRNazanin"/>
          <w:color w:val="111111"/>
          <w:sz w:val="28"/>
          <w:sz w:val="28"/>
          <w:szCs w:val="28"/>
          <w:rtl w:val="true"/>
          <w:lang w:bidi="fa-IR"/>
        </w:rPr>
        <w:t xml:space="preserve">أمّا الکتّاب المتأخّرون فکنّا نأمل أن یدرسوا الشیعة و نشأتها و فرقها بصورة علمیّة واقعیّة بعیدة عن التعصّب و ما إلیه، و لکنّ الواقع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أمین المصریّ و الدکتور علیّ سامیّ النشّار و غیرهما تجدها تتضمّن افتراءات و أکاذیب حولَ الشیعة أخذوها عن نظریّات بعض المستشرقین</w:t>
      </w:r>
      <w:r>
        <w:rPr>
          <w:rFonts w:eastAsia="IRNazanin" w:cs="IRNazanin"/>
          <w:color w:val="111111"/>
          <w:sz w:val="28"/>
          <w:szCs w:val="28"/>
          <w:rtl w:val="true"/>
          <w:lang w:bidi="fa-IR"/>
        </w:rPr>
        <w:t>.</w:t>
      </w:r>
    </w:p>
    <w:p>
      <w:pPr>
        <w:pStyle w:val="Heading3"/>
        <w:numPr>
          <w:ilvl w:val="2"/>
          <w:numId w:val="1"/>
        </w:numPr>
        <w:rPr/>
      </w:pPr>
      <w:bookmarkStart w:id="65" w:name="__RefHeading___Toc2295187_2035185390"/>
      <w:bookmarkStart w:id="66" w:name="_Toc23"/>
      <w:bookmarkEnd w:id="65"/>
      <w:r>
        <w:rPr>
          <w:rtl w:val="true"/>
        </w:rPr>
        <w:t>الفصل السابع</w:t>
      </w:r>
      <w:r>
        <w:rPr>
          <w:rtl w:val="true"/>
        </w:rPr>
        <w:t xml:space="preserve">: </w:t>
      </w:r>
      <w:r>
        <w:rPr>
          <w:rtl w:val="true"/>
        </w:rPr>
        <w:t>مؤلّف الکتاب</w:t>
      </w:r>
      <w:bookmarkEnd w:id="66"/>
    </w:p>
    <w:p>
      <w:pPr>
        <w:pStyle w:val="Heading4"/>
        <w:numPr>
          <w:ilvl w:val="3"/>
          <w:numId w:val="1"/>
        </w:numPr>
        <w:rPr/>
      </w:pPr>
      <w:bookmarkStart w:id="67" w:name="__RefHeading___Toc2295189_2035185390"/>
      <w:bookmarkStart w:id="68" w:name="_Toc24"/>
      <w:bookmarkEnd w:id="67"/>
      <w:r>
        <w:rPr>
          <w:rtl w:val="true"/>
        </w:rPr>
        <w:t>اسمه و نسبه</w:t>
      </w:r>
      <w:bookmarkEnd w:id="68"/>
    </w:p>
    <w:p>
      <w:pPr>
        <w:pStyle w:val="BookText"/>
        <w:rPr/>
      </w:pPr>
      <w:r>
        <w:rPr>
          <w:rFonts w:ascii="IRNazanin" w:hAnsi="IRNazanin" w:eastAsia="IRNazanin"/>
          <w:color w:val="111111"/>
          <w:sz w:val="28"/>
          <w:sz w:val="28"/>
          <w:szCs w:val="28"/>
          <w:rtl w:val="true"/>
          <w:lang w:bidi="fa-IR"/>
        </w:rPr>
        <w:t>هو میرزا فضل اللّه بن میرزا نصر اللّه بن الحاج میرزا عبد الرحیم بن نصر اللّه بن محمّد بن المولی علیّ الشهید السعید المعروف بشیخ الإسلام الزنجانیّ</w:t>
      </w:r>
      <w:r>
        <w:rPr>
          <w:rFonts w:eastAsia="IRNazanin" w:cs="IRNazanin"/>
          <w:color w:val="111111"/>
          <w:sz w:val="28"/>
          <w:szCs w:val="28"/>
          <w:rtl w:val="true"/>
          <w:lang w:bidi="fa-IR"/>
        </w:rPr>
        <w:t>.</w:t>
      </w:r>
    </w:p>
    <w:p>
      <w:pPr>
        <w:pStyle w:val="Heading4"/>
        <w:numPr>
          <w:ilvl w:val="3"/>
          <w:numId w:val="1"/>
        </w:numPr>
        <w:rPr/>
      </w:pPr>
      <w:bookmarkStart w:id="69" w:name="__RefHeading___Toc2295191_2035185390"/>
      <w:bookmarkStart w:id="70" w:name="_Toc25"/>
      <w:bookmarkEnd w:id="69"/>
      <w:r>
        <w:rPr>
          <w:rtl w:val="true"/>
        </w:rPr>
        <w:t>مولده و وفاته</w:t>
      </w:r>
      <w:bookmarkEnd w:id="70"/>
    </w:p>
    <w:p>
      <w:pPr>
        <w:pStyle w:val="BookText"/>
        <w:rPr/>
      </w:pPr>
      <w:r>
        <w:rPr>
          <w:rFonts w:ascii="IRNazanin" w:hAnsi="IRNazanin" w:eastAsia="IRNazanin"/>
          <w:color w:val="111111"/>
          <w:sz w:val="28"/>
          <w:sz w:val="28"/>
          <w:szCs w:val="28"/>
          <w:rtl w:val="true"/>
          <w:lang w:bidi="fa-IR"/>
        </w:rPr>
        <w:t xml:space="preserve">ولد فی شوّال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بزنجان، و توفّی عن عُمرٍ أربی علی سبعین عاماً بطهران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نُقل جثمانه إلی قمّ، حیث دُفن فی مکان کان یُعرف بمقبرة الشیخ عبد الکریم، قرب الروضة المعصومیّة قبل الجسر، و هی مقبرة مندثرة الیوم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2295193_2035185390"/>
      <w:bookmarkStart w:id="72" w:name="_Toc26"/>
      <w:bookmarkEnd w:id="71"/>
      <w:r>
        <w:rPr>
          <w:rtl w:val="true"/>
        </w:rPr>
        <w:t>أسرته</w:t>
      </w:r>
      <w:bookmarkEnd w:id="72"/>
    </w:p>
    <w:p>
      <w:pPr>
        <w:pStyle w:val="BookText"/>
        <w:rPr/>
      </w:pPr>
      <w:r>
        <w:rPr>
          <w:rFonts w:ascii="IRNazanin" w:hAnsi="IRNazanin" w:eastAsia="IRNazanin"/>
          <w:color w:val="111111"/>
          <w:sz w:val="28"/>
          <w:sz w:val="28"/>
          <w:szCs w:val="28"/>
          <w:rtl w:val="true"/>
          <w:lang w:bidi="fa-IR"/>
        </w:rPr>
        <w:t xml:space="preserve">ظهر فی أسرة المؤلّف علماء أجلاّء من رجالات الفضل و الأدب،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الزنجانیّون، و هم منسوبون إلی جدّهم الأعلی المولی علیّ الشهید ابن محمّد حسین، المقتول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حملة العلم، و له خبرة بالکلام و الحدیث و الفقه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تخرّج علی السیّد قوام الدین القزوینیّ صاحب الصافیة فی نظم الکافیة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المولی خلیل بن غازی القزوینیّ شارح الکافی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آب إلی زنجان ناشراً للأحکام سالکاً نهج الهدایة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هاجم العثمانیّون إیران </w:t>
      </w:r>
    </w:p>
    <w:p>
      <w:pPr>
        <w:pStyle w:val="BookText"/>
        <w:rPr/>
      </w:pPr>
      <w:r>
        <w:rPr>
          <w:rFonts w:ascii="IRNazanin" w:hAnsi="IRNazanin" w:eastAsia="IRNazanin"/>
          <w:color w:val="111111"/>
          <w:sz w:val="28"/>
          <w:sz w:val="28"/>
          <w:szCs w:val="28"/>
          <w:rtl w:val="true"/>
          <w:lang w:bidi="fa-IR"/>
        </w:rPr>
        <w:t>متواطئین مع الروس لتقسیم هذه البلاد هجموا علی مدینة زنجان، فخرج المترجم مع زرافات من أهلها للدفاع عنها، فالتقت الفئتان و احتدم القتال، و انجلت الغبرة عن مصرع</w:t>
      </w:r>
    </w:p>
    <w:p>
      <w:pPr>
        <w:pStyle w:val="BookText"/>
        <w:rPr/>
      </w:pPr>
      <w:r>
        <w:rPr>
          <w:rFonts w:ascii="IRNazanin" w:hAnsi="IRNazanin" w:eastAsia="IRNazanin"/>
          <w:color w:val="111111"/>
          <w:sz w:val="28"/>
          <w:sz w:val="28"/>
          <w:szCs w:val="28"/>
          <w:rtl w:val="true"/>
          <w:lang w:bidi="fa-IR"/>
        </w:rPr>
        <w:t>هذا القائد الکریم ؛ فهو شهید الحمیّة علی الدین و شهید الغیرة علی المسلمین، و شهید</w:t>
      </w:r>
    </w:p>
    <w:p>
      <w:pPr>
        <w:pStyle w:val="BookText"/>
        <w:rPr/>
      </w:pPr>
      <w:r>
        <w:rPr>
          <w:rFonts w:ascii="IRNazanin" w:hAnsi="IRNazanin" w:eastAsia="IRNazanin"/>
          <w:color w:val="111111"/>
          <w:sz w:val="28"/>
          <w:sz w:val="28"/>
          <w:szCs w:val="28"/>
          <w:rtl w:val="true"/>
          <w:lang w:bidi="fa-IR"/>
        </w:rPr>
        <w:t>الوطنیّة و الشهامة، و شهید النبل و الزعامة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آغا بزرگ الطهرانیّ أنّ للمولی علیّ الشهید أرجوزة فی الکلام، و نظم تهذیب المنطق، فرغ من نظمه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نظم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هذه الکتب موجودة لدی أحفاده المعروفین بلقب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أرّخ وفاته أستاذُه المیر قوام</w:t>
      </w:r>
    </w:p>
    <w:p>
      <w:pPr>
        <w:pStyle w:val="BookText"/>
        <w:rPr/>
      </w:pPr>
      <w:r>
        <w:rPr>
          <w:rFonts w:ascii="IRNazanin" w:hAnsi="IRNazanin" w:eastAsia="IRNazanin"/>
          <w:color w:val="111111"/>
          <w:sz w:val="28"/>
          <w:sz w:val="28"/>
          <w:szCs w:val="28"/>
          <w:rtl w:val="true"/>
          <w:lang w:bidi="fa-IR"/>
        </w:rPr>
        <w:t xml:space="preserve">الدین بقوله فی آخر رثائه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شهید کربلا محشور باد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رجال هذا الأسرة المولی محمّد بن علیّ بن محمّد حسین الزنجانیّ</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أفاضل عصره، عالماً بالأصولَین ماهراً فی الفقه و الکلام</w:t>
      </w:r>
    </w:p>
    <w:p>
      <w:pPr>
        <w:pStyle w:val="BookText"/>
        <w:rPr/>
      </w:pPr>
      <w:r>
        <w:rPr>
          <w:rFonts w:ascii="IRNazanin" w:hAnsi="IRNazanin" w:eastAsia="IRNazanin"/>
          <w:color w:val="111111"/>
          <w:sz w:val="28"/>
          <w:sz w:val="28"/>
          <w:szCs w:val="28"/>
          <w:rtl w:val="true"/>
          <w:lang w:bidi="fa-IR"/>
        </w:rPr>
        <w:t>و الرجال ناظماً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تتلمذ علی أساتذة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إذ ذاک مجمعاً للأفاضل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إلی بلده، ثمّ سافر إلی العراق و لقی فیها السیّد محمّد مهدیّ بحر العلوم</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المجاهد الشیخ جعفر کاشف الغطاء </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الشیخ موسی و غیرهم، ثمّ عاد إلی زنجان متقلّداً الزعامة و المرجعیّة حتّی توفّی فی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مصنّفات،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علم الکلام، و شرحُها المسمّی بتحفة الأنام، و رسالة کبیرة فی الإمامة سمّاها بالدلائل، و قد وجد علی ظهر نسخة الأصل بخطّ السیّد بحر العلوم تقریظ له بألفاظ تشعر بمکانة علمیّة عالیة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آغا بزرگ الطهرانیّ أنّ هذه النسخة موجودة فی مکتبة المیرزا فضل اللّه شیخ الإسلام بزنجان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العلاّمة الحاج میرزا لطف اللّه بن نصر اللّه بن محمّد بن المولی علیّ الشهید </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المقام الشامخ فی العلم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زنجان و قرأ المقدّمات هناک و هاجر إلی العراق شابّاً و أقام فی کربلاء فی أخریات أیّام العلاّمة</w:t>
      </w:r>
    </w:p>
    <w:p>
      <w:pPr>
        <w:pStyle w:val="BookText"/>
        <w:rPr/>
      </w:pPr>
      <w:r>
        <w:rPr>
          <w:rFonts w:ascii="IRNazanin" w:hAnsi="IRNazanin" w:eastAsia="IRNazanin"/>
          <w:color w:val="111111"/>
          <w:sz w:val="28"/>
          <w:sz w:val="28"/>
          <w:szCs w:val="28"/>
          <w:rtl w:val="true"/>
          <w:lang w:bidi="fa-IR"/>
        </w:rPr>
        <w:t xml:space="preserve">الکبیر السیّد إبراهیم القزوینیّ المعروف بصاحب الضوابط فی الأصول </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جدّ فی تحصیله حتّی حضر أبحاث الأکابر، ثمّ غادرها من جرّاء القلاقل، فورد قزوین حیث واصل دراسته العلمیّة علی علمائها قریباً من ثلاثة أعوام، ثمّ رجع إلی النجف بلد</w:t>
      </w:r>
    </w:p>
    <w:p>
      <w:pPr>
        <w:pStyle w:val="BookText"/>
        <w:rPr/>
      </w:pPr>
      <w:r>
        <w:rPr>
          <w:rFonts w:ascii="IRNazanin" w:hAnsi="IRNazanin" w:eastAsia="IRNazanin"/>
          <w:color w:val="111111"/>
          <w:sz w:val="28"/>
          <w:sz w:val="28"/>
          <w:szCs w:val="28"/>
          <w:rtl w:val="true"/>
          <w:lang w:bidi="fa-IR"/>
        </w:rPr>
        <w:t xml:space="preserve">الاجتهاد، و أقام فیها سنین، و حضر الأبحاث العالیة، و تتلمذ علی صاحب الجواهر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محمّد بن الشیخ علیّ آل کاشف الغطاء </w:t>
      </w:r>
      <w:r>
        <w:rPr>
          <w:rFonts w:eastAsia="IRNazanin" w:cs="IRNazanin"/>
          <w:color w:val="111111"/>
          <w:sz w:val="28"/>
          <w:szCs w:val="28"/>
          <w:rtl w:val="true"/>
          <w:lang w:bidi="fa-IR"/>
        </w:rPr>
        <w:t xml:space="preserve">( -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أخیه الشیخ مهدیّ </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کتب دروسه الفقهیّة و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وفاة صاحب الجواهر قفل إلی زنجان عالِماً محقّقاً مجتهداً، و صار مرجعاً للتقلید فی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الأمور الحسبیّة، فکانت تُجبی إلیه الحقوق الشرعیّة،</w:t>
      </w:r>
    </w:p>
    <w:p>
      <w:pPr>
        <w:pStyle w:val="BookText"/>
        <w:rPr/>
      </w:pPr>
      <w:r>
        <w:rPr>
          <w:rFonts w:ascii="IRNazanin" w:hAnsi="IRNazanin" w:eastAsia="IRNazanin"/>
          <w:color w:val="111111"/>
          <w:sz w:val="28"/>
          <w:sz w:val="28"/>
          <w:szCs w:val="28"/>
          <w:rtl w:val="true"/>
          <w:lang w:bidi="fa-IR"/>
        </w:rPr>
        <w:t>و أسّس حوزة علمیّة فی زنجان، و کان 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إجازات من أستاذه کاشف الغطاء و من سائر شیوخه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فی الفقه و الأصول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أبو المؤلّف شیخ الإسلام میرزا نصر اللّه بن الحاج میرزا عبد الرحیم بن نصر اللّه بن محمّد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الرؤساء الروحیّین بزنجان، و هو ابن أخی الحاج میرزا لطف اللّه بن نصر اللّه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من هذه الأسرة رجال، غیر أنّ</w:t>
      </w:r>
    </w:p>
    <w:p>
      <w:pPr>
        <w:pStyle w:val="BookText"/>
        <w:rPr/>
      </w:pPr>
      <w:r>
        <w:rPr>
          <w:rFonts w:ascii="IRNazanin" w:hAnsi="IRNazanin" w:eastAsia="IRNazanin"/>
          <w:color w:val="111111"/>
          <w:sz w:val="28"/>
          <w:sz w:val="28"/>
          <w:szCs w:val="28"/>
          <w:rtl w:val="true"/>
          <w:lang w:bidi="fa-IR"/>
        </w:rPr>
        <w:t>أبرزهم رجلان، شیخ الإسلام میرزا فضل اللّه، و شقیقه الأصغر میرزا أبو عبد اللّه‌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أخو المؤلّف الحاج میرزا أبو عبداللّه بن نصر اللّه بن الحاج میرزا عبد الرحیم بن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تلقّی الآلیّات و أوّلیّات الفقه و أصوله فی زنجان، و تخرّج فی الفلسفة و الکلام و الریاضیّات علی العلاّمة میرزا إبراهیم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الفلکیّ الحکیم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فی طهران نبذاً من العلوم، ثمّ یمّم وجهه تلقاء النجف </w:t>
      </w:r>
    </w:p>
    <w:p>
      <w:pPr>
        <w:pStyle w:val="BookText"/>
        <w:rPr/>
      </w:pPr>
      <w:r>
        <w:rPr>
          <w:rFonts w:ascii="IRNazanin" w:hAnsi="IRNazanin" w:eastAsia="IRNazanin"/>
          <w:color w:val="111111"/>
          <w:sz w:val="28"/>
          <w:sz w:val="28"/>
          <w:szCs w:val="28"/>
          <w:rtl w:val="true"/>
          <w:lang w:bidi="fa-IR"/>
        </w:rPr>
        <w:t xml:space="preserve">الأشرف هو و شقیقه الأکبر الشیخ فضل اللّه شیخ الإسلام، و تخرّجا علی السیّد کاظم الیزدیّ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الشریعة الإصفهانیّ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ثمانی سنین رجعا مشفوعَین بالشهادات العلمیّة، و لهما إجازة الحدیث عن السیّد صدر الدین الکاظمیّ و السیّد محمود الآلوسیّ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أوبته إلی زنجان حجّ بیت اللّه الحرام، و زار مدینة الرسول صلی‌الله‌علیه‌و‌آله و ساح فی سوریة و فلسطین و القدس و القاهرة، و اجتمع برجالاتها فی العلم و الأدب، و انتُخب عضواً مُراسِلاً بالمجمع العلمیّ العربیّ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و رسائل تربو علی عشرة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علوم القرآن الاجتماعیّة، کتاب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الفطرة، سرّ انتشار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بقاء النفس للطوسیّ، قاعدة الواحد لا یصدر منه إلاّ واحد، رسالة فی أهل الکتاب، رسالة فی</w:t>
      </w:r>
    </w:p>
    <w:p>
      <w:pPr>
        <w:pStyle w:val="BookText"/>
        <w:rPr/>
      </w:pPr>
      <w:r>
        <w:rPr>
          <w:rFonts w:ascii="IRNazanin" w:hAnsi="IRNazanin" w:eastAsia="IRNazanin"/>
          <w:color w:val="111111"/>
          <w:sz w:val="28"/>
          <w:sz w:val="28"/>
          <w:szCs w:val="28"/>
          <w:rtl w:val="true"/>
          <w:lang w:bidi="fa-IR"/>
        </w:rPr>
        <w:t>فلسفة الحجاب، حیاة الفیلسوف الفارسیّ صدر الدین الشیرازیّ، أصول الفلسفة، ترجمة کتاب الأبطال للفیلسوف الإنجلیزیّ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فی أواخر عمره من زنجان إلی طهران، و اشتغل بتدریس المعقول و المنقول و التفسیر فی مدرسة سپهسالار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دانشکده معقول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إلی زنجان و توفّی بها فی جمادَی الآخرة عام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المؤلّفین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ریحانة الأدب لمیرزا محمّد علیّ المدرّس </w:t>
      </w:r>
      <w:r>
        <w:rPr>
          <w:rFonts w:eastAsia="IRNazanin" w:cs="IRNazanin"/>
          <w:color w:val="111111"/>
          <w:sz w:val="28"/>
          <w:szCs w:val="28"/>
          <w:lang w:bidi="fa-IR"/>
        </w:rPr>
        <w:t>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لمشاهیر علماء زنجان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زنجان علما و دانشمندان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فی هذه الأسرة امرأة فاضلة محسنة، و هی أمّ المؤلّف و حفیدة المجتهد الأکبر فی هذه الأسرة میرزا لطف اللّه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مبرّتها أ نّها کانت تکفل زهاء ثلاثین امرأة مسکینة فی دارها، و تقوم بشؤونهنّ طولَ اللیل و النهار، و تصبر علی أذی بعضهنّ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فضلها أ نّها قالت لولدها میرزا فضل اللّه حین ما کان یبحث مع زمیل له حول موضوع فقهیّ و 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عن الکلام و دعوا الجدال، و علیکم مراجعة کتاب </w:t>
      </w:r>
      <w:bookmarkStart w:id="73" w:name="pg4793_55591"/>
    </w:p>
    <w:p>
      <w:pPr>
        <w:pStyle w:val="BookText"/>
        <w:rPr/>
      </w:pPr>
      <w:bookmarkEnd w:id="73"/>
      <w:r>
        <w:rPr>
          <w:rFonts w:ascii="IRNazanin" w:hAnsi="IRNazanin" w:eastAsia="IRNazanin"/>
          <w:color w:val="111111"/>
          <w:sz w:val="28"/>
          <w:sz w:val="28"/>
          <w:szCs w:val="28"/>
          <w:rtl w:val="true"/>
          <w:lang w:bidi="fa-IR"/>
        </w:rPr>
        <w:t>الإقبال للسیّد ابن طاووس ؛ فإنّ الروایة التی تبحثون عنها موجودة فیه، فکان کما أخبرت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295195_2035185390"/>
      <w:bookmarkStart w:id="75" w:name="_Toc27"/>
      <w:bookmarkEnd w:id="74"/>
      <w:r>
        <w:rPr>
          <w:rtl w:val="true"/>
        </w:rPr>
        <w:t>حیاته العلمیّة</w:t>
      </w:r>
      <w:bookmarkEnd w:id="75"/>
    </w:p>
    <w:p>
      <w:pPr>
        <w:pStyle w:val="BookText"/>
        <w:rPr/>
      </w:pPr>
      <w:r>
        <w:rPr>
          <w:rFonts w:ascii="IRNazanin" w:hAnsi="IRNazanin" w:eastAsia="IRNazanin"/>
          <w:color w:val="111111"/>
          <w:sz w:val="28"/>
          <w:sz w:val="28"/>
          <w:szCs w:val="28"/>
          <w:rtl w:val="true"/>
          <w:lang w:bidi="fa-IR"/>
        </w:rPr>
        <w:t xml:space="preserve">کان سماحة شیخ الإسلام المؤلّف رجلاً مُکبّاً علی الکتاب و المطالعة، و قد هیّأ من خلال شراء المخطوطات أو استنساخها مکتبة نفیسة، صرّح بها صاحب الذریعة فی مواضع من کتابه، و فی موضع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ذکرنا فی الکتاب مکتبة شیخ الإسلام، فالمراد هذه المکتبة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بیته مهبط العلماء و روّاد العلم، منهم العلاّمة الشاعر میرزا محمّد علیّ الأردوبادیّ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زمیل الشیخ الأکبر العلاّمة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الآلیّات و المتون عن مشیخة زنجان، و الفلسفة العالیة عن العلاّمة میرزا عبد المجید الکروسیّ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تلامذة آغا علیّ النوریّ و میرزا أبو الحسن جلوة، و حضر البحث الخارج للعلاّمة میرزا عبد اللّه الزنجانیّ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العلاّمة الآشتیانیّ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إحدی و ثلاثین شدّ رحاله هو و شقیقه</w:t>
      </w:r>
    </w:p>
    <w:p>
      <w:pPr>
        <w:pStyle w:val="BookText"/>
        <w:rPr/>
      </w:pPr>
      <w:r>
        <w:rPr>
          <w:rFonts w:ascii="IRNazanin" w:hAnsi="IRNazanin" w:eastAsia="IRNazanin"/>
          <w:color w:val="111111"/>
          <w:sz w:val="28"/>
          <w:sz w:val="28"/>
          <w:szCs w:val="28"/>
          <w:rtl w:val="true"/>
          <w:lang w:bidi="fa-IR"/>
        </w:rPr>
        <w:t xml:space="preserve">میرزا أبو عبد اللّه إلی النجف الأشرف، فتخرّجا علی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الیزدیّ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الشریعة الإصفهانیّ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ضیاء الدین العراقیّ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المیرزا محمّد تقی الشیرازیّ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تدریسه الخاصّ بکربلاء</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المؤلّف بالکتابة و التألیف منذ کان عمره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استمرّ علی ذلک حتّی آخر </w:t>
      </w:r>
      <w:bookmarkStart w:id="76" w:name="pg4793_55594"/>
    </w:p>
    <w:p>
      <w:pPr>
        <w:pStyle w:val="BookText"/>
        <w:rPr/>
      </w:pPr>
      <w:bookmarkEnd w:id="76"/>
      <w:r>
        <w:rPr>
          <w:rFonts w:ascii="IRNazanin" w:hAnsi="IRNazanin" w:eastAsia="IRNazanin"/>
          <w:color w:val="111111"/>
          <w:sz w:val="28"/>
          <w:sz w:val="28"/>
          <w:szCs w:val="28"/>
          <w:rtl w:val="true"/>
          <w:lang w:bidi="fa-IR"/>
        </w:rPr>
        <w:t>أیّام حیاته، فألّف فی أوان تحصیله فی زنجان عدّة رسائل مستقلّة فی الکلام، و کتب فی</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علی بعض کتب العلماء المتقدّمین</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رجوعه إلی زنجان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مقالات فی تاریخ علم الکلام، و تاریخ التشیّع</w:t>
      </w:r>
      <w:r>
        <w:rPr>
          <w:rStyle w:val="FootnoteAnchor"/>
          <w:rtl w:val="true"/>
        </w:rPr>
        <w:footnoteReference w:id="15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جلیّاً بُعد المؤلّف عن التطرّف فی الفلسفة الصدرائیّة، کما یظهر من بعض آثاره فی الردّ علی الملاّ صدرا فی القول بالقِدم الزمانیّ و الحدوث الذاتیّ، و الردّ علی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عنه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شیخ الإسلام بجمع المخطوطات و نفائسها، و قد انتقل أربع مائة مجلّد منها بعد وفاته إلی مکتبة مجلس الشوری بطهران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295197_2035185390"/>
      <w:bookmarkStart w:id="78" w:name="_Toc28"/>
      <w:bookmarkEnd w:id="77"/>
      <w:r>
        <w:rPr>
          <w:rtl w:val="true"/>
        </w:rPr>
        <w:t>ملامح من سیرته</w:t>
      </w:r>
      <w:bookmarkEnd w:id="78"/>
    </w:p>
    <w:p>
      <w:pPr>
        <w:pStyle w:val="BookText"/>
        <w:rPr/>
      </w:pPr>
      <w:r>
        <w:rPr>
          <w:rFonts w:ascii="IRNazanin" w:hAnsi="IRNazanin" w:eastAsia="IRNazanin"/>
          <w:color w:val="111111"/>
          <w:sz w:val="28"/>
          <w:sz w:val="28"/>
          <w:szCs w:val="28"/>
          <w:rtl w:val="true"/>
          <w:lang w:bidi="fa-IR"/>
        </w:rPr>
        <w:t>کان المؤلّف موصوفاً بشیخ الإسلام أصالةً، بعد ما کان هذا العنوان لقباً لأسرته منذ أجیال، فکان مفتیاً فی بلده و قائماً بمهامّ الحاکم الشرعیّ فی أوائل إقامته بزنجان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أخریّات أیّام عمره صرف وقته فی البحث و مطالعة الکتب علی الرغم ممّا أصاب بصره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أکثر أوقاته صامتاً قلیل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کونه من بیت شرف و ثراء کان زاهداً قانعاً بالخَلَق من الثیاب و الفرش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معتزلاً الأمور العامّة و إقامة الجماعات ؛ کی یتفرّغ للکتابة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مدارسة العلم، فصار ملازماً لمکتبته النفیسة و عاکفاً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ذلک مواظباً للزیارات، فزار قبل إقامته بزنجان مرقد الإمام الرضا علیه‌السلام، و کان أیضاً مداوماً علی قراءة زیارة عاشوراء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79" w:name="pg4793_55596"/>
    </w:p>
    <w:p>
      <w:pPr>
        <w:pStyle w:val="BookText"/>
        <w:rPr/>
      </w:pPr>
      <w:bookmarkEnd w:id="79"/>
      <w:r>
        <w:rPr>
          <w:rFonts w:ascii="IRNazanin" w:hAnsi="IRNazanin" w:eastAsia="IRNazanin"/>
          <w:color w:val="111111"/>
          <w:sz w:val="28"/>
          <w:sz w:val="28"/>
          <w:szCs w:val="28"/>
          <w:rtl w:val="true"/>
          <w:lang w:bidi="fa-IR"/>
        </w:rPr>
        <w:t>و کان من سیرته علاقته الأبویّة بأعضاء أسرته، لا سیّما بأولاد أخیه العلاّمة أبو</w:t>
      </w:r>
    </w:p>
    <w:p>
      <w:pPr>
        <w:pStyle w:val="BookText"/>
        <w:rPr/>
      </w:pPr>
      <w:r>
        <w:rPr>
          <w:rFonts w:ascii="IRNazanin" w:hAnsi="IRNazanin" w:eastAsia="IRNazanin"/>
          <w:color w:val="111111"/>
          <w:sz w:val="28"/>
          <w:sz w:val="28"/>
          <w:szCs w:val="28"/>
          <w:rtl w:val="true"/>
          <w:lang w:bidi="fa-IR"/>
        </w:rPr>
        <w:t>عبد اللّه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ظلّت هذه العلاقة علی قوّتها بعد وفاة هذا الأخ، و لا سیّما العلاقة بابنه الفاضل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صادق ضیائیّ</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کان ینزل علیه فی مدینة طهران کثیراً، و کان هو أنیسه المرافق له فی أخریّات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کان هو أعرف بسیرة</w:t>
      </w:r>
    </w:p>
    <w:p>
      <w:pPr>
        <w:pStyle w:val="BookText"/>
        <w:rPr/>
      </w:pPr>
      <w:r>
        <w:rPr>
          <w:rFonts w:ascii="IRNazanin" w:hAnsi="IRNazanin" w:eastAsia="IRNazanin"/>
          <w:color w:val="111111"/>
          <w:sz w:val="28"/>
          <w:sz w:val="28"/>
          <w:szCs w:val="28"/>
          <w:rtl w:val="true"/>
          <w:lang w:bidi="fa-IR"/>
        </w:rPr>
        <w:t>عمّه من بین سائر أعضاء الأسرة، بحیث کانوا یرجعون إلی آقا صادق ضیائیّ للحصول علی أجوبة الأسئلة التی دُفنت معلوماتها مع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یقول عن عمّه الفقید</w:t>
      </w:r>
    </w:p>
    <w:p>
      <w:pPr>
        <w:pStyle w:val="BookText"/>
        <w:rPr/>
      </w:pPr>
      <w:r>
        <w:rPr>
          <w:rFonts w:ascii="IRNazanin" w:hAnsi="IRNazanin" w:eastAsia="IRNazanin"/>
          <w:color w:val="111111"/>
          <w:sz w:val="28"/>
          <w:sz w:val="28"/>
          <w:szCs w:val="28"/>
          <w:rtl w:val="true"/>
          <w:lang w:bidi="fa-IR"/>
        </w:rPr>
        <w:t>یعتبرونه حجّة لا تقبل النقاش</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فی مجمع البحوث الإسلامیّة فی الآستانة الرضویّة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کتبه ولده الدکتور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أقول من وراء ذکر هذه التفاصیل أنّی لم أستفد من وجود والدی العلاّمة کما کان ینبغی فی سنوات إقامتی فی طهران، و ذلک أنّی کنت أواصل دراستی الثانویّة فی إعدادیّة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حتّی التاسعة عشر من عمری، ثمّ سافرت إلی أوربّا لأواصل دراستی فی إنجلترا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الوقت لبّی والدی الکریم نداء ربّه بطهران یوم العشرین من آذار سنة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فکنت محروماً من معاشرته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عودتی إلی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أذکر أنّ والدی قد جاء إلی طهران لعلاج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أسافر إلی أوربّا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ضیفاً علی أخیه المرحوم المیرزا حبیب اللّه مجد ضیائیّ ممثّل مجلس النوّاب یومئذٍ و کانت العطلة الأسبوعیّة میعادنا، فاغتنمت هذه الفرصة لزیارته، فاستهدیت بتوجیهاته ما یسمح به وقته و ما یناسب سنّی یومئذٍ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295199_2035185390"/>
      <w:bookmarkStart w:id="81" w:name="_Toc29"/>
      <w:bookmarkEnd w:id="80"/>
      <w:r>
        <w:rPr>
          <w:rtl w:val="true"/>
        </w:rPr>
        <w:t>إجازاته</w:t>
      </w:r>
      <w:bookmarkEnd w:id="81"/>
    </w:p>
    <w:p>
      <w:pPr>
        <w:pStyle w:val="BookText"/>
        <w:rPr/>
      </w:pPr>
      <w:r>
        <w:rPr>
          <w:rFonts w:ascii="IRNazanin" w:hAnsi="IRNazanin" w:eastAsia="IRNazanin"/>
          <w:color w:val="111111"/>
          <w:sz w:val="28"/>
          <w:sz w:val="28"/>
          <w:szCs w:val="28"/>
          <w:rtl w:val="true"/>
          <w:lang w:bidi="fa-IR"/>
        </w:rPr>
        <w:t>نال المؤلّف المیرزا فضل اللّه إجازة الروایة و الاجتهاد من عدد من العلماء و مراجع</w:t>
      </w:r>
    </w:p>
    <w:p>
      <w:pPr>
        <w:pStyle w:val="BookText"/>
        <w:rPr/>
      </w:pPr>
      <w:r>
        <w:rPr>
          <w:rFonts w:ascii="IRNazanin" w:hAnsi="IRNazanin" w:eastAsia="IRNazanin"/>
          <w:color w:val="111111"/>
          <w:sz w:val="28"/>
          <w:sz w:val="28"/>
          <w:szCs w:val="28"/>
          <w:rtl w:val="true"/>
          <w:lang w:bidi="fa-IR"/>
        </w:rPr>
        <w:t xml:space="preserve">التقلید، کالسیّد حسن الصدر العاملیّ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محمّد الفیروزآبادیّ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الشریعة الإصفهانیّ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 بعض علماء السنّة کالسیّد محمود شکریّ الآلوسیّ</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نذکر فیما یلی نبذاً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صورة إجازة العلاّمة السیّد حسن صدر الدین الکاظمیّ بتأریخ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أجزتُ المولی الإمام العلاّمة الشیخ فضل اللّه الزنجانیّ شیخ الإسلام</w:t>
      </w:r>
    </w:p>
    <w:p>
      <w:pPr>
        <w:pStyle w:val="BookText"/>
        <w:rPr/>
      </w:pPr>
      <w:r>
        <w:rPr>
          <w:rFonts w:ascii="IRNazanin" w:hAnsi="IRNazanin" w:eastAsia="IRNazanin"/>
          <w:color w:val="111111"/>
          <w:sz w:val="28"/>
          <w:sz w:val="28"/>
          <w:szCs w:val="28"/>
          <w:rtl w:val="true"/>
          <w:lang w:bidi="fa-IR"/>
        </w:rPr>
        <w:t xml:space="preserve">الذی لیس له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عنّی کلّ ما صحّ لی روایته فی العلوم الإسلامیّة، خصوصاً الحدیث و الفقه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أجزت له روایة کلّ مصنّفاتی</w:t>
      </w:r>
    </w:p>
    <w:p>
      <w:pPr>
        <w:pStyle w:val="BookText"/>
        <w:rPr/>
      </w:pPr>
      <w:r>
        <w:rPr>
          <w:rFonts w:ascii="Amiri" w:hAnsi="Amiri" w:eastAsia="Amiri" w:cs="Amiri"/>
          <w:color w:val="111111"/>
          <w:sz w:val="28"/>
          <w:sz w:val="28"/>
          <w:szCs w:val="28"/>
          <w:rtl w:val="true"/>
          <w:lang w:bidi="ar-SA"/>
        </w:rPr>
        <w:t>الثمانین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کیف شاء و أحبّ لمن شاء و أحبّ، علی شروط الروایة</w:t>
      </w:r>
    </w:p>
    <w:p>
      <w:pPr>
        <w:pStyle w:val="BookText"/>
        <w:rPr/>
      </w:pPr>
      <w:r>
        <w:rPr>
          <w:rFonts w:ascii="Amiri" w:hAnsi="Amiri" w:eastAsia="Amiri" w:cs="Amiri"/>
          <w:color w:val="111111"/>
          <w:sz w:val="28"/>
          <w:sz w:val="28"/>
          <w:szCs w:val="28"/>
          <w:rtl w:val="true"/>
          <w:lang w:bidi="ar-SA"/>
        </w:rPr>
        <w:t>عند أهل الدراسة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صورة إجازة السیّد محمود الآلوسیّ أبو المعالی الحسینیّ بتأریخ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فضل الإسناد أظهر من أن یقام علیه دلیل، و لذا تری العلماء قد ضربوا له آباط الإبل و أکباد الجیاد 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أخبرنی مَن أثق به أنّ حضرة العالم</w:t>
      </w:r>
    </w:p>
    <w:p>
      <w:pPr>
        <w:pStyle w:val="BookText"/>
        <w:rPr/>
      </w:pPr>
      <w:r>
        <w:rPr>
          <w:rFonts w:ascii="IRNazanin" w:hAnsi="IRNazanin" w:eastAsia="IRNazanin"/>
          <w:color w:val="111111"/>
          <w:sz w:val="28"/>
          <w:sz w:val="28"/>
          <w:szCs w:val="28"/>
          <w:rtl w:val="true"/>
          <w:lang w:bidi="fa-IR"/>
        </w:rPr>
        <w:t xml:space="preserve">الفاضل و الکامل الواصل حضرة شیخ الإسلام و علم الأعلام الشیخ فضل اللّه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مرتویاً بفیض الفضل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هاجر إلی النجف فی طلب العلوم و تلقّی</w:t>
      </w:r>
    </w:p>
    <w:p>
      <w:pPr>
        <w:pStyle w:val="BookText"/>
        <w:rPr/>
      </w:pPr>
      <w:r>
        <w:rPr>
          <w:rFonts w:ascii="IRNazanin" w:hAnsi="IRNazanin" w:eastAsia="IRNazanin"/>
          <w:color w:val="111111"/>
          <w:sz w:val="28"/>
          <w:sz w:val="28"/>
          <w:szCs w:val="28"/>
          <w:rtl w:val="true"/>
          <w:lang w:bidi="fa-IR"/>
        </w:rPr>
        <w:t>المنطوق منها و المفهوم، و حضر علی الأساتذة و قرأ علی الجهابذة، و صمّم رأیه فی هذه</w:t>
      </w:r>
    </w:p>
    <w:p>
      <w:pPr>
        <w:pStyle w:val="BookText"/>
        <w:rPr/>
      </w:pPr>
      <w:r>
        <w:rPr>
          <w:rFonts w:ascii="IRNazanin" w:hAnsi="IRNazanin" w:eastAsia="IRNazanin"/>
          <w:color w:val="111111"/>
          <w:sz w:val="28"/>
          <w:sz w:val="28"/>
          <w:szCs w:val="28"/>
          <w:rtl w:val="true"/>
          <w:lang w:bidi="fa-IR"/>
        </w:rPr>
        <w:t xml:space="preserve">الأیّام علی العود إلی وطنه، و قد نال من إجازات المشایخ ما تستوجبه مسلّمات فطنه، و أحبّ نیل الإجازة من طرقنا و تلقّی أسانیدنا، و طلب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بفضل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بما تجوز لی روایته و صحّت لدیّ درایته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یقبل الاعتذار و أصرّ علی ما أراد کلّ الإصرار أجزتُه بالعلوم النقلیّة و العقلیّة، و الفنون الفرعیّة و الأصلیّة کما أجازنی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من المجاز أیّده اللّه تعالی أن یدعو لی و لسائر المسلمین بنصرهم علی</w:t>
      </w:r>
    </w:p>
    <w:p>
      <w:pPr>
        <w:pStyle w:val="BookText"/>
        <w:rPr/>
      </w:pPr>
      <w:r>
        <w:rPr>
          <w:rFonts w:ascii="IRNazanin" w:hAnsi="IRNazanin" w:eastAsia="IRNazanin"/>
          <w:color w:val="111111"/>
          <w:sz w:val="28"/>
          <w:sz w:val="28"/>
          <w:szCs w:val="28"/>
          <w:rtl w:val="true"/>
          <w:lang w:bidi="fa-IR"/>
        </w:rPr>
        <w:t>أعداء الدین، لا سیّما فی الأوقات الشریفة و الأماکن المقدّسة المنیفة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المقصد و المرام الدعاء بالعافیة و حسن الختام</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4793_55600"/>
    </w:p>
    <w:p>
      <w:pPr>
        <w:pStyle w:val="Heading4"/>
        <w:numPr>
          <w:ilvl w:val="3"/>
          <w:numId w:val="1"/>
        </w:numPr>
        <w:rPr/>
      </w:pPr>
      <w:bookmarkStart w:id="83" w:name="__RefHeading___Toc2295201_2035185390"/>
      <w:bookmarkStart w:id="84" w:name="_Toc30"/>
      <w:bookmarkEnd w:id="82"/>
      <w:bookmarkEnd w:id="83"/>
      <w:r>
        <w:rPr>
          <w:rtl w:val="true"/>
        </w:rPr>
        <w:t>مؤلّفاته</w:t>
      </w:r>
      <w:bookmarkEnd w:id="84"/>
    </w:p>
    <w:p>
      <w:pPr>
        <w:pStyle w:val="BookText"/>
        <w:rPr/>
      </w:pPr>
      <w:r>
        <w:rPr>
          <w:rFonts w:ascii="IRNazanin" w:hAnsi="IRNazanin" w:eastAsia="IRNazanin"/>
          <w:color w:val="111111"/>
          <w:sz w:val="28"/>
          <w:sz w:val="28"/>
          <w:szCs w:val="28"/>
          <w:rtl w:val="true"/>
          <w:lang w:bidi="fa-IR"/>
        </w:rPr>
        <w:t>للمؤلّف کتب و رسائل فی مختلف المواضیع اکتمل بعضها و لم یکتمل البعض الآخر کما سنشیر إلیه، و لعلّ مؤلّفاته و رسائله العلمیّة المفقودة کانت أکثر ممّا وصل إلی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عثرنا علی أسمائه منها فی مصادر ترجمة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علم الکلام و تاریخه فی الإسلام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تأصّل المهیّات فی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القول بتأصّل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مسألة الکرّ و تحدیده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 روایاتها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الردّ علی قول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البسیط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و ردّ علی الملاّ صدرا فی قوله بالحدوث الذاتیّ مع القِدم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أوائل الشوارق للحکیم اللاهیجیّ، إلی مبحث الوجود الذهنیّ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قسم المنطق من المنظومة للحکیم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 علی رسالة حدوث العالم لصدر الدین الشیرازیّ و نقض بعض مطالبه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الردّ علی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التقریب فی شرح التهذیب لسعد الدین التفتازانیّ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و تعالیق علی کتاب أوائل المقالات للشیخ المفید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الحکمة و أقسامها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منهج المقال للأسترابادیّ و غیرها من الکتب الرجالیّة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تعلیقة علی تعلیقات الوحید البهبهانیّ</w:t>
      </w:r>
      <w:r>
        <w:rPr>
          <w:rFonts w:eastAsia="IRNazanin" w:cs="IRNazanin"/>
          <w:color w:val="111111"/>
          <w:sz w:val="28"/>
          <w:szCs w:val="28"/>
          <w:rtl w:val="true"/>
          <w:lang w:bidi="fa-IR"/>
        </w:rPr>
        <w:t xml:space="preserve">). </w:t>
      </w:r>
      <w:bookmarkStart w:id="85" w:name="pg4793_55601"/>
    </w:p>
    <w:p>
      <w:pPr>
        <w:pStyle w:val="BookText"/>
        <w:rPr/>
      </w:pPr>
      <w:bookmarkEnd w:id="85"/>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علماء زنجان، أو تاریخ زنجان و رجالها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القرن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منظومة الحکیم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الشیعة فی العلوم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التشیّع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تاریخ الشیعة الدینیّ و السیاسیّ و الأدبیّ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الکتاب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مختصرة و مطوّلة و تعالیق غیر مدوّنة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295203_2035185390"/>
      <w:bookmarkStart w:id="87" w:name="_Toc31"/>
      <w:bookmarkEnd w:id="86"/>
      <w:r>
        <w:rPr>
          <w:rtl w:val="true"/>
        </w:rPr>
        <w:t>الکتاب الحاضر</w:t>
      </w:r>
      <w:bookmarkEnd w:id="87"/>
    </w:p>
    <w:p>
      <w:pPr>
        <w:pStyle w:val="BookText"/>
        <w:rPr/>
      </w:pPr>
      <w:r>
        <w:rPr>
          <w:rFonts w:ascii="Amiri" w:hAnsi="Amiri" w:eastAsia="Amiri" w:cs="Amiri"/>
          <w:color w:val="111111"/>
          <w:sz w:val="28"/>
          <w:sz w:val="28"/>
          <w:szCs w:val="28"/>
          <w:rtl w:val="true"/>
          <w:lang w:bidi="ar-SA"/>
        </w:rPr>
        <w:t>بدأ المؤلّف بتألیف هذا الکتاب، لکنّه لم یتمّه و لم یجعل له عنواناً نهائیّاً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یستشفّ</w:t>
      </w:r>
    </w:p>
    <w:p>
      <w:pPr>
        <w:pStyle w:val="BookText"/>
        <w:rPr/>
      </w:pPr>
      <w:r>
        <w:rPr>
          <w:rFonts w:ascii="IRNazanin" w:hAnsi="IRNazanin" w:eastAsia="IRNazanin"/>
          <w:color w:val="111111"/>
          <w:sz w:val="28"/>
          <w:sz w:val="28"/>
          <w:szCs w:val="28"/>
          <w:rtl w:val="true"/>
          <w:lang w:bidi="fa-IR"/>
        </w:rPr>
        <w:t xml:space="preserve">من مقدّمة المؤلّف أنّه کان بباله أن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الشیعة الدینیّ و السیاسیّ و الأدبیّ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یسمّیه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التشیّع فی التاریخ الدینیّ و السیاسیّ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تعرّضوا لمؤلّفات المصنّف صرّحوا بکون هذا المقدار المکتوب بخطّه هو الجزء الأوّل منه، و هو تاریخ التشیّع الدینیّ، و ظلّ سائره مُسَوّدات مشتملة علی</w:t>
      </w:r>
    </w:p>
    <w:p>
      <w:pPr>
        <w:pStyle w:val="BookText"/>
        <w:rPr/>
      </w:pPr>
      <w:r>
        <w:rPr>
          <w:rFonts w:ascii="IRNazanin" w:hAnsi="IRNazanin" w:eastAsia="IRNazanin"/>
          <w:color w:val="111111"/>
          <w:sz w:val="28"/>
          <w:sz w:val="28"/>
          <w:szCs w:val="28"/>
          <w:rtl w:val="true"/>
          <w:lang w:bidi="fa-IR"/>
        </w:rPr>
        <w:t>تاریخ الشیعة السیاسیّ و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 نّه قد 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علم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اهتمامه بالاطّلاع الواسع علی التطوّرات التاریخیّة للفرق الإسلامیّة منذ نشوئها فی صدر الإسلام</w:t>
      </w:r>
    </w:p>
    <w:p>
      <w:pPr>
        <w:pStyle w:val="BookText"/>
        <w:rPr/>
      </w:pPr>
      <w:r>
        <w:rPr>
          <w:rFonts w:ascii="IRNazanin" w:hAnsi="IRNazanin" w:eastAsia="IRNazanin"/>
          <w:color w:val="111111"/>
          <w:sz w:val="28"/>
          <w:sz w:val="28"/>
          <w:szCs w:val="28"/>
          <w:rtl w:val="true"/>
          <w:lang w:bidi="fa-IR"/>
        </w:rPr>
        <w:t>و المجری التاریخیّ لها ، ممّا أتاح لهذا الکتاب أن یضمّ أبحاثاً یکون الاطّلاع علیها مفیداً للباحث عن تاریخ الشیعة و فرقها و آرائها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الاهتمام بمحتویات الکتاب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یدرس الفرق الشیعیّة و آراءها، و یبحث عن متکلّمیها و یمیّز الحقّ من الباطل بینهم، سیساعد القارئ علی کشف واقعیّات التاریخ، و ردّ بعض الشبهات حول تاریخ الشیعة و رجالهم و عقائدهم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تحدّث المؤلّف فی مجموع القسم الأوّل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المبوّب علی أربعة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 فرق الشیعة إجمالاً ثمّ بَحَثها بحثاً تفصیلاً، ثمّ تعرّض لذکر غلاة الشیعة و منشأ الفرق الغالیة و موقف الأئمّة منها، فجعل لهذین العنوانین الباب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 الباب الثالث ببیان عقائد الشیعة الإمامیّة، و ذکر مجموعة ممّا تختلف فیه مع أهل السنّة، و ردّ مقالات نُسبت إلی الشیعة بغیر حقّ ، من الجبر و التشبیه و تحریف</w:t>
      </w:r>
    </w:p>
    <w:p>
      <w:pPr>
        <w:pStyle w:val="BookText"/>
        <w:rPr/>
      </w:pPr>
      <w:r>
        <w:rPr>
          <w:rFonts w:ascii="IRNazanin" w:hAnsi="IRNazanin" w:eastAsia="IRNazanin"/>
          <w:color w:val="111111"/>
          <w:sz w:val="28"/>
          <w:sz w:val="28"/>
          <w:szCs w:val="28"/>
          <w:rtl w:val="true"/>
          <w:lang w:bidi="fa-IR"/>
        </w:rPr>
        <w:t>القرآن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الرابع تحدّث عن مصادر الأحکام عند الشیعة، و أتبعها بذکر أدلّة غیر معتبرة عندهم، من القیاس و الاستحسان و غیرهما، و کان البحث حول الاجتهاد و التقلید عند الشیعة آخر ما ذکره فی القسم الأوّل من الکتاب و جعله خاتمة 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نلخّص محتوی الکتاب کما أشار إلیه فی دیباجته فیما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التشیّع و نشأته، و الإشارة إلی ما جری علی الشیعة من المصاعب و المصائب عبر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الفرق الشیعیّة، ما انقرض منها و ما بقی، و الکلام حول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الفرق الغالیة و سبب نشوئها و إثبات تبرّو الشیعة و أئمّتهم علیهم السلام من الغلاة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عقائد الشیعة الحقّة المستمدّة من الکتاب و السنّة و العقل، ثمّ الکلام حول مسألة الغَیبة و الرجعة و البَداء و غیرها من العقائد التی تختصّ بالشیعة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مقالات نُسبت إلی الشیعة بغیر حقّ، و بیان ردّها، أو تأویلها بوجه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 حول أقاویل نُسبت إلی بعض متکلّمی الشیعة، و 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مصادر الأحکام الشرعیّة عند الشیعة فی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 السنّة و العقل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التعرّض لغیرها من المصادر المتداولة عند أهل السنّة ، من القیاس</w:t>
      </w:r>
    </w:p>
    <w:p>
      <w:pPr>
        <w:pStyle w:val="BookText"/>
        <w:rPr/>
      </w:pPr>
      <w:r>
        <w:rPr>
          <w:rFonts w:ascii="IRNazanin" w:hAnsi="IRNazanin" w:eastAsia="IRNazanin"/>
          <w:color w:val="111111"/>
          <w:sz w:val="28"/>
          <w:sz w:val="28"/>
          <w:szCs w:val="28"/>
          <w:rtl w:val="true"/>
          <w:lang w:bidi="fa-IR"/>
        </w:rPr>
        <w:t>و الاستحسان و الرأی و المصالح المرسلة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هو جدیر بالذکر أنّ للمؤلّف منهجیّة فی البحث لیست بعیدة عن المناهج المعاصرة ، و هی ذکر المسائل و توثیقها بالمصادر المعتبرة بالتصریح بها فی المتن تارة، </w:t>
      </w:r>
      <w:bookmarkStart w:id="88" w:name="pg4793_55606"/>
    </w:p>
    <w:p>
      <w:pPr>
        <w:pStyle w:val="BookText"/>
        <w:rPr/>
      </w:pPr>
      <w:bookmarkEnd w:id="88"/>
      <w:r>
        <w:rPr>
          <w:rFonts w:ascii="IRNazanin" w:hAnsi="IRNazanin" w:eastAsia="IRNazanin"/>
          <w:color w:val="111111"/>
          <w:sz w:val="28"/>
          <w:sz w:val="28"/>
          <w:szCs w:val="28"/>
          <w:rtl w:val="true"/>
          <w:lang w:bidi="fa-IR"/>
        </w:rPr>
        <w:t>و بذکرها فی الهامش تارة أخری، إضافةً إلی کونه رحمه‌الله ذا إحاطة کاملة بسرد المسائل الأساسیّة فی عناوین مبوّبة، و ذکر فروعها فی فصول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للمؤلّف علی سلوکه منهج البحث المعاصر أ نّه وضع فهرساً عامّاً لمسائل الکتاب غیر عناوین الفصول و الأبواب، و خصّ فهرساً آخر بالأعلام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الرغم من ذکر المؤلّف مصادر الأقوال و الأقاویل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ثمّة موارد أخَر لم تسنح للمؤلّف فیها فرصة لذکر المصادر،</w:t>
      </w:r>
    </w:p>
    <w:p>
      <w:pPr>
        <w:pStyle w:val="BookText"/>
        <w:rPr/>
      </w:pPr>
      <w:r>
        <w:rPr>
          <w:rFonts w:ascii="IRNazanin" w:hAnsi="IRNazanin" w:eastAsia="IRNazanin"/>
          <w:color w:val="111111"/>
          <w:sz w:val="28"/>
          <w:sz w:val="28"/>
          <w:szCs w:val="28"/>
          <w:rtl w:val="true"/>
          <w:lang w:bidi="fa-IR"/>
        </w:rPr>
        <w:t>و إنّما اکتفی فیها بذکر أرقام الهوامش بلا إشارة إلی المصادر، لأجل إکمالها فی وقت</w:t>
      </w:r>
    </w:p>
    <w:p>
      <w:pPr>
        <w:pStyle w:val="BookText"/>
        <w:rPr/>
      </w:pP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p>
    <w:p>
      <w:pPr>
        <w:pStyle w:val="Heading2"/>
        <w:numPr>
          <w:ilvl w:val="1"/>
          <w:numId w:val="1"/>
        </w:numPr>
        <w:rPr/>
      </w:pPr>
      <w:bookmarkStart w:id="89" w:name="__RefHeading___Toc2295205_2035185390"/>
      <w:bookmarkStart w:id="90" w:name="_Toc32"/>
      <w:bookmarkEnd w:id="89"/>
      <w:r>
        <w:rPr>
          <w:rtl w:val="true"/>
        </w:rPr>
        <w:t>منهجنا فی تحقیق الکتاب</w:t>
      </w:r>
      <w:bookmarkEnd w:id="90"/>
    </w:p>
    <w:p>
      <w:pPr>
        <w:pStyle w:val="BookText"/>
        <w:rPr/>
      </w:pPr>
      <w:r>
        <w:rPr>
          <w:rFonts w:ascii="IRNazanin" w:hAnsi="IRNazanin" w:eastAsia="IRNazanin"/>
          <w:color w:val="111111"/>
          <w:sz w:val="28"/>
          <w:sz w:val="28"/>
          <w:szCs w:val="28"/>
          <w:rtl w:val="true"/>
          <w:lang w:bidi="fa-IR"/>
        </w:rPr>
        <w:t xml:space="preserve">یتلخّص عملنا فی تحقیق هذا الکتاب بما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استنساخ الکتاب المکتوب بخطّ المؤلّف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بعض الکلمات أو العبارات من الناحیة اللّغویّة و الإنشائیّة، و ترکنا الإشارة إلیها فی مواضعها صوناً لمنزلة المؤلّف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 الآیات و الروایات، و تخریج الأقوال و المقالات من المصادر المعتبرة و المتقدّمة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الرغم من ذکر المؤلّف مصادر الأقوال و الأقاویل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ثمّة موارد عدیدة لم‌تسنخ له فیها فرصة لذکر</w:t>
      </w:r>
    </w:p>
    <w:p>
      <w:pPr>
        <w:pStyle w:val="BookText"/>
        <w:rPr/>
      </w:pPr>
      <w:r>
        <w:rPr>
          <w:rFonts w:ascii="IRNazanin" w:hAnsi="IRNazanin" w:eastAsia="IRNazanin"/>
          <w:color w:val="111111"/>
          <w:sz w:val="28"/>
          <w:sz w:val="28"/>
          <w:szCs w:val="28"/>
          <w:rtl w:val="true"/>
          <w:lang w:bidi="fa-IR"/>
        </w:rPr>
        <w:t>المصادر، و إنّما اکتفی فیها بذکر أرقام الهوامش خالیة عن أیّ شیء، فالتزمنا فی تلک</w:t>
      </w:r>
    </w:p>
    <w:p>
      <w:pPr>
        <w:pStyle w:val="BookText"/>
        <w:rPr/>
      </w:pPr>
      <w:r>
        <w:rPr>
          <w:rFonts w:ascii="IRNazanin" w:hAnsi="IRNazanin" w:eastAsia="IRNazanin"/>
          <w:color w:val="111111"/>
          <w:sz w:val="28"/>
          <w:sz w:val="28"/>
          <w:szCs w:val="28"/>
          <w:rtl w:val="true"/>
          <w:lang w:bidi="fa-IR"/>
        </w:rPr>
        <w:t>الموارد تحقیقها أوّلاً من المصادر التی أشار إلیها المؤلّف رحمه‌الله؛ إمّا فی متن الکتاب أو فی هامشه، و أرد فناها بمصادر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لم نعثر علی ما أشار إلیه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مخطوطه و</w:t>
      </w:r>
    </w:p>
    <w:p>
      <w:pPr>
        <w:pStyle w:val="BookText"/>
        <w:rPr/>
      </w:pPr>
      <w:r>
        <w:rPr>
          <w:rFonts w:ascii="IRNazanin" w:hAnsi="IRNazanin" w:eastAsia="IRNazanin"/>
          <w:color w:val="111111"/>
          <w:sz w:val="28"/>
          <w:sz w:val="28"/>
          <w:szCs w:val="28"/>
          <w:rtl w:val="true"/>
          <w:lang w:bidi="fa-IR"/>
        </w:rPr>
        <w:t xml:space="preserve">مکتوبه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خرّجناه من غیرها، و أشرنا إلی هذا فی مواضعه؛ حفظا لحقّ المؤلّف؛ و وضعنا</w:t>
      </w:r>
    </w:p>
    <w:p>
      <w:pPr>
        <w:pStyle w:val="BookText"/>
        <w:rPr/>
      </w:pPr>
      <w:r>
        <w:rPr>
          <w:rFonts w:ascii="IRNazanin" w:hAnsi="IRNazanin" w:eastAsia="IRNazanin"/>
          <w:color w:val="111111"/>
          <w:sz w:val="28"/>
          <w:sz w:val="28"/>
          <w:szCs w:val="28"/>
          <w:rtl w:val="true"/>
          <w:lang w:bidi="fa-IR"/>
        </w:rPr>
        <w:t>فهرسا خاصّا لمصادر المؤلّف فی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کتابة تعالیق قصیرة و طویلة بما یقتضیه المقام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فهارس فنّیّة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تصدیر الکتاب بمقدّمة مبسوطة للتعریف بالمجری التاریخیّ لأوضاع العرب قبل الإسلام، ثمّ بیان التغییر الذی أحدثه الإسلام، و الحدیث عن موقف الأعداء، و نشوء</w:t>
      </w:r>
    </w:p>
    <w:p>
      <w:pPr>
        <w:pStyle w:val="BookText"/>
        <w:rPr/>
      </w:pPr>
      <w:r>
        <w:rPr>
          <w:rFonts w:ascii="IRNazanin" w:hAnsi="IRNazanin" w:eastAsia="IRNazanin"/>
          <w:color w:val="111111"/>
          <w:sz w:val="28"/>
          <w:sz w:val="28"/>
          <w:szCs w:val="28"/>
          <w:rtl w:val="true"/>
          <w:lang w:bidi="fa-IR"/>
        </w:rPr>
        <w:t>مسائل الکلام من هذا المنطلق، ثمّ القیام بدراسة تحلیلیّة حول الفرق الأساسیّة، و تخصیص الشیعة بدراسة أوسع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وافیة عن المؤلّف و أسرته و حیاته العلمیّة و آثاره و تعریف الکتاب، و ترسیم منهجیّة المؤلّف بصورة مبسّطة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غلام‌علیّ الیعقوبیّ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91" w:name="pg4793_55609"/>
    </w:p>
    <w:p>
      <w:pPr>
        <w:pStyle w:val="BookText"/>
        <w:rPr/>
      </w:pPr>
      <w:bookmarkEnd w:id="9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2" w:name="__RefHeading___Toc2295207_2035185390"/>
      <w:bookmarkStart w:id="93" w:name="_Toc33"/>
      <w:bookmarkEnd w:id="92"/>
      <w:r>
        <w:rPr>
          <w:rtl w:val="true"/>
        </w:rPr>
        <w:t>مقدّمة الکتاب</w:t>
      </w:r>
      <w:bookmarkEnd w:id="93"/>
    </w:p>
    <w:p>
      <w:pPr>
        <w:pStyle w:val="BookText"/>
        <w:rPr/>
      </w:pPr>
      <w:r>
        <w:rPr>
          <w:rFonts w:ascii="IRNazanin" w:hAnsi="IRNazanin" w:eastAsia="IRNazanin"/>
          <w:color w:val="111111"/>
          <w:sz w:val="28"/>
          <w:sz w:val="28"/>
          <w:szCs w:val="28"/>
          <w:rtl w:val="true"/>
          <w:lang w:bidi="fa-IR"/>
        </w:rPr>
        <w:t>الحمد للّه ربّ العالمین، و الصلاة علی سیّد أنبیائه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الشیعة الإمامیّة القائمة بشعار الولاء لأهل بیت النبوّة قد مُنیت، منذ نشوء</w:t>
      </w:r>
    </w:p>
    <w:p>
      <w:pPr>
        <w:pStyle w:val="BookText"/>
        <w:rPr/>
      </w:pPr>
      <w:r>
        <w:rPr>
          <w:rFonts w:ascii="IRNazanin" w:hAnsi="IRNazanin" w:eastAsia="IRNazanin"/>
          <w:color w:val="111111"/>
          <w:sz w:val="28"/>
          <w:sz w:val="28"/>
          <w:szCs w:val="28"/>
          <w:rtl w:val="true"/>
          <w:lang w:bidi="fa-IR"/>
        </w:rPr>
        <w:t>کلمتها و بزوغ فجر طریقتها، بسلسلة حوادث عظیمة و مواقف فی التاریخ خطیرة، مُصادِفةً فی أثناء سیرها موانع جمّة أعاقتها عن القیام بواجب نهضتها، و أسدلت التقیّةُ</w:t>
      </w:r>
    </w:p>
    <w:p>
      <w:pPr>
        <w:pStyle w:val="BookText"/>
        <w:rPr/>
      </w:pPr>
      <w:r>
        <w:rPr>
          <w:rFonts w:ascii="IRNazanin" w:hAnsi="IRNazanin" w:eastAsia="IRNazanin"/>
          <w:color w:val="111111"/>
          <w:sz w:val="28"/>
          <w:sz w:val="28"/>
          <w:szCs w:val="28"/>
          <w:rtl w:val="true"/>
          <w:lang w:bidi="fa-IR"/>
        </w:rPr>
        <w:t>الأستار علی کثیر من شعائرها ، فوقعت تحت حجاب الاختفاء و الاستتار حیث تترقّب عیون السیاسة الساهرة حرکاتها و تترصّدها، حتّی أنّک لا تجد فرقة من الفرق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أصابها ما أصاب هذه الفرقة من الاضطهاد و التشدید و التتبّع و توافق</w:t>
      </w:r>
    </w:p>
    <w:p>
      <w:pPr>
        <w:pStyle w:val="BookText"/>
        <w:rPr/>
      </w:pPr>
      <w:r>
        <w:rPr>
          <w:rFonts w:ascii="IRNazanin" w:hAnsi="IRNazanin" w:eastAsia="IRNazanin"/>
          <w:color w:val="111111"/>
          <w:sz w:val="28"/>
          <w:sz w:val="28"/>
          <w:szCs w:val="28"/>
          <w:rtl w:val="true"/>
          <w:lang w:bidi="fa-IR"/>
        </w:rPr>
        <w:t>المختلفین علی الکید لها و تظافرهم علی مضادّتها و الاعتداء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استمرّت رغم کلّ هذه الوقائع و الحوادث و قاومتها بثبات و استقامة، حافظةً لأصولها و مبادئها بإخلاص و أمانة، حتّی إذا ما أتیح لها من الزمان فرصة، کشفت عن مُحیّاها قناع الاستتار وقشعت عن طریقتها غیوم العوائق، ثمّ عطفت علی خصومها و مناوئیها من دول مسیطرة و حکومات معارضة و ذوی آراء مخالفة فجعلتها تُذعن لسلطانها و أخضعتها لقوّتها بأساس مبادئها القویمة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ما اتّفق من شذوذ فرق مختلفة</w:t>
      </w:r>
    </w:p>
    <w:p>
      <w:pPr>
        <w:pStyle w:val="BookText"/>
        <w:rPr/>
      </w:pPr>
      <w:r>
        <w:rPr>
          <w:rFonts w:ascii="Amiri" w:hAnsi="Amiri" w:eastAsia="Amiri" w:cs="Amiri"/>
          <w:color w:val="111111"/>
          <w:sz w:val="28"/>
          <w:sz w:val="28"/>
          <w:szCs w:val="28"/>
          <w:rtl w:val="true"/>
          <w:lang w:bidi="ar-SA"/>
        </w:rPr>
        <w:t xml:space="preserve">عن طریقتها المثلی و صراطها المستقیم، فالدعوة الأصلیّة منها لم تَزَل باسقة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w:t>
      </w:r>
    </w:p>
    <w:p>
      <w:pPr>
        <w:pStyle w:val="BookText"/>
        <w:rPr/>
      </w:pPr>
      <w:r>
        <w:rPr>
          <w:rFonts w:ascii="Amiri" w:hAnsi="Amiri" w:eastAsia="Amiri" w:cs="Amiri"/>
          <w:color w:val="111111"/>
          <w:sz w:val="28"/>
          <w:sz w:val="28"/>
          <w:szCs w:val="28"/>
          <w:rtl w:val="true"/>
          <w:lang w:bidi="ar-SA"/>
        </w:rPr>
        <w:t>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نبغ فیهم فی مختلف تلک العصور من أئمّة العلم و الأدب و نقّاد السنن و الآثار </w:t>
      </w:r>
    </w:p>
    <w:p>
      <w:pPr>
        <w:pStyle w:val="BookText"/>
        <w:rPr/>
      </w:pPr>
      <w:r>
        <w:rPr>
          <w:rFonts w:ascii="IRNazanin" w:hAnsi="IRNazanin" w:eastAsia="IRNazanin"/>
          <w:color w:val="111111"/>
          <w:sz w:val="28"/>
          <w:sz w:val="28"/>
          <w:szCs w:val="28"/>
          <w:rtl w:val="true"/>
          <w:lang w:bidi="fa-IR"/>
        </w:rPr>
        <w:t>و رجال الحرب و السیاسة و أشخاص الفنّ و الصناعة ما لایحصیه العدّ، و یضیق عن الإحاطة به نطاق البیان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تداولت ذکر عقائد هذه الفرقة و شرح آرائها و تاریخها و حالاتها أیادی أغراض شخصیّة و محاولات التعصّب الدینیّ و العنف المذهبیّ السائد فی العقول و الأفکار أثناء القرون الإسلامیّة المتطاولة، حینما کانت الفِرَق أحزابا و شِیَعا یتناول</w:t>
      </w:r>
    </w:p>
    <w:p>
      <w:pPr>
        <w:pStyle w:val="BookText"/>
        <w:rPr/>
      </w:pPr>
      <w:r>
        <w:rPr>
          <w:rFonts w:ascii="IRNazanin" w:hAnsi="IRNazanin" w:eastAsia="IRNazanin"/>
          <w:color w:val="111111"/>
          <w:sz w:val="28"/>
          <w:sz w:val="28"/>
          <w:szCs w:val="28"/>
          <w:rtl w:val="true"/>
          <w:lang w:bidi="fa-IR"/>
        </w:rPr>
        <w:t>بعضهم بعضا بأنواع التضلیل و التبدیع و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لعبت بها من جهة أخری عوامل السیاسة طبقا لأهوائها و 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تلقّاها بهذه الحالة أشخاص لم یکن لهم فی سَبر الحوادث و تمحیصها و تمییز صحیحها من سقیمها قَدمٌ راسخة، فنقلوا من ذلک کلَّ ما قرع</w:t>
      </w:r>
    </w:p>
    <w:p>
      <w:pPr>
        <w:pStyle w:val="BookText"/>
        <w:rPr/>
      </w:pPr>
      <w:r>
        <w:rPr>
          <w:rFonts w:ascii="IRNazanin" w:hAnsi="IRNazanin" w:eastAsia="IRNazanin"/>
          <w:color w:val="111111"/>
          <w:sz w:val="28"/>
          <w:sz w:val="28"/>
          <w:szCs w:val="28"/>
          <w:rtl w:val="true"/>
          <w:lang w:bidi="fa-IR"/>
        </w:rPr>
        <w:t>مسامعهم بدون تَروٍّ و تدقیق أو نظر و انتقاد صحیح، فوقعت بسبب ذلک أوهام و اشتباهات لغالب متأخّری أرباب السِّیَر و أصحاب التاریخ و مؤلّفی المقالات و الآراء</w:t>
      </w:r>
    </w:p>
    <w:p>
      <w:pPr>
        <w:pStyle w:val="BookText"/>
        <w:rPr/>
      </w:pPr>
      <w:r>
        <w:rPr>
          <w:rFonts w:ascii="IRNazanin" w:hAnsi="IRNazanin" w:eastAsia="IRNazanin"/>
          <w:color w:val="111111"/>
          <w:sz w:val="28"/>
          <w:sz w:val="28"/>
          <w:szCs w:val="28"/>
          <w:rtl w:val="true"/>
          <w:lang w:bidi="fa-IR"/>
        </w:rPr>
        <w:t>علی ما ستطّلع علی شیء منه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حکی العلاّمة المصلح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غریب الاتّفاق أنّ أحمد أمین بعد انتشار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وقوف عدّة من علماء النجف علیه، زار مدینة العلم، و حظی بالتشرّف بأعتاب باب تلک المدینة، فی الوفد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فعاتبناه علی تلک الهفوات عتابا خفیفا و صفحنا عنه صفحا جمیلاً، و أردنا أن نمرّ علیه کراما و نقول له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أقصی ما عنده من الاعتذار عدم الاطّلاع و قلّة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الشیعة و أصولها</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أرَ مَن تصدّی لرأب هذا الصدع و رتق هذا الفتق و کشف الستار عن حقائق حالات هاتیک الفرقة و تمحیص تاریخها تمحیصا خالیا من التأثّر بعوامل العصبیّة و التحزّب للفِرَق علی ما یوجبه البحث العلمیّ و یقتضیه النقد التاریخیّ، فحدانی ذلک إلی </w:t>
      </w:r>
    </w:p>
    <w:p>
      <w:pPr>
        <w:pStyle w:val="BookText"/>
        <w:rPr/>
      </w:pPr>
      <w:r>
        <w:rPr>
          <w:rFonts w:ascii="IRNazanin" w:hAnsi="IRNazanin" w:eastAsia="IRNazanin"/>
          <w:color w:val="111111"/>
          <w:sz w:val="28"/>
          <w:sz w:val="28"/>
          <w:szCs w:val="28"/>
          <w:rtl w:val="true"/>
          <w:lang w:bidi="fa-IR"/>
        </w:rPr>
        <w:t>تألیف مختصر یشتمل علی ذکر مذهب الشیعة و نشأة طریقتهم و أساس عقائدهم</w:t>
      </w:r>
    </w:p>
    <w:p>
      <w:pPr>
        <w:pStyle w:val="BookText"/>
        <w:rPr/>
      </w:pPr>
      <w:r>
        <w:rPr>
          <w:rFonts w:ascii="IRNazanin" w:hAnsi="IRNazanin" w:eastAsia="IRNazanin"/>
          <w:color w:val="111111"/>
          <w:sz w:val="28"/>
          <w:sz w:val="28"/>
          <w:szCs w:val="28"/>
          <w:rtl w:val="true"/>
          <w:lang w:bidi="fa-IR"/>
        </w:rPr>
        <w:t>المطابقة لأصول المبادئ المتلقّاة عن صاحب الدیانة الإسلامیّة علی صادعها الصلاة و السلام، و بیان ما یختصّون به من الآراء، و یتمیّزون بسببه عن سائر الفِرَق من الأقوال، و ذکر ما نسبه إلیهم مخالفوهم من الآراء الفاسدة و الأقاویل الزائغة التی هم منها بُرآء</w:t>
      </w:r>
    </w:p>
    <w:p>
      <w:pPr>
        <w:pStyle w:val="BookText"/>
        <w:rPr/>
      </w:pPr>
      <w:r>
        <w:rPr>
          <w:rFonts w:ascii="IRNazanin" w:hAnsi="IRNazanin" w:eastAsia="IRNazanin"/>
          <w:color w:val="111111"/>
          <w:sz w:val="28"/>
          <w:sz w:val="28"/>
          <w:szCs w:val="28"/>
          <w:rtl w:val="true"/>
          <w:lang w:bidi="fa-IR"/>
        </w:rPr>
        <w:t>و عن الالتزام بها بمعزل، مع ذکر الأغراض و الأسباب التی حملت هؤلاء علی رمی الشیعة بأمثالها و نسبتها إلیهم و التشنیع بها علیهم، مع الإشارة إلی شیء من تاریخها</w:t>
      </w:r>
    </w:p>
    <w:p>
      <w:pPr>
        <w:pStyle w:val="BookText"/>
        <w:rPr/>
      </w:pPr>
      <w:r>
        <w:rPr>
          <w:rFonts w:ascii="IRNazanin" w:hAnsi="IRNazanin" w:eastAsia="IRNazanin"/>
          <w:color w:val="111111"/>
          <w:sz w:val="28"/>
          <w:sz w:val="28"/>
          <w:szCs w:val="28"/>
          <w:rtl w:val="true"/>
          <w:lang w:bidi="fa-IR"/>
        </w:rPr>
        <w:t>السیاسیّ و العلمیّ علی نمط من الإیجاز و الاختصار، خدمة للحقیقة و إظهارا لتلک المبادئ التی حُرّفت کلمتها عن مواضعها، و ما رُوعیت حقّ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بعد أن شرعتُ فی ذلک أن أقسّم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لتسهیل تناول 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القسم الأوّل علی تاریخ العقیدة الشیعیّة الدینیّة و نشوئها و ما اعتَوَرها من الحالات، و تداولها من الآراء و الأفکار، و مَن شذّ عن مقالتها و عن نظام القول فی الإمامة</w:t>
      </w:r>
    </w:p>
    <w:p>
      <w:pPr>
        <w:pStyle w:val="BookText"/>
        <w:rPr/>
      </w:pPr>
      <w:r>
        <w:rPr>
          <w:rFonts w:ascii="IRNazanin" w:hAnsi="IRNazanin" w:eastAsia="IRNazanin"/>
          <w:color w:val="111111"/>
          <w:sz w:val="28"/>
          <w:sz w:val="28"/>
          <w:szCs w:val="28"/>
          <w:rtl w:val="true"/>
          <w:lang w:bidi="fa-IR"/>
        </w:rPr>
        <w:t>من فِرَقها، و مبادئ هؤلاء و علل نشوئها و الأسباب الداعیة لهم إلی ذلک، و تفاصیل مقالات نسبوها إلی الشیعة الإمامیّة، و أقاویل أسندوها إلی جماعة منهم، و إیضاح جلیّة</w:t>
      </w:r>
    </w:p>
    <w:p>
      <w:pPr>
        <w:pStyle w:val="BookText"/>
        <w:rPr/>
      </w:pPr>
      <w:r>
        <w:rPr>
          <w:rFonts w:ascii="IRNazanin" w:hAnsi="IRNazanin" w:eastAsia="IRNazanin"/>
          <w:color w:val="111111"/>
          <w:sz w:val="28"/>
          <w:sz w:val="28"/>
          <w:szCs w:val="28"/>
          <w:rtl w:val="true"/>
          <w:lang w:bidi="fa-IR"/>
        </w:rPr>
        <w:t>الحال فیها، مع الإشارة إلی أصولهم الاعتقادیّة و طریقتهم فی العمل بالأحکام الشرعیّة</w:t>
      </w:r>
    </w:p>
    <w:p>
      <w:pPr>
        <w:pStyle w:val="BookText"/>
        <w:rPr/>
      </w:pPr>
      <w:r>
        <w:rPr>
          <w:rFonts w:ascii="IRNazanin" w:hAnsi="IRNazanin" w:eastAsia="IRNazanin"/>
          <w:color w:val="111111"/>
          <w:sz w:val="28"/>
          <w:sz w:val="28"/>
          <w:szCs w:val="28"/>
          <w:rtl w:val="true"/>
          <w:lang w:bidi="fa-IR"/>
        </w:rPr>
        <w:t>و مدارکها المعتبرة عندهم، و کیفیّة أخذهم للفرعیّات منها و سائر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القسم الثانی بکلّیّات من تاریخها السیاسیّ و الحوادث الواقعة فی أثناء نشأتها، و ما صادفته من الاضطهاد و التشدید من مخالفیها و معارضیها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القسم الثالث مقصورا علی تاریخها العلمیّ و الأدبیّ و آثارها الخالدة فی مختلف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الاعتراف بأنّ القیام بهذه المهمّة، مع خطورتها و أداء واجب الحقّ فی مختلف أبحاثها،ممّا لا تسعه أمثال هذه المختصرات، فإنّ غرضی هو تمهید طریق البحث لأهل البصیرة و الاطّلاع، حتّی تتجلّی نواصع الحقائق من وراء ظلام تلک الشبهات و الأستار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أسدلتها الأغراض المتنوّعة و الأهواء علی معتقدات هذه الفرقة و آرائها المذهبیّة، </w:t>
      </w:r>
    </w:p>
    <w:p>
      <w:pPr>
        <w:pStyle w:val="BookText"/>
        <w:rPr/>
      </w:pPr>
      <w:r>
        <w:rPr>
          <w:rFonts w:ascii="IRNazanin" w:hAnsi="IRNazanin" w:eastAsia="IRNazanin"/>
          <w:color w:val="111111"/>
          <w:sz w:val="28"/>
          <w:sz w:val="28"/>
          <w:szCs w:val="28"/>
          <w:rtl w:val="true"/>
          <w:lang w:bidi="fa-IR"/>
        </w:rPr>
        <w:t>و إظهار ما هم علیه من اتّباع طریق الحقّ و سلوک الطریقة المستقیمة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اللّه استمدّ و أسأل إلهام الحقّ و الصواب، و أشرع فی القسم الأوّل من الکتاب الموضوع لتاریخ العقیدة الشیعیّة و حرکتها المذهبیّة فی ضمن أبواب و فصول</w:t>
      </w:r>
      <w:r>
        <w:rPr>
          <w:rFonts w:eastAsia="IRNazanin" w:cs="IRNazanin"/>
          <w:color w:val="111111"/>
          <w:sz w:val="28"/>
          <w:szCs w:val="28"/>
          <w:rtl w:val="true"/>
          <w:lang w:bidi="fa-IR"/>
        </w:rPr>
        <w:t xml:space="preserve">. </w:t>
      </w:r>
      <w:bookmarkStart w:id="94" w:name="pg4793_55616"/>
    </w:p>
    <w:p>
      <w:pPr>
        <w:pStyle w:val="Heading2"/>
        <w:numPr>
          <w:ilvl w:val="1"/>
          <w:numId w:val="1"/>
        </w:numPr>
        <w:rPr/>
      </w:pPr>
      <w:bookmarkStart w:id="95" w:name="__RefHeading___Toc2295209_2035185390"/>
      <w:bookmarkStart w:id="96" w:name="_Toc34"/>
      <w:bookmarkEnd w:id="94"/>
      <w:bookmarkEnd w:id="95"/>
      <w:r>
        <w:rPr>
          <w:rtl w:val="true"/>
        </w:rPr>
        <w:t>الباب الأوّل</w:t>
      </w:r>
      <w:r>
        <w:rPr>
          <w:rtl w:val="true"/>
        </w:rPr>
        <w:t xml:space="preserve">: </w:t>
      </w:r>
      <w:r>
        <w:rPr>
          <w:rtl w:val="true"/>
        </w:rPr>
        <w:t>الشیعة و فرقها</w:t>
      </w:r>
      <w:bookmarkEnd w:id="96"/>
    </w:p>
    <w:p>
      <w:pPr>
        <w:pStyle w:val="Heading3"/>
        <w:numPr>
          <w:ilvl w:val="2"/>
          <w:numId w:val="1"/>
        </w:numPr>
        <w:rPr/>
      </w:pPr>
      <w:bookmarkStart w:id="97" w:name="__RefHeading___Toc2295211_2035185390"/>
      <w:bookmarkStart w:id="98" w:name="_Toc35"/>
      <w:bookmarkEnd w:id="97"/>
      <w:r>
        <w:rPr>
          <w:rtl w:val="true"/>
        </w:rPr>
        <w:t>اشارة</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bookmarkStart w:id="99" w:name="pg4793_55618"/>
    </w:p>
    <w:p>
      <w:pPr>
        <w:pStyle w:val="Heading3"/>
        <w:numPr>
          <w:ilvl w:val="2"/>
          <w:numId w:val="1"/>
        </w:numPr>
        <w:rPr/>
      </w:pPr>
      <w:bookmarkStart w:id="100" w:name="__RefHeading___Toc2295213_2035185390"/>
      <w:bookmarkStart w:id="101" w:name="_Toc36"/>
      <w:bookmarkEnd w:id="99"/>
      <w:bookmarkEnd w:id="100"/>
      <w:r>
        <w:rPr>
          <w:rtl w:val="true"/>
        </w:rPr>
        <w:t>الفصل الأوّل</w:t>
      </w:r>
      <w:r>
        <w:rPr>
          <w:rtl w:val="true"/>
        </w:rPr>
        <w:t xml:space="preserve">: </w:t>
      </w:r>
      <w:r>
        <w:rPr>
          <w:rtl w:val="true"/>
        </w:rPr>
        <w:t>الشیعة و الإمامیّة فی اللّغة و الاصطلاح</w:t>
      </w:r>
      <w:bookmarkEnd w:id="101"/>
    </w:p>
    <w:p>
      <w:pPr>
        <w:pStyle w:val="BookText"/>
        <w:rPr/>
      </w:pPr>
      <w:r>
        <w:rPr>
          <w:rFonts w:ascii="IRNazanin" w:hAnsi="IRNazanin" w:eastAsia="IRNazanin"/>
          <w:color w:val="111111"/>
          <w:sz w:val="28"/>
          <w:sz w:val="28"/>
          <w:szCs w:val="28"/>
          <w:rtl w:val="true"/>
          <w:lang w:bidi="fa-IR"/>
        </w:rPr>
        <w:t>التشیّع لغة هو الاتّباع و الولاء للمتبوع علی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والمناصرة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و الأعوان و الأولیاء و الأنصار؛ و شواهد ذلک من اللّغة</w:t>
      </w:r>
    </w:p>
    <w:p>
      <w:pPr>
        <w:pStyle w:val="BookText"/>
        <w:rPr/>
      </w:pPr>
      <w:r>
        <w:rPr>
          <w:rFonts w:ascii="IRNazanin" w:hAnsi="IRNazanin" w:eastAsia="IRNazanin"/>
          <w:color w:val="111111"/>
          <w:sz w:val="28"/>
          <w:sz w:val="28"/>
          <w:szCs w:val="28"/>
          <w:rtl w:val="true"/>
          <w:lang w:bidi="fa-IR"/>
        </w:rPr>
        <w:t>کثیرة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الَّذی مِنْ شیعَتِهِ عَلَی الَّذی مِنْ عَدُوِّهِ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ففرّق بینهما بجعل موجب التشیّع لأحدهما هو الولاء، علی ما یقتضیه صریح الذکر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شیعَتِهِ لإَِبْرَاهیمَ</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فقضی له بهذا الاسم لاتّباعه نوحا علیه‌السلامعلی 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نصّ أهل اللّغة علی أنّ کلّ قوم اجتمعوا علی أمرٍ فهُم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قوم یتّبع بعضهم رأی بعض فهم شِیَع</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بحسب الوضع الأصلیّ إلاّ أنّه خرج عن ذلک، فلیس کلّ من حصل له اتّباع غیره موجبا لاستحقاق سمة التشیّع و إطلاق لفظه علیه؛ إذ تخصّصت بأتباع أمیر </w:t>
      </w:r>
    </w:p>
    <w:p>
      <w:pPr>
        <w:pStyle w:val="BookText"/>
        <w:rPr/>
      </w:pPr>
      <w:r>
        <w:rPr>
          <w:rFonts w:ascii="IRNazanin" w:hAnsi="IRNazanin" w:eastAsia="IRNazanin"/>
          <w:color w:val="111111"/>
          <w:sz w:val="28"/>
          <w:sz w:val="28"/>
          <w:szCs w:val="28"/>
          <w:rtl w:val="true"/>
          <w:lang w:bidi="fa-IR"/>
        </w:rPr>
        <w:t>المؤمنین علیّ علیه‌السلامالمعتقدین بإمامته، علی معنی تجیء الإشارة إلیه، حتّی صار ذلک معهودا فی عُرف الکافّة و متعارف إطلاقهم فی المخاطبات، یعرف کلّ منهم مراد مَن یخاطبه فی تعیین هذه الفرقة دون غیرها</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علما لأمّة محمّد صلی‌الله‌علیه‌و‌آله خاصّة، و إن کان موضوعا فی أصل اللّغة لکلّ مستسلم لغیره، لکنّه خرج غیر أمّته صلی‌الله‌علیه‌و‌آله عن استحقاق التسمیة به حین صار علما لهم و تخصّص بهم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الذی یخصّص هذه السمة بأتباع أمیر المؤمنین علیه‌السلام هو قولهم بخلافته و اعتقاد إمامته بلا فصل بعد رسول اللّه صلی‌الله‌علیه‌و‌آله بالنصّ</w:t>
      </w:r>
      <w:r>
        <w:rPr>
          <w:rStyle w:val="FootnoteAnchor"/>
          <w:rtl w:val="true"/>
        </w:rPr>
        <w:footnoteReference w:id="177"/>
      </w:r>
      <w:r>
        <w:rPr>
          <w:rFonts w:ascii="IRNazanin" w:hAnsi="IRNazanin" w:eastAsia="IRNazanin"/>
          <w:color w:val="111111"/>
          <w:sz w:val="28"/>
          <w:sz w:val="28"/>
          <w:szCs w:val="28"/>
          <w:rtl w:val="true"/>
          <w:lang w:bidi="fa-IR"/>
        </w:rPr>
        <w:t>و الوصیّة، و أنّ النبیّ صلی‌الله‌علیه‌و‌آلهعیّنه و قلّده أمر الإمامة و زعامة الأمّة، و أعلمهم ذلک الأمر، و نفی الإمامة بهذا المعنی عمّن تقدّمه، و جعله متبوعا لهم غیر تابع لواحد منهم علی سبیل الاقتداء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فیدخل فی معنی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و الجارودیّة من الشیعة الزیدیّة و کلّ من یشابههما فی القول بذلک، لحصول موجب هذا المعنی فیهم</w:t>
      </w:r>
      <w:r>
        <w:rPr>
          <w:rStyle w:val="FootnoteAnchor"/>
          <w:rtl w:val="true"/>
        </w:rPr>
        <w:footnoteReference w:id="179"/>
      </w:r>
      <w:r>
        <w:rPr>
          <w:rFonts w:ascii="IRNazanin" w:hAnsi="IRNazanin" w:eastAsia="IRNazanin"/>
          <w:color w:val="111111"/>
          <w:sz w:val="28"/>
          <w:sz w:val="28"/>
          <w:szCs w:val="28"/>
          <w:rtl w:val="true"/>
          <w:lang w:bidi="fa-IR"/>
        </w:rPr>
        <w:t>فکلّ من اعتقد منهم ما ذکرناه استحقّ إطلاق لفظة الشیعة علیه، و إن ضمّ إلی ذلک اعتقادات أُخَر لایوافقه علیها</w:t>
      </w:r>
    </w:p>
    <w:p>
      <w:pPr>
        <w:pStyle w:val="BookText"/>
        <w:rPr/>
      </w:pP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بوجوب الإمامة و لزوم وجود الإمام فی کلّ زمان و عصر، و إثبات العصمة له و إیجاب النصّ الجلیّ فیه</w:t>
      </w:r>
      <w:r>
        <w:rPr>
          <w:rStyle w:val="FootnoteAnchor"/>
          <w:rtl w:val="true"/>
        </w:rPr>
        <w:footnoteReference w:id="180"/>
      </w:r>
      <w:r>
        <w:rPr>
          <w:rFonts w:ascii="Amiri" w:hAnsi="Amiri" w:eastAsia="Amiri" w:cs="Amiri"/>
          <w:color w:val="111111"/>
          <w:sz w:val="28"/>
          <w:sz w:val="28"/>
          <w:szCs w:val="28"/>
          <w:rtl w:val="true"/>
          <w:lang w:bidi="ar-SA"/>
        </w:rPr>
        <w:t xml:space="preserve">، ثمّ حصر </w:t>
      </w:r>
    </w:p>
    <w:p>
      <w:pPr>
        <w:pStyle w:val="BookText"/>
        <w:rPr/>
      </w:pPr>
      <w:r>
        <w:rPr>
          <w:rFonts w:ascii="IRNazanin" w:hAnsi="IRNazanin" w:eastAsia="IRNazanin"/>
          <w:color w:val="111111"/>
          <w:sz w:val="28"/>
          <w:sz w:val="28"/>
          <w:szCs w:val="28"/>
          <w:rtl w:val="true"/>
          <w:lang w:bidi="fa-IR"/>
        </w:rPr>
        <w:t>الإمامة فی وُلد الحسین بن علیّ بن أبیطالب بعد الحسن و الحسین علیهم‌السلام، و سوقها بعد الرضا علیّ بن موسی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المنتظر علیه‌السلام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 الإمامیّة أیضا و إن کان عامّا بحسب أصله لمن دان بوجوب الإمامة علی ما ذکرناه، إلاّ أنّه قد انتقل فی العرف الخاصّ مِن العلماء إلی مَن ذکرناه دون سائر مَن اتّفق معهم فی الأصول التی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ذلک أنّه حدث لمن سوی هذه الفرقة الخاصّة من الشیعة ألقاب و أسماء غلبت علیهم فی الاستعمال؛ لأجل أقاویل أحدَثوها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وصف الإمامیّة بهذه الفرقة و صار علما لها، و خرج غیرهم عن استحقاق الاتّسام بسمتها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سیاقة ما أسلفناه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02" w:name="pg4793_55624"/>
    </w:p>
    <w:p>
      <w:pPr>
        <w:pStyle w:val="Heading3"/>
        <w:numPr>
          <w:ilvl w:val="2"/>
          <w:numId w:val="1"/>
        </w:numPr>
        <w:rPr/>
      </w:pPr>
      <w:bookmarkStart w:id="103" w:name="__RefHeading___Toc2295215_2035185390"/>
      <w:bookmarkStart w:id="104" w:name="_Toc37"/>
      <w:bookmarkEnd w:id="102"/>
      <w:bookmarkEnd w:id="103"/>
      <w:r>
        <w:rPr>
          <w:rtl w:val="true"/>
        </w:rPr>
        <w:t>الفصل الثانی</w:t>
      </w:r>
      <w:r>
        <w:rPr>
          <w:rtl w:val="true"/>
        </w:rPr>
        <w:t xml:space="preserve">: </w:t>
      </w:r>
      <w:r>
        <w:rPr>
          <w:rtl w:val="true"/>
        </w:rPr>
        <w:t xml:space="preserve">اختلاف فرق الشیعة </w:t>
      </w:r>
      <w:r>
        <w:rPr>
          <w:rtl w:val="true"/>
        </w:rPr>
        <w:t xml:space="preserve">: </w:t>
      </w:r>
      <w:r>
        <w:rPr>
          <w:rtl w:val="true"/>
        </w:rPr>
        <w:t>علله و أسبابه</w:t>
      </w:r>
      <w:bookmarkEnd w:id="104"/>
    </w:p>
    <w:p>
      <w:pPr>
        <w:pStyle w:val="Heading4"/>
        <w:numPr>
          <w:ilvl w:val="3"/>
          <w:numId w:val="1"/>
        </w:numPr>
        <w:rPr/>
      </w:pPr>
      <w:bookmarkStart w:id="105" w:name="__RefHeading___Toc2295217_2035185390"/>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عرفت أنّ مَن جمع القول بوجوب نصب الإمام و وجوب النصّ علیه و إثبات العصمة له فهو إمامیّ</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افترقت کلمةُ مَن شمله هذا الاسم و استحقّ معناه فی أعیان الأئمّة و فی فروع ترجع إلی ذلک الأصل؛ فقال جمهور الإمامیّة بإمامة الحسن و الحسین علیهماالسلام بعد أمیر المؤمنین، بنصّ منه و من رسول اللّه صلی‌الله‌علیه‌و‌آله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شذّت منهم الفرقة المعروفة بالکَیْسانیّة، فقالوا بإمامة أبی القاسم محمّد بن علیّ بعد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اضطربت أفکار هذه الفرقة بعد موت محمّد المعروف بابن الحنفیّة، فادّعی</w:t>
      </w:r>
    </w:p>
    <w:p>
      <w:pPr>
        <w:pStyle w:val="BookText"/>
        <w:rPr/>
      </w:pPr>
      <w:r>
        <w:rPr>
          <w:rFonts w:ascii="IRNazanin" w:hAnsi="IRNazanin" w:eastAsia="IRNazanin"/>
          <w:color w:val="111111"/>
          <w:sz w:val="28"/>
          <w:sz w:val="28"/>
          <w:szCs w:val="28"/>
          <w:rtl w:val="true"/>
          <w:lang w:bidi="fa-IR"/>
        </w:rPr>
        <w:t>بعضهم حیاته 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عن بعضهم الاعتقاد بموته و حصول الإمامة بعده فی ولده و انتقال الأمر من ولده إلی ولد العبّاس بن عبد المطّلب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عن شُذّاذ منهم القولُ بإمامته بلا فصل بعد أبیه، و أنّ الحسن و الحسین علیهماالسلام کانا داعِیَین إلیه بإذنه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حکیناه بعد القول الأوّل ممّا ألجأ </w:t>
      </w:r>
    </w:p>
    <w:p>
      <w:pPr>
        <w:pStyle w:val="BookText"/>
        <w:rPr/>
      </w:pPr>
      <w:r>
        <w:rPr>
          <w:rFonts w:ascii="IRNazanin" w:hAnsi="IRNazanin" w:eastAsia="IRNazanin"/>
          <w:color w:val="111111"/>
          <w:sz w:val="28"/>
          <w:sz w:val="28"/>
          <w:szCs w:val="28"/>
          <w:rtl w:val="true"/>
          <w:lang w:bidi="fa-IR"/>
        </w:rPr>
        <w:t>القوم إلیه الاضطرار عند الحَیرة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جمهور الإمامیّة بعد الحسین علیه‌السلام بإمامة ابنه سیّد الساجدین علیّ بن الحسین، ثمّ بإمامة الباقر محمّد بن علیّ، و إمامة ابنه الصادق جعفر بن محمّد علیهم‌السلام بعده، إلی أن افترقت کلمتهم بعد وفاة الصادق علیه‌السلام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علی موت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منّی فی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معک فیها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من إخوتک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فرقة منهم بحیاته و أنّه القائم المهدیّ المُبشَّر به فی الأخبار، و یُسمَّون بالناووسیّة؛ لداعیة لهم فی مقالتهم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ناووس من أهل البصرة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الفرقة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بقیّة للناووسیّة، و لم تکن أیضا فی الأصل کثیرة، و لا عُرف منهم رجل مشهور بالعلم، و لا قرئ لهم کتاب، و إنّما هی حکایة إن صحّت فعن عدد یسیر لم یبرز قولهم حتّی اضمحلّ و انتقض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ادّعت فرقة أخری وفاته و نصَّه علی ابنه إسماعیل المتوفّی فی أیّام حیاة أبیه، و أنکرت هذه الفرقة وفاة إسماعیل و ادّعوا علی الصادق علیه‌السلام أنّه غیّب شخصه خوفا علیه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فرقة أخری صحّحت وفاته، غیر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نصّ علی ابنه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فریق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نصّ علی محمّد هو الصادق علیه‌السلام دون إسماعیل</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الفرق الثلاث هم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بإمامة عبد اللّه بن جعفر، و هم الفطحیّة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فرقة أخری بإمامة محمّد بن جعفر، و هو الذی خرج فی زمن المأمون بالحجاز و ادّعی الخلافة، ثمّ عثر علیه و أتی به إلی المأمون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مقیما معه فی خراسان </w:t>
      </w:r>
    </w:p>
    <w:p>
      <w:pPr>
        <w:pStyle w:val="BookText"/>
        <w:rPr/>
      </w:pPr>
      <w:r>
        <w:rPr>
          <w:rFonts w:ascii="Amiri" w:hAnsi="Amiri" w:eastAsia="Amiri" w:cs="Amiri"/>
          <w:color w:val="111111"/>
          <w:sz w:val="28"/>
          <w:sz w:val="28"/>
          <w:szCs w:val="28"/>
          <w:rtl w:val="true"/>
          <w:lang w:bidi="ar-SA"/>
        </w:rPr>
        <w:t>حتّی 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السمطیّة</w:t>
      </w:r>
      <w:r>
        <w:rPr>
          <w:rStyle w:val="FootnoteAnchor"/>
          <w:rtl w:val="true"/>
        </w:rPr>
        <w:footnoteReference w:id="192"/>
      </w:r>
      <w:r>
        <w:rPr>
          <w:rFonts w:ascii="IRNazanin" w:hAnsi="IRNazanin" w:eastAsia="IRNazanin"/>
          <w:color w:val="111111"/>
          <w:sz w:val="28"/>
          <w:sz w:val="28"/>
          <w:szCs w:val="28"/>
          <w:rtl w:val="true"/>
          <w:lang w:bidi="fa-IR"/>
        </w:rPr>
        <w:t>، لرئیس لهم یسمّی بیحیی بن أبی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یلبثوا إلاّ قلیلاً حتّی انقرضوا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جری جمهور الإمامیّة علی القول بإمامة موسی بن جعفر علیهماالسلام، و رجع معظم القائلین بإمامة عبداللّه إلی القول بإمامة موسی بن جعفر علیهماالسلام إلاّ شُذّاذا منهم ظلّوا علی القول بإمامته ثمّ إمامة موسی من بعده، و انقرضوا بعد قلیل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تَزَل الإمامیّة بعد ذلک علی سَنَن القول بالإمامة حتّی قُبض موسی بن جعفر علیهماالسلام، فافترقوا بعد وفاته؛ فقال جمهورهم بإمامة ابنه أبی الحسن الرضا علیه‌السلامو أثبتوا النصّ علیه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جماعة منهم بالوقف علی موسی علیه‌السلام و ادّعوا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فریق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مات و سیُبعَث، و هو القائم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استمرّت الإمامیّة علی القول بنظام الإمامة طول أیّام الرضا علیه‌السلام، فلمّا توفّی و خلّف ابنه محمّدا أبا جعفر، تفرّقوا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دانت بإمامة أبی جعفر علیه‌السلام و نقلت النصّ علیه من أبیه، و هم الجمهور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ارتدّت إلی قول الواقفة، و رجعوا عمّا کانوا علیه من إمامة الرضا علیه‌السلام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فرقة قالت بإمامة أحمد بن موسی، و زعموا أنّ النصّ وقع علیه بعد الرضا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سبب شذوذ هاتین الفرقتین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الحاصلة لهم من جهة صِغَر سنّ أبی جعفر عند مُضیّ أبیه علیهماالسلام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ثبت الإمامیّة القائلون بإمامة أبی جعفر بأسرها علی القول بإمامة ابنه أبی الحسن علیّ بن محمّد علیهماالسلام، فلمّا توفّی قال جمهورهم بإمامة أبی محمّد الحسن بن علیّ، و اتّبعوا الوصیّة علی المنهاج الأوّل، و نقلوا النصّ علیه و أثبتوه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شذّت فرقة أخری قلیلة إلی إمامة محمّد بن علیّ المتوفّی فی أیّام حیاة أبیه، فدفعت هذه الفرقة وفاته، و زعموا أنّه حیّ و أنّ أباه غیَّبه خوفا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شذّت فرقة أخری إلی إمامة جعفر بن علیّ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توفّی الإمام أبو محمّد الحسن بن علیّ علیهماالسلام افترق أصحابه فِرَقا عدیدة</w:t>
      </w:r>
      <w:r>
        <w:rPr>
          <w:rStyle w:val="FootnoteAnchor"/>
          <w:rtl w:val="true"/>
        </w:rPr>
        <w:footnoteReference w:id="200"/>
      </w:r>
      <w:r>
        <w:rPr>
          <w:rFonts w:ascii="IRNazanin" w:hAnsi="IRNazanin" w:eastAsia="IRNazanin"/>
          <w:color w:val="111111"/>
          <w:sz w:val="28"/>
          <w:sz w:val="28"/>
          <w:szCs w:val="28"/>
          <w:rtl w:val="true"/>
          <w:lang w:bidi="fa-IR"/>
        </w:rPr>
        <w:t>، ما لبثت إلاّ یسیرا حتّی اضمحلّت و لم یَبقَ منها إلاّ الإمامیّة، و هم الجمهور من الشیعة</w:t>
      </w:r>
    </w:p>
    <w:p>
      <w:pPr>
        <w:pStyle w:val="BookText"/>
        <w:rPr/>
      </w:pPr>
      <w:r>
        <w:rPr>
          <w:rFonts w:ascii="IRNazanin" w:hAnsi="IRNazanin" w:eastAsia="IRNazanin"/>
          <w:color w:val="111111"/>
          <w:sz w:val="28"/>
          <w:sz w:val="28"/>
          <w:szCs w:val="28"/>
          <w:rtl w:val="true"/>
          <w:lang w:bidi="fa-IR"/>
        </w:rPr>
        <w:t>القائلون بإمامة ابن الحسن المنتظر القائم علیه‌السلام، و أثبتوا ولادته و صحّحوا النصّ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المهدیّ المنتظر و المُبشَّر به و صاحب الغَیبة التی ما زالت الشیعة تتوقّعها من زمن آبائه الأئمّة علیهم‌السلام، لِما کان لدیهم من الأخبار بوقوعها و الدلائل و الأعلام بصحّتها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سبیل الإمامة و منهاجها الواضح الذی لم تزل الشیعة الإمامیّة الصحیحة التشیّع جاریة علیه مِن زمن أمیر المؤمنین و مَن بعده مِن الأئمّة من عترته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اختلاف الشیعة فی أمر الإمامة سردناه علیک علی سیاقة ما أورده المؤلّفون </w:t>
      </w:r>
      <w:bookmarkStart w:id="107" w:name="pg4793_55631"/>
    </w:p>
    <w:p>
      <w:pPr>
        <w:pStyle w:val="BookText"/>
        <w:rPr/>
      </w:pPr>
      <w:bookmarkEnd w:id="107"/>
      <w:r>
        <w:rPr>
          <w:rFonts w:ascii="IRNazanin" w:hAnsi="IRNazanin" w:eastAsia="IRNazanin"/>
          <w:color w:val="111111"/>
          <w:sz w:val="28"/>
          <w:sz w:val="28"/>
          <w:szCs w:val="28"/>
          <w:rtl w:val="true"/>
          <w:lang w:bidi="fa-IR"/>
        </w:rPr>
        <w:t>فی المقالات، لئلاّ یشذّ عن المُطالِع شیء ممّا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فی ما یأتی بعد ذلک جلیّة</w:t>
      </w:r>
    </w:p>
    <w:p>
      <w:pPr>
        <w:pStyle w:val="BookText"/>
        <w:rPr/>
      </w:pPr>
      <w:r>
        <w:rPr>
          <w:rFonts w:ascii="IRNazanin" w:hAnsi="IRNazanin" w:eastAsia="IRNazanin"/>
          <w:color w:val="111111"/>
          <w:sz w:val="28"/>
          <w:sz w:val="28"/>
          <w:szCs w:val="28"/>
          <w:rtl w:val="true"/>
          <w:lang w:bidi="fa-IR"/>
        </w:rPr>
        <w:t>الأمر فی ذلک التفرّق و علل هذا الاختلاف</w:t>
      </w:r>
      <w:r>
        <w:rPr>
          <w:rFonts w:eastAsia="IRNazanin" w:cs="IRNazanin"/>
          <w:color w:val="111111"/>
          <w:sz w:val="28"/>
          <w:szCs w:val="28"/>
          <w:rtl w:val="true"/>
          <w:lang w:bidi="fa-IR"/>
        </w:rPr>
        <w:t>.</w:t>
      </w:r>
    </w:p>
    <w:p>
      <w:pPr>
        <w:pStyle w:val="Heading4"/>
        <w:numPr>
          <w:ilvl w:val="3"/>
          <w:numId w:val="1"/>
        </w:numPr>
        <w:rPr/>
      </w:pPr>
      <w:bookmarkStart w:id="108" w:name="__RefHeading___Toc2295219_2035185390"/>
      <w:bookmarkStart w:id="109" w:name="_Toc39"/>
      <w:bookmarkEnd w:id="108"/>
      <w:r>
        <w:rPr>
          <w:rtl w:val="true"/>
        </w:rPr>
        <w:t>[</w:t>
      </w:r>
      <w:r>
        <w:rPr>
          <w:rtl w:val="true"/>
        </w:rPr>
        <w:t>حذر الأئمّة من النصّ علی اسم الإمام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و ممّا ینبغی أن یُلاحَظ فی جهة هذا الاختلاف و سبب هذا التفرّق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 المعلوم من مذهب الشیعة کما عرفت وجوب النصّ علی شخص الإمام و تعیین عینه، الأمر الذی لایبقی معه محلّ للاختلاف و مجال لذاک التشتّت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أئمّة الشیعة</w:t>
      </w:r>
    </w:p>
    <w:p>
      <w:pPr>
        <w:pStyle w:val="BookText"/>
        <w:rPr/>
      </w:pPr>
      <w:r>
        <w:rPr>
          <w:rFonts w:ascii="IRNazanin" w:hAnsi="IRNazanin" w:eastAsia="IRNazanin"/>
          <w:color w:val="111111"/>
          <w:sz w:val="28"/>
          <w:sz w:val="28"/>
          <w:szCs w:val="28"/>
          <w:rtl w:val="true"/>
          <w:lang w:bidi="fa-IR"/>
        </w:rPr>
        <w:t>علیهم‌السلام لم یکونوا متمکّنین فی غالب الأوقات من تعیین الإمام و التنصیص علیه باسمه و شخصه إلاّ لقلیل ممّن یثقون به، و ذلک لأسباب،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بعضا منهم عاصر دولة بنی أمیّة</w:t>
      </w:r>
    </w:p>
    <w:p>
      <w:pPr>
        <w:pStyle w:val="BookText"/>
        <w:rPr/>
      </w:pPr>
      <w:r>
        <w:rPr>
          <w:rFonts w:ascii="IRNazanin" w:hAnsi="IRNazanin" w:eastAsia="IRNazanin"/>
          <w:color w:val="111111"/>
          <w:sz w:val="28"/>
          <w:sz w:val="28"/>
          <w:szCs w:val="28"/>
          <w:rtl w:val="true"/>
          <w:lang w:bidi="fa-IR"/>
        </w:rPr>
        <w:t>عدوّ بنی هاشم من زمن الجاهلیّة، الآخذین بثارات بدر و أُحد و مُعیدی نزعات الجاهلیّة</w:t>
      </w:r>
    </w:p>
    <w:p>
      <w:pPr>
        <w:pStyle w:val="BookText"/>
        <w:rPr/>
      </w:pPr>
      <w:r>
        <w:rPr>
          <w:rFonts w:ascii="IRNazanin" w:hAnsi="IRNazanin" w:eastAsia="IRNazanin"/>
          <w:color w:val="111111"/>
          <w:sz w:val="28"/>
          <w:sz w:val="28"/>
          <w:szCs w:val="28"/>
          <w:rtl w:val="true"/>
          <w:lang w:bidi="fa-IR"/>
        </w:rPr>
        <w:t>الأولی التی محاها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التاریخ یکشف لمراجعه ما کان من سوء معاملتهم لآل الرسول صلی‌الله‌علیه‌و‌آله؛ فقد ذکروا اسم أمیر المؤمنین علیه‌السلام بسوء علی منابر الإسلام</w:t>
      </w:r>
      <w:r>
        <w:rPr>
          <w:rStyle w:val="FootnoteAnchor"/>
          <w:rtl w:val="true"/>
        </w:rPr>
        <w:footnoteReference w:id="202"/>
      </w:r>
      <w:r>
        <w:rPr>
          <w:rFonts w:ascii="IRNazanin" w:hAnsi="IRNazanin" w:eastAsia="IRNazanin"/>
          <w:color w:val="111111"/>
          <w:sz w:val="28"/>
          <w:sz w:val="28"/>
          <w:szCs w:val="28"/>
          <w:rtl w:val="true"/>
          <w:lang w:bidi="fa-IR"/>
        </w:rPr>
        <w:t>، و منعوا الناس من ذکر مناقبه و اللهج بفضائله و فضائل أهل بیته، و قتلوا الشیعة تحت کلّ حجر و مدر، و أخذوا الناسَ بکلّ ظنّ</w:t>
      </w:r>
    </w:p>
    <w:p>
      <w:pPr>
        <w:pStyle w:val="BookText"/>
        <w:rPr/>
      </w:pPr>
      <w:r>
        <w:rPr>
          <w:rFonts w:ascii="Amiri" w:hAnsi="Amiri" w:eastAsia="Amiri" w:cs="Amiri"/>
          <w:color w:val="111111"/>
          <w:sz w:val="28"/>
          <w:sz w:val="28"/>
          <w:szCs w:val="28"/>
          <w:rtl w:val="true"/>
          <w:lang w:bidi="ar-SA"/>
        </w:rPr>
        <w:t>و شبهة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انقرض ملک بنی أمیّة و قامت علی أنقاضه الدولة الهاشمیّة العبّاسیّة التی لم یکن الشیعة بأحسن حالاً فی أیّامها من زمن الأمویّین، إذ کان قیامها بالدعوة الشیعیّة، و کانت </w:t>
      </w:r>
    </w:p>
    <w:p>
      <w:pPr>
        <w:pStyle w:val="BookText"/>
        <w:rPr/>
      </w:pPr>
      <w:r>
        <w:rPr>
          <w:rFonts w:ascii="IRNazanin" w:hAnsi="IRNazanin" w:eastAsia="IRNazanin"/>
          <w:color w:val="111111"/>
          <w:sz w:val="28"/>
          <w:sz w:val="28"/>
          <w:szCs w:val="28"/>
          <w:rtl w:val="true"/>
          <w:lang w:bidi="fa-IR"/>
        </w:rPr>
        <w:t>الدعوة أوّلاً باسم الرضا من آل محمّد صلی‌الله‌علیه‌و‌آله، فکان أوّل ما یظهره الدعاة فضل أمیر المؤمنین</w:t>
      </w:r>
    </w:p>
    <w:p>
      <w:pPr>
        <w:pStyle w:val="BookText"/>
        <w:rPr/>
      </w:pPr>
      <w:r>
        <w:rPr>
          <w:rFonts w:ascii="IRNazanin" w:hAnsi="IRNazanin" w:eastAsia="IRNazanin"/>
          <w:color w:val="111111"/>
          <w:sz w:val="28"/>
          <w:sz w:val="28"/>
          <w:szCs w:val="28"/>
          <w:rtl w:val="true"/>
          <w:lang w:bidi="fa-IR"/>
        </w:rPr>
        <w:t>علیّ بن أبی طالب و وُلده و ما لحقهم من القتل و الخوف و التشرید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استتبّ</w:t>
      </w:r>
      <w:r>
        <w:rPr>
          <w:rStyle w:val="FootnoteAnchor"/>
          <w:rtl w:val="true"/>
        </w:rPr>
        <w:footnoteReference w:id="204"/>
      </w:r>
      <w:r>
        <w:rPr>
          <w:rFonts w:ascii="IRNazanin" w:hAnsi="IRNazanin" w:eastAsia="IRNazanin"/>
          <w:color w:val="111111"/>
          <w:sz w:val="28"/>
          <w:sz w:val="28"/>
          <w:szCs w:val="28"/>
          <w:rtl w:val="true"/>
          <w:lang w:bidi="fa-IR"/>
        </w:rPr>
        <w:t>لهم الأمر جاهروا بالعداء لآل محمّد صلی‌الله‌علیه‌و‌آله</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إنّ قتیل الطفّ من آل هاشمٍ أذلّ رقابا من قریش فذلّتِ</w:t>
      </w:r>
    </w:p>
    <w:p>
      <w:pPr>
        <w:pStyle w:val="BookText"/>
        <w:rPr/>
      </w:pPr>
      <w:r>
        <w:rPr>
          <w:rFonts w:ascii="IRNazanin" w:hAnsi="IRNazanin" w:eastAsia="IRNazanin"/>
          <w:color w:val="111111"/>
          <w:sz w:val="28"/>
          <w:sz w:val="28"/>
          <w:szCs w:val="28"/>
          <w:rtl w:val="true"/>
          <w:lang w:bidi="fa-IR"/>
        </w:rPr>
        <w:t>و کان من الطبیعیّ عندئذٍ أن تظهر الفکرة الشیعیّة بصورة عملیّة منظّمة، فنری ندم الشیعة علی قعودهم عن مناصرة الحسین علیه‌السلام، فخرجوا و سمَّوا أنفسهم التوّابین، و علی رأسهم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مآلهم أن انهزموا عن جیش ابن زیاد فی وقعة عین الوردة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خروج المختار بن أبی عبیدة الثقفیّ طالبا بدم الحسین علیه‌السلام و معه جماعة سمّاهم شرطة اللّه، و کان داعیة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نری استدعاء الشیعة من بعد ذلک لزید بن علیّ بن الحسین إلی الکوفة أیّام هشام بن عبد الملک، فخرج و معه القرّاء و الفقهاء و الأشراف، فقتله صاحب الکوفة و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بعده ابنه یحیی بالجوزجان من خراسان أیّام الولید بن یزید مُنکِرا للظلم و ما عمّ الناس من الجور، فسیّر إلیه نصرُ بن سیّار سلَمَ بن أحوز، فقتله و صلبه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مصلوبا حتّی خرج أبو مسلم فقتل القاتل و أنزل جثّته و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أهل خراسان النیاحة علی یحیی بن زید سبعة أیّام فی سائر أعمالها فی حال أمنهم علی أنفسهم من سلطان بنی أمیّة، و لم یولد فی تلک السنة بخراسان مولود إلاّ و سمّی بیحیی أو بزید، لِما داخل أهل خراسان من الجزع و الحزن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انقضی ملک الأمویّین و استجمعت دعوة بنی العبّاس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الطبیعیّ أن یرهص المرهصون و یتنبّأ المتنبّئون بمصیر الأمر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بنو فاطمة علیهاالسلام لم یکونوا متّفقین فی الخروج ؛ إذ لا یرون أنّ الأمر صائر إلیهم، کما رفض أبو عبد اللّه جعفر بن محمّد دعوة أبی سلمة حفص بن سلیمان نفس المصدر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و منع الإمام الباقر علیه‌السلامأخاه زیدا من الخروج علی هشام بعد ما شاوره، فأشار علیه الباقر علیه‌السلامبأن لا یرکن إلی أهل الکوفة ؛ فإنّهم أهل غدر و مکر، و أخبره بما کان عنده من العلم فی مدّة مُلک بنی مروان و ما یتعقّبهم من الدولة العبّاسیّة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دعوة العباسیّین فی أوّل الأمر دعوة شیعیّة عامّة یراد منها التغلّب علی الأمویّین و إنقاذ الأمّة من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بثأر بنی علیّ، و کان الدعاة یدعون إلی الرضا من آل محمّد صلی‌الله‌علیه‌و‌آله، و حینما تولّوا الأمر أذاقوا أهل البیت علیه‌السلاممن المحن ما لا یمکن حصره، و کان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جَورَ بنی مروانَ دام لنا و لیت عدلَ بنی العبّاس فی النارِ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کان الرأی العامّ الشیعیّ یؤثر العلویّین و یتولاّهم، کانت الدولة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حفظ مرکزها و تثبیت سلطانها و مخافة رغبة الناس إلی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ترصّد مستمرّ </w:t>
      </w:r>
      <w:bookmarkStart w:id="110" w:name="pg4793_55635"/>
    </w:p>
    <w:p>
      <w:pPr>
        <w:pStyle w:val="BookText"/>
        <w:rPr/>
      </w:pPr>
      <w:bookmarkEnd w:id="110"/>
      <w:r>
        <w:rPr>
          <w:rFonts w:ascii="IRNazanin" w:hAnsi="IRNazanin" w:eastAsia="IRNazanin"/>
          <w:color w:val="111111"/>
          <w:sz w:val="28"/>
          <w:sz w:val="28"/>
          <w:szCs w:val="28"/>
          <w:rtl w:val="true"/>
          <w:lang w:bidi="fa-IR"/>
        </w:rPr>
        <w:t>و تطّلع دائم إلیهم و إلی شیعتهم فکان آل أمیر المؤمنین تحت القصد و الأذی و الترقّب بین</w:t>
      </w:r>
    </w:p>
    <w:p>
      <w:pPr>
        <w:pStyle w:val="BookText"/>
        <w:rPr/>
      </w:pPr>
      <w:r>
        <w:rPr>
          <w:rFonts w:ascii="IRNazanin" w:hAnsi="IRNazanin" w:eastAsia="IRNazanin"/>
          <w:color w:val="111111"/>
          <w:sz w:val="28"/>
          <w:sz w:val="28"/>
          <w:szCs w:val="28"/>
          <w:rtl w:val="true"/>
          <w:lang w:bidi="fa-IR"/>
        </w:rPr>
        <w:t>طرید و شرید و مقتول، و خائف یترقّب، و مفقود لم یُعثَر له علی خبر، کما ستأتی إلیها الإشارة فی محلّ آخر بنوع من البسط، إلاّ فی أزمنة یسیرة و فترات قلیلة ستعرفها مع عللها و أسبابها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بهذه الأمور و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یعثر علیها المراجع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الأئمّة علیهم‌السلام متمکّنین من تعیین الشخص و التنصیص الصریح و رفع الإشکال، مخافةَ الإذاعة و الانتشار و الأخذ برقبة القائم بأمر الإمامة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لبعض الخلفاء فی بعض الأحیان فی المدینة جواسیس ینظرون، علی مَن یقع اتّفاق الشیعة بعد وفاة الإمام حتّی یقبضوا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نراهم مع ذلک لم یهملوا مسألة تعیین الإمام و الخَلَف القائم بأمر الإمامة بالکلّیّة؛ إذ ألقوا إلی الشیعة أصولاً کلّیّة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نعت الإمام و ما یجب أن یکون علیه من الصفات و یتحلّی به من الخلال</w:t>
      </w:r>
      <w:r>
        <w:rPr>
          <w:rStyle w:val="FootnoteAnchor"/>
          <w:rtl w:val="true"/>
        </w:rPr>
        <w:footnoteReference w:id="209"/>
      </w:r>
      <w:r>
        <w:rPr>
          <w:rFonts w:ascii="IRNazanin" w:hAnsi="IRNazanin" w:eastAsia="IRNazanin"/>
          <w:color w:val="111111"/>
          <w:sz w:val="28"/>
          <w:sz w:val="28"/>
          <w:szCs w:val="28"/>
          <w:rtl w:val="true"/>
          <w:lang w:bidi="fa-IR"/>
        </w:rPr>
        <w:t>، فکانوا یعرفون الإمام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یقع التنصیص الصریح إلاّ لأفراد قلائل من خالصی التشیّع ممّن یُرکن إلیه و یُطمئنّ من جانبه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295221_2035185390"/>
      <w:bookmarkStart w:id="112" w:name="_Toc40"/>
      <w:bookmarkEnd w:id="111"/>
      <w:r>
        <w:rPr>
          <w:rtl w:val="true"/>
        </w:rPr>
        <w:t>[</w:t>
      </w:r>
      <w:r>
        <w:rPr>
          <w:rtl w:val="true"/>
        </w:rPr>
        <w:t>منشأ ظهور بعض فرق الشیعة و انقراضها</w:t>
      </w:r>
      <w:r>
        <w:rPr>
          <w:rtl w:val="true"/>
        </w:rPr>
        <w:t>]</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یقع لأجل ذلک اختلاف بین عامّة الشیعة فی تعیین الإمام فی بعض الأحیان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منشؤه فی الغالب من جهة اختلاف الأنظار فی تطبیق الأوصاف الکلّیّة الثابتة للإمام</w:t>
      </w:r>
    </w:p>
    <w:p>
      <w:pPr>
        <w:pStyle w:val="BookText"/>
        <w:rPr/>
      </w:pPr>
      <w:r>
        <w:rPr>
          <w:rFonts w:ascii="IRNazanin" w:hAnsi="IRNazanin" w:eastAsia="IRNazanin"/>
          <w:color w:val="111111"/>
          <w:sz w:val="28"/>
          <w:sz w:val="28"/>
          <w:szCs w:val="28"/>
          <w:rtl w:val="true"/>
          <w:lang w:bidi="fa-IR"/>
        </w:rPr>
        <w:t>بالآثار الصحیحة الثابتة لدیهم و بآراء و اجتهادات تقع لبعضهم فی معانیها، فتظهر فی بدو الأمر بصورة مقالة لفرقة، ثمّ لا تلبث‌یسیرا حتّی ینجلی الأمر و یر تفع الخلاف و یرجع أمرها إلی النظام و الاتّساق، و یذعن الجمهور لإمامة مَن تجتمع فیه خلال الإمامة</w:t>
      </w:r>
    </w:p>
    <w:p>
      <w:pPr>
        <w:pStyle w:val="BookText"/>
        <w:rPr/>
      </w:pPr>
      <w:r>
        <w:rPr>
          <w:rFonts w:ascii="IRNazanin" w:hAnsi="IRNazanin" w:eastAsia="IRNazanin"/>
          <w:color w:val="111111"/>
          <w:sz w:val="28"/>
          <w:sz w:val="28"/>
          <w:szCs w:val="28"/>
          <w:rtl w:val="true"/>
          <w:lang w:bidi="fa-IR"/>
        </w:rPr>
        <w:t>و خصائصها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الاختلافات الناشئة بین الشیعة کانت تنتشر بین الناس و تتناقلها الألسنة و الأفواه و تأخذها المسامع و ینقلها رواة السِّیَر و الأخبار کأنّها مقالة لفرقة ذات شخصیّة فی الخارج، لها أتباع کثیرون و معتقدون منتشرون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المتتبّع فی شتات الآثار و ما ورد فی ذلک من مختلف الأخبار یجد الحقیقة فی أمر تلک الفِرَق المنتسبة إلی الشیعة أنّها کانت مجرّد أراجیف و افتراءات، ربّما کانت إلی أن تصل إلی الروایة أو التدوین فی کتب السِّیَر و الأخبار، و قد انقرض قائلوها و بقیت الحکایة عنها و الإرجاف بها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شیء لم یکن منحصرا بالشیعة و خاصّا بفِرقها، بل نجده سنّة جاریة فی غیرها أیضا، حیث نری فی کتب المقالات الإشارة إلی فِرَق، و ذکر مقالات منسوبة إلیها یظهر بعد التأمّل أنّ أصحابها کانوا من القلّة بمکان، و قد انقرضوا منذ 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بقیت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المقالات و الآراء منسوبة إلیهم کأنّها موجودة باقیة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بالجملة، هذه الفرق المنتمیة إلی التشیّع لم یوجد أغلبها کفرقة خاصّة ذات شخصیّة و نحلة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وجد منها فی زمان، قد انقرض منذ مدّة طویلة تقرب من ألف سنة تقریبا، و لم یَبقَ منها إلاّ الزیدیّة والإسماعیلیّة و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نزیدک تثبیتا فی المقام بنقل تصریحات من نقّاد أهل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المفید محمّد بن محمّد بن النعمان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اختلافات الشیعة بعد الإمام الحادی عشر علی أربعة عشر فِرقة، حاکیا ذلک عن أبی محمّد الحسن بن موسی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هذه الفِرَق التی ذکرناها فِرقة موجودة فی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سنة ثلاث و سبعین و ثلاث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الإمامیّة الاثنا عشریّة القائلة بإمامة ابن الحسن المسمّی باسم رسول اللّه صلی‌الله‌علیه‌و‌آلهالقاطعة علی حیاته و بقائه إلی وقت قیامه بالسیف حسب ما شرحناه فیما تقدّم عنهم، و هم أکثر فرق الشیعة</w:t>
      </w:r>
      <w:r>
        <w:rPr>
          <w:rStyle w:val="FootnoteAnchor"/>
          <w:rtl w:val="true"/>
        </w:rPr>
        <w:footnoteReference w:id="214"/>
      </w:r>
      <w:r>
        <w:rPr>
          <w:rFonts w:ascii="IRNazanin" w:hAnsi="IRNazanin" w:eastAsia="IRNazanin"/>
          <w:color w:val="111111"/>
          <w:sz w:val="28"/>
          <w:sz w:val="28"/>
          <w:szCs w:val="28"/>
          <w:rtl w:val="true"/>
          <w:lang w:bidi="fa-IR"/>
        </w:rPr>
        <w:t>عددا و علماء، فیهم متکلّمون و نظّار و صالحون و عبّاد و متفقّهة و أصحاب حدیث و أدباء و شعراء، و هم وجه الإمامیّة و رؤساء جماعتهم، و المعتمد علیهم فی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سواهم منقرضون لا نعلم أحدا ممّا قدّمنا ذکرها ظاهرا بمقالة، و لا موجودا</w:t>
      </w:r>
    </w:p>
    <w:p>
      <w:pPr>
        <w:pStyle w:val="BookText"/>
        <w:rPr/>
      </w:pPr>
      <w:r>
        <w:rPr>
          <w:rFonts w:ascii="IRNazanin" w:hAnsi="IRNazanin" w:eastAsia="IRNazanin"/>
          <w:color w:val="111111"/>
          <w:sz w:val="28"/>
          <w:sz w:val="28"/>
          <w:szCs w:val="28"/>
          <w:rtl w:val="true"/>
          <w:lang w:bidi="fa-IR"/>
        </w:rPr>
        <w:t>علی الوصف من دیانته، و إنّما الحاصل منهم حکایة عمّن سلف، و أراجیف بوجود قوم منهم لا تثبت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المرتضی فی ضمن کلام له فی سقوط خلاف الفِرَق الشاذّة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مَن ذُکر من الفرق قد سقط خلافه بعدم عینه و خلوّ الزمان من قائل بمذهبه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الکیسانیّة فما رأینا قطّ منهم أحدا، و لا عین لهذا القول و لا أثر، و کذلک 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الواقفة فقد رأینا منهم نفرا شُذّاذا جهّالاً لایعدّ مثلهم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انتهی الأمر فی زماننا هذا إلی الفقد الکلّیّ حتّی لایوجد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اثنین أو ثلاثة علی صفةٍ من قلّة الفطنة یقطع بها فی الخروج عن التکلیف فضلاً أن یجعل قولهم خلافا یعارض به </w:t>
      </w:r>
    </w:p>
    <w:p>
      <w:pPr>
        <w:pStyle w:val="BookText"/>
        <w:rPr/>
      </w:pPr>
      <w:r>
        <w:rPr>
          <w:rFonts w:ascii="IRNazanin" w:hAnsi="IRNazanin" w:eastAsia="IRNazanin"/>
          <w:color w:val="111111"/>
          <w:sz w:val="28"/>
          <w:sz w:val="28"/>
          <w:szCs w:val="28"/>
          <w:rtl w:val="true"/>
          <w:lang w:bidi="fa-IR"/>
        </w:rPr>
        <w:t>الإمامیّة الذین طبّقوا البرّ و البحر و السهل و الجبل فی أقطار الأرض و 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w:t>
      </w:r>
    </w:p>
    <w:p>
      <w:pPr>
        <w:pStyle w:val="BookText"/>
        <w:rPr/>
      </w:pPr>
      <w:r>
        <w:rPr>
          <w:rFonts w:ascii="IRNazanin" w:hAnsi="IRNazanin" w:eastAsia="IRNazanin"/>
          <w:color w:val="111111"/>
          <w:sz w:val="28"/>
          <w:sz w:val="28"/>
          <w:szCs w:val="28"/>
          <w:rtl w:val="true"/>
          <w:lang w:bidi="fa-IR"/>
        </w:rPr>
        <w:t>فیهم من العلماء و المصنّفین الألوف الکثیرة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الشیخ أبو جعفر الطوسیّ فی مواضع کثیرة من کتبه بانقراض الفرق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أقاویل تلک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کلّها انقرضت بحمد اللّه</w:t>
      </w:r>
    </w:p>
    <w:p>
      <w:pPr>
        <w:pStyle w:val="BookText"/>
        <w:rPr/>
      </w:pPr>
      <w:r>
        <w:rPr>
          <w:rFonts w:ascii="IRNazanin" w:hAnsi="IRNazanin" w:eastAsia="IRNazanin"/>
          <w:color w:val="111111"/>
          <w:sz w:val="28"/>
          <w:sz w:val="28"/>
          <w:szCs w:val="28"/>
          <w:rtl w:val="true"/>
          <w:lang w:bidi="fa-IR"/>
        </w:rPr>
        <w:t>تعالی، و لم یَبقَ قائل یقول بقولها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نصّ فی ضمن مقال له علی أ نّه لم‌تحدث فرقة أخری بعد مقالة الوقف بخلافٍ حادث إلی أیّام الإمام الحسن بن علیّ علیهماالسلام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المحقّق نصیر الدین الطوسیّ فی تعلیق له علی کلام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نقل هذه الحکایات عن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اختلافات رویت عن الشیعة القائلین بإمامة علیّ علیه‌السلام،و أکثرها ممّا لم یوجد له أثر غیر المکتوب فی کتب غیر معتمد علیها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القدر کفایة ممّا أردنا بیانه، و من أراد الاستزادة فلیراجع کتب الشیخ الطوسیّ و العلاّمة الحلّیّ و ابن حزم الظاهریّ و غیرهم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یظهر أنّ الکیسانیّة کانت قد انقرضت بالکلّیّة أثناء المائة الثالثة أو قبل ذلک، إذ لم نعثر بما یستظهر منه وجود قائل بتلک المقالة بعد الزمن الذی ذکرناه، حتّی أنّ الدعوة العبّاسیّة المتحدّرة من الدعوة الکیسانیّة قد ألجأتها عوامل السیاسة و ضرورة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إلی رفع الید عن الانتساب إلیها و نبذ فکرة التشیّع لها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13" w:name="pg4793_55643"/>
    </w:p>
    <w:p>
      <w:pPr>
        <w:pStyle w:val="BookText"/>
        <w:rPr/>
      </w:pPr>
      <w:bookmarkEnd w:id="113"/>
      <w:r>
        <w:rPr>
          <w:rFonts w:ascii="IRNazanin" w:hAnsi="IRNazanin" w:eastAsia="IRNazanin"/>
          <w:color w:val="111111"/>
          <w:sz w:val="28"/>
          <w:sz w:val="28"/>
          <w:szCs w:val="28"/>
          <w:rtl w:val="true"/>
          <w:lang w:bidi="fa-IR"/>
        </w:rPr>
        <w:t>أمّا مقالة الناووسیّة و الفطحیّة فلم یکن بین مبتدئها و منتهاها زمان یُعتدّ به، و قد</w:t>
      </w:r>
    </w:p>
    <w:p>
      <w:pPr>
        <w:pStyle w:val="BookText"/>
        <w:rPr/>
      </w:pPr>
      <w:r>
        <w:rPr>
          <w:rFonts w:ascii="IRNazanin" w:hAnsi="IRNazanin" w:eastAsia="IRNazanin"/>
          <w:color w:val="111111"/>
          <w:sz w:val="28"/>
          <w:sz w:val="28"/>
          <w:szCs w:val="28"/>
          <w:rtl w:val="true"/>
          <w:lang w:bidi="fa-IR"/>
        </w:rPr>
        <w:t>انقرضتا بعد مدّة یسیرة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الواقفة علی الإمام موسی بن جعفر علیهماالسلام کانوا منقرضین فی أوائل المائة الرابعة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یَبقَ من فرق الشیعة إلاّ الزیدیّة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الإسماعیلیّة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الإمامیّة الاثنا عشریّة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295223_2035185390"/>
      <w:bookmarkStart w:id="115" w:name="_Toc41"/>
      <w:bookmarkEnd w:id="114"/>
      <w:r>
        <w:rPr>
          <w:rtl w:val="true"/>
        </w:rPr>
        <w:t>[</w:t>
      </w:r>
      <w:r>
        <w:rPr>
          <w:rtl w:val="true"/>
        </w:rPr>
        <w:t>إلماح إلی دعوات شیعیّة غیر إمامیّة</w:t>
      </w:r>
      <w:r>
        <w:rPr>
          <w:rtl w:val="true"/>
        </w:rPr>
        <w:t>]</w:t>
      </w:r>
      <w:bookmarkEnd w:id="115"/>
    </w:p>
    <w:p>
      <w:pPr>
        <w:pStyle w:val="Heading4"/>
        <w:numPr>
          <w:ilvl w:val="3"/>
          <w:numId w:val="1"/>
        </w:numPr>
        <w:rPr/>
      </w:pPr>
      <w:bookmarkStart w:id="116" w:name="__RefHeading___Toc2295225_2035185390"/>
      <w:bookmarkStart w:id="117" w:name="_Toc42"/>
      <w:bookmarkEnd w:id="116"/>
      <w:r>
        <w:rPr>
          <w:rtl w:val="true"/>
        </w:rPr>
        <w:t>أمّا الإسماعیلیّة</w:t>
      </w:r>
      <w:bookmarkEnd w:id="117"/>
    </w:p>
    <w:p>
      <w:pPr>
        <w:pStyle w:val="BookText"/>
        <w:rPr/>
      </w:pPr>
      <w:r>
        <w:rPr>
          <w:rFonts w:ascii="IRNazanin" w:hAnsi="IRNazanin" w:eastAsia="IRNazanin"/>
          <w:color w:val="111111"/>
          <w:sz w:val="28"/>
          <w:sz w:val="28"/>
          <w:szCs w:val="28"/>
          <w:rtl w:val="true"/>
          <w:lang w:bidi="fa-IR"/>
        </w:rPr>
        <w:t>فاتّصال دعوتهم بالدعوة الباطنیّة و مزج بعض أقاویلها بأقوال الفلاسفة و الملاحدة، قد جعل لها صبغة خاصّة أخرجتها عن عداد الفرق المنتمیة إلی التشیّع فی ألسنة أهل التصنیف فی المقالات</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قال برنارد لویس و هو أستاذ جامعة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البحث و التحقیق حول الإسماعیلیّة و تاریخهم صعوبة شدیدة لأجل أمور، منها أنّ المنابع المتقدّمة فی تاریخهم کانت لمخالفیهم، و هی مملوءة بالنواقص و الغفلات و العصبیّات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الذنب کلّه علی عاتق هؤلاء المؤلّفین المخالفین لهم، إذ میزة هذه الفرقة السرّیّة الشبیهة بالماسونیّة أغلقت سبیل البحث علی المؤرّخین و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لجماعة من الفضلاء، ترجمة یعقوب آژند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أقدم مَن کتب عنهم هو الطبریّ الذی ینقل إلینا شذورا من عقائد إحدی الفرق و هی القرامطة عن کتاب للحنفیّة، جاء فیه أنّ عدد الصلوات الیومیّة أربع رکعات، و فیه أنّ الصوم فی السنة یومان، و القبلة إلی بیت المقدس و الحجّ إلیه، و أنّ الخمر حلال و لا غسل من جنابة إلی آخر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الطبریّ ذُکرت بعض أخبار القرامطة فی صلة تاریخ الطبریّ لعریب بن سعد القرطبیّ حول السنوات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 فیها تفصیل قتال وقع بین أصحاب القرمطیّ و هم ثلاثة آلاف فارس و بین أصحاب السلطان، إلی أن انتهت الحرب بانهزام أصحاب القرمطیّ و قتله و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نقلاً عن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الإسلام بین طائفتین، بین الباطنیّة و الظاهریّة؛ فأمّا أهل البواطن فإنّهم عطّلوا ظواهر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فی الشرع شیء إلاّ و قد وضعوا وراءه معنی، حتّی أسقطوا إیجاب الواجب و النهی عن 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أهل الظاهر فإنّهم أخذوا بکلّ 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بدّ من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الأسماء و الصفات علی ما عقلوه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ابن الجوزیّ للإسماعیلیّة ثمانیة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الباطنیّة و الإسماعیلیّة و السَّبْعیّة و البابکیّة و المُحمّرة و القرامطة و الخُرّمیّة و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لکلّ منها وجها لأجل تلقیبهم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الکلام علی الباطنیّة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الباطنیّة قوم تستّروا بالإسلام و مالوا إلی الرفض، و عقائدهم و أعمالهم تباین الإسلام بالمرّة، فمحصول قولهم تعطیل الصانع و إبطال النبوّة و العبادات و إنکار البعث، و لکنّهم لایظهرون هذا فی أوّل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تلبیس إبلیس لعبد الرحمن بن علیّ بن الجوزیّ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فیهم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مذهبهم أنّ اللّه تعالی أبدع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معنی یعبّر عنه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عالم الباطن و هو عالم الأمر، و عالم الغیب و هو مشتمل علی العقول و النفوس و الأرواح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هو مظهر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 العقل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الأوّل، و النبیّ مظهر النفس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الحاکم فی عالَم الباطن، و لایصیر غیره عالِما باللّه تعالی إلاّ بتعلیمه إیّاه، و لذلک یسمّونهم بالتعلیمیّین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هو الحاکم فی عالم الظاهر و لاتتمّ الشریعة التی یحتاج إلیها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تنزیل و تأویل، ظاهرها التنزیل و باطنها،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تزال طریقتهم التألیف بین أقوال الحکماء و أقوال أهل الشرائع فیما یمکن أن یؤلّف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تعیین أئمّة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عهد رسول اللّه صلی‌الله‌علیه‌و‌آله کان علیّا، و بعده کان ابنه الحسن علیه‌السلامإماما مستودعا، و بعده الحسین علیه‌السلام إماما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تذهب الإمامة فی ذرّیّة الحسن علیه‌السلام، ثمّ نزلت الإمامة فی ذرّیّة الحسین إلی علیّ ابنه ثمّ إلی محمّد ابنه، ثمّ إلی جعفر ابنه، ثمّ إلی إسماعیل ابنه و هو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سمّوهم أیضا بالسَّبْعیّة، لوقوفهم علی السبعة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فی عهد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استتار الأئمّة، و ظهور دعاتهم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المهدیّ ببلاد المغرب و ادّعی أنّه من أولاد إسماعیل و اتّصل أولاده ابن بعد ابن، إلی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بعده فقال بعضهم بإمامة نزار ابنه، و بعضهم بإمامة المستعلی ابنه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الفوائد للحسن بن یوسف العلاّمة الحلّیّ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الدکتور سامی النشّار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رسائل إخوان الصفا هی إسماعیلیّة، سواء وضعها الإمام أحمد نفسه أم وضعها أتباعه؛ تسودها الاصطلاحات الإسماعیلیّة و تنتشر فیها الآراء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الإسماعیلیّة بوضع هذه الرسائل أن تثبت معرفة الأئمّة بعلوم باطنیّة لایعرفها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من محاولة هذه الرسائل، الإلمام بجمیع نواحی الفلسفة الغنوصیّة مع أفلاطونیّة محدثة و فیثاغورثیّة مختلطة مع العقائد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الفکر الفلسفیّ فی الإسلام </w:t>
      </w:r>
      <w:r>
        <w:rPr>
          <w:rFonts w:eastAsia="IRNazanin" w:cs="IRNazanin"/>
          <w:color w:val="111111"/>
          <w:sz w:val="28"/>
          <w:szCs w:val="28"/>
          <w:lang w:bidi="fa-IR"/>
        </w:rPr>
        <w:t>2/290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4793_55645"/>
    </w:p>
    <w:p>
      <w:pPr>
        <w:pStyle w:val="BookText"/>
        <w:rPr/>
      </w:pPr>
      <w:bookmarkEnd w:id="118"/>
      <w:r>
        <w:rPr>
          <w:rFonts w:ascii="IRNazanin" w:hAnsi="IRNazanin" w:eastAsia="IRNazanin"/>
          <w:color w:val="111111"/>
          <w:sz w:val="28"/>
          <w:sz w:val="28"/>
          <w:szCs w:val="28"/>
          <w:rtl w:val="true"/>
          <w:lang w:bidi="fa-IR"/>
        </w:rPr>
        <w:t>و بالتأمّل فی سَیر هذه الفرق من حیث نشؤها نجد الحالات مختلفة أیضا</w:t>
      </w:r>
      <w:r>
        <w:rPr>
          <w:rFonts w:eastAsia="IRNazanin" w:cs="IRNazanin"/>
          <w:color w:val="111111"/>
          <w:sz w:val="28"/>
          <w:szCs w:val="28"/>
          <w:rtl w:val="true"/>
          <w:lang w:bidi="fa-IR"/>
        </w:rPr>
        <w:t>.</w:t>
      </w:r>
    </w:p>
    <w:p>
      <w:pPr>
        <w:pStyle w:val="Heading4"/>
        <w:numPr>
          <w:ilvl w:val="3"/>
          <w:numId w:val="1"/>
        </w:numPr>
        <w:rPr/>
      </w:pPr>
      <w:bookmarkStart w:id="119" w:name="__RefHeading___Toc2295227_2035185390"/>
      <w:bookmarkStart w:id="120" w:name="_Toc43"/>
      <w:bookmarkEnd w:id="119"/>
      <w:r>
        <w:rPr>
          <w:rtl w:val="true"/>
        </w:rPr>
        <w:t>[</w:t>
      </w:r>
      <w:r>
        <w:rPr>
          <w:rtl w:val="true"/>
        </w:rPr>
        <w:t>و أمّا الکیسانیّة</w:t>
      </w:r>
      <w:r>
        <w:rPr>
          <w:rtl w:val="true"/>
        </w:rPr>
        <w:t>]</w:t>
      </w:r>
      <w:bookmarkEnd w:id="120"/>
    </w:p>
    <w:p>
      <w:pPr>
        <w:pStyle w:val="BookText"/>
        <w:rPr/>
      </w:pPr>
      <w:r>
        <w:rPr>
          <w:rFonts w:ascii="IRNazanin" w:hAnsi="IRNazanin" w:eastAsia="IRNazanin"/>
          <w:color w:val="111111"/>
          <w:sz w:val="28"/>
          <w:sz w:val="28"/>
          <w:szCs w:val="28"/>
          <w:rtl w:val="true"/>
          <w:lang w:bidi="fa-IR"/>
        </w:rPr>
        <w:t xml:space="preserve">فنستفید من ملاحظة حال الدعوة الکیسانیّة و قیام زعمائها أنّ دعوة تلک الفرقة کانت تعتمد علی السیاسة أکثر ممّا تعتمد علی الدین؛ إذ نری أنّ 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قیامها علی غیر أساس الدین و علی خلاف ما کان عَهِده المسلمون من سیرة الخلفاء الراشدین و تحوّل الخلافة الإسلامیّة المبتنیة علی العدل و التقوی، علی أیدیهم، إلی </w:t>
      </w:r>
    </w:p>
    <w:p>
      <w:pPr>
        <w:pStyle w:val="BookText"/>
        <w:rPr/>
      </w:pPr>
      <w:r>
        <w:rPr>
          <w:rFonts w:ascii="IRNazanin" w:hAnsi="IRNazanin" w:eastAsia="IRNazanin"/>
          <w:color w:val="111111"/>
          <w:sz w:val="28"/>
          <w:sz w:val="28"/>
          <w:szCs w:val="28"/>
          <w:rtl w:val="true"/>
          <w:lang w:bidi="fa-IR"/>
        </w:rPr>
        <w:t xml:space="preserve">الملک العضوض و الغلبة و 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مکروهة ثقیلة الوطأة، مذمومة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 انتظار لزوالها و إبدالها بدولة عادلة تعید إلیهم سیرة الراشدین، لاسیّما و قد قرع</w:t>
      </w:r>
    </w:p>
    <w:p>
      <w:pPr>
        <w:pStyle w:val="BookText"/>
        <w:rPr/>
      </w:pPr>
      <w:r>
        <w:rPr>
          <w:rFonts w:ascii="IRNazanin" w:hAnsi="IRNazanin" w:eastAsia="IRNazanin"/>
          <w:color w:val="111111"/>
          <w:sz w:val="28"/>
          <w:sz w:val="28"/>
          <w:szCs w:val="28"/>
          <w:rtl w:val="true"/>
          <w:lang w:bidi="fa-IR"/>
        </w:rPr>
        <w:t>أسماعهم من الآثار المرویّة البشارة بظهور دولة هاشمیّة تعید إلیهم العدل و الإحسان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محمّد بن علیّ المعروف بابن الحنفیّة هو الذی شخصت إلیه الأبصار بعد أخوَیه الحسن و الحسین علیهماالسلام، إذ کان حینئذٍ أکبر أولاد أمیر المؤمنین بعدهما، و کان کثیر العلم مع غزازة المعرفة و إصابة الخاطر فی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 وصفه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 الصادرُ و الوارد و الحاضر و البادی أنّه کان واحد دهره و رجل عصره، و کان أتمّ الناس</w:t>
      </w:r>
    </w:p>
    <w:p>
      <w:pPr>
        <w:pStyle w:val="BookText"/>
        <w:rPr/>
      </w:pPr>
      <w:r>
        <w:rPr>
          <w:rFonts w:ascii="IRNazanin" w:hAnsi="IRNazanin" w:eastAsia="IRNazanin"/>
          <w:color w:val="111111"/>
          <w:sz w:val="28"/>
          <w:sz w:val="28"/>
          <w:szCs w:val="28"/>
          <w:rtl w:val="true"/>
          <w:lang w:bidi="fa-IR"/>
        </w:rPr>
        <w:t>تماما و کمالاً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ذلک سببا لالتفاف مَن یمقت الأمویّین و یکره حکمهم و یرید القیام علیهم حوله، لاسیّما بعد ما ظهر منهم من المنکرات و الاستهتار بالمعاصی و القبائح و انتهاک</w:t>
      </w:r>
    </w:p>
    <w:p>
      <w:pPr>
        <w:pStyle w:val="BookText"/>
        <w:rPr/>
      </w:pPr>
      <w:r>
        <w:rPr>
          <w:rFonts w:ascii="IRNazanin" w:hAnsi="IRNazanin" w:eastAsia="IRNazanin"/>
          <w:color w:val="111111"/>
          <w:sz w:val="28"/>
          <w:sz w:val="28"/>
          <w:szCs w:val="28"/>
          <w:rtl w:val="true"/>
          <w:lang w:bidi="fa-IR"/>
        </w:rPr>
        <w:t>حرمات اللّه و رسوله و آل رسوله ما کان له أسوأ الأثر فی العالم الإسلامیّ، فقامت الثورة</w:t>
      </w:r>
    </w:p>
    <w:p>
      <w:pPr>
        <w:pStyle w:val="BookText"/>
        <w:rPr/>
      </w:pPr>
      <w:r>
        <w:rPr>
          <w:rFonts w:ascii="IRNazanin" w:hAnsi="IRNazanin" w:eastAsia="IRNazanin"/>
          <w:color w:val="111111"/>
          <w:sz w:val="28"/>
          <w:sz w:val="28"/>
          <w:szCs w:val="28"/>
          <w:rtl w:val="true"/>
          <w:lang w:bidi="fa-IR"/>
        </w:rPr>
        <w:t>علیهم من مختلف الجهات تکوّنا و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 المُلک فی أثناء ذلک عبد الملک بن مروان المعروف بشدّته و دهائه، فأطفأ نیران الثورة من الناحیة العملیّة، و قضی علی فتنة ابن الزبیر و أخضع الأقالیم الإسلامیّة</w:t>
      </w:r>
    </w:p>
    <w:p>
      <w:pPr>
        <w:pStyle w:val="BookText"/>
        <w:rPr/>
      </w:pPr>
      <w:r>
        <w:rPr>
          <w:rFonts w:ascii="IRNazanin" w:hAnsi="IRNazanin" w:eastAsia="IRNazanin"/>
          <w:color w:val="111111"/>
          <w:sz w:val="28"/>
          <w:sz w:val="28"/>
          <w:szCs w:val="28"/>
          <w:rtl w:val="true"/>
          <w:lang w:bidi="fa-IR"/>
        </w:rPr>
        <w:t>لطاعته، فرأی ابن الحنفیّة نفسه مقهورا علی مطاوعته فبایع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بقی له من الناس</w:t>
      </w:r>
    </w:p>
    <w:p>
      <w:pPr>
        <w:pStyle w:val="BookText"/>
        <w:rPr/>
      </w:pPr>
      <w:r>
        <w:rPr>
          <w:rFonts w:ascii="IRNazanin" w:hAnsi="IRNazanin" w:eastAsia="IRNazanin"/>
          <w:color w:val="111111"/>
          <w:sz w:val="28"/>
          <w:sz w:val="28"/>
          <w:szCs w:val="28"/>
          <w:rtl w:val="true"/>
          <w:lang w:bidi="fa-IR"/>
        </w:rPr>
        <w:t>من یراه أحقّ بالخلافة و أنّه مغلوب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و لم یقع ما کان یترقّبه أتباعه،</w:t>
      </w:r>
    </w:p>
    <w:p>
      <w:pPr>
        <w:pStyle w:val="BookText"/>
        <w:rPr/>
      </w:pPr>
      <w:r>
        <w:rPr>
          <w:rFonts w:ascii="IRNazanin" w:hAnsi="IRNazanin" w:eastAsia="IRNazanin"/>
          <w:color w:val="111111"/>
          <w:sz w:val="28"/>
          <w:sz w:val="28"/>
          <w:szCs w:val="28"/>
          <w:rtl w:val="true"/>
          <w:lang w:bidi="fa-IR"/>
        </w:rPr>
        <w:t>غلا فیه بعض شیعته فأنکروا موته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استغلّ الدعوة المذکورة عدّة أشخاص و أحزاب، نشیر إلیها بإجمال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بن أبی عُبید الثقفیّ الذی خرج بالکوفة طالبا لأخذ الثار و الانتقام مِن قتلة الحسین بن علیّ علیهماالسلام، و قام بذلک أحسن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تفاصیل حاله و سیرته معروفة </w:t>
      </w:r>
    </w:p>
    <w:p>
      <w:pPr>
        <w:pStyle w:val="BookText"/>
        <w:rPr/>
      </w:pPr>
      <w:r>
        <w:rPr>
          <w:rFonts w:ascii="IRNazanin" w:hAnsi="IRNazanin" w:eastAsia="IRNazanin"/>
          <w:color w:val="111111"/>
          <w:sz w:val="28"/>
          <w:sz w:val="28"/>
          <w:szCs w:val="28"/>
          <w:rtl w:val="true"/>
          <w:lang w:bidi="fa-IR"/>
        </w:rPr>
        <w:t>مذکورة فی التواریخ</w:t>
      </w:r>
      <w:r>
        <w:rPr>
          <w:rStyle w:val="FootnoteAnchor"/>
          <w:rtl w:val="true"/>
        </w:rPr>
        <w:footnoteReference w:id="228"/>
      </w:r>
      <w:r>
        <w:rPr>
          <w:rFonts w:ascii="IRNazanin" w:hAnsi="IRNazanin" w:eastAsia="IRNazanin"/>
          <w:color w:val="111111"/>
          <w:sz w:val="28"/>
          <w:sz w:val="28"/>
          <w:szCs w:val="28"/>
          <w:rtl w:val="true"/>
          <w:lang w:bidi="fa-IR"/>
        </w:rPr>
        <w:t>، إلاّ أنّه لایزال علی ما ذکر فی سیرته نوع من الغموض و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 أنّ المتعرّض لذکر حاله بین شخصین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مخالف یرمیه بکلّ سوء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خارجیّا، ثمّ صار زبیریّا، فکیسانیّا، و إنّه کان صاحب مخاریق و حِیَل</w:t>
      </w:r>
      <w:r>
        <w:rPr>
          <w:rStyle w:val="FootnoteAnchor"/>
          <w:rtl w:val="true"/>
        </w:rPr>
        <w:footnoteReference w:id="229"/>
      </w:r>
      <w:r>
        <w:rPr>
          <w:rFonts w:ascii="IRNazanin" w:hAnsi="IRNazanin" w:eastAsia="IRNazanin"/>
          <w:color w:val="111111"/>
          <w:sz w:val="28"/>
          <w:sz w:val="28"/>
          <w:szCs w:val="28"/>
          <w:rtl w:val="true"/>
          <w:lang w:bidi="fa-IR"/>
        </w:rPr>
        <w:t>، و إنّه تکهّن و ادّعی النبوّة و خَدَعَته السبأیّة الغلاة، و قال بالبداء حین لم‌یحصل ما وعد به أصحابه من النصر</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أعدلُ هؤلاء من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یرید بذلک الریاسة و یجعل لنفسه مرکزا فیما استولی علیه من العراق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شیعیّ یحبّه و یتعصّب له لأجل قیامه بطلب الثار و تتبُّعه قتلَةَ الحسین سلام اللّه</w:t>
      </w:r>
    </w:p>
    <w:p>
      <w:pPr>
        <w:pStyle w:val="BookText"/>
        <w:rPr/>
      </w:pPr>
      <w:r>
        <w:rPr>
          <w:rFonts w:ascii="IRNazanin" w:hAnsi="IRNazanin" w:eastAsia="IRNazanin"/>
          <w:color w:val="111111"/>
          <w:sz w:val="28"/>
          <w:sz w:val="28"/>
          <w:szCs w:val="28"/>
          <w:rtl w:val="true"/>
          <w:lang w:bidi="fa-IR"/>
        </w:rPr>
        <w:t>علیه، و الانتقام منهم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نظنّ أنّ أکثر ما نُسب إلیه فی کتب الخصوم ممّا ینبغی أن یؤخذ بالتحفّظ البالغ و التثبّت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لاریب فی کونه شخصا ذکیّا بارزا ذا دهاء و مواهب سامیة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عبد اللّه بن معاویة بن عبد اللّه بن جعفر بن أبی طالب الذی خرج بالکوفة أواخر عصر الأمویّین، ثمّ غلب علی کور الجبال و إصفهان و غیرها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ملاحظة سیرته تکشف أنّ قیامه لم یکن لأجل الدین، و لم یکن همّه إلاّ طلب الملک و التغلّب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أیضا ممّن تُرضی سیرته، إلاّ أنّ القیام ضدّ ولاة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أغراض القائمین به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ینحج إلاّ بشیء من الدعایة الدینیّة، فلذلک انتحل تلک الدعوة و ادّعی أصحابه أنّ أبا هاشم عبد اللّه بن محمّد بن الحنفیّة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بینهم و بین أصحاب محمّد بن علیّ بن عبد اللّه بن العبّاس خصام، </w:t>
      </w:r>
    </w:p>
    <w:p>
      <w:pPr>
        <w:pStyle w:val="BookText"/>
        <w:rPr/>
      </w:pPr>
      <w:r>
        <w:rPr>
          <w:rFonts w:ascii="IRNazanin" w:hAnsi="IRNazanin" w:eastAsia="IRNazanin"/>
          <w:color w:val="111111"/>
          <w:sz w:val="28"/>
          <w:sz w:val="28"/>
          <w:szCs w:val="28"/>
          <w:rtl w:val="true"/>
          <w:lang w:bidi="fa-IR"/>
        </w:rPr>
        <w:t>فرضوا برجل منهم یکنّی أبا ریاح کان من رؤوسهم و علمائهم، فشهد أنّ أبا هاشم أوصی إلی محمّد بن علیّ، فرجع جُلّ أصحاب عبد اللّه بن معاویة إلی القول بإمامة محمّد بن</w:t>
      </w:r>
    </w:p>
    <w:p>
      <w:pPr>
        <w:pStyle w:val="BookText"/>
        <w:rPr/>
      </w:pPr>
      <w:r>
        <w:rPr>
          <w:rFonts w:ascii="Amiri" w:hAnsi="Amiri" w:eastAsia="Amiri" w:cs="Amiri"/>
          <w:color w:val="111111"/>
          <w:sz w:val="28"/>
          <w:sz w:val="28"/>
          <w:szCs w:val="28"/>
          <w:rtl w:val="true"/>
          <w:lang w:bidi="ar-SA"/>
        </w:rPr>
        <w:t>علیّ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عبد اللّه بن العبّاس صاحب الدعوة العبّاسیّة، فإنّه کان قد فارق</w:t>
      </w:r>
    </w:p>
    <w:p>
      <w:pPr>
        <w:pStyle w:val="BookText"/>
        <w:rPr/>
      </w:pPr>
      <w:r>
        <w:rPr>
          <w:rFonts w:ascii="IRNazanin" w:hAnsi="IRNazanin" w:eastAsia="IRNazanin"/>
          <w:color w:val="111111"/>
          <w:sz w:val="28"/>
          <w:sz w:val="28"/>
          <w:szCs w:val="28"/>
          <w:rtl w:val="true"/>
          <w:lang w:bidi="fa-IR"/>
        </w:rPr>
        <w:t>الحجاز و أقام بالحُمیمة من أعمال البَلْقاء بالشام</w:t>
      </w:r>
      <w:r>
        <w:rPr>
          <w:rStyle w:val="FootnoteAnchor"/>
          <w:rtl w:val="true"/>
        </w:rPr>
        <w:footnoteReference w:id="235"/>
      </w:r>
      <w:r>
        <w:rPr>
          <w:rFonts w:ascii="IRNazanin" w:hAnsi="IRNazanin" w:eastAsia="IRNazanin"/>
          <w:color w:val="111111"/>
          <w:sz w:val="28"/>
          <w:sz w:val="28"/>
          <w:szCs w:val="28"/>
          <w:rtl w:val="true"/>
          <w:lang w:bidi="fa-IR"/>
        </w:rPr>
        <w:t>، و کان الذی أنزله بها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 الأمویّین کانوا أحسّوا بشیء من خطر الدعوة الشیعیّة فأنزلوه و أهله علی مقربة من حاضرتهم، لیتیسّر لهم تتبّع حرکات الشیعة، و یُحصوا 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w:t>
      </w:r>
    </w:p>
    <w:p>
      <w:pPr>
        <w:pStyle w:val="BookText"/>
        <w:rPr/>
      </w:pPr>
      <w:r>
        <w:rPr>
          <w:rFonts w:ascii="IRNazanin" w:hAnsi="IRNazanin" w:eastAsia="IRNazanin"/>
          <w:color w:val="111111"/>
          <w:sz w:val="28"/>
          <w:sz w:val="28"/>
          <w:szCs w:val="28"/>
          <w:rtl w:val="true"/>
          <w:lang w:bidi="fa-IR"/>
        </w:rPr>
        <w:t>هاشم بن محمّد قصد فی أثناء ذلک دمشق، وافدا علی هشام بن عبد الملک، أو أخیه سلیمان، فرأوا فیه من المهابة و الوقار و الفصاحة ما یؤهّله للأمر و یقرّبه من قلوب الناس، فدسّوا إلیه مَن سمّه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بذلک عدل إلی بنی عمّه الساکنین بالحُمیمة،</w:t>
      </w:r>
    </w:p>
    <w:p>
      <w:pPr>
        <w:pStyle w:val="BookText"/>
        <w:rPr/>
      </w:pPr>
      <w:r>
        <w:rPr>
          <w:rFonts w:ascii="IRNazanin" w:hAnsi="IRNazanin" w:eastAsia="IRNazanin"/>
          <w:color w:val="111111"/>
          <w:sz w:val="28"/>
          <w:sz w:val="28"/>
          <w:szCs w:val="28"/>
          <w:rtl w:val="true"/>
          <w:lang w:bidi="fa-IR"/>
        </w:rPr>
        <w:t>و أوصی إلی محمّد بن علیّ، و کان بصحبته جماعة من الشیعة، فسلّمهم إلیه و أوصاه بهم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الدعوة العباسیّة بذلک متسلسلة عن الدعوة 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ذلک الآن جدَّ بنو العبّاس فی طلب الخلافة، و شرعوا فی بثّ الدعاة فی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شعار الدعوة فی</w:t>
      </w:r>
    </w:p>
    <w:p>
      <w:pPr>
        <w:pStyle w:val="BookText"/>
        <w:rPr/>
      </w:pPr>
      <w:r>
        <w:rPr>
          <w:rFonts w:ascii="IRNazanin" w:hAnsi="IRNazanin" w:eastAsia="IRNazanin"/>
          <w:color w:val="111111"/>
          <w:sz w:val="28"/>
          <w:sz w:val="28"/>
          <w:szCs w:val="28"/>
          <w:rtl w:val="true"/>
          <w:lang w:bidi="fa-IR"/>
        </w:rPr>
        <w:t>ابتداء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الرضا من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ذلک إقامة شخص من</w:t>
      </w:r>
    </w:p>
    <w:p>
      <w:pPr>
        <w:pStyle w:val="BookText"/>
        <w:rPr/>
      </w:pPr>
      <w:r>
        <w:rPr>
          <w:rFonts w:ascii="IRNazanin" w:hAnsi="IRNazanin" w:eastAsia="IRNazanin"/>
          <w:color w:val="111111"/>
          <w:sz w:val="28"/>
          <w:sz w:val="28"/>
          <w:szCs w:val="28"/>
          <w:rtl w:val="true"/>
          <w:lang w:bidi="fa-IR"/>
        </w:rPr>
        <w:t>أهل بیت رسول اللّه مرضیّ یرضی به جمهور الأمّة فی مقام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ما ثبّتوا الأمر و مهّدوا طریقهم صرّحوا باسم صاحب الدعوة من العبّاسیّین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تری، ممّا أشرنا إلیه، أنّ قیام الفرقة الکیسانیّة کان لأمور سیاسیّة، لا لا عتبارات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وجد بین أغمارها من یتّخذها دینا، فلا اعتداد به حیث لم یصدر </w:t>
      </w:r>
      <w:bookmarkStart w:id="121" w:name="pg4793_55652"/>
    </w:p>
    <w:p>
      <w:pPr>
        <w:pStyle w:val="BookText"/>
        <w:rPr/>
      </w:pPr>
      <w:bookmarkEnd w:id="121"/>
      <w:r>
        <w:rPr>
          <w:rFonts w:ascii="IRNazanin" w:hAnsi="IRNazanin" w:eastAsia="IRNazanin"/>
          <w:color w:val="111111"/>
          <w:sz w:val="28"/>
          <w:sz w:val="28"/>
          <w:szCs w:val="28"/>
          <w:rtl w:val="true"/>
          <w:lang w:bidi="fa-IR"/>
        </w:rPr>
        <w:t>عمّن له حظّ من النظر و البصیرة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295229_2035185390"/>
      <w:bookmarkStart w:id="123" w:name="_Toc44"/>
      <w:bookmarkEnd w:id="122"/>
      <w:r>
        <w:rPr>
          <w:rtl w:val="true"/>
        </w:rPr>
        <w:t>[</w:t>
      </w:r>
      <w:r>
        <w:rPr>
          <w:rtl w:val="true"/>
        </w:rPr>
        <w:t>إلماح إلی دعوة الزیدیّة</w:t>
      </w:r>
      <w:r>
        <w:rPr>
          <w:rtl w:val="true"/>
        </w:rPr>
        <w:t>]</w:t>
      </w:r>
      <w:bookmarkEnd w:id="123"/>
    </w:p>
    <w:p>
      <w:pPr>
        <w:pStyle w:val="BookText"/>
        <w:rPr/>
      </w:pPr>
      <w:r>
        <w:rPr>
          <w:rFonts w:ascii="IRNazanin" w:hAnsi="IRNazanin" w:eastAsia="IRNazanin"/>
          <w:color w:val="111111"/>
          <w:sz w:val="28"/>
          <w:sz w:val="28"/>
          <w:szCs w:val="28"/>
          <w:rtl w:val="true"/>
          <w:lang w:bidi="fa-IR"/>
        </w:rPr>
        <w:t>ثمّ إذا سبرنا حال الدعوة الزیدیّة رأیناها قائمة فی الأصل علی مبدأ الأمر بالمعروف و النهی عن المنکر</w:t>
      </w:r>
      <w:r>
        <w:rPr>
          <w:rStyle w:val="FootnoteAnchor"/>
          <w:rtl w:val="true"/>
        </w:rPr>
        <w:footnoteReference w:id="239"/>
      </w:r>
      <w:r>
        <w:rPr>
          <w:rFonts w:ascii="IRNazanin" w:hAnsi="IRNazanin" w:eastAsia="IRNazanin"/>
          <w:color w:val="111111"/>
          <w:sz w:val="28"/>
          <w:sz w:val="28"/>
          <w:szCs w:val="28"/>
          <w:rtl w:val="true"/>
          <w:lang w:bidi="fa-IR"/>
        </w:rPr>
        <w:t>، فی مقابلة ما کان مشهودا من أعمال الأمویّین و مظالمهم و فجائع أعمال ولاتهم و هتکهم للحرمات، و إضاعة أحکام الدیانة و نبذها وراءهم ظهریّا ممّا لامجال لبسطه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بطبیعة الحال کانت الأنظار متّجهة فی تغییر هذه الأوضاع،</w:t>
      </w:r>
    </w:p>
    <w:p>
      <w:pPr>
        <w:pStyle w:val="BookText"/>
        <w:rPr/>
      </w:pPr>
      <w:r>
        <w:rPr>
          <w:rFonts w:ascii="IRNazanin" w:hAnsi="IRNazanin" w:eastAsia="IRNazanin"/>
          <w:color w:val="111111"/>
          <w:sz w:val="28"/>
          <w:sz w:val="28"/>
          <w:szCs w:val="28"/>
          <w:rtl w:val="true"/>
          <w:lang w:bidi="fa-IR"/>
        </w:rPr>
        <w:t>و القیام ضدّ تلک الأمور المنکرة إلی بنی هاشم و رهط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المبدأ</w:t>
      </w:r>
      <w:r>
        <w:rPr>
          <w:rStyle w:val="FootnoteAnchor"/>
          <w:rtl w:val="true"/>
        </w:rPr>
        <w:footnoteReference w:id="240"/>
      </w:r>
      <w:r>
        <w:rPr>
          <w:rFonts w:ascii="IRNazanin" w:hAnsi="IRNazanin" w:eastAsia="IRNazanin"/>
          <w:color w:val="111111"/>
          <w:sz w:val="28"/>
          <w:sz w:val="28"/>
          <w:szCs w:val="28"/>
          <w:rtl w:val="true"/>
          <w:lang w:bidi="fa-IR"/>
        </w:rPr>
        <w:t>قام أوّل من قام من 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من بعده ابنه یحیی بن زید، ثمّ محمّد و إبراهیم ابنا عبد اللّه بن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تمایل إلی نصرتهم و تقویة أمرهم و الدعوة إلیهم جلّ الفقهاء و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تعرف سرّ ما تری مِن</w:t>
      </w:r>
    </w:p>
    <w:p>
      <w:pPr>
        <w:pStyle w:val="BookText"/>
        <w:rPr/>
      </w:pPr>
      <w:r>
        <w:rPr>
          <w:rFonts w:ascii="IRNazanin" w:hAnsi="IRNazanin" w:eastAsia="IRNazanin"/>
          <w:color w:val="111111"/>
          <w:sz w:val="28"/>
          <w:sz w:val="28"/>
          <w:szCs w:val="28"/>
          <w:rtl w:val="true"/>
          <w:lang w:bidi="fa-IR"/>
        </w:rPr>
        <w:t>کثرة مَن خرج مع زید بن علیّ، و محمّد، و إبراهیم من نقلة الحدیث و علماء الأثر، و فقهاء</w:t>
      </w:r>
    </w:p>
    <w:p>
      <w:pPr>
        <w:pStyle w:val="BookText"/>
        <w:rPr/>
      </w:pPr>
      <w:r>
        <w:rPr>
          <w:rFonts w:ascii="IRNazanin" w:hAnsi="IRNazanin" w:eastAsia="IRNazanin"/>
          <w:color w:val="111111"/>
          <w:sz w:val="28"/>
          <w:sz w:val="28"/>
          <w:szCs w:val="28"/>
          <w:rtl w:val="true"/>
          <w:lang w:bidi="fa-IR"/>
        </w:rPr>
        <w:t>الأمّة، و تفانی هؤلاء و تهالُکِهم فی نصرة من ذکرناهم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نظرا لوجود خلال الفضل و الشجاعة و القیام علی أئمّة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المستولین علی أمور المسلمین بالغلبة و 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هؤلاء القائمین ضدّهم، تطوّرت الفکرة أخیرا إلی مبدأ الزیدیّة المعروف بأنّ الخلافة تختصّ بکلّ مَن قام بالسیف و دعا إلی نفسه و إلی قتال الظلمة الجائرین، و اتّصف بصفات العلم و الشجاعة و السخاء، مع النسب القرشیّ الفاطمیّ؛ فمن اتّصف بهذه الأوصاف و قام داعیا إلی نفسه فهو إمام</w:t>
      </w:r>
      <w:r>
        <w:rPr>
          <w:rStyle w:val="FootnoteAnchor"/>
          <w:rtl w:val="true"/>
        </w:rPr>
        <w:footnoteReference w:id="242"/>
      </w:r>
      <w:r>
        <w:rPr>
          <w:rFonts w:ascii="IRNazanin" w:hAnsi="IRNazanin" w:eastAsia="IRNazanin"/>
          <w:color w:val="111111"/>
          <w:sz w:val="28"/>
          <w:sz w:val="28"/>
          <w:szCs w:val="28"/>
          <w:rtl w:val="true"/>
          <w:lang w:bidi="fa-IR"/>
        </w:rPr>
        <w:t xml:space="preserve">، فکانت الناحیة </w:t>
      </w:r>
      <w:bookmarkStart w:id="124" w:name="pg4793_55654"/>
    </w:p>
    <w:p>
      <w:pPr>
        <w:pStyle w:val="BookText"/>
        <w:rPr/>
      </w:pPr>
      <w:bookmarkEnd w:id="124"/>
      <w:r>
        <w:rPr>
          <w:rFonts w:ascii="IRNazanin" w:hAnsi="IRNazanin" w:eastAsia="IRNazanin"/>
          <w:color w:val="111111"/>
          <w:sz w:val="28"/>
          <w:sz w:val="28"/>
          <w:szCs w:val="28"/>
          <w:rtl w:val="true"/>
          <w:lang w:bidi="fa-IR"/>
        </w:rPr>
        <w:t>الدینیّة غالبة فی دعواهم و لاتزال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أیضا تعرف سرّ عدم نجاحهم فی المواقف التی وقعت بینهم و بین</w:t>
      </w:r>
    </w:p>
    <w:p>
      <w:pPr>
        <w:pStyle w:val="BookText"/>
        <w:rPr/>
      </w:pPr>
      <w:r>
        <w:rPr>
          <w:rFonts w:ascii="IRNazanin" w:hAnsi="IRNazanin" w:eastAsia="IRNazanin"/>
          <w:color w:val="111111"/>
          <w:sz w:val="28"/>
          <w:sz w:val="28"/>
          <w:szCs w:val="28"/>
          <w:rtl w:val="true"/>
          <w:lang w:bidi="fa-IR"/>
        </w:rPr>
        <w:t>خصومهم من العبّاسیّین؛ لتمسّکهم بالمبادئ الدینیّة، و مقابلة خصومهم لها بالخطط السیاسیّة و المقتضیات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مقابلة لأحکام الدین بأمور الدنیا، و ما قابل</w:t>
      </w:r>
    </w:p>
    <w:p>
      <w:pPr>
        <w:pStyle w:val="BookText"/>
        <w:rPr/>
      </w:pPr>
      <w:r>
        <w:rPr>
          <w:rFonts w:ascii="IRNazanin" w:hAnsi="IRNazanin" w:eastAsia="IRNazanin"/>
          <w:color w:val="111111"/>
          <w:sz w:val="28"/>
          <w:sz w:val="28"/>
          <w:szCs w:val="28"/>
          <w:rtl w:val="true"/>
          <w:lang w:bidi="fa-IR"/>
        </w:rPr>
        <w:t>أحدهما الآخر إلاّ و کان الفوز للأخیرة</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قد فوّتوا علی أنفسهم جملة مواقف مهمّة، لو کانوا آخذین فیها بأسالیب خصومهم لترجّحت کفّة النصر لهم، و لکن للّه تعالی</w:t>
      </w:r>
    </w:p>
    <w:p>
      <w:pPr>
        <w:pStyle w:val="BookText"/>
        <w:rPr/>
      </w:pPr>
      <w:r>
        <w:rPr>
          <w:rFonts w:ascii="IRNazanin" w:hAnsi="IRNazanin" w:eastAsia="IRNazanin"/>
          <w:color w:val="111111"/>
          <w:sz w:val="28"/>
          <w:sz w:val="28"/>
          <w:szCs w:val="28"/>
          <w:rtl w:val="true"/>
          <w:lang w:bidi="fa-IR"/>
        </w:rPr>
        <w:t>أمر هو بالغه</w:t>
      </w:r>
      <w:r>
        <w:rPr>
          <w:rFonts w:eastAsia="IRNazanin" w:cs="IRNazanin"/>
          <w:color w:val="111111"/>
          <w:sz w:val="28"/>
          <w:szCs w:val="28"/>
          <w:rtl w:val="true"/>
          <w:lang w:bidi="fa-IR"/>
        </w:rPr>
        <w:t>.</w:t>
      </w:r>
    </w:p>
    <w:p>
      <w:pPr>
        <w:pStyle w:val="Heading4"/>
        <w:numPr>
          <w:ilvl w:val="3"/>
          <w:numId w:val="1"/>
        </w:numPr>
        <w:rPr/>
      </w:pPr>
      <w:bookmarkStart w:id="125" w:name="__RefHeading___Toc2295231_2035185390"/>
      <w:bookmarkStart w:id="126" w:name="_Toc45"/>
      <w:bookmarkEnd w:id="125"/>
      <w:r>
        <w:rPr>
          <w:rtl w:val="true"/>
        </w:rPr>
        <w:t>[</w:t>
      </w:r>
      <w:r>
        <w:rPr>
          <w:rtl w:val="true"/>
        </w:rPr>
        <w:t>دعوة الفطحیّة و الواقفیّة بالإجمال</w:t>
      </w:r>
      <w:r>
        <w:rPr>
          <w:rtl w:val="true"/>
        </w:rPr>
        <w:t>]</w:t>
      </w:r>
      <w:bookmarkEnd w:id="126"/>
    </w:p>
    <w:p>
      <w:pPr>
        <w:pStyle w:val="BookText"/>
        <w:rPr/>
      </w:pPr>
      <w:r>
        <w:rPr>
          <w:rFonts w:ascii="IRNazanin" w:hAnsi="IRNazanin" w:eastAsia="IRNazanin"/>
          <w:color w:val="111111"/>
          <w:sz w:val="28"/>
          <w:sz w:val="28"/>
          <w:szCs w:val="28"/>
          <w:rtl w:val="true"/>
          <w:lang w:bidi="fa-IR"/>
        </w:rPr>
        <w:t>و مقالة الفطحیّة نشأت عن شبهةٍ صرفة حاصلة من روایةٍ رُویت لهم مفادها أنّ الإمامة لاتکون إلاّ فی أکبر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الفرقة الإسماعیلیّة أیضا کانت تلک الروایة</w:t>
      </w:r>
    </w:p>
    <w:p>
      <w:pPr>
        <w:pStyle w:val="BookText"/>
        <w:rPr/>
      </w:pPr>
      <w:r>
        <w:rPr>
          <w:rFonts w:ascii="IRNazanin" w:hAnsi="IRNazanin" w:eastAsia="IRNazanin"/>
          <w:color w:val="111111"/>
          <w:sz w:val="28"/>
          <w:sz w:val="28"/>
          <w:szCs w:val="28"/>
          <w:rtl w:val="true"/>
          <w:lang w:bidi="fa-IR"/>
        </w:rPr>
        <w:t>منشأ مقالتها</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انقلب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أناس أصحاب أغراض شخصیّة دسّوا أنفسهم فی تلک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حزب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انتحل طریقهم القرامطة و الباطنیّة و حوّلوا ذلک إلی دعوة سریّة منظّمة و هائلة فی ذات الوقت، فشغلت دورا مهمّا فی تاریخ الإسلام لامحلّ</w:t>
      </w:r>
    </w:p>
    <w:p>
      <w:pPr>
        <w:pStyle w:val="BookText"/>
        <w:rPr/>
      </w:pPr>
      <w:r>
        <w:rPr>
          <w:rFonts w:ascii="IRNazanin" w:hAnsi="IRNazanin" w:eastAsia="IRNazanin"/>
          <w:color w:val="111111"/>
          <w:sz w:val="28"/>
          <w:sz w:val="28"/>
          <w:szCs w:val="28"/>
          <w:rtl w:val="true"/>
          <w:lang w:bidi="fa-IR"/>
        </w:rPr>
        <w:t>لبسطه فی المقام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دعوة الواقفة کانت لأجل أغراض دنیویّة و الطمع فی أموال أحرزوها، ثمّ انتحلوا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تصحیح أقاویلهم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و أحادیث موّهوا بها علی العامّة، سنفصّلها</w:t>
      </w:r>
    </w:p>
    <w:p>
      <w:pPr>
        <w:pStyle w:val="BookText"/>
        <w:rPr/>
      </w:pPr>
      <w:r>
        <w:rPr>
          <w:rFonts w:ascii="IRNazanin" w:hAnsi="IRNazanin" w:eastAsia="IRNazanin"/>
          <w:color w:val="111111"/>
          <w:sz w:val="28"/>
          <w:sz w:val="28"/>
          <w:szCs w:val="28"/>
          <w:rtl w:val="true"/>
          <w:lang w:bidi="fa-IR"/>
        </w:rPr>
        <w:t>فیما یأتی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الدعوة الشیعیّة الأصلیّة فنذکرها فی الفصل التالی</w:t>
      </w:r>
      <w:r>
        <w:rPr>
          <w:rFonts w:eastAsia="IRNazanin" w:cs="IRNazanin"/>
          <w:color w:val="111111"/>
          <w:sz w:val="28"/>
          <w:szCs w:val="28"/>
          <w:rtl w:val="true"/>
          <w:lang w:bidi="fa-IR"/>
        </w:rPr>
        <w:t xml:space="preserve">. </w:t>
      </w:r>
      <w:bookmarkStart w:id="127" w:name="pg4793_55656"/>
    </w:p>
    <w:p>
      <w:pPr>
        <w:pStyle w:val="Heading3"/>
        <w:numPr>
          <w:ilvl w:val="2"/>
          <w:numId w:val="1"/>
        </w:numPr>
        <w:rPr/>
      </w:pPr>
      <w:bookmarkStart w:id="128" w:name="__RefHeading___Toc2295233_2035185390"/>
      <w:bookmarkStart w:id="129" w:name="_Toc46"/>
      <w:bookmarkEnd w:id="127"/>
      <w:bookmarkEnd w:id="128"/>
      <w:r>
        <w:rPr>
          <w:rtl w:val="true"/>
        </w:rPr>
        <w:t>الفصل الثالث</w:t>
      </w:r>
      <w:r>
        <w:rPr>
          <w:rtl w:val="true"/>
        </w:rPr>
        <w:t xml:space="preserve">: </w:t>
      </w:r>
      <w:r>
        <w:rPr>
          <w:rtl w:val="true"/>
        </w:rPr>
        <w:t>ذکر فرق الشیعة تفصیلاً</w:t>
      </w:r>
      <w:bookmarkEnd w:id="129"/>
    </w:p>
    <w:p>
      <w:pPr>
        <w:pStyle w:val="Heading4"/>
        <w:numPr>
          <w:ilvl w:val="3"/>
          <w:numId w:val="1"/>
        </w:numPr>
        <w:rPr/>
      </w:pPr>
      <w:bookmarkStart w:id="130" w:name="__RefHeading___Toc2295235_2035185390"/>
      <w:bookmarkStart w:id="131" w:name="_Toc47"/>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ذکرنا أنّ أکثر هذه الفرق المنتسبة إلی التشیّع أسماء لمسمّیات لم‌توجد منها شخصیّة إلاّ فی ضمن کتب المقالات التی جمعت کلَّ غثّ و سمین و فاسد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تعدادها اختلافا کثیرا یدلّنا علی مَدی نصیبها من الصحّة، و قد انقرض غالبُ مَن کان</w:t>
      </w:r>
    </w:p>
    <w:p>
      <w:pPr>
        <w:pStyle w:val="BookText"/>
        <w:rPr/>
      </w:pPr>
      <w:r>
        <w:rPr>
          <w:rFonts w:ascii="IRNazanin" w:hAnsi="IRNazanin" w:eastAsia="IRNazanin"/>
          <w:color w:val="111111"/>
          <w:sz w:val="28"/>
          <w:sz w:val="28"/>
          <w:szCs w:val="28"/>
          <w:rtl w:val="true"/>
          <w:lang w:bidi="fa-IR"/>
        </w:rPr>
        <w:t>شذّ عن التشیّع من هذه الفرق ممّن کان وجد فی زمان لأجل شبهة حاصلة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سنشیر إجمالاً إلی خصوصیّاتٍ من حالات هؤلاء ممّا لم یسبق لها ذکر</w:t>
      </w:r>
      <w:r>
        <w:rPr>
          <w:rFonts w:eastAsia="IRNazanin" w:cs="IRNazanin"/>
          <w:color w:val="111111"/>
          <w:sz w:val="28"/>
          <w:szCs w:val="28"/>
          <w:rtl w:val="true"/>
          <w:lang w:bidi="fa-IR"/>
        </w:rPr>
        <w:t>.</w:t>
      </w:r>
    </w:p>
    <w:p>
      <w:pPr>
        <w:pStyle w:val="Heading4"/>
        <w:numPr>
          <w:ilvl w:val="3"/>
          <w:numId w:val="1"/>
        </w:numPr>
        <w:rPr/>
      </w:pPr>
      <w:bookmarkStart w:id="132" w:name="__RefHeading___Toc2295237_2035185390"/>
      <w:bookmarkStart w:id="133" w:name="_Toc48"/>
      <w:bookmarkEnd w:id="132"/>
      <w:r>
        <w:rPr>
          <w:rtl w:val="true"/>
        </w:rPr>
        <w:t>[</w:t>
      </w:r>
      <w:r>
        <w:rPr/>
        <w:t>1</w:t>
      </w:r>
      <w:r>
        <w:rPr>
          <w:rtl w:val="true"/>
        </w:rPr>
        <w:t xml:space="preserve">] </w:t>
      </w:r>
      <w:r>
        <w:rPr>
          <w:rtl w:val="true"/>
        </w:rPr>
        <w:t>الکیسانیّة</w:t>
      </w:r>
      <w:bookmarkEnd w:id="133"/>
    </w:p>
    <w:p>
      <w:pPr>
        <w:pStyle w:val="BookText"/>
        <w:rPr/>
      </w:pPr>
      <w:r>
        <w:rPr>
          <w:rFonts w:ascii="IRNazanin" w:hAnsi="IRNazanin" w:eastAsia="IRNazanin"/>
          <w:color w:val="111111"/>
          <w:sz w:val="28"/>
          <w:sz w:val="28"/>
          <w:szCs w:val="28"/>
          <w:rtl w:val="true"/>
          <w:lang w:bidi="fa-IR"/>
        </w:rPr>
        <w:t>قد عرفت أنّ هؤلاء هم الذین قالوا بإمامة محمّد بن الحنفیّة و أنّه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الروایات المأثورة فی غیبة المهدیّ و ظهوره شائعة بین المسلمین من الصدر الأوّل،</w:t>
      </w:r>
    </w:p>
    <w:p>
      <w:pPr>
        <w:pStyle w:val="BookText"/>
        <w:rPr/>
      </w:pPr>
      <w:r>
        <w:rPr>
          <w:rFonts w:ascii="Amiri" w:hAnsi="Amiri" w:eastAsia="Amiri" w:cs="Amiri"/>
          <w:color w:val="111111"/>
          <w:sz w:val="28"/>
          <w:sz w:val="28"/>
          <w:szCs w:val="28"/>
          <w:rtl w:val="true"/>
          <w:lang w:bidi="ar-SA"/>
        </w:rPr>
        <w:t>فادّعت هذه الفرقة أنّها فی حقّه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أسماء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الروایة یکون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محمّد بن عبد اللّه، فهو المهدیّ الموعود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قولهم بالحدیث المتّفق علیه،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بعدم ادّعاء ابن الحنفیّة الإمامة، و عدم عصمته، و عدم النصّ علی إمامته من أبیه علیه‌السلام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أبو هاشم إسماعیل بن محمّد الحِمیَریّ</w:t>
      </w:r>
      <w:bookmarkStart w:id="134" w:name="pg4793_55658"/>
    </w:p>
    <w:p>
      <w:pPr>
        <w:pStyle w:val="BookText"/>
        <w:rPr/>
      </w:pPr>
      <w:bookmarkEnd w:id="134"/>
      <w:r>
        <w:rPr>
          <w:rFonts w:ascii="IRNazanin" w:hAnsi="IRNazanin" w:eastAsia="IRNazanin"/>
          <w:color w:val="111111"/>
          <w:sz w:val="28"/>
          <w:sz w:val="28"/>
          <w:szCs w:val="28"/>
          <w:rtl w:val="true"/>
          <w:lang w:bidi="fa-IR"/>
        </w:rPr>
        <w:t>المعروف بالسیّد، ممّن یری هذا الرأی، و کان له فی ذلک أشعار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عن ذلک الاعتقاد و بَرِئ منه و دان بالحقّ بعد ما لقی الصادق جعفر بن محمّد سلام اللّه علیه، و رأی منه علامات الإمامة و شاهد فیه دلالات الوصیّة، فأذعن لإمامته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رجوعه إلی الحقّ و مفارقته رأی الکیسانیّة أشعار معروفة أیضا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أکثر المؤلّفون فی المقالات من ذکر أقاویلهم، و لا نطیل ذکرها</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تُبرّئ السیّد محمّد بن الحنفیّة عن تلک الأقاویل، و تری أنّه رحمه‌الله کان من المعتقدین بالحقّ و بإمامة الأئمّة علیهم‌السلام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295239_2035185390"/>
      <w:bookmarkStart w:id="136" w:name="_Toc49"/>
      <w:bookmarkEnd w:id="135"/>
      <w:r>
        <w:rPr>
          <w:rtl w:val="true"/>
        </w:rPr>
        <w:t>[</w:t>
      </w:r>
      <w:r>
        <w:rPr/>
        <w:t>2</w:t>
      </w:r>
      <w:r>
        <w:rPr>
          <w:rtl w:val="true"/>
        </w:rPr>
        <w:t xml:space="preserve">] </w:t>
      </w:r>
      <w:r>
        <w:rPr>
          <w:rtl w:val="true"/>
        </w:rPr>
        <w:t xml:space="preserve">الزیدیّة </w:t>
      </w:r>
      <w:r>
        <w:rPr>
          <w:rtl w:val="true"/>
        </w:rPr>
        <w:t>[</w:t>
      </w:r>
      <w:r>
        <w:rPr>
          <w:rtl w:val="true"/>
        </w:rPr>
        <w:t>فِرقها و أئمّتها</w:t>
      </w:r>
      <w:r>
        <w:rPr>
          <w:rtl w:val="true"/>
        </w:rPr>
        <w:t>]</w:t>
      </w:r>
      <w:bookmarkEnd w:id="136"/>
    </w:p>
    <w:p>
      <w:pPr>
        <w:pStyle w:val="BookText"/>
        <w:rPr/>
      </w:pPr>
      <w:r>
        <w:rPr>
          <w:rFonts w:ascii="IRNazanin" w:hAnsi="IRNazanin" w:eastAsia="IRNazanin"/>
          <w:color w:val="111111"/>
          <w:sz w:val="28"/>
          <w:sz w:val="28"/>
          <w:szCs w:val="28"/>
          <w:rtl w:val="true"/>
          <w:lang w:bidi="fa-IR"/>
        </w:rPr>
        <w:t>مجمل مقالة الزیدیّة هو أنّ الإمام معیّن بالوصف، و أنّ طریق الإمامة هو النصّ أو الدعوة، و أنّ النصّ ثبت فی حقّ أمیر المؤمنین و الحسن و الحسین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مَن بعدهم فطریق إمامتهم الدعوة، و هو أن یقوم المتأهّل للإمامة و المتّصف بشرائطها، فیباین</w:t>
      </w:r>
    </w:p>
    <w:p>
      <w:pPr>
        <w:pStyle w:val="BookText"/>
        <w:rPr/>
      </w:pPr>
      <w:r>
        <w:rPr>
          <w:rFonts w:ascii="IRNazanin" w:hAnsi="IRNazanin" w:eastAsia="IRNazanin"/>
          <w:color w:val="111111"/>
          <w:sz w:val="28"/>
          <w:sz w:val="28"/>
          <w:szCs w:val="28"/>
          <w:rtl w:val="true"/>
          <w:lang w:bidi="fa-IR"/>
        </w:rPr>
        <w:t>الظلمة و یأمر بالمعروف و ینهی عن المنکر و یدعو الناس إلی اتّباعه؛ فمن قام بذلک مع</w:t>
      </w:r>
    </w:p>
    <w:p>
      <w:pPr>
        <w:pStyle w:val="BookText"/>
        <w:rPr/>
      </w:pPr>
      <w:r>
        <w:rPr>
          <w:rFonts w:ascii="IRNazanin" w:hAnsi="IRNazanin" w:eastAsia="IRNazanin"/>
          <w:color w:val="111111"/>
          <w:sz w:val="28"/>
          <w:sz w:val="28"/>
          <w:szCs w:val="28"/>
          <w:rtl w:val="true"/>
          <w:lang w:bidi="fa-IR"/>
        </w:rPr>
        <w:t>إحرازه الخلال و الأوصاف التی یجب وجودها فی الإمام فهو مفروض الطاعة علی الناس، و المتخلّف عنه هالک</w:t>
      </w:r>
      <w:r>
        <w:rPr>
          <w:rStyle w:val="FootnoteAnchor"/>
          <w:rtl w:val="true"/>
        </w:rPr>
        <w:footnoteReference w:id="251"/>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مناهج الیقین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المؤلّف رحمه‌الله مقالة الزیدیّة فی الإمامة، عن کتاب الشامل للإمام یحیی بن حمزة، و لم نعثر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الأوصاف التی یوجبون وجودها فی الإمام هی أن یکون عالما بأصول الدین، متمکّنا من إیراد الأدلّة و حلّ الشُّبَه فیما یرد من أمور الدیانة، محیطا بقواعد الشریعة،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مجتهدا فی فروعها حتّی تکون الحوادث صادرة عن رأیه و متوقّفة علی اجتهاده، و أن </w:t>
      </w:r>
    </w:p>
    <w:p>
      <w:pPr>
        <w:pStyle w:val="BookText"/>
        <w:rPr/>
      </w:pPr>
      <w:r>
        <w:rPr>
          <w:rFonts w:ascii="IRNazanin" w:hAnsi="IRNazanin" w:eastAsia="IRNazanin"/>
          <w:color w:val="111111"/>
          <w:sz w:val="28"/>
          <w:sz w:val="28"/>
          <w:szCs w:val="28"/>
          <w:rtl w:val="true"/>
          <w:lang w:bidi="fa-IR"/>
        </w:rPr>
        <w:t>یکون ذا رأی و تدبیر، متّصفا بالشجاعة و العدالة، و أن یکون ذا نسب قرشیّ فاطمیّ ؛ فکلّ من اتّصف بهذه الأوصاف و دعا إلی نفسه و إلی تجرید السیف لقتال الظلمة فهو إمام</w:t>
      </w:r>
    </w:p>
    <w:p>
      <w:pPr>
        <w:pStyle w:val="BookText"/>
        <w:rPr/>
      </w:pPr>
      <w:r>
        <w:rPr>
          <w:rFonts w:ascii="IRNazanin" w:hAnsi="IRNazanin" w:eastAsia="IRNazanin"/>
          <w:color w:val="111111"/>
          <w:sz w:val="28"/>
          <w:sz w:val="28"/>
          <w:szCs w:val="28"/>
          <w:rtl w:val="true"/>
          <w:lang w:bidi="fa-IR"/>
        </w:rPr>
        <w:t>یجب طاعته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یحیی المهدیّ جامع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مذهبهم تفضیل علیّ علیه‌السلام و أولویّته فی الإمامة و قَصْرها فی البطنَین، و استحقاقها بالفضل و الطلب لا بالوراثة،</w:t>
      </w:r>
    </w:p>
    <w:p>
      <w:pPr>
        <w:pStyle w:val="BookText"/>
        <w:rPr/>
      </w:pPr>
      <w:r>
        <w:rPr>
          <w:rFonts w:ascii="IRNazanin" w:hAnsi="IRNazanin" w:eastAsia="IRNazanin"/>
          <w:color w:val="111111"/>
          <w:sz w:val="28"/>
          <w:sz w:val="28"/>
          <w:szCs w:val="28"/>
          <w:rtl w:val="true"/>
          <w:lang w:bidi="fa-IR"/>
        </w:rPr>
        <w:t>و وجوب الخروج علی الجائرین، و القول بالعدل و التوحید و الوعد و الوعید؛ فهذه الأمور لایختلفون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افترقوا فی غیرها؛ فالجارودیّة أثبتوا النصّ علی علیّ علیه‌السلام بالوصف دون التسمیة، و کفّروا من خالف ذلک النصّ، و أثبتوا الإمامة فی البطنَین بالدعوة مع العلم و الفضل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الصالحیّة ذهبوا إلی أنّ الإمامة شوری تصحّ بالعقد و فی المفضول، و یقولون بإمامة الشیخین مع أولویّة علیّ علیه‌السلامعندهم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 متأخّروهم هاتین الفرقتین حیث أثبتوا إمامة علیّ علیه‌السلام بالنصّ الخفیّ، و خطّأوا المشایخ لمخالفته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افترقت الزیدیّة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عن أبی القاسم البلخیّ فی مقالاته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الزیدیّة مفترقون فی مذاهبهم إلی فِرَق، و معظمهم خمس فرق</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أنهی أبو الحسن علیّ بن الحسین المسعودیّ عدد فرقهم إلی ثمانی فرق</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أحمد ابن یحیی أنّ متأخّری الجارودیّة افترقوا إلی مطرفیّة، و حسینیّة، و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p>
    <w:p>
      <w:pPr>
        <w:pStyle w:val="BookText"/>
        <w:rPr/>
      </w:pPr>
      <w:r>
        <w:rPr>
          <w:rFonts w:ascii="IRNazanin" w:hAnsi="IRNazanin" w:eastAsia="IRNazanin"/>
          <w:color w:val="111111"/>
          <w:sz w:val="28"/>
          <w:sz w:val="28"/>
          <w:szCs w:val="28"/>
          <w:rtl w:val="true"/>
          <w:lang w:bidi="fa-IR"/>
        </w:rPr>
        <w:t>المطرفیّة أصحاب مطرف بن شهاب فارقوا الزیدیّة بمقالات فی أصول الدین کفّرهم بها کثیر من الزیدیّة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المظنون أنّ هذه الأقاویل سَرَت إلیهم من طریق القرامطة و الباطنیّة، و کانوا ظهروا</w:t>
      </w:r>
    </w:p>
    <w:p>
      <w:pPr>
        <w:pStyle w:val="BookText"/>
        <w:rPr/>
      </w:pPr>
      <w:r>
        <w:rPr>
          <w:rFonts w:ascii="Amiri" w:hAnsi="Amiri" w:eastAsia="Amiri" w:cs="Amiri"/>
          <w:color w:val="111111"/>
          <w:sz w:val="28"/>
          <w:sz w:val="28"/>
          <w:szCs w:val="28"/>
          <w:rtl w:val="true"/>
          <w:lang w:bidi="ar-SA"/>
        </w:rPr>
        <w:t>مدّةً ببلاد الیمن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لبعض أئمّة الزیدیّة القائمین بالیمن، مثل الناصر أبی الفتح الدیلمیّ، و المتوکّل أحمد بن سلیمان، ردود و مؤلّفات فی هذه الفرقة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متأخّرو الزیدیّة تسمّوا بالقاسمیّة و الناصریّة</w:t>
      </w:r>
      <w:r>
        <w:rPr>
          <w:rStyle w:val="FootnoteAnchor"/>
          <w:rtl w:val="true"/>
        </w:rPr>
        <w:footnoteReference w:id="261"/>
      </w:r>
      <w:r>
        <w:rPr>
          <w:rFonts w:ascii="IRNazanin" w:hAnsi="IRNazanin" w:eastAsia="IRNazanin"/>
          <w:color w:val="111111"/>
          <w:sz w:val="28"/>
          <w:sz w:val="28"/>
          <w:szCs w:val="28"/>
          <w:rtl w:val="true"/>
          <w:lang w:bidi="fa-IR"/>
        </w:rPr>
        <w:t>و غیرهما، نسبة إلی القاسم بن إبراهیم الرسّیّ من أئمّتهم القائمین بالیمن، و إلی الناصر الأُطروش الخارج بالدیلم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فِرَقهم تخطئة و تضلیل، حتّی ألقی المهدیّ أبو عبد اللّه الداعی إلیهم مسألة التصویب</w:t>
      </w:r>
    </w:p>
    <w:p>
      <w:pPr>
        <w:pStyle w:val="BookText"/>
        <w:rPr/>
      </w:pPr>
      <w:r>
        <w:rPr>
          <w:rFonts w:ascii="IRNazanin" w:hAnsi="IRNazanin" w:eastAsia="IRNazanin"/>
          <w:color w:val="111111"/>
          <w:sz w:val="28"/>
          <w:sz w:val="28"/>
          <w:szCs w:val="28"/>
          <w:rtl w:val="true"/>
          <w:lang w:bidi="fa-IR"/>
        </w:rPr>
        <w:t>فی الاجتهاد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قال العلاّمة الحلّیّ فی نهایة الوصول إلی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ق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الرابع فی حکم الاجتهاد، و فیه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حکم المجتهدین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الجاحظ و العنبریّ سائرَ المسلمین فی ذلک، فذهبا إلی أنّ کلّ مجتهد فی الأصول مصیب، سواء أخطأ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یریدا بذلک مطابقة الاعتقاد للمعتقَد؛ للعلم الضروریّ بفساده، بل نفی الإثم و الهروب عن عهدة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العلماء علی فساده و أنّه آثم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تأوّل بعض المعتزلة قول الجاحظ و العنبریّ بالحمل علی المسائل الکلامیّة المختلف فیها بین المسلمین و لایکفّر مخالفها، کمسألة الرؤیة و خلق الأعمال، و قِدم الکلام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الناحیة الأصولیّة من تلک المسألة قال الشارح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التی صارت معرکة للآراء بینهم، فذهب أصحابنا إلی أنّ للّه سبحانه فی کلّ واقعة حکما واحدا معیّنا، و المصیب واحد و مَن أخطأ فهو معذور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جمهور المخالفین إلی أنّه لا حکم معیّن للّه تعالی فیها، بل حکمه تابع لظنّ المجتهد و ظنّ کلّ مجتهد فیها حکم اللّه فی حقّه و حقّ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مجتهد مصیب لحکم اللّه غیر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الإصابة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و التصویب بجمیع تصوّراته باطل عند أصحابنا، و قد أقاموا علی بطلانه الأدلّة القاطعة و البراهین الساطعة فی کتبهم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نصوصهم المتواترة عن أئمّتهم علیهم‌السلام علی أنّ حکم اللّه سبحانه فی الوقائع واحد بحسب الواقع، و أنّ للّه تعالی فی کلّ واقعة حکما مخزونا عند أهله أصابه مَن أصابه و أخطأه من أخطأه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lang w:bidi="fa-IR"/>
        </w:rPr>
        <w:t>3:269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النصّ علی أنّ للّه تعالی فی کلّ واقعة حکما معیّنا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اللآلی لمحمّد بن علیّ بن أبی جمهور الأحسائیّ </w:t>
      </w:r>
      <w:r>
        <w:rPr>
          <w:rFonts w:eastAsia="IRNazanin" w:cs="IRNazanin"/>
          <w:color w:val="111111"/>
          <w:sz w:val="28"/>
          <w:szCs w:val="28"/>
          <w:lang w:bidi="fa-IR"/>
        </w:rPr>
        <w:t>4:137</w:t>
      </w:r>
      <w:r>
        <w:rPr>
          <w:rFonts w:ascii="IRNazanin" w:hAnsi="IRNazanin" w:eastAsia="IRNazanin"/>
          <w:color w:val="111111"/>
          <w:sz w:val="28"/>
          <w:sz w:val="28"/>
          <w:szCs w:val="28"/>
          <w:rtl w:val="true"/>
          <w:lang w:bidi="fa-IR"/>
        </w:rPr>
        <w:t xml:space="preserve">؛ الأربعین لمحمّد طاهر القمّیّ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صادفت دعوة الزیدیّة نجاحا عظیما و قبولاً من جهة أهل الدین و الفقه و الورع فی بدو أمرها حین قیام الأوّلین من أئمّة الزیدیّة؛ إذ کان قیامهم علی أساس الإنکار علی الظلمة و ولاة الجور المنابذین لأحکام الدین، فکان یوافق رغائب هؤلاء و أمثالهم من أهل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أفاض أبو الفرج الإصبهانیّ فی ذکر أخبار مَن خرج من أهل العلم و الفتوی و نقلة السنن و الآثار منهم، و مَن رأی الخروج معهم و أفتی الناس به و دعا الناس إلیهم،</w:t>
      </w:r>
    </w:p>
    <w:p>
      <w:pPr>
        <w:pStyle w:val="BookText"/>
        <w:rPr/>
      </w:pPr>
      <w:r>
        <w:rPr>
          <w:rFonts w:ascii="IRNazanin" w:hAnsi="IRNazanin" w:eastAsia="IRNazanin"/>
          <w:color w:val="111111"/>
          <w:sz w:val="28"/>
          <w:sz w:val="28"/>
          <w:szCs w:val="28"/>
          <w:rtl w:val="true"/>
          <w:lang w:bidi="fa-IR"/>
        </w:rPr>
        <w:t>و ذَکَر ما أصاب جملة من هؤلاء من العبّاسیّین من الاضطهاد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غالب مشایخ المعتزلة أیضا من المائلین إلی القول بإمامتهم، إذ مناط صحّة الإمامة علی طریقتهم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العقد و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موجودا فیهم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لاتّصال المعتزلة بالزیدیّة سبب تاریخیّ آخر أیضا، هو أنّ زید بن علیّ علیه‌السلام کان معاصرا لواصل بن عطاء شیخ المعتزلة الممهّد طریقة الاعتزال، فاقتبس منه بعض آرائه و وافقه فیها، فکان ذلک من الأسباب الداعیة لتقریب الزیدیّة من المعتزلة و أهل العدل،</w:t>
      </w:r>
    </w:p>
    <w:p>
      <w:pPr>
        <w:pStyle w:val="BookText"/>
        <w:rPr/>
      </w:pPr>
      <w:r>
        <w:rPr>
          <w:rFonts w:ascii="IRNazanin" w:hAnsi="IRNazanin" w:eastAsia="IRNazanin"/>
          <w:color w:val="111111"/>
          <w:sz w:val="28"/>
          <w:sz w:val="28"/>
          <w:szCs w:val="28"/>
          <w:rtl w:val="true"/>
          <w:lang w:bidi="fa-IR"/>
        </w:rPr>
        <w:t>و صار غالب الزیدیّة علی طریقة المعتزلة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الفروع فهم یوافقون الحنفیّة</w:t>
      </w:r>
    </w:p>
    <w:p>
      <w:pPr>
        <w:pStyle w:val="BookText"/>
        <w:rPr/>
      </w:pPr>
      <w:r>
        <w:rPr>
          <w:rFonts w:ascii="IRNazanin" w:hAnsi="IRNazanin" w:eastAsia="IRNazanin"/>
          <w:color w:val="111111"/>
          <w:sz w:val="28"/>
          <w:sz w:val="28"/>
          <w:szCs w:val="28"/>
          <w:rtl w:val="true"/>
          <w:lang w:bidi="fa-IR"/>
        </w:rPr>
        <w:t>فی غالبها، و یوافقون الشافعیّة فی أُخَر منها، و لهم بعض آراء یعملون فیها بآرائهم</w:t>
      </w:r>
    </w:p>
    <w:p>
      <w:pPr>
        <w:pStyle w:val="BookText"/>
        <w:rPr/>
      </w:pPr>
      <w:r>
        <w:rPr>
          <w:rFonts w:ascii="IRNazanin" w:hAnsi="IRNazanin" w:eastAsia="IRNazanin"/>
          <w:color w:val="111111"/>
          <w:sz w:val="28"/>
          <w:sz w:val="28"/>
          <w:szCs w:val="28"/>
          <w:rtl w:val="true"/>
          <w:lang w:bidi="fa-IR"/>
        </w:rPr>
        <w:t>و اجتهاداتهم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تصفّح کتب أئمّة الزیدیّة و علمائهم فی الکلام یجدها غالبا کلمات شیوخ </w:t>
      </w:r>
      <w:bookmarkStart w:id="137" w:name="pg4793_55665"/>
    </w:p>
    <w:p>
      <w:pPr>
        <w:pStyle w:val="BookText"/>
        <w:rPr/>
      </w:pPr>
      <w:bookmarkEnd w:id="137"/>
      <w:r>
        <w:rPr>
          <w:rFonts w:ascii="IRNazanin" w:hAnsi="IRNazanin" w:eastAsia="IRNazanin"/>
          <w:color w:val="111111"/>
          <w:sz w:val="28"/>
          <w:sz w:val="28"/>
          <w:szCs w:val="28"/>
          <w:rtl w:val="true"/>
          <w:lang w:bidi="fa-IR"/>
        </w:rPr>
        <w:t>المعتزلة کالجبائیّین و أبی رشید النیشابوریّ و أبی الحسین البصریّ و أمثالهم، و هم</w:t>
      </w:r>
    </w:p>
    <w:p>
      <w:pPr>
        <w:pStyle w:val="BookText"/>
        <w:rPr/>
      </w:pPr>
      <w:r>
        <w:rPr>
          <w:rFonts w:ascii="IRNazanin" w:hAnsi="IRNazanin" w:eastAsia="IRNazanin"/>
          <w:color w:val="111111"/>
          <w:sz w:val="28"/>
          <w:sz w:val="28"/>
          <w:szCs w:val="28"/>
          <w:rtl w:val="true"/>
          <w:lang w:bidi="fa-IR"/>
        </w:rPr>
        <w:t>أنفسهم یصرّحون بذلک</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المبسوط فی تاریخ هذه الفرقة و آرائها ممّا لایحتمله المقام</w:t>
      </w:r>
      <w:r>
        <w:rPr>
          <w:rFonts w:eastAsia="IRNazanin" w:cs="IRNazanin"/>
          <w:color w:val="111111"/>
          <w:sz w:val="28"/>
          <w:szCs w:val="28"/>
          <w:rtl w:val="true"/>
          <w:lang w:bidi="fa-IR"/>
        </w:rPr>
        <w:t>.</w:t>
      </w:r>
    </w:p>
    <w:p>
      <w:pPr>
        <w:pStyle w:val="Heading4"/>
        <w:numPr>
          <w:ilvl w:val="3"/>
          <w:numId w:val="1"/>
        </w:numPr>
        <w:rPr/>
      </w:pPr>
      <w:bookmarkStart w:id="138" w:name="__RefHeading___Toc2295241_2035185390"/>
      <w:bookmarkStart w:id="139" w:name="_Toc50"/>
      <w:bookmarkEnd w:id="138"/>
      <w:r>
        <w:rPr>
          <w:rtl w:val="true"/>
        </w:rPr>
        <w:t xml:space="preserve">الإسماعیلیّة </w:t>
      </w:r>
      <w:r>
        <w:rPr>
          <w:rtl w:val="true"/>
        </w:rPr>
        <w:t>[</w:t>
      </w:r>
      <w:r>
        <w:rPr>
          <w:rtl w:val="true"/>
        </w:rPr>
        <w:t>فِرَقها و منشأها</w:t>
      </w:r>
      <w:r>
        <w:rPr>
          <w:rtl w:val="true"/>
        </w:rPr>
        <w:t>]</w:t>
      </w:r>
      <w:bookmarkEnd w:id="139"/>
    </w:p>
    <w:p>
      <w:pPr>
        <w:pStyle w:val="BookText"/>
        <w:rPr/>
      </w:pPr>
      <w:r>
        <w:rPr>
          <w:rFonts w:ascii="IRNazanin" w:hAnsi="IRNazanin" w:eastAsia="IRNazanin"/>
          <w:color w:val="111111"/>
          <w:sz w:val="28"/>
          <w:sz w:val="28"/>
          <w:szCs w:val="28"/>
          <w:rtl w:val="true"/>
          <w:lang w:bidi="fa-IR"/>
        </w:rPr>
        <w:t>منشأ افتراق هذه الفرقة أنّ إسماعیل بن الإمام جعفر الصادق علیه‌السلام کان أکبر أولاده علیه‌السلام، و کان أبوه شدید المحبّة له و کثیر البرّ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ما یرونه من شفقة أبیه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 أنّه الإمام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أیّام حیاة الصادق علیه‌السلام بموضع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المدینة، و حُمل إلی المدینة علی رقاب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w:t>
      </w:r>
    </w:p>
    <w:p>
      <w:pPr>
        <w:pStyle w:val="BookText"/>
        <w:rPr/>
      </w:pPr>
      <w:r>
        <w:rPr>
          <w:rFonts w:ascii="IRNazanin" w:hAnsi="IRNazanin" w:eastAsia="IRNazanin"/>
          <w:color w:val="111111"/>
          <w:sz w:val="28"/>
          <w:sz w:val="28"/>
          <w:szCs w:val="28"/>
          <w:rtl w:val="true"/>
          <w:lang w:bidi="fa-IR"/>
        </w:rPr>
        <w:t>الصادق علیه‌السلامحزن عند موته حزنا عظیما، و تقدّم سریره بغیر حذاء و لا رداء، و أمر بوضع سریره علی الأرض و کشف عن وجهه و نظر إلیه، ثمّ حُمل حتّی دُفن بالبقیع</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إسماعیل انصرف من کان یظنّ فیه الإمامة من أصحاب أبیه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الأخبار الواردة فی الغَیبة قد شاعت و اشتهرت بین الشیعة، فوجد أصحاب الأهواء مجالاً لأغراضهم، فألقوا إلی شرذمة قلیلة لم یکونوا من أهل النظر أنّه لم یمت،</w:t>
      </w:r>
    </w:p>
    <w:p>
      <w:pPr>
        <w:pStyle w:val="BookText"/>
        <w:rPr/>
      </w:pPr>
      <w:r>
        <w:rPr>
          <w:rFonts w:ascii="IRNazanin" w:hAnsi="IRNazanin" w:eastAsia="IRNazanin"/>
          <w:color w:val="111111"/>
          <w:sz w:val="28"/>
          <w:sz w:val="28"/>
          <w:szCs w:val="28"/>
          <w:rtl w:val="true"/>
          <w:lang w:bidi="fa-IR"/>
        </w:rPr>
        <w:t>و أنّ أباه خاف علیه فغیّبه و سَتَره عن الناس، فاعتقدوا ذلک و قالوا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الفرقة هی الإسماعیلیّة الخالصة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مولاً لإسماعیل أظهر القولَ بأنّ إسماعیل صحّت وفاته، و أنّ أمر الإمامة کان له فی حیاة أبیه، فلمّا مضی نصّ علی ابنه محمّد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40" w:name="pg4793_55667"/>
    </w:p>
    <w:p>
      <w:pPr>
        <w:pStyle w:val="BookText"/>
        <w:rPr/>
      </w:pPr>
      <w:bookmarkEnd w:id="140"/>
      <w:r>
        <w:rPr>
          <w:rFonts w:ascii="IRNazanin" w:hAnsi="IRNazanin" w:eastAsia="IRNazanin"/>
          <w:color w:val="111111"/>
          <w:sz w:val="28"/>
          <w:sz w:val="28"/>
          <w:szCs w:val="28"/>
          <w:rtl w:val="true"/>
          <w:lang w:bidi="fa-IR"/>
        </w:rPr>
        <w:t>ثمّ رأی بعض هؤلاء أنّ ذلک لایجدی، إذ لم یستقرّ أمر الإمامة فیه حتّی یقع التنصیص منه علی غیره، فعدلوا عن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نصّ علی محمّد هو الصادق علیه‌السلام</w:t>
      </w:r>
    </w:p>
    <w:p>
      <w:pPr>
        <w:pStyle w:val="BookText"/>
        <w:rPr/>
      </w:pPr>
      <w:r>
        <w:rPr>
          <w:rFonts w:ascii="IRNazanin" w:hAnsi="IRNazanin" w:eastAsia="IRNazanin"/>
          <w:color w:val="111111"/>
          <w:sz w:val="28"/>
          <w:sz w:val="28"/>
          <w:szCs w:val="28"/>
          <w:rtl w:val="true"/>
          <w:lang w:bidi="fa-IR"/>
        </w:rPr>
        <w:t>دون إسماعیل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هولاء الفرق الثلاث هم الإسماعیلیّة المعدودون من الفِرَق الشاذّة عن نظام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الفقرات المنقولة توضح أنّ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أکبر أولاد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یظنّون الناس انتقال الإمامة إلیه بعد أبیه، فلمّا مات وَلَّد الموالون له القولَ بوجود النصّ علیه أو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فیما أسلفنا ذکره من صنیع الصادق علیه‌السلامعند موت إسماعیل ما یکشف عن أنّه علیه‌السلامکان بلغه أغراض هؤلاء الأشخاص، و انکشف له ما یریدون من إلقاء الشبهة علی الشیعة و تفتینهم عن الحقّ و سبیله، فکان فیما صنعه تثبیت أمر وفاته و التأکید علی رفع الشبهة عن عامّة الشیعة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انتحل أقاویل هذه الفرقة بعد ذلک أقوام من القرامطة و الباطنیّة، و مزجوها بأقاویل الملاحدة و آراء الفلاسفة ممّا لایناسب التطویل بها فی المقام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295243_2035185390"/>
      <w:bookmarkStart w:id="142" w:name="_Toc51"/>
      <w:bookmarkEnd w:id="141"/>
      <w:r>
        <w:rPr>
          <w:rtl w:val="true"/>
        </w:rPr>
        <w:t xml:space="preserve">الفطحیّة </w:t>
      </w:r>
      <w:r>
        <w:rPr>
          <w:rtl w:val="true"/>
        </w:rPr>
        <w:t>[</w:t>
      </w:r>
      <w:r>
        <w:rPr>
          <w:rtl w:val="true"/>
        </w:rPr>
        <w:t>ظهورها و انقراضها</w:t>
      </w:r>
      <w:r>
        <w:rPr>
          <w:rtl w:val="true"/>
        </w:rPr>
        <w:t>]</w:t>
      </w:r>
      <w:bookmarkEnd w:id="142"/>
    </w:p>
    <w:p>
      <w:pPr>
        <w:pStyle w:val="BookText"/>
        <w:rPr/>
      </w:pPr>
      <w:r>
        <w:rPr>
          <w:rFonts w:ascii="IRNazanin" w:hAnsi="IRNazanin" w:eastAsia="IRNazanin"/>
          <w:color w:val="111111"/>
          <w:sz w:val="28"/>
          <w:sz w:val="28"/>
          <w:szCs w:val="28"/>
          <w:rtl w:val="true"/>
          <w:lang w:bidi="fa-IR"/>
        </w:rPr>
        <w:t>هم الذین قالوا بإمامة عبد اللّه بن جعفر الصادق علیه‌السلام، و کان أکبر أولاده علیه‌السلام حین وفاته، و لم تکن منزلته عند أبیه کمنزلة سائر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یخالط الحشویّة و یمیل إلی</w:t>
      </w:r>
    </w:p>
    <w:p>
      <w:pPr>
        <w:pStyle w:val="BookText"/>
        <w:rPr/>
      </w:pPr>
      <w:r>
        <w:rPr>
          <w:rFonts w:ascii="IRNazanin" w:hAnsi="IRNazanin" w:eastAsia="IRNazanin"/>
          <w:color w:val="111111"/>
          <w:sz w:val="28"/>
          <w:sz w:val="28"/>
          <w:szCs w:val="28"/>
          <w:rtl w:val="true"/>
          <w:lang w:bidi="fa-IR"/>
        </w:rPr>
        <w:t>مذهب المرجئة، فکان بذلک متّهما بالخلاف علی أبیه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الصادق علیه‌السلام یتّقیه، و ینهی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یجب فیه التقیّة</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بهجة الآمال لملاّ علیّ العلیاریّ التبریزیّ </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ادّعی الإمامةَ بعد الصادق، فاتّبعه علی قوله جماعة من أصحاب أبیه، ثمّ رجع </w:t>
      </w:r>
      <w:bookmarkStart w:id="143" w:name="pg4793_55669"/>
    </w:p>
    <w:p>
      <w:pPr>
        <w:pStyle w:val="BookText"/>
        <w:rPr/>
      </w:pPr>
      <w:bookmarkEnd w:id="143"/>
      <w:r>
        <w:rPr>
          <w:rFonts w:ascii="IRNazanin" w:hAnsi="IRNazanin" w:eastAsia="IRNazanin"/>
          <w:color w:val="111111"/>
          <w:sz w:val="28"/>
          <w:sz w:val="28"/>
          <w:szCs w:val="28"/>
          <w:rtl w:val="true"/>
          <w:lang w:bidi="fa-IR"/>
        </w:rPr>
        <w:t>أکثرهم بعد ذلک إلی القول بإمامة موسی بن جعفر علیهماالسلام، بعد ما تبیّن لهم ضعف دعوی عبد اللّه و قوّة أمر أخیه و صریح نصوص إمامته</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تمایل إلی إمامة عبد اللّه جمع من</w:t>
      </w:r>
    </w:p>
    <w:p>
      <w:pPr>
        <w:pStyle w:val="BookText"/>
        <w:rPr/>
      </w:pPr>
      <w:r>
        <w:rPr>
          <w:rFonts w:ascii="IRNazanin" w:hAnsi="IRNazanin" w:eastAsia="IRNazanin"/>
          <w:color w:val="111111"/>
          <w:sz w:val="28"/>
          <w:sz w:val="28"/>
          <w:szCs w:val="28"/>
          <w:rtl w:val="true"/>
          <w:lang w:bidi="fa-IR"/>
        </w:rPr>
        <w:t>مشایخ الشیعة، فمات بعد وفاة الصادق علیه‌السلامبسبعین یوما، فرجع أصحابه عن القول بإمامته إلی القول بإمامة موسی بن جعفر علیه‌السلام سوی نفر یسیر منهم ثبتوا علی إمامته، ثمّ إمامة موسی علیه‌السلام من بعده، و هم عبد اللّه بن بکیر بن أعین و عمّار بن موسی الساباطیّ و جماعة أخری</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تلبث مقالة الفطحیّة إلاّ یسیرا حتّی اضمحلّت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أشرنا سابقا إلی أنّ منشأ تمایل هؤلاء إلی عبد اللّه و القول بإمامته کان من أجل</w:t>
      </w:r>
    </w:p>
    <w:p>
      <w:pPr>
        <w:pStyle w:val="BookText"/>
        <w:rPr/>
      </w:pPr>
      <w:r>
        <w:rPr>
          <w:rFonts w:ascii="IRNazanin" w:hAnsi="IRNazanin" w:eastAsia="IRNazanin"/>
          <w:color w:val="111111"/>
          <w:sz w:val="28"/>
          <w:sz w:val="28"/>
          <w:szCs w:val="28"/>
          <w:rtl w:val="true"/>
          <w:lang w:bidi="fa-IR"/>
        </w:rPr>
        <w:t>الشبهة الحاصلة لهم من ثبوت الإمامة فی أکبر أولاد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وجوه أصحاب الصادق أبی عبد اللّه علیه‌السلامو أهل العلم و أصحاب النظر و الفقه منهم فما زالوا علی القول بإمامة موسی علیه‌السلام من أوّل الأمر، و أنکروا إمامة عبد اللّه و خطّأوه فی ادّعائه لذلک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295245_2035185390"/>
      <w:bookmarkStart w:id="145" w:name="_Toc52"/>
      <w:bookmarkEnd w:id="144"/>
      <w:r>
        <w:rPr>
          <w:rtl w:val="true"/>
        </w:rPr>
        <w:t xml:space="preserve">الواقفیّة أو الواقفة </w:t>
      </w:r>
      <w:r>
        <w:rPr>
          <w:rtl w:val="true"/>
        </w:rPr>
        <w:t>[</w:t>
      </w:r>
      <w:r>
        <w:rPr>
          <w:rtl w:val="true"/>
        </w:rPr>
        <w:t>و السبب الأصلیّ لنشوئها و انقراضها</w:t>
      </w:r>
      <w:r>
        <w:rPr>
          <w:rtl w:val="true"/>
        </w:rPr>
        <w:t>]</w:t>
      </w:r>
      <w:bookmarkEnd w:id="145"/>
    </w:p>
    <w:p>
      <w:pPr>
        <w:pStyle w:val="BookText"/>
        <w:rPr/>
      </w:pPr>
      <w:r>
        <w:rPr>
          <w:rFonts w:ascii="IRNazanin" w:hAnsi="IRNazanin" w:eastAsia="IRNazanin"/>
          <w:color w:val="111111"/>
          <w:sz w:val="28"/>
          <w:sz w:val="28"/>
          <w:szCs w:val="28"/>
          <w:rtl w:val="true"/>
          <w:lang w:bidi="fa-IR"/>
        </w:rPr>
        <w:t>هم الذین قالوا بأنّ الإمام أبا إبراهیم موسی بن جعفر علیه‌السلام، هو المهدیّ المنتظر، و أنّه حیّ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سُمُّوا بالواقفة لأجل وقوفهم علیه و عدم ائتمامهم بعده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w:t>
      </w:r>
    </w:p>
    <w:p>
      <w:pPr>
        <w:pStyle w:val="BookText"/>
        <w:rPr/>
      </w:pPr>
      <w:r>
        <w:rPr>
          <w:rFonts w:ascii="IRNazanin" w:hAnsi="IRNazanin" w:eastAsia="IRNazanin"/>
          <w:color w:val="111111"/>
          <w:sz w:val="28"/>
          <w:sz w:val="28"/>
          <w:szCs w:val="28"/>
          <w:rtl w:val="true"/>
          <w:lang w:bidi="fa-IR"/>
        </w:rPr>
        <w:t>لنشوء هذا القول سببان أصلیّان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کان قد شاعت بین الشیعة الأخبارُ الواردة فی قیام القائم و أنّه یغیب و یستتر عن الناس مدّة طویلة إلی أن یأذن اللّه له فی الظهور، فیقوم بالسیف حتّی یملک</w:t>
      </w:r>
    </w:p>
    <w:p>
      <w:pPr>
        <w:pStyle w:val="BookText"/>
        <w:rPr/>
      </w:pPr>
      <w:r>
        <w:rPr>
          <w:rFonts w:ascii="IRNazanin" w:hAnsi="IRNazanin" w:eastAsia="IRNazanin"/>
          <w:color w:val="111111"/>
          <w:sz w:val="28"/>
          <w:sz w:val="28"/>
          <w:szCs w:val="28"/>
          <w:rtl w:val="true"/>
          <w:lang w:bidi="fa-IR"/>
        </w:rPr>
        <w:t>شرق الأرض و غربها و یملأها عدلاً بعد ما ملئت ظلما و جورا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اتّفق أنّ موسی بن جعفر علیه‌السلام وقع له، من جهة حبس الرشید إیّاه فی بغداد سنین کثیرة، ما هو معروف، فنشأت الشبهة لعوامّ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ذاک القائم </w:t>
      </w:r>
    </w:p>
    <w:p>
      <w:pPr>
        <w:pStyle w:val="BookText"/>
        <w:rPr/>
      </w:pPr>
      <w:r>
        <w:rPr>
          <w:rFonts w:ascii="IRNazanin" w:hAnsi="IRNazanin" w:eastAsia="IRNazanin"/>
          <w:color w:val="111111"/>
          <w:sz w:val="28"/>
          <w:sz w:val="28"/>
          <w:szCs w:val="28"/>
          <w:rtl w:val="true"/>
          <w:lang w:bidi="fa-IR"/>
        </w:rPr>
        <w:t>المنتظر، و أنّ ذلک الاستتار فی الحبس هو الغَیبة الموعودة المترقّبة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انضاف إلی ذلک أنّه کان سُئل الصادق علیه‌السلامعمّن یقوم بأمر الإمامة بعده، فأشار إلی موسی علیه‌السلام و أنّه القائم بعده</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العادة جاریة لسؤال الشیعةِ الأئمّةَ فی ذلک، و کان کلّ إمام قائما بأمر الإمامة و صاحب الأمر فی عصره</w:t>
      </w:r>
      <w:r>
        <w:rPr>
          <w:rStyle w:val="FootnoteAnchor"/>
          <w:rtl w:val="true"/>
        </w:rPr>
        <w:footnoteReference w:id="281"/>
      </w:r>
      <w:r>
        <w:rPr>
          <w:rFonts w:ascii="IRNazanin" w:hAnsi="IRNazanin" w:eastAsia="IRNazanin"/>
          <w:color w:val="111111"/>
          <w:sz w:val="28"/>
          <w:sz w:val="28"/>
          <w:szCs w:val="28"/>
          <w:rtl w:val="true"/>
          <w:lang w:bidi="fa-IR"/>
        </w:rPr>
        <w:t>، فأخذت الواقفة هذه الأخبار و أوّلوها إلی ما یوافق آراءهم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السبب الأصیل و المنشأ المهمّ لظهور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علیه‌السلام لمّا حبسه الرشید کان اجتمع عند جماعة من وکلائه و قوّامه مالٌ کثیر، فکان عند علیّ بن أبی</w:t>
      </w:r>
    </w:p>
    <w:p>
      <w:pPr>
        <w:pStyle w:val="BookText"/>
        <w:rPr/>
      </w:pPr>
      <w:r>
        <w:rPr>
          <w:rFonts w:ascii="IRNazanin" w:hAnsi="IRNazanin" w:eastAsia="IRNazanin"/>
          <w:color w:val="111111"/>
          <w:sz w:val="28"/>
          <w:sz w:val="28"/>
          <w:szCs w:val="28"/>
          <w:rtl w:val="true"/>
          <w:lang w:bidi="fa-IR"/>
        </w:rPr>
        <w:t xml:space="preserve">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أظهر هذا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ألف دینار، و عند زیاد بن</w:t>
      </w:r>
    </w:p>
    <w:p>
      <w:pPr>
        <w:pStyle w:val="BookText"/>
        <w:rPr/>
      </w:pPr>
      <w:r>
        <w:rPr>
          <w:rFonts w:ascii="IRNazanin" w:hAnsi="IRNazanin" w:eastAsia="IRNazanin"/>
          <w:color w:val="111111"/>
          <w:sz w:val="28"/>
          <w:sz w:val="28"/>
          <w:szCs w:val="28"/>
          <w:rtl w:val="true"/>
          <w:lang w:bidi="fa-IR"/>
        </w:rPr>
        <w:t>مروان القندیّ سبعون ألف دینار، و عند عثمان بن عیسی الرواسیّ ثلاثون ألف دینار و خمس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طالبهم الرضا علیه‌السلام بعد وفاة موسی علیه‌السلام بتلک الأموال أنکروا موته و جحدوا إمامته علیه‌السلام</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هؤلاء أنفسهم کانوا ممّن سمعوا النصّ علی إمامته علیه‌السلاممن أبیه و نقلوه إلی سائر الشیعة، لکن حرصهم و رغبتهم فی حطام الدنیا دعتهم إلی إنکار ما سمعوه و إلی جحده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بعد إظهار هذه المقالة استمالوا قوما آخرین من الشیعة و بذلوا لهم شیئا من تلک الأموال التی اختانوها</w:t>
      </w:r>
      <w:r>
        <w:rPr>
          <w:rStyle w:val="FootnoteAnchor"/>
          <w:rtl w:val="true"/>
        </w:rPr>
        <w:footnoteReference w:id="284"/>
      </w:r>
      <w:r>
        <w:rPr>
          <w:rFonts w:ascii="IRNazanin" w:hAnsi="IRNazanin" w:eastAsia="IRNazanin"/>
          <w:color w:val="111111"/>
          <w:sz w:val="28"/>
          <w:sz w:val="28"/>
          <w:szCs w:val="28"/>
          <w:rtl w:val="true"/>
          <w:lang w:bidi="fa-IR"/>
        </w:rPr>
        <w:t>، فأجابوهم إلی ذلک، و بذلوا لجماعة أخری من شیوخ الشیعة أموالاً جزیلة لأجل الدخول فی مقالتهم، فامتنعوا و ثبتوا علی ما کانوا علیه،</w:t>
      </w:r>
    </w:p>
    <w:p>
      <w:pPr>
        <w:pStyle w:val="BookText"/>
        <w:rPr/>
      </w:pPr>
      <w:r>
        <w:rPr>
          <w:rFonts w:ascii="IRNazanin" w:hAnsi="IRNazanin" w:eastAsia="IRNazanin"/>
          <w:color w:val="111111"/>
          <w:sz w:val="28"/>
          <w:sz w:val="28"/>
          <w:szCs w:val="28"/>
          <w:rtl w:val="true"/>
          <w:lang w:bidi="fa-IR"/>
        </w:rPr>
        <w:t>فأضمرت الواقفة لهم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أوقعوا بذلک جماعة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لم یکن لهم بصیرة فی تمییز الحقّ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و الضلال؛ إذ رَوَوا بعد ذلک أخبارا موضوعة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أوّلوا جملة أخری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معانٍ و محامل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یوافق أغراضهم، </w:t>
      </w:r>
    </w:p>
    <w:p>
      <w:pPr>
        <w:pStyle w:val="BookText"/>
        <w:rPr/>
      </w:pPr>
      <w:r>
        <w:rPr>
          <w:rFonts w:ascii="IRNazanin" w:hAnsi="IRNazanin" w:eastAsia="IRNazanin"/>
          <w:color w:val="111111"/>
          <w:sz w:val="28"/>
          <w:sz w:val="28"/>
          <w:szCs w:val="28"/>
          <w:rtl w:val="true"/>
          <w:lang w:bidi="fa-IR"/>
        </w:rPr>
        <w:t>فکان سببا لضلال من ذکرناهم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رجع جماعة من القول بالوقف، بعد ما شاهدوا من أعلام الرضا علیه‌السلام الدالّة علی</w:t>
      </w:r>
    </w:p>
    <w:p>
      <w:pPr>
        <w:pStyle w:val="BookText"/>
        <w:rPr/>
      </w:pPr>
      <w:r>
        <w:rPr>
          <w:rFonts w:ascii="IRNazanin" w:hAnsi="IRNazanin" w:eastAsia="IRNazanin"/>
          <w:color w:val="111111"/>
          <w:sz w:val="28"/>
          <w:sz w:val="28"/>
          <w:szCs w:val="28"/>
          <w:rtl w:val="true"/>
          <w:lang w:bidi="fa-IR"/>
        </w:rPr>
        <w:t>صحّة إمامته ما لزمتهم به الحجّة، و فیهم جماعة من أصحاب أبیه و جماعة غیرهم ممّن کان فی عصره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ذکروا أنّ بعض هؤلاء الذین کان عندهم الأموال کانوا اشتروا بما عندهم منها الدُّورَ و العقارات و الغلاّت، ثمّ أوصَوا عند موتهم بدفع کلّ ذلک إلی ورثة موسی بن جعفر</w:t>
      </w:r>
    </w:p>
    <w:p>
      <w:pPr>
        <w:pStyle w:val="BookText"/>
        <w:rPr/>
      </w:pPr>
      <w:r>
        <w:rPr>
          <w:rFonts w:ascii="IRNazanin" w:hAnsi="IRNazanin" w:eastAsia="IRNazanin"/>
          <w:color w:val="111111"/>
          <w:sz w:val="28"/>
          <w:sz w:val="28"/>
          <w:szCs w:val="28"/>
          <w:rtl w:val="true"/>
          <w:lang w:bidi="fa-IR"/>
        </w:rPr>
        <w:t>علیه‌السلام، فاستبانت بذلک جلیّة الحال، و عُلم أنّ ذلک کان حرصا منهم علی الأموال و بقائها فی أیدیهم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سمّیت الواقفة بالمَمطورة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سبب ذلک أنّ علیّ بن إسماعیل المیثمیّ و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متکلّمی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بعض هؤلاء الواقفة، فقال</w:t>
      </w:r>
    </w:p>
    <w:p>
      <w:pPr>
        <w:pStyle w:val="BookText"/>
        <w:rPr/>
      </w:pPr>
      <w:r>
        <w:rPr>
          <w:rFonts w:ascii="IRNazanin" w:hAnsi="IRNazanin" w:eastAsia="IRNazanin"/>
          <w:color w:val="111111"/>
          <w:sz w:val="28"/>
          <w:sz w:val="28"/>
          <w:szCs w:val="28"/>
          <w:rtl w:val="true"/>
          <w:lang w:bidi="fa-IR"/>
        </w:rPr>
        <w:t>علیّ بن إسماعیل له عند اشتداد الکلام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کلاب ممطورة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فلزمهم هذا</w:t>
      </w:r>
    </w:p>
    <w:p>
      <w:pPr>
        <w:pStyle w:val="BookText"/>
        <w:rPr/>
      </w:pPr>
      <w:r>
        <w:rPr>
          <w:rFonts w:ascii="IRNazanin" w:hAnsi="IRNazanin" w:eastAsia="IRNazanin"/>
          <w:color w:val="111111"/>
          <w:sz w:val="28"/>
          <w:sz w:val="28"/>
          <w:szCs w:val="28"/>
          <w:rtl w:val="true"/>
          <w:lang w:bidi="fa-IR"/>
        </w:rPr>
        <w:t>اللقب و صاروا بعد ذلک یُعرفون به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انقرضت هذه الفرقة حوالَی القرن الرابع، و لم یَبقَ من ینتحل مقالتهم</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منهم مؤلّفون ألّفوا فی مذهبهم کتبا أوردوا فیها الأخبار التی أسلفنا الإشارة إلیها، و جُلّ رواتها ممّن طُعن فیهم و لا یوثق بأقوالهم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مؤلّفی کتبهم علیّ بن أحمد الموسویّ، له کتاب فی نصرة الواقفة نقل منه الشیخ أبو جعفر محمّد بن الحسن الطوسیّ أخبارا تعلّقوا بها، و أظهر عللها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صنّف فی الردّ علیهم جماعة من قدماء الإمامیّة و متأخّریهم، و مصنّفاتهم </w:t>
      </w:r>
    </w:p>
    <w:p>
      <w:pPr>
        <w:pStyle w:val="BookText"/>
        <w:rPr/>
      </w:pPr>
      <w:r>
        <w:rPr>
          <w:rFonts w:ascii="IRNazanin" w:hAnsi="IRNazanin" w:eastAsia="IRNazanin"/>
          <w:color w:val="111111"/>
          <w:sz w:val="28"/>
          <w:sz w:val="28"/>
          <w:szCs w:val="28"/>
          <w:rtl w:val="true"/>
          <w:lang w:bidi="fa-IR"/>
        </w:rPr>
        <w:t>مذکورة فی کتب الإمامیّة و فهارس رجالهم و کتبهم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الفرق التی ثبت وجودها و تحقّق من شواهد الآثار أقاویلها و أشخاصها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سواها ممّن ذکرت فی کتب المقالات أسماؤها و نسب إلیها من الأقاویل المختلفة، فمجرّد حکایات و انتسابات إلی أقوام لایعرف لها نصیب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انقراض بعض من کان موجودا من فِرقها و اضمحلال أقاویلها، و بقاء جملة منها مع تطوّر فی آرائها</w:t>
      </w:r>
      <w:r>
        <w:rPr>
          <w:rFonts w:eastAsia="IRNazanin" w:cs="IRNazanin"/>
          <w:color w:val="111111"/>
          <w:sz w:val="28"/>
          <w:szCs w:val="28"/>
          <w:rtl w:val="true"/>
          <w:lang w:bidi="fa-IR"/>
        </w:rPr>
        <w:t xml:space="preserve">. </w:t>
      </w:r>
      <w:bookmarkStart w:id="146" w:name="pg4793_55676"/>
    </w:p>
    <w:p>
      <w:pPr>
        <w:pStyle w:val="Heading2"/>
        <w:numPr>
          <w:ilvl w:val="1"/>
          <w:numId w:val="1"/>
        </w:numPr>
        <w:rPr/>
      </w:pPr>
      <w:bookmarkStart w:id="147" w:name="__RefHeading___Toc2295247_2035185390"/>
      <w:bookmarkStart w:id="148" w:name="_Toc53"/>
      <w:bookmarkEnd w:id="146"/>
      <w:bookmarkEnd w:id="147"/>
      <w:r>
        <w:rPr>
          <w:rtl w:val="true"/>
        </w:rPr>
        <w:t>الباب الثانی</w:t>
      </w:r>
      <w:r>
        <w:rPr>
          <w:rtl w:val="true"/>
        </w:rPr>
        <w:t xml:space="preserve">: </w:t>
      </w:r>
      <w:r>
        <w:rPr>
          <w:rtl w:val="true"/>
        </w:rPr>
        <w:t>الغلاة</w:t>
      </w:r>
      <w:bookmarkEnd w:id="148"/>
    </w:p>
    <w:p>
      <w:pPr>
        <w:pStyle w:val="Heading3"/>
        <w:numPr>
          <w:ilvl w:val="2"/>
          <w:numId w:val="1"/>
        </w:numPr>
        <w:rPr/>
      </w:pPr>
      <w:bookmarkStart w:id="149" w:name="__RefHeading___Toc2295249_2035185390"/>
      <w:bookmarkStart w:id="150" w:name="_Toc54"/>
      <w:bookmarkEnd w:id="149"/>
      <w:r>
        <w:rPr>
          <w:rtl w:val="true"/>
        </w:rPr>
        <w:t>اشارة</w:t>
      </w:r>
      <w:bookmarkEnd w:id="1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bookmarkStart w:id="151" w:name="pg4793_55678"/>
    </w:p>
    <w:p>
      <w:pPr>
        <w:pStyle w:val="Heading3"/>
        <w:numPr>
          <w:ilvl w:val="2"/>
          <w:numId w:val="1"/>
        </w:numPr>
        <w:rPr/>
      </w:pPr>
      <w:bookmarkStart w:id="152" w:name="__RefHeading___Toc2295251_2035185390"/>
      <w:bookmarkStart w:id="153" w:name="_Toc55"/>
      <w:bookmarkEnd w:id="151"/>
      <w:bookmarkEnd w:id="152"/>
      <w:r>
        <w:rPr>
          <w:rtl w:val="true"/>
        </w:rPr>
        <w:t>الفصل الأوّل</w:t>
      </w:r>
      <w:r>
        <w:rPr>
          <w:rtl w:val="true"/>
        </w:rPr>
        <w:t xml:space="preserve">: </w:t>
      </w:r>
      <w:r>
        <w:rPr>
          <w:rtl w:val="true"/>
        </w:rPr>
        <w:t>منشأ فرق الغلاة</w:t>
      </w:r>
      <w:bookmarkEnd w:id="153"/>
    </w:p>
    <w:p>
      <w:pPr>
        <w:pStyle w:val="Heading4"/>
        <w:numPr>
          <w:ilvl w:val="3"/>
          <w:numId w:val="1"/>
        </w:numPr>
        <w:rPr/>
      </w:pPr>
      <w:bookmarkStart w:id="154" w:name="__RefHeading___Toc2295253_2035185390"/>
      <w:bookmarkStart w:id="155" w:name="_Toc56"/>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الغلاة و فِرَقهم غیر معدودین فی الفرق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ما زالوا یتبرّؤون من ضلالاتهم</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ارتباط تاریخ هؤلاء بتاریخ فرق الشیعة و خلط المصنّفین فی المقالات بعض أقاویلهم و آرائهم بأقاویل الشیعة یوجب ذکرها و الإشارة إلی حالاتها و ما انتحلوه من الآراء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الغالیة هم الذین غَلَوا فی الأئمّة علیهم‌السلام حتّی أخرجوهم عن حدود المخلوقیّة و أثبتوا لهم أحکام الإلهیّة؛ إمّا علی أنّهم بشر اتّصفوا بصفات الألوهیّة، أو أنّ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فی ذواتهم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مبدأ ظهور هذا القول بین المسلمین هو أنّ أمیر المؤمنین علیّا علیه‌السلام مرّ بقوم و هم یأکلون فی شهر رمضان نهارا، فسألهم عن سبب ذلک و هل لهم عذر من الأعذار المسوّغة للإفطار؟ فقاموا إلیه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یومئون إلی ربوبیّته، فنزل عن فرسه و ألصق خدّه بالأرض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من عبید اللّه، فاتّقوا اللّه و ارجعوا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فأبوا،فکرّر علیهم الدعوة، فأقاموا علی کفرهم، فشدّهم وثاقا و دعا بالنار و الحطب، ثمّ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بحفر بئرین جعل أحدهما سرّیّا و الآخر مکشوفا و فتح بینهما فتحا، فدخّن علیهم </w:t>
      </w:r>
    </w:p>
    <w:p>
      <w:pPr>
        <w:pStyle w:val="BookText"/>
        <w:rPr/>
      </w:pPr>
      <w:r>
        <w:rPr>
          <w:rFonts w:ascii="IRNazanin" w:hAnsi="IRNazanin" w:eastAsia="IRNazanin"/>
          <w:color w:val="111111"/>
          <w:sz w:val="28"/>
          <w:sz w:val="28"/>
          <w:szCs w:val="28"/>
          <w:rtl w:val="true"/>
          <w:lang w:bidi="fa-IR"/>
        </w:rPr>
        <w:t>و جعل یهتف بهم ویناشدهم لیرجعوا عن مقالهم فأبوا، فأمر بالحطب و النار فأُلقی إلیهم</w:t>
      </w:r>
    </w:p>
    <w:p>
      <w:pPr>
        <w:pStyle w:val="BookText"/>
        <w:rPr/>
      </w:pPr>
      <w:r>
        <w:rPr>
          <w:rFonts w:ascii="IRNazanin" w:hAnsi="IRNazanin" w:eastAsia="IRNazanin"/>
          <w:color w:val="111111"/>
          <w:sz w:val="28"/>
          <w:sz w:val="28"/>
          <w:szCs w:val="28"/>
          <w:rtl w:val="true"/>
          <w:lang w:bidi="fa-IR"/>
        </w:rPr>
        <w:t>فأُحرقوا، فلم یبرح علیه‌السلام حتّی صاروا حِمَما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جماعة کثیرة من أهل السِّیَر أنّ مبدأ ظهور هذه المقالة إنّما کان من عبد اللّه</w:t>
      </w:r>
    </w:p>
    <w:p>
      <w:pPr>
        <w:pStyle w:val="BookText"/>
        <w:rPr/>
      </w:pPr>
      <w:r>
        <w:rPr>
          <w:rFonts w:ascii="IRNazanin" w:hAnsi="IRNazanin" w:eastAsia="IRNazanin"/>
          <w:color w:val="111111"/>
          <w:sz w:val="28"/>
          <w:sz w:val="28"/>
          <w:szCs w:val="28"/>
          <w:rtl w:val="true"/>
          <w:lang w:bidi="fa-IR"/>
        </w:rPr>
        <w:t>بن سبأ، و ذکروا أنّه کان من یهود صنعاء نزل البصرة بعد أن أسلم، ثمّ أُخرج منها إلی</w:t>
      </w:r>
    </w:p>
    <w:p>
      <w:pPr>
        <w:pStyle w:val="BookText"/>
        <w:rPr/>
      </w:pPr>
      <w:r>
        <w:rPr>
          <w:rFonts w:ascii="IRNazanin" w:hAnsi="IRNazanin" w:eastAsia="IRNazanin"/>
          <w:color w:val="111111"/>
          <w:sz w:val="28"/>
          <w:sz w:val="28"/>
          <w:szCs w:val="28"/>
          <w:rtl w:val="true"/>
          <w:lang w:bidi="fa-IR"/>
        </w:rPr>
        <w:t>الکوفة، ثمّ ارتحل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نسبوا إلیه أنّه کان من أکبر الذین ألّبوا الناس علی عثمان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نجد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محکیّا عن جماعة من أصحاب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سبأ کان یهودیّا فأسلم و والی علیّا، و کان یقول بهذه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یهودیّته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یوشع بن نون بعد موسی،و فی إسلامه ثمّ قال بهذه المقالة فی علیّ علیه‌السلام بعد وفاة النبیّ صلی‌الله‌علیه‌و‌آله</w:t>
      </w:r>
      <w:r>
        <w:rPr>
          <w:rStyle w:val="FootnoteAnchor"/>
          <w:rtl w:val="true"/>
        </w:rPr>
        <w:footnoteReference w:id="297"/>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ممّن أظهر الطعن علی الصحابة و تبرّأ منهم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أمره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علیّ فسأله عن قوله هذا، فأقّر به فأمر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pStyle w:val="BookText"/>
        <w:rPr/>
      </w:pPr>
      <w:r>
        <w:rPr>
          <w:rFonts w:ascii="IRNazanin" w:hAnsi="IRNazanin" w:eastAsia="IRNazanin"/>
          <w:color w:val="111111"/>
          <w:sz w:val="28"/>
          <w:sz w:val="28"/>
          <w:szCs w:val="28"/>
          <w:rtl w:val="true"/>
          <w:lang w:bidi="fa-IR"/>
        </w:rPr>
        <w:t>المؤمنین، أتقتل رجلاً یدعو إلی حبّکم أهل البیت و إلی 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فسیّره إلی المدائن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البغدادیّ أنّ ابن عبّاس نهاه عن قتله، 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قتلته اختلف علیک أصحابک وأنت عازم علی العود إلی قتال أهل الشام وتحتاج إلی مداراة أصحابک، فلمّا خشی من قتله الفتنة نفاه إلی المدائن، فافتتن به رعاع الناس بعد قتل علیّ علیه‌السلام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أبی الحدید عن أبی العبّاس أحمد بن عبید اللّه بن عمّار الثقفیّ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جماعة من أصحابه علیه‌السلام منهم عبد اللّه بن العبّاس شفعوا فی عبد اللّه بن سبأ خاصّة،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 بعد أن اشترط علیه أن لایقیم بالکوفة، فنفاه إلی المدائن، فلمّا قُتل أمیر المؤمنین علیه‌السلام أظهر مقالته، فصارت له طائفة وفرقة یصدّقونه ویتّبعونه</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w:t>
      </w:r>
    </w:p>
    <w:p>
      <w:pPr>
        <w:pStyle w:val="BookText"/>
        <w:rPr/>
      </w:pPr>
      <w:r>
        <w:rPr>
          <w:rFonts w:ascii="Amiri" w:hAnsi="Amiri" w:eastAsia="Amiri" w:cs="Amiri"/>
          <w:color w:val="111111"/>
          <w:sz w:val="28"/>
          <w:sz w:val="28"/>
          <w:szCs w:val="28"/>
          <w:rtl w:val="true"/>
          <w:lang w:bidi="ar-SA"/>
        </w:rPr>
        <w:t xml:space="preserve">أنّه قال لمّا بلغه قتل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جئتمونا بدماغه فی سبعین مرّة لعلمنا أنّه لم یَمُت</w:t>
      </w:r>
    </w:p>
    <w:p>
      <w:pPr>
        <w:pStyle w:val="BookText"/>
        <w:rPr/>
      </w:pPr>
      <w:r>
        <w:rPr>
          <w:rFonts w:ascii="IRNazanin" w:hAnsi="IRNazanin" w:eastAsia="IRNazanin"/>
          <w:color w:val="111111"/>
          <w:sz w:val="28"/>
          <w:sz w:val="28"/>
          <w:szCs w:val="28"/>
          <w:rtl w:val="true"/>
          <w:lang w:bidi="fa-IR"/>
        </w:rPr>
        <w:t>و لا یموت حتّی یسوق العرب بعصاه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ما یقرب من ذلک أشخاص آخرون من أهل السِّیَر و الأخبار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بعد الجمع بین هذه المتفرّقات المبثوثة فی مختلف المواضع تقدر علی کشف الحقیقة و استخلاص خلاصة الواقع من أثنائها، و أنّ 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المنعوت فی بعض</w:t>
      </w:r>
    </w:p>
    <w:p>
      <w:pPr>
        <w:pStyle w:val="BookText"/>
        <w:rPr/>
      </w:pPr>
      <w:r>
        <w:rPr>
          <w:rFonts w:ascii="IRNazanin" w:hAnsi="IRNazanin" w:eastAsia="IRNazanin"/>
          <w:color w:val="111111"/>
          <w:sz w:val="28"/>
          <w:sz w:val="28"/>
          <w:szCs w:val="28"/>
          <w:rtl w:val="true"/>
          <w:lang w:bidi="fa-IR"/>
        </w:rPr>
        <w:t>الألسنة بابن السوداء، و المنتسب فی نشأته إلی الیهودیّة</w:t>
      </w:r>
      <w:r>
        <w:rPr>
          <w:rStyle w:val="FootnoteAnchor"/>
          <w:rtl w:val="true"/>
        </w:rPr>
        <w:footnoteReference w:id="303"/>
      </w:r>
      <w:r>
        <w:rPr>
          <w:rFonts w:ascii="IRNazanin" w:hAnsi="IRNazanin" w:eastAsia="IRNazanin"/>
          <w:color w:val="111111"/>
          <w:sz w:val="28"/>
          <w:sz w:val="28"/>
          <w:szCs w:val="28"/>
          <w:rtl w:val="true"/>
          <w:lang w:bidi="fa-IR"/>
        </w:rPr>
        <w:t xml:space="preserve">، و الذی کان یقول فی یهودیّته بمثل ذلک المقال فی 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بثّ هذه الدعایة بین رعاع الناس الذین لم یکن من الهیّن لهم تعرّف هواجس الأفکار المشوبة بأنواع الخداع و الاستدراج</w:t>
      </w:r>
    </w:p>
    <w:p>
      <w:pPr>
        <w:pStyle w:val="BookText"/>
        <w:rPr/>
      </w:pPr>
      <w:r>
        <w:rPr>
          <w:rFonts w:ascii="IRNazanin" w:hAnsi="IRNazanin" w:eastAsia="IRNazanin"/>
          <w:color w:val="111111"/>
          <w:sz w:val="28"/>
          <w:sz w:val="28"/>
          <w:szCs w:val="28"/>
          <w:rtl w:val="true"/>
          <w:lang w:bidi="fa-IR"/>
        </w:rPr>
        <w:t>و إدراک کوامن النفوس الملقاة من تحت أستار وأسدال مموّهة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تقدر علی معرفة شخصیّة ذاک الرجل أیضا و أنّه کان ممّن یعمل فی مکایدة الدیانة الإسلامیّة و هدم مبانیها، و أنّ إظهاره الإسلام لم یکن إلاّ لنیل أغراضه و 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هذه المقالة استترت سنةً أو نحوها، فلمّا قُتل علیّ علیه‌السلام أظهر ابن سبأ مقالته، و اجتمع علیه بالمدائن جماعة علی هذا القول، منهم عبد اللّه بن سبرة الهمدانیّ،</w:t>
      </w:r>
    </w:p>
    <w:p>
      <w:pPr>
        <w:pStyle w:val="BookText"/>
        <w:rPr/>
      </w:pPr>
      <w:r>
        <w:rPr>
          <w:rFonts w:ascii="IRNazanin" w:hAnsi="IRNazanin" w:eastAsia="IRNazanin"/>
          <w:color w:val="111111"/>
          <w:sz w:val="28"/>
          <w:sz w:val="28"/>
          <w:szCs w:val="28"/>
          <w:rtl w:val="true"/>
          <w:lang w:bidi="fa-IR"/>
        </w:rPr>
        <w:t>و عبد اللّه بن عمر بن حرب الکِندیّ و آخرون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تفاقم أمرهم و شاع بین الناس</w:t>
      </w:r>
    </w:p>
    <w:p>
      <w:pPr>
        <w:pStyle w:val="BookText"/>
        <w:rPr/>
      </w:pPr>
      <w:r>
        <w:rPr>
          <w:rFonts w:ascii="IRNazanin" w:hAnsi="IRNazanin" w:eastAsia="IRNazanin"/>
          <w:color w:val="111111"/>
          <w:sz w:val="28"/>
          <w:sz w:val="28"/>
          <w:szCs w:val="28"/>
          <w:rtl w:val="true"/>
          <w:lang w:bidi="fa-IR"/>
        </w:rPr>
        <w:t>قولهم، و صارت لهم دعوة یدعون بها و شبهة یرجعون إلیها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صار سببا لانبعاث هذه الفکرة هو ما کان من إخباره علیه‌السلام ببعض أشیاء من المغیّبات وقعت علی ما أخبر به، فتوهّموا أنّ ذلک لا یمکن إلاّ من اللّه تعالی أو ممّن حلّت ذات الإله فی جسده، تعالی عن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انضمّ إلی ذلک بعض عوامل قویّة، منها أنّ جماعة من هؤلاء ممّن کانوا مسبوقین بالتدیّن بالیهودیّة و النصرانیّة و الدیانة المجوسیّة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أمثال هذه المعتقدات السخیفة، </w:t>
      </w:r>
    </w:p>
    <w:p>
      <w:pPr>
        <w:pStyle w:val="BookText"/>
        <w:rPr/>
      </w:pPr>
      <w:r>
        <w:rPr>
          <w:rFonts w:ascii="IRNazanin" w:hAnsi="IRNazanin" w:eastAsia="IRNazanin"/>
          <w:color w:val="111111"/>
          <w:sz w:val="28"/>
          <w:sz w:val="28"/>
          <w:szCs w:val="28"/>
          <w:rtl w:val="true"/>
          <w:lang w:bidi="fa-IR"/>
        </w:rPr>
        <w:t xml:space="preserve">من الحلول و تجسّد الذات و أشباههما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فی مزج ما ورثوه من دیاناتهم بأمثالها من</w:t>
      </w:r>
    </w:p>
    <w:p>
      <w:pPr>
        <w:pStyle w:val="BookText"/>
        <w:rPr/>
      </w:pPr>
      <w:r>
        <w:rPr>
          <w:rFonts w:ascii="IRNazanin" w:hAnsi="IRNazanin" w:eastAsia="IRNazanin"/>
          <w:color w:val="111111"/>
          <w:sz w:val="28"/>
          <w:sz w:val="28"/>
          <w:szCs w:val="28"/>
          <w:rtl w:val="true"/>
          <w:lang w:bidi="fa-IR"/>
        </w:rPr>
        <w:t>التعالیم الإسلامیّة و التوفیق بینه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کثیر من هؤلاء ممّن تستّروا بالإسلام و إظهار کلمته حقنا لدمائهم، و هم علی دیاناتهم الموروثة فی الباطن، و یکیدون للإسلام کلّما سنحت لهم فرصة، فکان لهم من إلقاء الشُّبَه و بثّ هذه الأقاویل وسیلة ناجعة لما یرومونه من ذلک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یرد علی الأذهان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غلا الناسُ فی أمیر المؤمنین علیه‌السلام لأجل إخباره بالمغیّبات و لم یَغلُوا فی رسول اللّه صلی‌الله‌علیه‌و‌آله و هو کان أولی بذلک، و هو الأصل فی ذلک،</w:t>
      </w:r>
    </w:p>
    <w:p>
      <w:pPr>
        <w:pStyle w:val="BookText"/>
        <w:rPr/>
      </w:pPr>
      <w:r>
        <w:rPr>
          <w:rFonts w:ascii="IRNazanin" w:hAnsi="IRNazanin" w:eastAsia="IRNazanin"/>
          <w:color w:val="111111"/>
          <w:sz w:val="28"/>
          <w:sz w:val="28"/>
          <w:szCs w:val="28"/>
          <w:rtl w:val="true"/>
          <w:lang w:bidi="fa-IR"/>
        </w:rPr>
        <w:t>و کانوا قد سمعوا منه صلی‌الله‌علیه‌و‌آلهأیضا الإخبار بمثل هذه الأمور الواقعة، مضافا إلی ما شاهدوه من معجزاته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ملاحظة الحالة النفسیّة لعرب الحجاز المصاحبین للرسول الأکرم صلی‌الله‌علیه‌و‌آله و الشاهدین لآیات نبوّته و أخباره الصادقة، و ما أوجدته الدعوة الإسلامیّة فی نفوسهم</w:t>
      </w:r>
    </w:p>
    <w:p>
      <w:pPr>
        <w:pStyle w:val="BookText"/>
        <w:rPr/>
      </w:pPr>
      <w:r>
        <w:rPr>
          <w:rFonts w:ascii="IRNazanin" w:hAnsi="IRNazanin" w:eastAsia="IRNazanin"/>
          <w:color w:val="111111"/>
          <w:sz w:val="28"/>
          <w:sz w:val="28"/>
          <w:szCs w:val="28"/>
          <w:rtl w:val="true"/>
          <w:lang w:bidi="fa-IR"/>
        </w:rPr>
        <w:t>من الیقین و الإیمان الصادق،و مقایسة ذلک بحال أهل العراق و سکنتها المؤلّفة من مختلف الطوائف العربیّة و من سواهم، و ضعف الیقین الحاصل لهم من جهة التفرّق و التشتّت فی الأهواء بسبب الاختلاف الحاصل بین العناصر الغریبة علی العنصر العربیّ</w:t>
      </w:r>
    </w:p>
    <w:p>
      <w:pPr>
        <w:pStyle w:val="BookText"/>
        <w:rPr/>
      </w:pPr>
      <w:r>
        <w:rPr>
          <w:rFonts w:ascii="IRNazanin" w:hAnsi="IRNazanin" w:eastAsia="IRNazanin"/>
          <w:color w:val="111111"/>
          <w:sz w:val="28"/>
          <w:sz w:val="28"/>
          <w:szCs w:val="28"/>
          <w:rtl w:val="true"/>
          <w:lang w:bidi="fa-IR"/>
        </w:rPr>
        <w:t>بعد الفتح الإسلامیّ، ممّا یسهّل لنا سبیل الجواب عن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من جهة أخری أثر طبیعة الإقلیم و المناخ أیضا فی تکوین العقائد و الأهواء</w:t>
      </w:r>
      <w:r>
        <w:rPr>
          <w:rStyle w:val="FootnoteAnchor"/>
          <w:rtl w:val="true"/>
        </w:rPr>
        <w:footnoteReference w:id="306"/>
      </w:r>
      <w:r>
        <w:rPr>
          <w:rFonts w:ascii="IRNazanin" w:hAnsi="IRNazanin" w:eastAsia="IRNazanin"/>
          <w:color w:val="111111"/>
          <w:sz w:val="28"/>
          <w:sz w:val="28"/>
          <w:szCs w:val="28"/>
          <w:rtl w:val="true"/>
          <w:lang w:bidi="fa-IR"/>
        </w:rPr>
        <w:t>، فما زالت طینة العراق منبت النِّحَل المختلفة و مَثار الأهواء العجیبة، و نری أهلها أهل بصر وتدقیق و شُبَه معترضة فی المذاهب</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فی أحسن التقاسیم فی معرفة الأقالیم لمحمّد بن محمّد المقدسیّ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إقلیم العراق إقلیم الظُّرَفاء و منبع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الماء عجیب الهواء و مختار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أبا حنیفة فقیه الفقهاء و سفیان سیّد القرّاء، و منه کان أبو عبیدة و الفرّاء و أبو عمرو صاحب الفرّاء، و حمزة و الکسائیّ، و کلّ فقیه و مقرئ و أدیب، و سَریّ و حکیم و داهٍ و زاهد و نجیب، و ظریف و 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به البصرة التی قوبلت بالدنیا، و بغداد الممدوحة فی الوری، و الکوفة الجلیلة و سامرّاء، و نهره من الجنّة بلا مراء، و تُمور البصرة فلا تنسی، و مفاخره کثیرة لا تحصی؟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ظهر بینهم قبل ذلک</w:t>
      </w:r>
    </w:p>
    <w:p>
      <w:pPr>
        <w:pStyle w:val="BookText"/>
        <w:rPr/>
      </w:pPr>
      <w:r>
        <w:rPr>
          <w:rFonts w:ascii="IRNazanin" w:hAnsi="IRNazanin" w:eastAsia="IRNazanin"/>
          <w:color w:val="111111"/>
          <w:sz w:val="28"/>
          <w:sz w:val="28"/>
          <w:szCs w:val="28"/>
          <w:rtl w:val="true"/>
          <w:lang w:bidi="fa-IR"/>
        </w:rPr>
        <w:t>الزمان أمثال مانی، و دَیصان، و مُزدک من مؤسّسی المقالات الفاسدة</w:t>
      </w:r>
      <w:r>
        <w:rPr>
          <w:rStyle w:val="FootnoteAnchor"/>
          <w:rtl w:val="true"/>
        </w:rPr>
        <w:footnoteReference w:id="308"/>
      </w:r>
      <w:r>
        <w:rPr>
          <w:rFonts w:ascii="IRNazanin" w:hAnsi="IRNazanin" w:eastAsia="IRNazanin"/>
          <w:color w:val="111111"/>
          <w:sz w:val="28"/>
          <w:sz w:val="28"/>
          <w:szCs w:val="28"/>
          <w:rtl w:val="true"/>
          <w:lang w:bidi="fa-IR"/>
        </w:rPr>
        <w:t>، و کانت أثر تعالیمهم باقیة فی ما بینهم عالقة بأذهانهم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بعکس ذلک نشاهد الحال فی سکّان البادیة، و خاصّة بدو أهل الحجاز؛ فکان مِن أثَر مناخهم غلبة الجفاء و الخشونة علی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ساکنوا المدن منهم لایختلفون عنهم</w:t>
      </w:r>
    </w:p>
    <w:p>
      <w:pPr>
        <w:pStyle w:val="BookText"/>
        <w:rPr/>
      </w:pPr>
      <w:r>
        <w:rPr>
          <w:rFonts w:ascii="IRNazanin" w:hAnsi="IRNazanin" w:eastAsia="IRNazanin"/>
          <w:color w:val="111111"/>
          <w:sz w:val="28"/>
          <w:sz w:val="28"/>
          <w:szCs w:val="28"/>
          <w:rtl w:val="true"/>
          <w:lang w:bidi="fa-IR"/>
        </w:rPr>
        <w:t>کثیرا، و تقرب طباعهم من البدو، و لذا لم یذکر ظهور فیلسوف أو مبتدع نِحلة،أو مُورد</w:t>
      </w:r>
    </w:p>
    <w:p>
      <w:pPr>
        <w:pStyle w:val="BookText"/>
        <w:rPr/>
      </w:pPr>
      <w:r>
        <w:rPr>
          <w:rFonts w:ascii="IRNazanin" w:hAnsi="IRNazanin" w:eastAsia="IRNazanin"/>
          <w:color w:val="111111"/>
          <w:sz w:val="28"/>
          <w:sz w:val="28"/>
          <w:szCs w:val="28"/>
          <w:rtl w:val="true"/>
          <w:lang w:bidi="fa-IR"/>
        </w:rPr>
        <w:t>شبهة بینهم قبل الإسلام،ولو وجد أثر ضعیف فإنّما هو طارئ علیهم ممّن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المؤرّخون فی قضیّة أبی ذرّ و ما جری بینه و بین عثمان حین منعه من الخروج إلی العراق أنّ عثمان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تقدم إلی أهل شُبَه وطعن فی الأئمّة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یذکر بعض أهل السِّیَر أدیان العرب فی الجاهلیّة و أنّه کان فیهم یهودیّة و نصرانیّة</w:t>
      </w:r>
    </w:p>
    <w:p>
      <w:pPr>
        <w:pStyle w:val="BookText"/>
        <w:rPr/>
      </w:pPr>
      <w:r>
        <w:rPr>
          <w:rFonts w:ascii="IRNazanin" w:hAnsi="IRNazanin" w:eastAsia="IRNazanin"/>
          <w:color w:val="111111"/>
          <w:sz w:val="28"/>
          <w:sz w:val="28"/>
          <w:szCs w:val="28"/>
          <w:rtl w:val="true"/>
          <w:lang w:bidi="fa-IR"/>
        </w:rPr>
        <w:t>و مجوسیّة، و یذکر وجود الزندقة فی قریش و أنّها سَرَت إلیهم من الحیرة</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الشواهد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کثیرة یجدها المراجع فی خلال کتب الآثار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56" w:name="pg4793_55689"/>
    </w:p>
    <w:p>
      <w:pPr>
        <w:pStyle w:val="Heading4"/>
        <w:numPr>
          <w:ilvl w:val="3"/>
          <w:numId w:val="1"/>
        </w:numPr>
        <w:rPr/>
      </w:pPr>
      <w:bookmarkStart w:id="157" w:name="__RefHeading___Toc2295255_2035185390"/>
      <w:bookmarkStart w:id="158" w:name="_Toc57"/>
      <w:bookmarkEnd w:id="156"/>
      <w:bookmarkEnd w:id="157"/>
      <w:r>
        <w:rPr>
          <w:rtl w:val="true"/>
        </w:rPr>
        <w:t>[</w:t>
      </w:r>
      <w:r>
        <w:rPr>
          <w:rtl w:val="true"/>
        </w:rPr>
        <w:t>أصناف الغلاة و أسماؤهم</w:t>
      </w:r>
      <w:r>
        <w:rPr>
          <w:rtl w:val="true"/>
        </w:rPr>
        <w:t>]</w:t>
      </w:r>
      <w:bookmarkEnd w:id="158"/>
    </w:p>
    <w:p>
      <w:pPr>
        <w:pStyle w:val="BookText"/>
        <w:rPr/>
      </w:pPr>
      <w:r>
        <w:rPr>
          <w:rFonts w:ascii="IRNazanin" w:hAnsi="IRNazanin" w:eastAsia="IRNazanin"/>
          <w:color w:val="111111"/>
          <w:sz w:val="28"/>
          <w:sz w:val="28"/>
          <w:szCs w:val="28"/>
          <w:rtl w:val="true"/>
          <w:lang w:bidi="fa-IR"/>
        </w:rPr>
        <w:t>و علی أیّ حال قد صادف بذرة هذه الفکرة من قلوب السذج من رعاع الناس تربةً صالحة للنماء، و تطوّرت إلی أن کان الغلاة من کلّ صنف یدّعون ذلک لکلّ شخصیّة طاهرة من أهل البیت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فغلاة الکیسانیّة ادّعوها فی محمّد بن الحنفیّة، و فی عبد اللّه بن معاویة بن عبد اللّه بن جعفر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غلاة الإمامیّة ادّعوها بعد أمیر المؤمنین علیه‌السلام فی أولاده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ادّعاها غلاة من الزیدیّه فی محمّد بن عبد اللّه بن الحسن، و فی یحیی بن عمر قتیل شاهی، و محمّد بن القاسم الخارج بطالقان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ادّعاها الراوندیّة فی أبی جعفر المنصور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ظهر بعد ذلک جماعة أخری انتحلوا أقاویل فاسدة نخصّ بالذکر هاهنا بعضا ممّن لهم ذکر فی کتب المقالات و الأخبار</w:t>
      </w:r>
      <w:r>
        <w:rPr>
          <w:rFonts w:eastAsia="IRNazanin" w:cs="IRNazanin"/>
          <w:color w:val="111111"/>
          <w:sz w:val="28"/>
          <w:szCs w:val="28"/>
          <w:rtl w:val="true"/>
          <w:lang w:bidi="fa-IR"/>
        </w:rPr>
        <w:t>.</w:t>
      </w:r>
    </w:p>
    <w:p>
      <w:pPr>
        <w:pStyle w:val="Heading4"/>
        <w:numPr>
          <w:ilvl w:val="3"/>
          <w:numId w:val="1"/>
        </w:numPr>
        <w:rPr/>
      </w:pPr>
      <w:bookmarkStart w:id="159" w:name="__RefHeading___Toc2295257_2035185390"/>
      <w:bookmarkStart w:id="160" w:name="_Toc58"/>
      <w:bookmarkEnd w:id="159"/>
      <w:r>
        <w:rPr>
          <w:rtl w:val="true"/>
        </w:rPr>
        <w:t>[</w:t>
      </w:r>
      <w:r>
        <w:rPr>
          <w:rtl w:val="true"/>
        </w:rPr>
        <w:t>المغیرة بن سعید</w:t>
      </w:r>
      <w:r>
        <w:rPr>
          <w:rtl w:val="true"/>
        </w:rPr>
        <w:t>]</w:t>
      </w:r>
      <w:bookmarkEnd w:id="160"/>
    </w:p>
    <w:p>
      <w:pPr>
        <w:pStyle w:val="BookText"/>
        <w:rPr/>
      </w:pPr>
      <w:r>
        <w:rPr>
          <w:rFonts w:ascii="IRNazanin" w:hAnsi="IRNazanin" w:eastAsia="IRNazanin"/>
          <w:color w:val="111111"/>
          <w:sz w:val="28"/>
          <w:sz w:val="28"/>
          <w:szCs w:val="28"/>
          <w:rtl w:val="true"/>
          <w:lang w:bidi="fa-IR"/>
        </w:rPr>
        <w:t>من هؤلاء المغیرة بن سعید العِجلیّ، و قد ورد ذکره فی کتب السِّیَر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أصحاب الرجال من الشیعة أنّه کان ممّن یکذب علی الأئمّة، و أنّه کان هو و أصحابه المستترون بأصحاب الأئمّة و المختلطون بهم، یأخذون کتب الشیعة التی ألّفها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الرواة و أصحاب الحدیث منهم و یدفعونها إلیه، فیدسّ فیها الکفر و الزندقة، ثمّ یردّها إلی أصحابه و یأمرهم أن یبثّوها بین الشیعة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ذکر صاحب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کان من أصحاب أبی جعفر محمّد بن علیّ</w:t>
      </w:r>
    </w:p>
    <w:p>
      <w:pPr>
        <w:pStyle w:val="BookText"/>
        <w:rPr/>
      </w:pPr>
      <w:r>
        <w:rPr>
          <w:rFonts w:ascii="IRNazanin" w:hAnsi="IRNazanin" w:eastAsia="IRNazanin"/>
          <w:color w:val="111111"/>
          <w:sz w:val="28"/>
          <w:sz w:val="28"/>
          <w:szCs w:val="28"/>
          <w:rtl w:val="true"/>
          <w:lang w:bidi="fa-IR"/>
        </w:rPr>
        <w:t>علیهماالسلام، و دعاته، فاستزلّه الشیطان فکفر و ادّعی النبوّة، و زعم أنّه یحیی الموتی، و أنّ أبا جعفر علیه‌السلامإله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أبی الحدید أنّ المغیرة غلا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علیّ لأحیا عادا وثمود و قرونا بین ذلک کثیرا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علیّ بن محمّد النوفلیّ،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المغیرة بن سعید فاستأذن علی أبی جعفر محمّد بن علیّ بن الحسین علیهم‌السلام،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الناسَ أنّی أعلم الغیب و أنا أطعمک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فزجره أبو جعفر زجرا شدیدا و أسمعه ما کره، فأتی أبا هاشم عبد اللّه بن محمّد بن الحنفیّة فقال له مثل ذلک، و کان أبو هاشم أیِّدا، فوثب علیه فضربه ضربا شدیدا</w:t>
      </w:r>
    </w:p>
    <w:p>
      <w:pPr>
        <w:pStyle w:val="BookText"/>
        <w:rPr/>
      </w:pPr>
      <w:r>
        <w:rPr>
          <w:rFonts w:ascii="IRNazanin" w:hAnsi="IRNazanin" w:eastAsia="IRNazanin"/>
          <w:color w:val="111111"/>
          <w:sz w:val="28"/>
          <w:sz w:val="28"/>
          <w:szCs w:val="28"/>
          <w:rtl w:val="true"/>
          <w:lang w:bidi="fa-IR"/>
        </w:rPr>
        <w:t>أشفی به علی الموت، فتعالج ثمّ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محمّد بن عبد اللّه بن الحسن و کان محمّد</w:t>
      </w:r>
    </w:p>
    <w:p>
      <w:pPr>
        <w:pStyle w:val="BookText"/>
        <w:rPr/>
      </w:pPr>
      <w:r>
        <w:rPr>
          <w:rFonts w:ascii="IRNazanin" w:hAnsi="IRNazanin" w:eastAsia="IRNazanin"/>
          <w:color w:val="111111"/>
          <w:sz w:val="28"/>
          <w:sz w:val="28"/>
          <w:szCs w:val="28"/>
          <w:rtl w:val="true"/>
          <w:lang w:bidi="fa-IR"/>
        </w:rPr>
        <w:t xml:space="preserve">سِکِّیتا، فقال له کما قال لهما، فسکت محمّد فلم یجبه، فخرج و قد طمع فیه بسکوته،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هو المهدیّ الذی بشّر به رسول اللّه و أنّه قائم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أنّ علیّ بن الحسین علیه‌السلام أوصی إلی محمّد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المغیرة الکوفة و کان مشعبذا، فدعی الناس إلی قوله و استهواهم و استغواهم، فاتّبعه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 محمّد بن عبد اللّه أنّه أذن له فی خنق الناس و إسقائهم</w:t>
      </w:r>
    </w:p>
    <w:p>
      <w:pPr>
        <w:pStyle w:val="BookText"/>
        <w:rPr/>
      </w:pPr>
      <w:r>
        <w:rPr>
          <w:rFonts w:ascii="IRNazanin" w:hAnsi="IRNazanin" w:eastAsia="IRNazanin"/>
          <w:color w:val="111111"/>
          <w:sz w:val="28"/>
          <w:sz w:val="28"/>
          <w:szCs w:val="28"/>
          <w:rtl w:val="true"/>
          <w:lang w:bidi="fa-IR"/>
        </w:rPr>
        <w:t>السموم، و بثّ أصحابه یفعلون ذلک فی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نخنق من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إن کان من أصحابکم عجّلتموه إلی الجنّة و إن کان من عدوّکم عجّلتموه إلی النار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المغیرة مع بیان بن سمعان النهدیّ و آخرین بظهر الکوفة، فی ولایة خالد بن عبد اللّه القَسریّ علی العراق، فأخذهم خالد فشدّهم فی أطنان القصب وصبّ علیهم </w:t>
      </w:r>
      <w:bookmarkStart w:id="161" w:name="pg4793_55693"/>
    </w:p>
    <w:p>
      <w:pPr>
        <w:pStyle w:val="BookText"/>
        <w:rPr/>
      </w:pPr>
      <w:bookmarkEnd w:id="161"/>
      <w:r>
        <w:rPr>
          <w:rFonts w:ascii="IRNazanin" w:hAnsi="IRNazanin" w:eastAsia="IRNazanin"/>
          <w:color w:val="111111"/>
          <w:sz w:val="28"/>
          <w:sz w:val="28"/>
          <w:szCs w:val="28"/>
          <w:rtl w:val="true"/>
          <w:lang w:bidi="fa-IR"/>
        </w:rPr>
        <w:t>النفط و أحرقهم فی مسجد الکوفة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ملاحظة حاله و أعماله یُعلم أنّه کان غرضه استهواء الناس و استغلال هذه المقالة فی سبیل ما یؤیّده من الریاسة و سائر الأغراض</w:t>
      </w:r>
      <w:r>
        <w:rPr>
          <w:rFonts w:eastAsia="IRNazanin" w:cs="IRNazanin"/>
          <w:color w:val="111111"/>
          <w:sz w:val="28"/>
          <w:szCs w:val="28"/>
          <w:rtl w:val="true"/>
          <w:lang w:bidi="fa-IR"/>
        </w:rPr>
        <w:t>.</w:t>
      </w:r>
    </w:p>
    <w:p>
      <w:pPr>
        <w:pStyle w:val="Heading4"/>
        <w:numPr>
          <w:ilvl w:val="3"/>
          <w:numId w:val="1"/>
        </w:numPr>
        <w:rPr/>
      </w:pPr>
      <w:bookmarkStart w:id="162" w:name="__RefHeading___Toc2295259_2035185390"/>
      <w:bookmarkStart w:id="163" w:name="_Toc59"/>
      <w:bookmarkEnd w:id="162"/>
      <w:r>
        <w:rPr>
          <w:rtl w:val="true"/>
        </w:rPr>
        <w:t>[</w:t>
      </w:r>
      <w:r>
        <w:rPr>
          <w:rtl w:val="true"/>
        </w:rPr>
        <w:t>أبو منصور العِجلیّ</w:t>
      </w:r>
      <w:r>
        <w:rPr>
          <w:rtl w:val="true"/>
        </w:rPr>
        <w:t>]</w:t>
      </w:r>
      <w:bookmarkEnd w:id="163"/>
    </w:p>
    <w:p>
      <w:pPr>
        <w:pStyle w:val="BookText"/>
        <w:rPr/>
      </w:pPr>
      <w:r>
        <w:rPr>
          <w:rFonts w:ascii="IRNazanin" w:hAnsi="IRNazanin" w:eastAsia="IRNazanin"/>
          <w:color w:val="111111"/>
          <w:sz w:val="28"/>
          <w:sz w:val="28"/>
          <w:szCs w:val="28"/>
          <w:rtl w:val="true"/>
          <w:lang w:bidi="fa-IR"/>
        </w:rPr>
        <w:t>و ممّن ظهر من هؤلاء أیضا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العِجلیّ، و اسمه المستنیر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أنّه کان من أهل الکوفة من عبد القیس و کان منشأه بالبادیة، و کان أمّیّا، فعزی نفسه إلی الباقر علیه‌السلام، فتبرّأ منه و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بعد وفاته علیه أنّه فوّض إلیه أمر الإمامة و جعله وصیّا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ترقّی و ادّعی أنّ علیّا علیه کان نبیّا و رسولاً، و کذا الأئمّة من بعده إلی الباقر علیه و أنّه نبیّ و رسول، و أنّ النبوّة فی ستّة أشخاص من الذین یکونون</w:t>
      </w:r>
    </w:p>
    <w:p>
      <w:pPr>
        <w:pStyle w:val="BookText"/>
        <w:rPr/>
      </w:pPr>
      <w:r>
        <w:rPr>
          <w:rFonts w:ascii="IRNazanin" w:hAnsi="IRNazanin" w:eastAsia="IRNazanin"/>
          <w:color w:val="111111"/>
          <w:sz w:val="28"/>
          <w:sz w:val="28"/>
          <w:szCs w:val="28"/>
          <w:rtl w:val="true"/>
          <w:lang w:bidi="fa-IR"/>
        </w:rPr>
        <w:t>بعده،آخرهم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خالد بن عبد اللّه القسریّ فأعیاه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ابنه الحسین بن أبی منصور فی زمن المهدیّ و قد تنبّأ و ادّعی رتبة أبیه، و تبعه علی رأیه بشر کثیر، وجُبِیت</w:t>
      </w:r>
    </w:p>
    <w:p>
      <w:pPr>
        <w:pStyle w:val="BookText"/>
        <w:rPr/>
      </w:pPr>
      <w:r>
        <w:rPr>
          <w:rFonts w:ascii="IRNazanin" w:hAnsi="IRNazanin" w:eastAsia="IRNazanin"/>
          <w:color w:val="111111"/>
          <w:sz w:val="28"/>
          <w:sz w:val="28"/>
          <w:szCs w:val="28"/>
          <w:rtl w:val="true"/>
          <w:lang w:bidi="fa-IR"/>
        </w:rPr>
        <w:t>إلیه الأموال، فبعث إلیه فأخذه و صلبه بعد أن أقرّ بذلک، و طلب أصحابَه و ظفر منهم بجماعة فصلبهم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کانوا یسمّون الکَسْفیّة ؛ لأنّ أبا منصور کان یلقّب بالکسف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یُأوّل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یَرَوْا کِسْفا مِنَ السَّمَاءِ سَاقِطا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بأمیر المؤمنین علیه‌السلام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قد ذکر أنّ خالدا القسریّ طلبه فأعیاه، ثمّ أخذه یوسف بن عمر الثقفیّ بعد ذلک فصلبه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عنهم أنّهم کانوا یستحلّون قتل مخالفیهم و أخذ أموالهم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64" w:name="pg4793_55695"/>
    </w:p>
    <w:p>
      <w:pPr>
        <w:pStyle w:val="BookText"/>
        <w:rPr/>
      </w:pPr>
      <w:bookmarkEnd w:id="164"/>
      <w:r>
        <w:rPr>
          <w:rFonts w:ascii="IRNazanin" w:hAnsi="IRNazanin" w:eastAsia="IRNazanin"/>
          <w:color w:val="111111"/>
          <w:sz w:val="28"/>
          <w:sz w:val="28"/>
          <w:szCs w:val="28"/>
          <w:rtl w:val="true"/>
          <w:lang w:bidi="fa-IR"/>
        </w:rPr>
        <w:t>و نقل ابن حزم عن کتاب المیزان لهشام بن الحکم أنّ الکَسْفیّة خاصّة یَقتلون من کان منهم و ممّن خالفهم،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نعجّل المؤمن إلی الجنّة و الکافر إلی النار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أبو محمّد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منصور کان یأمر أصحابه بخنق مَن خالفهم و قتلهم بالاغتیال،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خالفکم فهو مشرک ؛ فإنّ هذا جهادٌ خفیّ</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نسبة مثل ذلک إلی المغیرة بن سعید و أصحابه أیضا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295261_2035185390"/>
      <w:bookmarkStart w:id="166" w:name="_Toc60"/>
      <w:bookmarkEnd w:id="165"/>
      <w:r>
        <w:rPr>
          <w:rtl w:val="true"/>
        </w:rPr>
        <w:t>[</w:t>
      </w:r>
      <w:r>
        <w:rPr>
          <w:rtl w:val="true"/>
        </w:rPr>
        <w:t>ابن کَرب الضریر</w:t>
      </w:r>
      <w:r>
        <w:rPr>
          <w:rtl w:val="true"/>
        </w:rPr>
        <w:t>]</w:t>
      </w:r>
      <w:bookmarkEnd w:id="166"/>
    </w:p>
    <w:p>
      <w:pPr>
        <w:pStyle w:val="BookText"/>
        <w:rPr/>
      </w:pPr>
      <w:r>
        <w:rPr>
          <w:rFonts w:ascii="IRNazanin" w:hAnsi="IRNazanin" w:eastAsia="IRNazanin"/>
          <w:color w:val="111111"/>
          <w:sz w:val="28"/>
          <w:sz w:val="28"/>
          <w:szCs w:val="28"/>
          <w:rtl w:val="true"/>
          <w:lang w:bidi="fa-IR"/>
        </w:rPr>
        <w:t>و من هؤلاء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کَرب، کان من أهل المدینة و من الکیسانیّة، ففارقهم و ادّعی النبوّة لنفسه، و ادّعی الألوهیّة لمحمّد بن الحنفیّة،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حمزة بن عمارة</w:t>
      </w:r>
    </w:p>
    <w:p>
      <w:pPr>
        <w:pStyle w:val="BookText"/>
        <w:rPr/>
      </w:pPr>
      <w:r>
        <w:rPr>
          <w:rFonts w:ascii="IRNazanin" w:hAnsi="IRNazanin" w:eastAsia="IRNazanin"/>
          <w:color w:val="111111"/>
          <w:sz w:val="28"/>
          <w:sz w:val="28"/>
          <w:szCs w:val="28"/>
          <w:rtl w:val="true"/>
          <w:lang w:bidi="fa-IR"/>
        </w:rPr>
        <w:t xml:space="preserve">البربریّ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أحد أفراد هذه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علی قوله ذلک أناس من أهل</w:t>
      </w:r>
    </w:p>
    <w:p>
      <w:pPr>
        <w:pStyle w:val="BookText"/>
        <w:rPr/>
      </w:pPr>
      <w:r>
        <w:rPr>
          <w:rFonts w:ascii="IRNazanin" w:hAnsi="IRNazanin" w:eastAsia="IRNazanin"/>
          <w:color w:val="111111"/>
          <w:sz w:val="28"/>
          <w:sz w:val="28"/>
          <w:szCs w:val="28"/>
          <w:rtl w:val="true"/>
          <w:lang w:bidi="fa-IR"/>
        </w:rPr>
        <w:t>المدینة و أهل الکوفة، فلعنه أبو جعفر الباقر علیه‌السلام و کذّبه و بَرئت منه الشیعة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2295263_2035185390"/>
      <w:bookmarkStart w:id="168" w:name="_Toc61"/>
      <w:bookmarkEnd w:id="167"/>
      <w:r>
        <w:rPr>
          <w:rtl w:val="true"/>
        </w:rPr>
        <w:t>[</w:t>
      </w:r>
      <w:r>
        <w:rPr>
          <w:rtl w:val="true"/>
        </w:rPr>
        <w:t>أبو الخطّاب الأسدیّ</w:t>
      </w:r>
      <w:r>
        <w:rPr>
          <w:rtl w:val="true"/>
        </w:rPr>
        <w:t>]</w:t>
      </w:r>
      <w:bookmarkEnd w:id="168"/>
    </w:p>
    <w:p>
      <w:pPr>
        <w:pStyle w:val="BookText"/>
        <w:rPr/>
      </w:pPr>
      <w:r>
        <w:rPr>
          <w:rFonts w:ascii="IRNazanin" w:hAnsi="IRNazanin" w:eastAsia="IRNazanin"/>
          <w:color w:val="111111"/>
          <w:sz w:val="28"/>
          <w:sz w:val="28"/>
          <w:szCs w:val="28"/>
          <w:rtl w:val="true"/>
          <w:lang w:bidi="fa-IR"/>
        </w:rPr>
        <w:t>و ظهر بعد هؤلاء أبو الخطّاب محمّد بن أبی زینب الأسدیّ الأجدَع، و کان یعزی نفسه إلی الإمام أبی عبد اللّه جعفر بن محمّد علیه‌السلام، فلمّا وقف الصادق علیه‌السلام علی مقالته وغلوّه تبرّأ منه و لعنه و شدّد القول فی ذلک، و أخبر أصحابه بالبراءة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أوّلاً أنّ الصادق جعله قیّمه و وصیّه من بعده، و علّمه اسم اللّه الأعظم، ثمّ ارتقی و ادّعی</w:t>
      </w:r>
    </w:p>
    <w:p>
      <w:pPr>
        <w:pStyle w:val="BookText"/>
        <w:rPr/>
      </w:pPr>
      <w:r>
        <w:rPr>
          <w:rFonts w:ascii="IRNazanin" w:hAnsi="IRNazanin" w:eastAsia="IRNazanin"/>
          <w:color w:val="111111"/>
          <w:sz w:val="28"/>
          <w:sz w:val="28"/>
          <w:szCs w:val="28"/>
          <w:rtl w:val="true"/>
          <w:lang w:bidi="fa-IR"/>
        </w:rPr>
        <w:t>الرسالة، ثمّ ادّعی أنّه من الملائکة و أنّه رسول اللّه إلی أهل الأرض و الحجّة علیهم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 أبو الخطّاب و أصحابه بالکوفة و ذلک فی أیّام الصادق علیه‌السلام، و کان عاملها عیسی ابن موسی بن 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یجتمعون فی مسجد الکوفة </w:t>
      </w:r>
    </w:p>
    <w:p>
      <w:pPr>
        <w:pStyle w:val="BookText"/>
        <w:rPr/>
      </w:pPr>
      <w:r>
        <w:rPr>
          <w:rFonts w:ascii="IRNazanin" w:hAnsi="IRNazanin" w:eastAsia="IRNazanin"/>
          <w:color w:val="111111"/>
          <w:sz w:val="28"/>
          <w:sz w:val="28"/>
          <w:szCs w:val="28"/>
          <w:rtl w:val="true"/>
          <w:lang w:bidi="fa-IR"/>
        </w:rPr>
        <w:t>و یلزمون الأساطین یراؤون الناس أنّهم لزموها للعبادة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فبلغ عیسی بن موسی عنهم أنّهم أظهروا الإباحات، ودَعَوا إلی نبوّة أبی الخطّاب، و أنّهم مجتمعون فی المسجد، فبعث إلیهم، فامتنعوا علیه و حاربوه محاربة شدیدة بالقصب و الحجارة و السکاکین،و کان بعضهم جعلوا القصب مکان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الخطّاب وَعَدَهم بأنّ رماح القوم و سیوفهم لا تعمل فیهم، و أنّ قصبهم یعمل فیهم عمل</w:t>
      </w:r>
    </w:p>
    <w:p>
      <w:pPr>
        <w:pStyle w:val="BookText"/>
        <w:rPr/>
      </w:pPr>
      <w:r>
        <w:rPr>
          <w:rFonts w:ascii="IRNazanin" w:hAnsi="IRNazanin" w:eastAsia="IRNazanin"/>
          <w:color w:val="111111"/>
          <w:sz w:val="28"/>
          <w:sz w:val="28"/>
          <w:szCs w:val="28"/>
          <w:rtl w:val="true"/>
          <w:lang w:bidi="fa-IR"/>
        </w:rPr>
        <w:t>الرماح، فقدّمهم عشرةً عشرةً للمحاربة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منهم نحو ثلاثین رجلاً،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یحلّ بنا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لهم ما رواه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بدا للّه فیکم، فما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قد بُلیتم و امتُحنتم و أُذن فی قتلکم، فقاتِلوا علی دینکم و أحسابکم، و لا تُعطوا بأیدیکم فتَذِلّوا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حتّی قُتلوا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 أبو الخطّاب، فأُتی به عیسی بن موسی فقتله فی دار الرزق علی شاطئ الفرات، و صلبه مع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بإحراقهم، و بعث برؤوسهم إلی المنصور، فصلبها علی باب مدینة بغداد ثلاثة أیّام، ثمّ أُحرقت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یُفلِت منهم إلاّ رجل واحد أصابته جراحات، فعُدّ فی القتلی فتخلّص، واسمه أبو سلمة سالم بن مکرّم الجمّال، و کان یزعم أنّه مات فرجع</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حزم أنّ الخطّابیّة أعلنت ذلک نهارا بالکوفة، فخرجوا صدر النهار فی جموع عظیمة فی أُزُر، و أردِیة مُحرِمین، ینادون بأعلی أصواتهم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جعفر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أُنظر إلیهم یومئذٍ، فخرج إلیهم عیسی بن موسی فقاتلوه فقتلهم و صلبهم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مراجعة الروایات و قرائن أُخری أنّ هذه القضیّة وقعت قبل سنة ثمانٍ و ثلاثین و مائة بقلیل</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جعلتها من حوادث سنة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الفکر الفلسفیّ فی الإسلام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دائرة المعارف الإسلامیّة الکبری بإشراف السیّد کاظم الموسویّ البجنوردیّ </w:t>
      </w:r>
      <w:r>
        <w:rPr>
          <w:rFonts w:eastAsia="IRNazanin" w:cs="IRNazanin"/>
          <w:color w:val="111111"/>
          <w:sz w:val="28"/>
          <w:szCs w:val="28"/>
          <w:lang w:bidi="fa-IR"/>
        </w:rPr>
        <w:t>4/565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4793_55699"/>
    </w:p>
    <w:p>
      <w:pPr>
        <w:pStyle w:val="BookText"/>
        <w:rPr/>
      </w:pPr>
      <w:bookmarkEnd w:id="169"/>
      <w:r>
        <w:rPr>
          <w:rFonts w:ascii="IRNazanin" w:hAnsi="IRNazanin" w:eastAsia="IRNazanin"/>
          <w:color w:val="111111"/>
          <w:sz w:val="28"/>
          <w:sz w:val="28"/>
          <w:szCs w:val="28"/>
          <w:rtl w:val="true"/>
          <w:lang w:bidi="fa-IR"/>
        </w:rPr>
        <w:t>و أفترقت الخطّابیّة بعد أبی الخطّاب عدّة فرق، کلّ منهم یدعو إلی شخص،و أظهروا مقالات فاسدة قد ذکرها أرباب المقالات، و لا غرض لنا فی ذکرها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295265_2035185390"/>
      <w:bookmarkStart w:id="171" w:name="_Toc62"/>
      <w:bookmarkEnd w:id="170"/>
      <w:r>
        <w:rPr>
          <w:rtl w:val="true"/>
        </w:rPr>
        <w:t>[</w:t>
      </w:r>
      <w:r>
        <w:rPr>
          <w:rtl w:val="true"/>
        </w:rPr>
        <w:t>محمّد بن بشیر</w:t>
      </w:r>
      <w:r>
        <w:rPr>
          <w:rtl w:val="true"/>
        </w:rPr>
        <w:t>]</w:t>
      </w:r>
      <w:bookmarkEnd w:id="171"/>
    </w:p>
    <w:p>
      <w:pPr>
        <w:pStyle w:val="BookText"/>
        <w:rPr/>
      </w:pPr>
      <w:r>
        <w:rPr>
          <w:rFonts w:ascii="IRNazanin" w:hAnsi="IRNazanin" w:eastAsia="IRNazanin"/>
          <w:color w:val="111111"/>
          <w:sz w:val="28"/>
          <w:sz w:val="28"/>
          <w:szCs w:val="28"/>
          <w:rtl w:val="true"/>
          <w:lang w:bidi="fa-IR"/>
        </w:rPr>
        <w:t>و ممّن ظهر من هؤلاء بعد زمانِ مَن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مولی بنی أسد من أهل الکوفة، فأدّعی أنّ موسی بن جعفر علیهماالسلام لم یَمُت و لم یُحبَس، و أنّه حیّ غائب، و أنّه فی وقت غیبته استخلف محمّد بن بشیر و جعله وصیّه و أعطاه خاتمه، و علّمه جمیع ما یحتاج إلیه الناس و فوّض إلیه أُمورهم، فهو الإمام بعده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علیه‌السلام کان ظاهرا بین الخَلق یَرَونه جمیعا یتراءی لأهل النور بالنور و لأهل الکَدَر بالکدر فی مِثل خَلقهم بالإنسانیّة و البشریّة،ثمّ حُجب الخلق جمیعا عن إدراکه، و هو قائم بینهم موجود کما کان،غیر أنّهم محجوبون عنه و عن إدراکه کما کانوا یدرکونه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الإنسان آدم و الباطن أزلیّ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معه مَخاریق و أنواع من الشعبذة یُضِلّ بها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بعد أن عُذّب بأنواع العذاب، و أوصی بعده إلی ابنه سمیع بن محمّد،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أُوصی إلیه سمیع، فهو الإمام المفترض طاعته علی الأمّة إلی وقت قیام موسی بن جعفر و ظهوره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الکشّیّ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یلزم الناس فی أموالهم من الحقوق الواجبة فالفرض أداؤه إلی أوصیائه إلی وقت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أنّ الفرض علیهم من اللّه تعالی إقامة الصلوات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 و صوم شهر رمضان، وأنکروا الزکاة و الحجّ و سائر الفرائض، و قالوا بالإباحة و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عندهم شخص واحد، و إنّما ینتقلون من بدن إلی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المواساة </w:t>
      </w:r>
      <w:bookmarkStart w:id="172" w:name="pg4793_55701"/>
    </w:p>
    <w:p>
      <w:pPr>
        <w:pStyle w:val="BookText"/>
        <w:rPr/>
      </w:pPr>
      <w:bookmarkEnd w:id="172"/>
      <w:r>
        <w:rPr>
          <w:rFonts w:ascii="IRNazanin" w:hAnsi="IRNazanin" w:eastAsia="IRNazanin"/>
          <w:color w:val="111111"/>
          <w:sz w:val="28"/>
          <w:sz w:val="28"/>
          <w:szCs w:val="28"/>
          <w:rtl w:val="true"/>
          <w:lang w:bidi="fa-IR"/>
        </w:rPr>
        <w:t>عندهم واجبة فی کلّ ما ملکوه من مال أو خراج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مذاهبهم فی التفویض مذاهب الغالیة المفوّضة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یتحصّل من ملاحظة هذه المذکورات من حالاتهم و مقالاتهم أنّ هؤلاء کانوا یستأکلون الناس بتلک الأمور و یأخذون منهم الوجوه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 مَن کان له وراء ذلک أغراض مخصوصة من الریاسة و غیرها، و کان أمثال هذه الأقاویل وسیلة لهم إلی استدراج العوامّ و ضعفاء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من هؤلاء اتّخذوا الدعوة إلی ألوهیّة الأئمّة طریقا إلی نَیل مقاصدهم و مقدّمة إلی بلوغ أغراضهم، فکانوا یبثّون هذه المقالات السخیفة فی بُسَطاء العقول، ثمّ یتدرّجون بعد ذلک إلی دعوی الحلول و الاتّحاد و ادّعاء الألوهیّة لأنفسهم، و یَدْعون بعد ذلک إلی أنواع الإباحات و التعطیل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2295267_2035185390"/>
      <w:bookmarkStart w:id="174" w:name="_Toc63"/>
      <w:bookmarkEnd w:id="173"/>
      <w:r>
        <w:rPr>
          <w:rtl w:val="true"/>
        </w:rPr>
        <w:t>[</w:t>
      </w:r>
      <w:r>
        <w:rPr>
          <w:rtl w:val="true"/>
        </w:rPr>
        <w:t>أبو محمّد الشَّریعیّ</w:t>
      </w:r>
      <w:r>
        <w:rPr>
          <w:rtl w:val="true"/>
        </w:rPr>
        <w:t>]</w:t>
      </w:r>
      <w:bookmarkEnd w:id="174"/>
    </w:p>
    <w:p>
      <w:pPr>
        <w:pStyle w:val="BookText"/>
        <w:rPr/>
      </w:pPr>
      <w:r>
        <w:rPr>
          <w:rFonts w:ascii="IRNazanin" w:hAnsi="IRNazanin" w:eastAsia="IRNazanin"/>
          <w:color w:val="111111"/>
          <w:sz w:val="28"/>
          <w:sz w:val="28"/>
          <w:szCs w:val="28"/>
          <w:rtl w:val="true"/>
          <w:lang w:bidi="fa-IR"/>
        </w:rPr>
        <w:t>و من الغلاة جماعة ادّعوا النیابة الخاصّة عن الإمام و أنّهم أبوابه و سفراؤه إلی الشیعة</w:t>
      </w:r>
    </w:p>
    <w:p>
      <w:pPr>
        <w:pStyle w:val="BookText"/>
        <w:rPr/>
      </w:pPr>
      <w:r>
        <w:rPr>
          <w:rFonts w:ascii="IRNazanin" w:hAnsi="IRNazanin" w:eastAsia="IRNazanin"/>
          <w:color w:val="111111"/>
          <w:sz w:val="28"/>
          <w:sz w:val="28"/>
          <w:szCs w:val="28"/>
          <w:rtl w:val="true"/>
          <w:lang w:bidi="fa-IR"/>
        </w:rPr>
        <w:t>کذبا،</w:t>
      </w:r>
    </w:p>
    <w:p>
      <w:pPr>
        <w:pStyle w:val="BookText"/>
        <w:rPr/>
      </w:pPr>
      <w:r>
        <w:rPr>
          <w:rFonts w:ascii="IRNazanin" w:hAnsi="IRNazanin" w:eastAsia="IRNazanin"/>
          <w:color w:val="111111"/>
          <w:sz w:val="28"/>
          <w:sz w:val="28"/>
          <w:szCs w:val="28"/>
          <w:rtl w:val="true"/>
          <w:lang w:bidi="fa-IR"/>
        </w:rPr>
        <w:t>منهم الشَّریعیّ، و کان من أصحاب الهادی و العسکریّ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ادّعی النیابة و البابیّة و کذب علی الأئمّة علیهم‌السلام، و نَسَب إلیهم ما هم عنه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فلعنته الشیعة و تبرّأت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توقیع الإمام علیه‌السلام بلعنه و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القول بالکفر و الإلحاد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2295269_2035185390"/>
      <w:bookmarkStart w:id="176" w:name="_Toc64"/>
      <w:bookmarkEnd w:id="175"/>
      <w:r>
        <w:rPr>
          <w:rtl w:val="true"/>
        </w:rPr>
        <w:t>[</w:t>
      </w:r>
      <w:r>
        <w:rPr>
          <w:rtl w:val="true"/>
        </w:rPr>
        <w:t>محمّد بن نَصیر النمیریّ</w:t>
      </w:r>
      <w:r>
        <w:rPr>
          <w:rtl w:val="true"/>
        </w:rPr>
        <w:t>]</w:t>
      </w:r>
      <w:bookmarkStart w:id="177" w:name="pg4793_55703"/>
      <w:bookmarkEnd w:id="176"/>
    </w:p>
    <w:p>
      <w:pPr>
        <w:pStyle w:val="BookText"/>
        <w:rPr/>
      </w:pPr>
      <w:bookmarkEnd w:id="177"/>
      <w:r>
        <w:rPr>
          <w:rFonts w:ascii="IRNazanin" w:hAnsi="IRNazanin" w:eastAsia="IRNazanin"/>
          <w:color w:val="111111"/>
          <w:sz w:val="28"/>
          <w:sz w:val="28"/>
          <w:szCs w:val="28"/>
          <w:rtl w:val="true"/>
          <w:lang w:bidi="fa-IR"/>
        </w:rPr>
        <w:t>و منهم محمّد بن نصیر النمیریّ الفِهریّ، کان من أصحاب أبی محمّد الحسن بن علیّ</w:t>
      </w:r>
    </w:p>
    <w:p>
      <w:pPr>
        <w:pStyle w:val="BookText"/>
        <w:rPr/>
      </w:pPr>
      <w:r>
        <w:rPr>
          <w:rFonts w:ascii="IRNazanin" w:hAnsi="IRNazanin" w:eastAsia="IRNazanin"/>
          <w:color w:val="111111"/>
          <w:sz w:val="28"/>
          <w:sz w:val="28"/>
          <w:szCs w:val="28"/>
          <w:rtl w:val="true"/>
          <w:lang w:bidi="fa-IR"/>
        </w:rPr>
        <w:t>علیه‌السلام، فلمّا توفّی علیه‌السلام ادّعی مقامَ أبی جعفر محمّد بن عثمان و أنّه النائب عن الإمام، ففضحه</w:t>
      </w:r>
    </w:p>
    <w:p>
      <w:pPr>
        <w:pStyle w:val="BookText"/>
        <w:rPr/>
      </w:pPr>
      <w:r>
        <w:rPr>
          <w:rFonts w:ascii="IRNazanin" w:hAnsi="IRNazanin" w:eastAsia="IRNazanin"/>
          <w:color w:val="111111"/>
          <w:sz w:val="28"/>
          <w:sz w:val="28"/>
          <w:szCs w:val="28"/>
          <w:rtl w:val="true"/>
          <w:lang w:bidi="fa-IR"/>
        </w:rPr>
        <w:t xml:space="preserve">اللّه بما ظهر منه من الإلحاد و الجهل، فلعنه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رضی‌الله‌عنه</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فقصد أبا جعفر لیعتذر إلیه، فحَجَبه وردّه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بالتناسخ و الغلوّ فی أبی الحسن علیّ بن محمّد علیه‌السلام، و یقول فیه بالربوبیّة، و یقول بالإباحات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موسی بن الحسین بن الفرات یقوّی أسبابه</w:t>
      </w:r>
    </w:p>
    <w:p>
      <w:pPr>
        <w:pStyle w:val="BookText"/>
        <w:rPr/>
      </w:pPr>
      <w:r>
        <w:rPr>
          <w:rFonts w:ascii="IRNazanin" w:hAnsi="IRNazanin" w:eastAsia="IRNazanin"/>
          <w:color w:val="111111"/>
          <w:sz w:val="28"/>
          <w:sz w:val="28"/>
          <w:szCs w:val="28"/>
          <w:rtl w:val="true"/>
          <w:lang w:bidi="fa-IR"/>
        </w:rPr>
        <w:t>و یعضده</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محمّد بن نصیر بالعلّة التی مات فیها قیل له و هو مُثقَل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الأمر بعدک؟ فقال بلسانٍ ضعیف متلجلج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یدروا مَن هو؟</w:t>
      </w:r>
    </w:p>
    <w:p>
      <w:pPr>
        <w:pStyle w:val="BookText"/>
        <w:rPr/>
      </w:pPr>
      <w:r>
        <w:rPr>
          <w:rFonts w:ascii="IRNazanin" w:hAnsi="IRNazanin" w:eastAsia="IRNazanin"/>
          <w:color w:val="111111"/>
          <w:sz w:val="28"/>
          <w:sz w:val="28"/>
          <w:szCs w:val="28"/>
          <w:rtl w:val="true"/>
          <w:lang w:bidi="fa-IR"/>
        </w:rPr>
        <w:t>فافترقوا بعده ثلاث فرق، 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ابنه، 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موسی بن الفرات، 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بن أبی الحسین بن بشیر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فلا</w:t>
      </w:r>
    </w:p>
    <w:p>
      <w:pPr>
        <w:pStyle w:val="BookText"/>
        <w:rPr/>
      </w:pPr>
      <w:r>
        <w:rPr>
          <w:rFonts w:ascii="IRNazanin" w:hAnsi="IRNazanin" w:eastAsia="IRNazanin"/>
          <w:color w:val="111111"/>
          <w:sz w:val="28"/>
          <w:sz w:val="28"/>
          <w:szCs w:val="28"/>
          <w:rtl w:val="true"/>
          <w:lang w:bidi="fa-IR"/>
        </w:rPr>
        <w:t>یرجعون إلی شیء</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عنه أنّه ادّعی یوماً أنّ الإله حلّ فیه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295271_2035185390"/>
      <w:bookmarkStart w:id="179" w:name="_Toc65"/>
      <w:bookmarkEnd w:id="178"/>
      <w:r>
        <w:rPr>
          <w:rtl w:val="true"/>
        </w:rPr>
        <w:t>[</w:t>
      </w:r>
      <w:r>
        <w:rPr>
          <w:rtl w:val="true"/>
        </w:rPr>
        <w:t>الشَّلمَغانیّ</w:t>
      </w:r>
      <w:r>
        <w:rPr>
          <w:rtl w:val="true"/>
        </w:rPr>
        <w:t>]</w:t>
      </w:r>
      <w:bookmarkEnd w:id="179"/>
    </w:p>
    <w:p>
      <w:pPr>
        <w:pStyle w:val="BookText"/>
        <w:rPr/>
      </w:pPr>
      <w:r>
        <w:rPr>
          <w:rFonts w:ascii="Amiri" w:hAnsi="Amiri" w:eastAsia="Amiri" w:cs="Amiri"/>
          <w:color w:val="111111"/>
          <w:sz w:val="28"/>
          <w:sz w:val="28"/>
          <w:szCs w:val="28"/>
          <w:rtl w:val="true"/>
          <w:lang w:bidi="ar-SA"/>
        </w:rPr>
        <w:t>و منهم محمّد بن علیّ الشَّلمَغانیّ المعروف بابن أبی العَزاقِر الذی کان مستقیما علی</w:t>
      </w:r>
    </w:p>
    <w:p>
      <w:pPr>
        <w:pStyle w:val="BookText"/>
        <w:rPr/>
      </w:pPr>
      <w:r>
        <w:rPr>
          <w:rFonts w:ascii="IRNazanin" w:hAnsi="IRNazanin" w:eastAsia="IRNazanin"/>
          <w:color w:val="111111"/>
          <w:sz w:val="28"/>
          <w:sz w:val="28"/>
          <w:szCs w:val="28"/>
          <w:rtl w:val="true"/>
          <w:lang w:bidi="fa-IR"/>
        </w:rPr>
        <w:t>طریقة الإمامیّة فی أوّل الأمر و من جملة فقهائهم، و صنّف کتبا فی حال استقامته،ثمّ خَلّط و ظهرت منه مقالات مُنکَرة،و کان له منزلة عند الشیعة، فکان عند تخلیطه یحکی کلّ کذب و کفر و یسنده إلی الشیخ أبی القاسم حسین بن روح النوبختیّ أحد السفراء المنصوبین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ذکروه عنه من ذلک أنّه کان ألقی إلی بنی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من أعیان الشیعة </w:t>
      </w:r>
    </w:p>
    <w:p>
      <w:pPr>
        <w:pStyle w:val="BookText"/>
        <w:rPr/>
      </w:pPr>
      <w:r>
        <w:rPr>
          <w:rFonts w:ascii="IRNazanin" w:hAnsi="IRNazanin" w:eastAsia="IRNazanin"/>
          <w:color w:val="111111"/>
          <w:sz w:val="28"/>
          <w:sz w:val="28"/>
          <w:szCs w:val="28"/>
          <w:rtl w:val="true"/>
          <w:lang w:bidi="fa-IR"/>
        </w:rPr>
        <w:t xml:space="preserve">و وجهائهم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رسول اللّه صلی‌الله‌علیه‌و‌آله انتقلت إلی أبی جعفر محمّد بن عثمان العمریّ، و روح أمیر المؤمنین علیه‌السلامانتقلت إلی بدن الحسین بن روح، و روح فاطمة علیهاالسلام إلی بدن بنت أبی جعفر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ذلک لأبی القاسم بن روح، فأنکره و أعظمه و نهی الناس</w:t>
      </w:r>
    </w:p>
    <w:p>
      <w:pPr>
        <w:pStyle w:val="BookText"/>
        <w:rPr/>
      </w:pPr>
      <w:r>
        <w:rPr>
          <w:rFonts w:ascii="IRNazanin" w:hAnsi="IRNazanin" w:eastAsia="IRNazanin"/>
          <w:color w:val="111111"/>
          <w:sz w:val="28"/>
          <w:sz w:val="28"/>
          <w:szCs w:val="28"/>
          <w:rtl w:val="true"/>
          <w:lang w:bidi="fa-IR"/>
        </w:rPr>
        <w:t>عنه، و کتب إلی بنی بسطام بلعنه و البراءة منه، و أظهر ذلک للشیعة و نهاهم عن معاشرته و کاتَبهم بالبراءة منه، و أظهر کفر هذا القول، و أنّ هذا الشخص إنّما یحکّم هذه المقالة فی قلوب هؤلاء لیجعله طریقا إلی أن یقول لهم بأنّ اللّه تعالی اتّحد به و حلّ فیه، کما یقول النصاری فی المسیح علیه‌السلام، و یعدو إلی قول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التوقیع بلعنه و البراءة منه و ممّن تابعه و شایعه و رضی بقوله و أقام علی تولّیه بعد المعرفة بهذا التوقیع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هذا التوقیع و أبوالقاسم حسین بن روح فی الحبس فی دار المقتدر، فأنفذ نسخة التوقیع إلی الشیخ أبی علیّ بن همام من مشایخ الشیعة الأجلاّء فی ذی الحجّة سنة</w:t>
      </w:r>
    </w:p>
    <w:p>
      <w:pPr>
        <w:pStyle w:val="BookText"/>
        <w:rPr/>
      </w:pPr>
      <w:r>
        <w:rPr>
          <w:rFonts w:ascii="IRNazanin" w:hAnsi="IRNazanin" w:eastAsia="IRNazanin"/>
          <w:color w:val="111111"/>
          <w:sz w:val="28"/>
          <w:sz w:val="28"/>
          <w:szCs w:val="28"/>
          <w:rtl w:val="true"/>
          <w:lang w:bidi="fa-IR"/>
        </w:rPr>
        <w:t>اثنتی عشرة و ثلاث مائة، فأخذ أبو علیّ هذا التوقیع و لم یَدَعْ أحدا من الشیوخ إلاّ و أقرأه إیّاه، و کوتب مَن بَعُد منهم بنسخته فی سائر الأمصار، فاشتهر ذلک فی الطائفة، فاجتمعت</w:t>
      </w:r>
    </w:p>
    <w:p>
      <w:pPr>
        <w:pStyle w:val="BookText"/>
        <w:rPr/>
      </w:pPr>
      <w:r>
        <w:rPr>
          <w:rFonts w:ascii="IRNazanin" w:hAnsi="IRNazanin" w:eastAsia="IRNazanin"/>
          <w:color w:val="111111"/>
          <w:sz w:val="28"/>
          <w:sz w:val="28"/>
          <w:szCs w:val="28"/>
          <w:rtl w:val="true"/>
          <w:lang w:bidi="fa-IR"/>
        </w:rPr>
        <w:t>علی لعنه و البراءة منه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الأثیر قتله فی حوادث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ذلک‌أنّه قد أحدث مذهباغالیا فی التشیّع و التناسخ و حلول الإلهیّة فیه، إلی غیر ذلک ممّا یحکیه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w:t>
      </w:r>
    </w:p>
    <w:p>
      <w:pPr>
        <w:pStyle w:val="BookText"/>
        <w:rPr/>
      </w:pPr>
      <w:r>
        <w:rPr>
          <w:rFonts w:ascii="IRNazanin" w:hAnsi="IRNazanin" w:eastAsia="IRNazanin"/>
          <w:color w:val="111111"/>
          <w:sz w:val="28"/>
          <w:sz w:val="28"/>
          <w:szCs w:val="28"/>
          <w:rtl w:val="true"/>
          <w:lang w:bidi="fa-IR"/>
        </w:rPr>
        <w:t>ذلک من فعله أبوالقاسم الحسین بن روح الذی تُسمّیه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أوّل وزارة</w:t>
      </w:r>
    </w:p>
    <w:p>
      <w:pPr>
        <w:pStyle w:val="BookText"/>
        <w:rPr/>
      </w:pPr>
      <w:r>
        <w:rPr>
          <w:rFonts w:ascii="IRNazanin" w:hAnsi="IRNazanin" w:eastAsia="IRNazanin"/>
          <w:color w:val="111111"/>
          <w:sz w:val="28"/>
          <w:sz w:val="28"/>
          <w:szCs w:val="28"/>
          <w:rtl w:val="true"/>
          <w:lang w:bidi="fa-IR"/>
        </w:rPr>
        <w:t>حامد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اتّصل الشلمغانیّ بالمحسّن بن أبی الحسن بن الفرات فی وزارة أبیه الثالثة، ثمّ إنّه طُلب فی وزارة الخاقانیّ فاستتر و هرب إلی الموصل، فبقی سنین عند ناصر الدولة</w:t>
      </w:r>
    </w:p>
    <w:p>
      <w:pPr>
        <w:pStyle w:val="BookText"/>
        <w:rPr/>
      </w:pPr>
      <w:r>
        <w:rPr>
          <w:rFonts w:ascii="IRNazanin" w:hAnsi="IRNazanin" w:eastAsia="IRNazanin"/>
          <w:color w:val="111111"/>
          <w:sz w:val="28"/>
          <w:sz w:val="28"/>
          <w:szCs w:val="28"/>
          <w:rtl w:val="true"/>
          <w:lang w:bidi="fa-IR"/>
        </w:rPr>
        <w:t>الحسن بن عبد اللّه بن حمدان، ثمّ انحدر إلی بغداد و استتر، و ظهر عنه ببغداد أنّه یدّعی</w:t>
      </w:r>
    </w:p>
    <w:p>
      <w:pPr>
        <w:pStyle w:val="BookText"/>
        <w:rPr/>
      </w:pPr>
      <w:r>
        <w:rPr>
          <w:rFonts w:ascii="IRNazanin" w:hAnsi="IRNazanin" w:eastAsia="IRNazanin"/>
          <w:color w:val="111111"/>
          <w:sz w:val="28"/>
          <w:sz w:val="28"/>
          <w:szCs w:val="28"/>
          <w:rtl w:val="true"/>
          <w:lang w:bidi="fa-IR"/>
        </w:rPr>
        <w:t>لنفسه الربوبیّة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اتّبعه علی ذلک الحسینُ بن القاسم بن عبد اللّه بن سلیمان بن وهب الذی </w:t>
      </w:r>
    </w:p>
    <w:p>
      <w:pPr>
        <w:pStyle w:val="BookText"/>
        <w:rPr/>
      </w:pPr>
      <w:r>
        <w:rPr>
          <w:rFonts w:ascii="IRNazanin" w:hAnsi="IRNazanin" w:eastAsia="IRNazanin"/>
          <w:color w:val="111111"/>
          <w:sz w:val="28"/>
          <w:sz w:val="28"/>
          <w:szCs w:val="28"/>
          <w:rtl w:val="true"/>
          <w:lang w:bidi="fa-IR"/>
        </w:rPr>
        <w:t>وَزَر للمقتدر باللّه، و أبوجعفر و أبو علیّ ابنا بسطام، و جماعة ذُکرت أسماؤهم؛ کانوا</w:t>
      </w:r>
    </w:p>
    <w:p>
      <w:pPr>
        <w:pStyle w:val="BookText"/>
        <w:rPr/>
      </w:pPr>
      <w:r>
        <w:rPr>
          <w:rFonts w:ascii="IRNazanin" w:hAnsi="IRNazanin" w:eastAsia="IRNazanin"/>
          <w:color w:val="111111"/>
          <w:sz w:val="28"/>
          <w:sz w:val="28"/>
          <w:szCs w:val="28"/>
          <w:rtl w:val="true"/>
          <w:lang w:bidi="fa-IR"/>
        </w:rPr>
        <w:t>یعتقدون ذلک فیه و ظهر ذلک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طُلبوا أیّام وزارة ابن مُقلة فلم یوجدوا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شوّال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ظهر الشلمغانیّ، فقبض علیه الوزیر ابن مقلة و سجنه،</w:t>
      </w:r>
    </w:p>
    <w:p>
      <w:pPr>
        <w:pStyle w:val="BookText"/>
        <w:rPr/>
      </w:pPr>
      <w:r>
        <w:rPr>
          <w:rFonts w:ascii="IRNazanin" w:hAnsi="IRNazanin" w:eastAsia="IRNazanin"/>
          <w:color w:val="111111"/>
          <w:sz w:val="28"/>
          <w:sz w:val="28"/>
          <w:szCs w:val="28"/>
          <w:rtl w:val="true"/>
          <w:lang w:bidi="fa-IR"/>
        </w:rPr>
        <w:t>و کبس داره فوجد فیها رِقاعا و کتباممّن یدّعی علیه أنّه علی مذهبه، یخاطبونه بما لایخاطِب به البشر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جرت أمور أفتی الفقهاء بإباحة دمه، فصُلب مع صاحبٍ له یُسمّی بابن أبی عون، و أُحرقا بالنار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شیئا من مذهبه الشیخ الطوسیّ و البغدادیّ و ابن الأثیر و غیرهم، یراجعها المستزید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البغدادیّ أنّه وضع لأتباعه کتابا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الحاسّة السادسة، صرّح فیه برفع الشریعة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80" w:name="pg4793_55709"/>
    </w:p>
    <w:p>
      <w:pPr>
        <w:pStyle w:val="Heading3"/>
        <w:numPr>
          <w:ilvl w:val="2"/>
          <w:numId w:val="1"/>
        </w:numPr>
        <w:rPr/>
      </w:pPr>
      <w:bookmarkStart w:id="181" w:name="__RefHeading___Toc2295273_2035185390"/>
      <w:bookmarkStart w:id="182" w:name="_Toc66"/>
      <w:bookmarkEnd w:id="180"/>
      <w:bookmarkEnd w:id="181"/>
      <w:r>
        <w:rPr>
          <w:rtl w:val="true"/>
        </w:rPr>
        <w:t>الفصل الثانی</w:t>
      </w:r>
      <w:r>
        <w:rPr>
          <w:rtl w:val="true"/>
        </w:rPr>
        <w:t xml:space="preserve">: </w:t>
      </w:r>
      <w:r>
        <w:rPr>
          <w:rtl w:val="true"/>
        </w:rPr>
        <w:t>مقالات الغلاة</w:t>
      </w:r>
      <w:bookmarkEnd w:id="182"/>
    </w:p>
    <w:p>
      <w:pPr>
        <w:pStyle w:val="Heading4"/>
        <w:numPr>
          <w:ilvl w:val="3"/>
          <w:numId w:val="1"/>
        </w:numPr>
        <w:rPr/>
      </w:pPr>
      <w:bookmarkStart w:id="183" w:name="__RefHeading___Toc2295275_2035185390"/>
      <w:bookmarkStart w:id="184" w:name="_Toc67"/>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قد تعرّض المؤلّفون فی المقالات و الملل و النحل، علی ما فیها من التشویش و الخلل ، لأقاویل هذه الفرق المختلفة من الغلاة المنتمین إلی التشیّع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p>
    <w:p>
      <w:pPr>
        <w:pStyle w:val="BookText"/>
        <w:rPr/>
      </w:pPr>
      <w:r>
        <w:rPr>
          <w:rFonts w:ascii="IRNazanin" w:hAnsi="IRNazanin" w:eastAsia="IRNazanin"/>
          <w:color w:val="111111"/>
          <w:sz w:val="28"/>
          <w:sz w:val="28"/>
          <w:szCs w:val="28"/>
          <w:rtl w:val="true"/>
          <w:lang w:bidi="fa-IR"/>
        </w:rPr>
        <w:t>یتحصّل من ملاحظة مجموع ما ذکروه أنّ أقاویل هؤلاء فیها أثر کبیر من تعالیم الدیانات</w:t>
      </w:r>
    </w:p>
    <w:p>
      <w:pPr>
        <w:pStyle w:val="BookText"/>
        <w:rPr/>
      </w:pPr>
      <w:r>
        <w:rPr>
          <w:rFonts w:ascii="IRNazanin" w:hAnsi="IRNazanin" w:eastAsia="IRNazanin"/>
          <w:color w:val="111111"/>
          <w:sz w:val="28"/>
          <w:sz w:val="28"/>
          <w:szCs w:val="28"/>
          <w:rtl w:val="true"/>
          <w:lang w:bidi="fa-IR"/>
        </w:rPr>
        <w:t>و النحل السابقة علی الإسلام، کالیهودیّة و النصرانیّة و الثنویّة بأنواعها</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کلّهم متّفقون علی إجراء أحکام الإلهیّة لغیر اللّه تعالی و إثباتها فی أبدان المخلوقین، و أنّ الذات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یتنقّل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الخلاف بینهم فی الأشخاص التی یُثبتون</w:t>
      </w:r>
    </w:p>
    <w:p>
      <w:pPr>
        <w:pStyle w:val="BookText"/>
        <w:rPr/>
      </w:pPr>
      <w:r>
        <w:rPr>
          <w:rFonts w:ascii="IRNazanin" w:hAnsi="IRNazanin" w:eastAsia="IRNazanin"/>
          <w:color w:val="111111"/>
          <w:sz w:val="28"/>
          <w:sz w:val="28"/>
          <w:szCs w:val="28"/>
          <w:rtl w:val="true"/>
          <w:lang w:bidi="fa-IR"/>
        </w:rPr>
        <w:t>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هذه الأقاویل سَرَت إلیهم من جهة سائر من انتحل الدیانة الإسلامیّة من</w:t>
      </w:r>
    </w:p>
    <w:p>
      <w:pPr>
        <w:pStyle w:val="BookText"/>
        <w:rPr/>
      </w:pPr>
      <w:r>
        <w:rPr>
          <w:rFonts w:ascii="IRNazanin" w:hAnsi="IRNazanin" w:eastAsia="IRNazanin"/>
          <w:color w:val="111111"/>
          <w:sz w:val="28"/>
          <w:sz w:val="28"/>
          <w:szCs w:val="28"/>
          <w:rtl w:val="true"/>
          <w:lang w:bidi="fa-IR"/>
        </w:rPr>
        <w:t>ملل الیهود و النصاری و غیرهم، و فیهم بقایا تلک التعالیم الموجودة فی نحلهم السابقة،</w:t>
      </w:r>
    </w:p>
    <w:p>
      <w:pPr>
        <w:pStyle w:val="BookText"/>
        <w:rPr/>
      </w:pPr>
      <w:r>
        <w:rPr>
          <w:rFonts w:ascii="IRNazanin" w:hAnsi="IRNazanin" w:eastAsia="IRNazanin"/>
          <w:color w:val="111111"/>
          <w:sz w:val="28"/>
          <w:sz w:val="28"/>
          <w:szCs w:val="28"/>
          <w:rtl w:val="true"/>
          <w:lang w:bidi="fa-IR"/>
        </w:rPr>
        <w:t>فمزجوا تلک الأقاویل و أدخلوها فی ضمن المبادئ المتلقّاة عن الدیانة لأغراض و أهواء</w:t>
      </w:r>
    </w:p>
    <w:p>
      <w:pPr>
        <w:pStyle w:val="BookText"/>
        <w:rPr/>
      </w:pPr>
      <w:r>
        <w:rPr>
          <w:rFonts w:ascii="IRNazanin" w:hAnsi="IRNazanin" w:eastAsia="IRNazanin"/>
          <w:color w:val="111111"/>
          <w:sz w:val="28"/>
          <w:sz w:val="28"/>
          <w:szCs w:val="28"/>
          <w:rtl w:val="true"/>
          <w:lang w:bidi="fa-IR"/>
        </w:rPr>
        <w:t>مختلفة مبسوطة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 سعد بن عبد اللّه الأشعریّ القمّیّ حاکیا عن محمّد بن عیسی الیقطینیّ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الغلاة یرجعون علی اختلافهم إلی مقالتین، هما أصلهم فی التوحید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فإحدی المقالتین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یتراءی لمن شاء فیما شاء کیف شاء فی عدله، </w:t>
      </w:r>
      <w:bookmarkStart w:id="185" w:name="pg4793_55711"/>
    </w:p>
    <w:p>
      <w:pPr>
        <w:pStyle w:val="BookText"/>
        <w:rPr/>
      </w:pPr>
      <w:bookmarkEnd w:id="185"/>
      <w:r>
        <w:rPr>
          <w:rFonts w:ascii="IRNazanin" w:hAnsi="IRNazanin" w:eastAsia="IRNazanin"/>
          <w:color w:val="111111"/>
          <w:sz w:val="28"/>
          <w:sz w:val="28"/>
          <w:szCs w:val="28"/>
          <w:rtl w:val="true"/>
          <w:lang w:bidi="fa-IR"/>
        </w:rPr>
        <w:t>إذ یری من نفسه ما یری من خلقه، فلم یجز أن یتراءی لهم إلاّ فی مثل ما یعرفونه لکی یکونوا آنَس به و لما یدعوهم إلیه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المقالة الثانیة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ذاته و کیفیّته، روح القدس ساکن فی مسکون فیه،</w:t>
      </w:r>
    </w:p>
    <w:p>
      <w:pPr>
        <w:pStyle w:val="BookText"/>
        <w:rPr/>
      </w:pPr>
      <w:r>
        <w:rPr>
          <w:rFonts w:ascii="IRNazanin" w:hAnsi="IRNazanin" w:eastAsia="IRNazanin"/>
          <w:color w:val="111111"/>
          <w:sz w:val="28"/>
          <w:sz w:val="28"/>
          <w:szCs w:val="28"/>
          <w:rtl w:val="true"/>
          <w:lang w:bidi="fa-IR"/>
        </w:rPr>
        <w:t>و المسکون حجابه، و لایوجد أبدا إلاّ بصفته و صفته غیره، غیر أنّه فی وقت احتجابه عن</w:t>
      </w:r>
    </w:p>
    <w:p>
      <w:pPr>
        <w:pStyle w:val="BookText"/>
        <w:rPr/>
      </w:pPr>
      <w:r>
        <w:rPr>
          <w:rFonts w:ascii="IRNazanin" w:hAnsi="IRNazanin" w:eastAsia="IRNazanin"/>
          <w:color w:val="111111"/>
          <w:sz w:val="28"/>
          <w:sz w:val="28"/>
          <w:szCs w:val="28"/>
          <w:rtl w:val="true"/>
          <w:lang w:bidi="fa-IR"/>
        </w:rPr>
        <w:t>خلقه لم یجد بدّا من أن یتغیّر عن ذاته و هیئته بآلة معروفة جسدانیّة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أنّه لا معروف معقول إلاّ بجسد معروف، فمَن أدرک اللّه بغیره فقد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اعتلّوا فی ذلک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من باطن، کما وصف نفسه أنّه الظاهر و الباطن ؛ فروح القدس باطنه،</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المضاف إلیه المستعمل الذی هو نعت له فی وقت حاجة الخلق إلیه؛ لأنّه</w:t>
      </w:r>
    </w:p>
    <w:p>
      <w:pPr>
        <w:pStyle w:val="BookText"/>
        <w:rPr/>
      </w:pPr>
      <w:r>
        <w:rPr>
          <w:rFonts w:ascii="IRNazanin" w:hAnsi="IRNazanin" w:eastAsia="IRNazanin"/>
          <w:color w:val="111111"/>
          <w:sz w:val="28"/>
          <w:sz w:val="28"/>
          <w:szCs w:val="28"/>
          <w:rtl w:val="true"/>
          <w:lang w:bidi="fa-IR"/>
        </w:rPr>
        <w:t>سبب و لایدرک لطیفه إلاّ بسبب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السبب یکون التسبّب، فسبب الولد من التسبّب أی من البدن، لا من الروح ؛ فروح القدس ساکن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المضاف إلیه، فالذی یلهو و یأکل و یشرب و ینام و یسقم و یألم هو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لا یلهو</w:t>
      </w:r>
    </w:p>
    <w:p>
      <w:pPr>
        <w:pStyle w:val="BookText"/>
        <w:rPr/>
      </w:pPr>
      <w:r>
        <w:rPr>
          <w:rFonts w:ascii="IRNazanin" w:hAnsi="IRNazanin" w:eastAsia="IRNazanin"/>
          <w:color w:val="111111"/>
          <w:sz w:val="28"/>
          <w:sz w:val="28"/>
          <w:szCs w:val="28"/>
          <w:rtl w:val="true"/>
          <w:lang w:bidi="fa-IR"/>
        </w:rPr>
        <w:t>و لا یألم و لا یلد و لایولد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عزّ وجلّ عن ذلک و عمّا یصفون علوّا کبیرا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2295277_2035185390"/>
      <w:bookmarkStart w:id="187" w:name="_Toc68"/>
      <w:bookmarkEnd w:id="186"/>
      <w:r>
        <w:rPr>
          <w:rtl w:val="true"/>
        </w:rPr>
        <w:t>[</w:t>
      </w:r>
      <w:r>
        <w:rPr>
          <w:rtl w:val="true"/>
        </w:rPr>
        <w:t>القول بالتناسخ و الحلول</w:t>
      </w:r>
      <w:r>
        <w:rPr>
          <w:rtl w:val="true"/>
        </w:rPr>
        <w:t>]</w:t>
      </w:r>
      <w:bookmarkEnd w:id="187"/>
    </w:p>
    <w:p>
      <w:pPr>
        <w:pStyle w:val="BookText"/>
        <w:rPr/>
      </w:pPr>
      <w:r>
        <w:rPr>
          <w:rFonts w:ascii="IRNazanin" w:hAnsi="IRNazanin" w:eastAsia="IRNazanin"/>
          <w:color w:val="111111"/>
          <w:sz w:val="28"/>
          <w:sz w:val="28"/>
          <w:szCs w:val="28"/>
          <w:rtl w:val="true"/>
          <w:lang w:bidi="fa-IR"/>
        </w:rPr>
        <w:t>و من عمدة أقاویلهم التی یتّفقون فیها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التناسخ 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مقالة التناسخ و انتقال الروح من بدن إلی آخر کانت موجودة فی معتقدات أکثر الأمم السابقة للعصر الإسلامیّ من الفلاسفة و أهل الهند و غیرهم</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الهند أعرَق فی التناسخیّة و أشدّ اعتقادا فیها من غیرها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أنّها سَرَت إلی أذهان الغلاة فی العصر الإسلامیّ عن طریق هذه الملل التی دخلت فی سیطرة الإسلام بعد فتح المسلمین بلادهم، مع بقاء تلک الأفکار و المعتقدات عالقة بأفکارهم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بَنَوا علی ذلک الأصلِ غالبَ مقالاتهم الفاسدة، من إبطال البعث </w:t>
      </w:r>
    </w:p>
    <w:p>
      <w:pPr>
        <w:pStyle w:val="BookText"/>
        <w:rPr/>
      </w:pPr>
      <w:r>
        <w:rPr>
          <w:rFonts w:ascii="IRNazanin" w:hAnsi="IRNazanin" w:eastAsia="IRNazanin"/>
          <w:color w:val="111111"/>
          <w:sz w:val="28"/>
          <w:sz w:val="28"/>
          <w:szCs w:val="28"/>
          <w:rtl w:val="true"/>
          <w:lang w:bidi="fa-IR"/>
        </w:rPr>
        <w:t>و النشور و الثواب و العقاب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أبو محمّد النوبختیّ عند ذکر فِرَقهم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الکیسانیّة و العبّاسیّة و الحارثیّة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بدء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تکلّموا فی الأظلّة و فی التناسخ فی الأرواح، و هم أهل القول بالدَّور فی هذه الدار و إبطال القیامة و البعث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أن لا دار إلاّ الدنیا، و أنّ القیامة هی خروج الروح و دخوله فی بدن آخر؛ إن خیرا فخیر و إن شرّا فشرّ، و أنّهم مسرورون فی هذه الأبدان و معذّبون فیها و هی الجنّات و هی النار، و أنّهم یتنعّمون فی</w:t>
      </w:r>
    </w:p>
    <w:p>
      <w:pPr>
        <w:pStyle w:val="BookText"/>
        <w:rPr/>
      </w:pPr>
      <w:r>
        <w:rPr>
          <w:rFonts w:ascii="IRNazanin" w:hAnsi="IRNazanin" w:eastAsia="IRNazanin"/>
          <w:color w:val="111111"/>
          <w:sz w:val="28"/>
          <w:sz w:val="28"/>
          <w:szCs w:val="28"/>
          <w:rtl w:val="true"/>
          <w:lang w:bidi="fa-IR"/>
        </w:rPr>
        <w:t>الأجسام الحسنة الإنسیّة، و یُعذّبون فی الأجسام الردیئة المُشوَّهة، محوّلین من بدنٍ إلی بدن علی قدر أعمالهم و ذنوبهم و إنکارهم لأئمّتهم و معصیتهم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تفسد الأبدان</w:t>
      </w:r>
    </w:p>
    <w:p>
      <w:pPr>
        <w:pStyle w:val="BookText"/>
        <w:rPr/>
      </w:pPr>
      <w:r>
        <w:rPr>
          <w:rFonts w:ascii="Amiri" w:hAnsi="Amiri" w:eastAsia="Amiri" w:cs="Amiri"/>
          <w:color w:val="111111"/>
          <w:sz w:val="28"/>
          <w:sz w:val="28"/>
          <w:szCs w:val="28"/>
          <w:rtl w:val="true"/>
          <w:lang w:bidi="ar-SA"/>
        </w:rPr>
        <w:t>و تخرب إذ هی مساکنهم فتتلاشی وتفنی، و ترجع إلی قالب آخر مُنعَّم أو مُعذَّب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أنهم یتعارفون فی انتقالهم فی کلّ جسد صاروا فیه علی ما کانوا علیه، إلی غیر ذلک ممّا أورده من مقالاتهم و سخافاتهم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تأوّلوا بعض الآیات و الروایات الواردة فی تلک الأقاویل، فأوّلوا مثلاً قول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اَیِّ صُورَةٍ مَا شَاءَ رَکَّبَکَ</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الوارد فی مقام المِنّة علی العباد،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الطیر و الدوابّ و أمثالهما کانوا أناسا حَلَّت فیهم أقدار من اللّه عزّ و جلّ ؛ فمن کان صالحا جعل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خراب قالبه و هدم مسکنه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بدن صالح فأکرمه و نعّمه،و من کان منهم کافرا عاصیا نقل روحه إلی بدن خبیث مُشوّه، و فی أقبح صورة یُعذّب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تأوّلوا الحدیث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الأرواح جنود مجنّدة، 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تعارفهم فی انتقالهم فی الأجساد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88" w:name="pg4793_55714"/>
    </w:p>
    <w:p>
      <w:pPr>
        <w:pStyle w:val="Heading4"/>
        <w:numPr>
          <w:ilvl w:val="3"/>
          <w:numId w:val="1"/>
        </w:numPr>
        <w:rPr/>
      </w:pPr>
      <w:bookmarkStart w:id="189" w:name="__RefHeading___Toc2295279_2035185390"/>
      <w:bookmarkStart w:id="190" w:name="_Toc69"/>
      <w:bookmarkEnd w:id="188"/>
      <w:bookmarkEnd w:id="189"/>
      <w:r>
        <w:rPr>
          <w:rtl w:val="true"/>
        </w:rPr>
        <w:t>[</w:t>
      </w:r>
      <w:r>
        <w:rPr>
          <w:rtl w:val="true"/>
        </w:rPr>
        <w:t>القول بالأشباح و الأظلّة</w:t>
      </w:r>
      <w:r>
        <w:rPr>
          <w:rtl w:val="true"/>
        </w:rPr>
        <w:t>]</w:t>
      </w:r>
      <w:bookmarkEnd w:id="190"/>
    </w:p>
    <w:p>
      <w:pPr>
        <w:pStyle w:val="BookText"/>
        <w:rPr/>
      </w:pPr>
      <w:r>
        <w:rPr>
          <w:rFonts w:ascii="IRNazanin" w:hAnsi="IRNazanin" w:eastAsia="IRNazanin"/>
          <w:color w:val="111111"/>
          <w:sz w:val="28"/>
          <w:sz w:val="28"/>
          <w:szCs w:val="28"/>
          <w:rtl w:val="true"/>
          <w:lang w:bidi="fa-IR"/>
        </w:rPr>
        <w:t>و زعمت فرقة منهم وجود أشباح نوریّة قدیمة قبل خلق السماوات و الأرض</w:t>
      </w:r>
      <w:r>
        <w:rPr>
          <w:rStyle w:val="FootnoteAnchor"/>
          <w:rtl w:val="true"/>
        </w:rPr>
        <w:footnoteReference w:id="361"/>
      </w:r>
      <w:r>
        <w:rPr>
          <w:rFonts w:ascii="IRNazanin" w:hAnsi="IRNazanin" w:eastAsia="IRNazanin"/>
          <w:color w:val="111111"/>
          <w:sz w:val="28"/>
          <w:sz w:val="28"/>
          <w:szCs w:val="28"/>
          <w:rtl w:val="true"/>
          <w:lang w:bidi="fa-IR"/>
        </w:rPr>
        <w:t>، و قد روت فی هذا المعنی أخباراً غیر معتمدة إن صحّ شیء منها فلها تأویلات غیر بعیدة عن أحکام العقول</w:t>
      </w:r>
      <w:r>
        <w:rPr>
          <w:rStyle w:val="FootnoteAnchor"/>
          <w:rtl w:val="true"/>
        </w:rPr>
        <w:footnoteReference w:id="362"/>
      </w:r>
      <w:r>
        <w:rPr>
          <w:rFonts w:ascii="IRNazanin" w:hAnsi="IRNazanin" w:eastAsia="IRNazanin"/>
          <w:color w:val="111111"/>
          <w:sz w:val="28"/>
          <w:sz w:val="28"/>
          <w:szCs w:val="28"/>
          <w:rtl w:val="true"/>
          <w:lang w:bidi="fa-IR"/>
        </w:rPr>
        <w:t>، إلاّ أنّ هؤلاء الغالیة تعلّقوا بظواهرها، و بَنَوا علیها أباطیل کثیرة، و صنّفوا فی ذلک کتبا ملأوها بتلک الضلالات، و أضافوا ما تضمّنته إلی جماعة من شیوخ</w:t>
      </w:r>
    </w:p>
    <w:p>
      <w:pPr>
        <w:pStyle w:val="BookText"/>
        <w:rPr/>
      </w:pPr>
      <w:r>
        <w:rPr>
          <w:rFonts w:ascii="IRNazanin" w:hAnsi="IRNazanin" w:eastAsia="IRNazanin"/>
          <w:color w:val="111111"/>
          <w:sz w:val="28"/>
          <w:sz w:val="28"/>
          <w:szCs w:val="28"/>
          <w:rtl w:val="true"/>
          <w:lang w:bidi="fa-IR"/>
        </w:rPr>
        <w:t>الشیعة ورواة أخبارهم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ذلک کتاب سَمَّوه کتاب الأشباح و الأظلّة، نسبوا تألیفه إلی محمّد بن سِنان من أصحاب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أهل العلم و نقدة الحدیث فی صحّة نسبة ذلک الکتاب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نعلم صحّة ما ذکروه فی هذا الباب عنه؛ فإن کان صحیحا فإنّ ابن سنان قد طُعن علیه و هو متّهم بالغلوّ، فإن صدقوا فی إضافة هذا الکتاب إلیه فهو ضالّ بضلاله عن الحقّ، و إن کذبوا فقد تحمّلوا أوزار ذلک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جواب سؤال سُئل عنه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بأنّ أشباحهم علیهم‌السلام</w:t>
      </w:r>
      <w:r>
        <w:rPr>
          <w:rStyle w:val="FootnoteAnchor"/>
          <w:rtl w:val="true"/>
        </w:rPr>
        <w:footnoteReference w:id="365"/>
      </w:r>
      <w:r>
        <w:rPr>
          <w:rFonts w:ascii="IRNazanin" w:hAnsi="IRNazanin" w:eastAsia="IRNazanin"/>
          <w:color w:val="111111"/>
          <w:sz w:val="28"/>
          <w:sz w:val="28"/>
          <w:szCs w:val="28"/>
          <w:rtl w:val="true"/>
          <w:lang w:bidi="fa-IR"/>
        </w:rPr>
        <w:t>قدیمة، فهو مُنکَر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 هو اللّه تعالی الواحد الذی لم یَزَل و کلّ ما سواه مُحدَث مصنوع مُبتَدأ له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تکوُّن ذواتهم کانت قبل آدم موجودة، فذلک باطل بعید من الحقّ لایعتقده محصّل و لایدین به عالم، و لم نعرفه إلاّ فی کلام طائفة من الغلاة و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بصر لهم بمعانی الکلام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أنّ هذا القول کان شائعا علی ألسن فرقة من الغلاة یسمّون بالمُخمِّسة، یزعمون أنّ الخمسةَ أشباحٌ و أنوار قدیمة لم تزل و لا تزال</w:t>
      </w:r>
      <w:r>
        <w:rPr>
          <w:rFonts w:eastAsia="IRNazanin" w:cs="IRNazanin"/>
          <w:color w:val="111111"/>
          <w:sz w:val="28"/>
          <w:szCs w:val="28"/>
          <w:rtl w:val="true"/>
          <w:lang w:bidi="fa-IR"/>
        </w:rPr>
        <w:t xml:space="preserve">. </w:t>
      </w:r>
      <w:bookmarkStart w:id="191" w:name="pg4793_55716"/>
    </w:p>
    <w:p>
      <w:pPr>
        <w:pStyle w:val="BookText"/>
        <w:rPr/>
      </w:pPr>
      <w:bookmarkEnd w:id="191"/>
      <w:r>
        <w:rPr>
          <w:rFonts w:ascii="Amiri" w:hAnsi="Amiri" w:eastAsia="Amiri" w:cs="Amiri"/>
          <w:color w:val="111111"/>
          <w:sz w:val="28"/>
          <w:sz w:val="28"/>
          <w:szCs w:val="28"/>
          <w:rtl w:val="true"/>
          <w:lang w:bidi="ar-SA"/>
        </w:rPr>
        <w:t>و ذکر بعض المؤلّفین أنّهم أصحاب أبی الخطّاب، و أنّهم زعموا أنّ اللّه عزّ وجلّ هو</w:t>
      </w:r>
    </w:p>
    <w:p>
      <w:pPr>
        <w:pStyle w:val="BookText"/>
        <w:rPr/>
      </w:pPr>
      <w:r>
        <w:rPr>
          <w:rFonts w:ascii="IRNazanin" w:hAnsi="IRNazanin" w:eastAsia="IRNazanin"/>
          <w:color w:val="111111"/>
          <w:sz w:val="28"/>
          <w:sz w:val="28"/>
          <w:szCs w:val="28"/>
          <w:rtl w:val="true"/>
          <w:lang w:bidi="fa-IR"/>
        </w:rPr>
        <w:t>محمّد، و أنّه ظهر فی خمسة أشباح و خمسة صور مختلفة؛ ظهر فی صورة محمّد و علیّ و فاطمة و الحسن و الحسین، تعالی اللّه عن ذلک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أنّ هذه الفرقة بهذه السمة کانت موجودة و متستّرة فی ضواحی بغداد و البصرة و أطراف بلاد العراق حوالی القرن الخامس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فیاقوت الحمویّ یذکر فی ترجمة القاسم بن علیّ الکرخیّ المنسوب إلی کرخ البصرة و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یدینون بذلک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عند ذکره بعض المذمومین مِن مدّعی النیابة فی عصر الغیبة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دُلَف محمّد ابن المظفّر الکاتب کان فی ابتداء أمره مُخمّسا مشهورا بذلک؛ لأنّه کان من تربیة الکرخیّین و تلمیذهم، و کان الکرخیّون مُخمّسة لایشکّ فی ذلک أحد من الشیعة، و قد کان یعترف بذلک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2295281_2035185390"/>
      <w:bookmarkStart w:id="193" w:name="_Toc70"/>
      <w:bookmarkEnd w:id="192"/>
      <w:r>
        <w:rPr>
          <w:rtl w:val="true"/>
        </w:rPr>
        <w:t>[</w:t>
      </w:r>
      <w:r>
        <w:rPr>
          <w:rtl w:val="true"/>
        </w:rPr>
        <w:t>إنّ الدین طاعة رجل</w:t>
      </w:r>
      <w:r>
        <w:rPr>
          <w:rtl w:val="true"/>
        </w:rPr>
        <w:t>]</w:t>
      </w:r>
      <w:bookmarkEnd w:id="193"/>
    </w:p>
    <w:p>
      <w:pPr>
        <w:pStyle w:val="BookText"/>
        <w:rPr/>
      </w:pPr>
      <w:r>
        <w:rPr>
          <w:rFonts w:ascii="IRNazanin" w:hAnsi="IRNazanin" w:eastAsia="IRNazanin"/>
          <w:color w:val="111111"/>
          <w:sz w:val="28"/>
          <w:sz w:val="28"/>
          <w:szCs w:val="28"/>
          <w:rtl w:val="true"/>
          <w:lang w:bidi="fa-IR"/>
        </w:rPr>
        <w:t>و من أقاویلهم المعروفة ما نسبه إلیهم أهل المقالات من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هو طاعة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ترجمة أبی منصور العجلیّ أنّه زعم أنّ الجنّة رجل أُمِرنا بموالاته</w:t>
      </w:r>
    </w:p>
    <w:p>
      <w:pPr>
        <w:pStyle w:val="BookText"/>
        <w:rPr/>
      </w:pPr>
      <w:r>
        <w:rPr>
          <w:rFonts w:ascii="IRNazanin" w:hAnsi="IRNazanin" w:eastAsia="IRNazanin"/>
          <w:color w:val="111111"/>
          <w:sz w:val="28"/>
          <w:sz w:val="28"/>
          <w:szCs w:val="28"/>
          <w:rtl w:val="true"/>
          <w:lang w:bidi="fa-IR"/>
        </w:rPr>
        <w:t>و هو إمام الوقت، و أنّ النار رجل أُمرنا بمعاداته و هو خصم الإمام، و أنّه تأوّل المحرّمات</w:t>
      </w:r>
    </w:p>
    <w:p>
      <w:pPr>
        <w:pStyle w:val="BookText"/>
        <w:rPr/>
      </w:pPr>
      <w:r>
        <w:rPr>
          <w:rFonts w:ascii="IRNazanin" w:hAnsi="IRNazanin" w:eastAsia="IRNazanin"/>
          <w:color w:val="111111"/>
          <w:sz w:val="28"/>
          <w:sz w:val="28"/>
          <w:szCs w:val="28"/>
          <w:rtl w:val="true"/>
          <w:lang w:bidi="fa-IR"/>
        </w:rPr>
        <w:t>کلّها علی أسماء رجالٍ أمر اللّه بمعاداتهم، و تأوّل الفرائض کلّها علی أسماء رجال أُمرنا</w:t>
      </w:r>
    </w:p>
    <w:p>
      <w:pPr>
        <w:pStyle w:val="BookText"/>
        <w:rPr/>
      </w:pPr>
      <w:r>
        <w:rPr>
          <w:rFonts w:ascii="IRNazanin" w:hAnsi="IRNazanin" w:eastAsia="IRNazanin"/>
          <w:color w:val="111111"/>
          <w:sz w:val="28"/>
          <w:sz w:val="28"/>
          <w:szCs w:val="28"/>
          <w:rtl w:val="true"/>
          <w:lang w:bidi="fa-IR"/>
        </w:rPr>
        <w:t>بموالاتهم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نَسَبوا مثل ذلک إلی أبی الخطّاب و أصحابه،و أنّهم جعلوا الفرائض رجالاً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سَمّوهم، و الفواحش و المعاصی رجالاً، و نزّلوا علی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اَنْ ی </w:t>
      </w:r>
    </w:p>
    <w:p>
      <w:pPr>
        <w:pStyle w:val="BookText"/>
        <w:rPr/>
      </w:pPr>
      <w:r>
        <w:rPr>
          <w:rFonts w:ascii="Amiri" w:hAnsi="Amiri" w:eastAsia="Amiri" w:cs="Amiri"/>
          <w:color w:val="111111"/>
          <w:sz w:val="28"/>
          <w:sz w:val="28"/>
          <w:szCs w:val="28"/>
          <w:rtl w:val="true"/>
          <w:lang w:bidi="ar-SA"/>
        </w:rPr>
        <w:t>خَفِّفَ عَنْکُمْ</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عنّا بأبی الخطّاب و وضع عنّا الأغلال، یعنون الصلاة</w:t>
      </w:r>
    </w:p>
    <w:p>
      <w:pPr>
        <w:pStyle w:val="BookText"/>
        <w:rPr/>
      </w:pPr>
      <w:r>
        <w:rPr>
          <w:rFonts w:ascii="IRNazanin" w:hAnsi="IRNazanin" w:eastAsia="IRNazanin"/>
          <w:color w:val="111111"/>
          <w:sz w:val="28"/>
          <w:sz w:val="28"/>
          <w:szCs w:val="28"/>
          <w:rtl w:val="true"/>
          <w:lang w:bidi="fa-IR"/>
        </w:rPr>
        <w:t>و الحجّ و سائر الفرائض،و أنّ من عرف النبیّ و الإمام فله أن یصنع ما أحبّ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هذا القول أنّ هؤلاء کان قَرَع أسماعهم أنّ معرفة الرسل هو أصل معرفة أحکام الدین، و هی فروع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کما هو ظاهر أنّ معرفة أحکام الدین و الشریعة</w:t>
      </w:r>
    </w:p>
    <w:p>
      <w:pPr>
        <w:pStyle w:val="BookText"/>
        <w:rPr/>
      </w:pPr>
      <w:r>
        <w:rPr>
          <w:rFonts w:ascii="IRNazanin" w:hAnsi="IRNazanin" w:eastAsia="IRNazanin"/>
          <w:color w:val="111111"/>
          <w:sz w:val="28"/>
          <w:sz w:val="28"/>
          <w:szCs w:val="28"/>
          <w:rtl w:val="true"/>
          <w:lang w:bidi="fa-IR"/>
        </w:rPr>
        <w:t>لا تتیسّر إلاّ بعد معرفة الرسول و ثبوت نبوّته، و أنّه هل هو صادق فی دعواه أم لا؟ و هذا کما تراه عین مایعبّر عنه المتکلّمون فی کتبهم أنّ التکلیف لایصحّ إلاّ بالرسل، و أنّ العقل لاینفکّ عن سمع</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فأوّلوا هذا و أمثاله إلی ما یوافق أغراضهم، ثمّ فرّعوا علیه ما یریدونه من الإباحات و إسقاط التکالیف، و أنّ معرفة النبیّ و الإمام تغنی عن سائر التکالیف و تسقطها عنهم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ذلک لنبیّن للناظر تمویههم و سوء طریقتهم فی تأویل النصوص و الآثار و حملها علی غیر محاملها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القدر کفایة فی الإشارة إلی أنموذج معتقداتهم و آرائهم، و لا نطیل بأزید من ذلک</w:t>
      </w:r>
      <w:r>
        <w:rPr>
          <w:rFonts w:eastAsia="IRNazanin" w:cs="IRNazanin"/>
          <w:color w:val="111111"/>
          <w:sz w:val="28"/>
          <w:szCs w:val="28"/>
          <w:rtl w:val="true"/>
          <w:lang w:bidi="fa-IR"/>
        </w:rPr>
        <w:t xml:space="preserve">. </w:t>
      </w:r>
      <w:bookmarkStart w:id="194" w:name="pg4793_55720"/>
    </w:p>
    <w:p>
      <w:pPr>
        <w:pStyle w:val="Heading3"/>
        <w:numPr>
          <w:ilvl w:val="2"/>
          <w:numId w:val="1"/>
        </w:numPr>
        <w:rPr/>
      </w:pPr>
      <w:bookmarkStart w:id="195" w:name="__RefHeading___Toc2295283_2035185390"/>
      <w:bookmarkStart w:id="196" w:name="_Toc71"/>
      <w:bookmarkEnd w:id="194"/>
      <w:bookmarkEnd w:id="195"/>
      <w:r>
        <w:rPr>
          <w:rtl w:val="true"/>
        </w:rPr>
        <w:t>الفصل الثالث</w:t>
      </w:r>
      <w:r>
        <w:rPr>
          <w:rtl w:val="true"/>
        </w:rPr>
        <w:t xml:space="preserve">: </w:t>
      </w:r>
      <w:r>
        <w:rPr>
          <w:rtl w:val="true"/>
        </w:rPr>
        <w:t>تبرُّؤ الأئمّة علیهم‌السلام من مقالات الغالیة</w:t>
      </w:r>
      <w:bookmarkEnd w:id="196"/>
    </w:p>
    <w:p>
      <w:pPr>
        <w:pStyle w:val="Heading4"/>
        <w:numPr>
          <w:ilvl w:val="3"/>
          <w:numId w:val="1"/>
        </w:numPr>
        <w:rPr/>
      </w:pPr>
      <w:bookmarkStart w:id="197" w:name="__RefHeading___Toc2295285_2035185390"/>
      <w:bookmarkStart w:id="198" w:name="_Toc72"/>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قد تبرّأت الأئمّة علیهم‌السلام من هؤلاء الغالیة فی حقّهم، و حذّروا الشیعة من معاشرتهم و مخالطتهم ، و بالغوا فی التشدید و الإنکار علی من یتفوّه بمقالتهم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الآثار</w:t>
      </w:r>
    </w:p>
    <w:p>
      <w:pPr>
        <w:pStyle w:val="BookText"/>
        <w:rPr/>
      </w:pPr>
      <w:r>
        <w:rPr>
          <w:rFonts w:ascii="IRNazanin" w:hAnsi="IRNazanin" w:eastAsia="IRNazanin"/>
          <w:color w:val="111111"/>
          <w:sz w:val="28"/>
          <w:sz w:val="28"/>
          <w:szCs w:val="28"/>
          <w:rtl w:val="true"/>
          <w:lang w:bidi="fa-IR"/>
        </w:rPr>
        <w:t>المرویّة عنهم فی کفر هؤلاء و ضلال مَن تبعهم فی اعتقاداتهم، یوضح ذلک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ذکر ما کان من أمر أمیر المؤمنین علیه‌السلام من الإنکار علی الذین غَلَوا فی زمانه و إحراقه إیّاهم بالنار، و کانوا أحد عشر رجلاً، و نفیه ابن سبأ إلی المدائن بعد أن أظهر التوبة و الإقلاع عن قوله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سابقا ما صنعه الباقر علیه‌السلام حین ما بلغه أقاویل ابن کرب من لعنه و تبرُّؤ الشیعة منه، و ما کان من لعنه للمغیرة بن سعید و تبرّؤه منه، و ما کان منه من طرد أبی</w:t>
      </w:r>
    </w:p>
    <w:p>
      <w:pPr>
        <w:pStyle w:val="BookText"/>
        <w:rPr/>
      </w:pPr>
      <w:r>
        <w:rPr>
          <w:rFonts w:ascii="IRNazanin" w:hAnsi="IRNazanin" w:eastAsia="IRNazanin"/>
          <w:color w:val="111111"/>
          <w:sz w:val="28"/>
          <w:sz w:val="28"/>
          <w:szCs w:val="28"/>
          <w:rtl w:val="true"/>
          <w:lang w:bidi="fa-IR"/>
        </w:rPr>
        <w:t>منصور العجلیّ و التبرّؤ منه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راجع ما ذکر فی تراجم أمثال المغیرة بن سعید، و أبی الخطّاب، و بنان النهدیّ، و بشّار الشعیریّ و غیرهم فی کتب الشیعة و فهارس أسماء الرواة، یطّلع علی الإنکار و التشدید الذی ظهر من الصادق علیه‌السلام فی حقّ هؤلاء و نهیه الشیعة عن معاشرتهم</w:t>
      </w:r>
      <w:r>
        <w:rPr>
          <w:rStyle w:val="FootnoteAnchor"/>
          <w:rtl w:val="true"/>
        </w:rPr>
        <w:footnoteReference w:id="377"/>
      </w:r>
      <w:r>
        <w:rPr>
          <w:rFonts w:ascii="IRNazanin" w:hAnsi="IRNazanin" w:eastAsia="IRNazanin"/>
          <w:color w:val="111111"/>
          <w:sz w:val="28"/>
          <w:sz w:val="28"/>
          <w:szCs w:val="28"/>
          <w:rtl w:val="true"/>
          <w:lang w:bidi="fa-IR"/>
        </w:rPr>
        <w:t xml:space="preserve">، و یطّلع علی ما کان من تبرُّؤ الإمام موسی بن جعفر علیهماالسلام من محمّد بن بشیر الأسدیّ، </w:t>
      </w:r>
      <w:bookmarkStart w:id="199" w:name="pg4793_55722"/>
    </w:p>
    <w:p>
      <w:pPr>
        <w:pStyle w:val="BookText"/>
        <w:rPr/>
      </w:pPr>
      <w:bookmarkEnd w:id="199"/>
      <w:r>
        <w:rPr>
          <w:rFonts w:ascii="IRNazanin" w:hAnsi="IRNazanin" w:eastAsia="IRNazanin"/>
          <w:color w:val="111111"/>
          <w:sz w:val="28"/>
          <w:sz w:val="28"/>
          <w:szCs w:val="28"/>
          <w:rtl w:val="true"/>
          <w:lang w:bidi="fa-IR"/>
        </w:rPr>
        <w:t>و دعائه علیه بأن یذیقه اللّه حرّ الحدید و إهداره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لمن ظفر به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ظهرت استجابة دعائه، فقُتل شرّ قتلة بعد أن عذّب بألوان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الفرات یکذب علی الرضا علیه‌السلام و یدّعی أنّه نبیّ و یدّعی البابیّة لنفسه، فقتله إبراهیم بن المهدیّ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هؤلاء الکذّابین فارس بن حاتم القزوینیّ، و کان فتّانا یفتن الناس و یدعوهم إلی البدعة، فلعنه الإمام أبو الحسن العسکریّ علیه‌السلام و أهدر دمه، فقتله رجل من الشیعة من أصحابه اسمه جُنید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خرج التوقیع بلعنه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الشریعیّ، و محمّد بن نصیر النمیریّ، و أحمد بن هلال الکرخیّ، و الشلمغانیّ،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أمثال هؤلاء الأشخاص یظهرون أنفسهم عند الشیعة بالولاء للأئمّة و الاختصاص بهم، و یدّعون مقام النیابة و الوکالة عنهم؛ إذ کان للأئمّة فی بعض الأوقات</w:t>
      </w:r>
    </w:p>
    <w:p>
      <w:pPr>
        <w:pStyle w:val="BookText"/>
        <w:rPr/>
      </w:pPr>
      <w:r>
        <w:rPr>
          <w:rFonts w:ascii="IRNazanin" w:hAnsi="IRNazanin" w:eastAsia="IRNazanin"/>
          <w:color w:val="111111"/>
          <w:sz w:val="28"/>
          <w:sz w:val="28"/>
          <w:szCs w:val="28"/>
          <w:rtl w:val="true"/>
          <w:lang w:bidi="fa-IR"/>
        </w:rPr>
        <w:t>وکلاء منصوبون کانت الشیعة ترجع إلیهم فی أمورهم و سؤالاتهم للأئمّة، و یصدر الجواب</w:t>
      </w:r>
    </w:p>
    <w:p>
      <w:pPr>
        <w:pStyle w:val="BookText"/>
        <w:rPr/>
      </w:pPr>
      <w:r>
        <w:rPr>
          <w:rFonts w:ascii="IRNazanin" w:hAnsi="IRNazanin" w:eastAsia="IRNazanin"/>
          <w:color w:val="111111"/>
          <w:sz w:val="28"/>
          <w:sz w:val="28"/>
          <w:szCs w:val="28"/>
          <w:rtl w:val="true"/>
          <w:lang w:bidi="fa-IR"/>
        </w:rPr>
        <w:t>علی أیدیهم</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أوقات و أزمنة مخصوصة عند اشتداد أمر التقیّة و الخوف من ظهور رجوع الناس إلیهم، و تطّلع الخلفاء المعاصرین إلی الشیعة و حرکاتها، کما سنبسطه فی محلّ مناسب</w:t>
      </w:r>
      <w:r>
        <w:rPr>
          <w:rFonts w:eastAsia="IRNazanin" w:cs="IRNazanin"/>
          <w:color w:val="111111"/>
          <w:sz w:val="28"/>
          <w:szCs w:val="28"/>
          <w:rtl w:val="true"/>
          <w:lang w:bidi="fa-IR"/>
        </w:rPr>
        <w:t>.</w:t>
      </w:r>
    </w:p>
    <w:p>
      <w:pPr>
        <w:pStyle w:val="Heading4"/>
        <w:numPr>
          <w:ilvl w:val="3"/>
          <w:numId w:val="1"/>
        </w:numPr>
        <w:rPr/>
      </w:pPr>
      <w:bookmarkStart w:id="200" w:name="__RefHeading___Toc2295287_2035185390"/>
      <w:bookmarkStart w:id="201" w:name="_Toc73"/>
      <w:bookmarkEnd w:id="200"/>
      <w:r>
        <w:rPr>
          <w:rtl w:val="true"/>
        </w:rPr>
        <w:t>[</w:t>
      </w:r>
      <w:r>
        <w:rPr>
          <w:rtl w:val="true"/>
        </w:rPr>
        <w:t>دعوی النیابة و البابیّة من قِبَل الغلاة</w:t>
      </w:r>
      <w:r>
        <w:rPr>
          <w:rtl w:val="true"/>
        </w:rPr>
        <w:t>]</w:t>
      </w:r>
      <w:bookmarkEnd w:id="201"/>
    </w:p>
    <w:p>
      <w:pPr>
        <w:pStyle w:val="BookText"/>
        <w:rPr/>
      </w:pPr>
      <w:r>
        <w:rPr>
          <w:rFonts w:ascii="IRNazanin" w:hAnsi="IRNazanin" w:eastAsia="IRNazanin"/>
          <w:color w:val="111111"/>
          <w:sz w:val="28"/>
          <w:sz w:val="28"/>
          <w:szCs w:val="28"/>
          <w:rtl w:val="true"/>
          <w:lang w:bidi="fa-IR"/>
        </w:rPr>
        <w:t>و قد صار ذلک وسیلة لبعض هؤلاء الأشخاص لتفتین الضعفاء و من لا بصیرة له، فکانت دعوی النیابة و البابیّة سببا لمَیل الناس إلیهم و الاعتماد علی أقوالهم، ثمّ</w:t>
      </w:r>
    </w:p>
    <w:p>
      <w:pPr>
        <w:pStyle w:val="BookText"/>
        <w:rPr/>
      </w:pPr>
      <w:r>
        <w:rPr>
          <w:rFonts w:ascii="IRNazanin" w:hAnsi="IRNazanin" w:eastAsia="IRNazanin"/>
          <w:color w:val="111111"/>
          <w:sz w:val="28"/>
          <w:sz w:val="28"/>
          <w:szCs w:val="28"/>
          <w:rtl w:val="true"/>
          <w:lang w:bidi="fa-IR"/>
        </w:rPr>
        <w:t>یتدرّجون إلی إظهار أغراضهم من الغلوّ فی حقّهم و إثبات أحکام الربوبیّة لهم، لأجل أن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یتّخذوا من ذلک وسیلة لادّعاء مقام النبوّة و الإمامة لأنفسهم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عَظُم أمر الشیعة فی ذلک الأوان حتّی أنّه کان بین رجال الدولة و بطانتها من الوزراء و أعیان الناس و وجوههم جماعة منهم، فکان بعض من یدّعی المقالات لنفسه یتقرّبون منهم و یظهرون عندهم الاختصاص و الاطّلاع علی الأسرار و العلوم، و یُحکِمون أقاویلهم فی قلوبهم و یجرّونهم إلی الضلال و آراء أهل التعطیل، من الإباحة</w:t>
      </w:r>
    </w:p>
    <w:p>
      <w:pPr>
        <w:pStyle w:val="BookText"/>
        <w:rPr/>
      </w:pPr>
      <w:r>
        <w:rPr>
          <w:rFonts w:ascii="IRNazanin" w:hAnsi="IRNazanin" w:eastAsia="IRNazanin"/>
          <w:color w:val="111111"/>
          <w:sz w:val="28"/>
          <w:sz w:val="28"/>
          <w:szCs w:val="28"/>
          <w:rtl w:val="true"/>
          <w:lang w:bidi="fa-IR"/>
        </w:rPr>
        <w:t>و القول بالحلول و نظائرهما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ادّعت الغلاة النیابة و البابیّة</w:t>
      </w:r>
      <w:r>
        <w:rPr>
          <w:rStyle w:val="FootnoteAnchor"/>
          <w:rtl w:val="true"/>
        </w:rPr>
        <w:footnoteReference w:id="382"/>
      </w:r>
      <w:r>
        <w:rPr>
          <w:rFonts w:ascii="IRNazanin" w:hAnsi="IRNazanin" w:eastAsia="IRNazanin"/>
          <w:color w:val="111111"/>
          <w:sz w:val="28"/>
          <w:sz w:val="28"/>
          <w:szCs w:val="28"/>
          <w:rtl w:val="true"/>
          <w:lang w:bidi="fa-IR"/>
        </w:rPr>
        <w:t>لجماعة من رجالهم و رؤسائهم، و وضعوا أخبارا فی مدح هؤلاء الأشخاص و إثبات المقامات العظیمة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مقابلة ما کان</w:t>
      </w:r>
    </w:p>
    <w:p>
      <w:pPr>
        <w:pStyle w:val="BookText"/>
        <w:rPr/>
      </w:pPr>
      <w:r>
        <w:rPr>
          <w:rFonts w:ascii="IRNazanin" w:hAnsi="IRNazanin" w:eastAsia="IRNazanin"/>
          <w:color w:val="111111"/>
          <w:sz w:val="28"/>
          <w:sz w:val="28"/>
          <w:szCs w:val="28"/>
          <w:rtl w:val="true"/>
          <w:lang w:bidi="fa-IR"/>
        </w:rPr>
        <w:t>یصدر من اللَّعن و البراءة منهم و 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یموّهون للعوامّ بأنّ تلک البراءة</w:t>
      </w:r>
    </w:p>
    <w:p>
      <w:pPr>
        <w:pStyle w:val="BookText"/>
        <w:rPr/>
      </w:pPr>
      <w:r>
        <w:rPr>
          <w:rFonts w:ascii="IRNazanin" w:hAnsi="IRNazanin" w:eastAsia="IRNazanin"/>
          <w:color w:val="111111"/>
          <w:sz w:val="28"/>
          <w:sz w:val="28"/>
          <w:szCs w:val="28"/>
          <w:rtl w:val="true"/>
          <w:lang w:bidi="fa-IR"/>
        </w:rPr>
        <w:t>و اللّعن لهؤلاء لها جهات أخری، و أنّ ظواهرها غیر بواطنها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یموّهون أیضا 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الوکلاء المنصوبین الذین کانت الشیعة تعترف بشأنهم و جلالة أقدارهم إنّما هم وکلاء الأموال و منصوبون لأخذ الحقوق الواجبة من الناس، فکانوا یوقعون الشبهة فی أذهان العوامّ لأجل هذه التشکیکات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02" w:name="pg4793_55726"/>
    </w:p>
    <w:p>
      <w:pPr>
        <w:pStyle w:val="Heading3"/>
        <w:numPr>
          <w:ilvl w:val="2"/>
          <w:numId w:val="1"/>
        </w:numPr>
        <w:rPr/>
      </w:pPr>
      <w:bookmarkStart w:id="203" w:name="__RefHeading___Toc2295289_2035185390"/>
      <w:bookmarkStart w:id="204" w:name="_Toc74"/>
      <w:bookmarkEnd w:id="202"/>
      <w:bookmarkEnd w:id="203"/>
      <w:r>
        <w:rPr>
          <w:rtl w:val="true"/>
        </w:rPr>
        <w:t>الفصل الرابع</w:t>
      </w:r>
      <w:r>
        <w:rPr>
          <w:rtl w:val="true"/>
        </w:rPr>
        <w:t xml:space="preserve">: </w:t>
      </w:r>
      <w:r>
        <w:rPr>
          <w:rtl w:val="true"/>
        </w:rPr>
        <w:t>الغلاة و رواة الشیعة</w:t>
      </w:r>
      <w:bookmarkEnd w:id="204"/>
    </w:p>
    <w:p>
      <w:pPr>
        <w:pStyle w:val="Heading4"/>
        <w:numPr>
          <w:ilvl w:val="3"/>
          <w:numId w:val="1"/>
        </w:numPr>
        <w:rPr/>
      </w:pPr>
      <w:bookmarkStart w:id="205" w:name="__RefHeading___Toc2295291_2035185390"/>
      <w:bookmarkStart w:id="206" w:name="_Toc75"/>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من الأمور التی کان لها أثرها فی هذا الشأن هو اختلاط رجال الغالیة برواة الشیعة، و تستّرهم بالتشیّع و عدم تمیّزهم عنهم فی الظاهر، و دسّ المنکرات من أقوالهم فی ضمن</w:t>
      </w:r>
    </w:p>
    <w:p>
      <w:pPr>
        <w:pStyle w:val="BookText"/>
        <w:rPr/>
      </w:pPr>
      <w:r>
        <w:rPr>
          <w:rFonts w:ascii="IRNazanin" w:hAnsi="IRNazanin" w:eastAsia="IRNazanin"/>
          <w:color w:val="111111"/>
          <w:sz w:val="28"/>
          <w:sz w:val="28"/>
          <w:szCs w:val="28"/>
          <w:rtl w:val="true"/>
          <w:lang w:bidi="fa-IR"/>
        </w:rPr>
        <w:t>بعض مؤلّفات الشیعة و ترویج ذلک علی العوامّ، حیث صار ذلک منشأ لنسبة أمثال التناسخ</w:t>
      </w:r>
    </w:p>
    <w:p>
      <w:pPr>
        <w:pStyle w:val="BookText"/>
        <w:rPr/>
      </w:pPr>
      <w:r>
        <w:rPr>
          <w:rFonts w:ascii="IRNazanin" w:hAnsi="IRNazanin" w:eastAsia="IRNazanin"/>
          <w:color w:val="111111"/>
          <w:sz w:val="28"/>
          <w:sz w:val="28"/>
          <w:szCs w:val="28"/>
          <w:rtl w:val="true"/>
          <w:lang w:bidi="fa-IR"/>
        </w:rPr>
        <w:t>و التشبیه و غیرهما إلی الشیعة، و هم منها بُرَآء</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الحارث أدخل جماعة فی الغلوّ و القول بالتناسخ و الأظلّة و الدَّور</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یبدو أنّ القول بالتناسخ یستلزم القول بالدور، فالتناسخ بمعنی انتقال النفس من بدن إلی بدن آخر مغایر للأوّل بحسب ذوات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الباب لأبی الفتح بن مخدوم الحسینیّ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الدور بمعنی مدّة هذا الانتقال؛ فالمؤمنون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تمکث أرواحهم فی ذلک الانتقال إلی الدوابّ ممّا یکون لمواکب الملوک و الخلفاء ألف سنة، ثمّ تُحوَّل إلی الأبدان الإنسیّة عشرة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الکفّار و المنافقون و العصاة فینتقلون فی الأبدان المشوّهة عشرة آلاف سنة ما بین الفیل إلی البقّة الصغیرة، و بعد أن بلغ الدور إلی حدّ البقّة الصغیرة ردّ إلی الأبدان الإنسیّة ألف سنة، للامتحان بالإیمان فلا یؤمنون، فلا یزالون منتقلین فی هذه الأبدان من حال، إلی حال، ثمّ یردّون إلی الأمر الأوّل عشرة آلاف سنة، فهذا حالهم أبد الآبدین و دهر الداهرین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تفصیل الکلام فی التناسخ و أقسامه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لمحمّد بن عمر فخر الدین الرازیّ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الشواهد الربوبیّة لصدر الدین الشیرازیّ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الأظلّة هنا بمعنی الأرواح أو عالم المجرّدات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لفخر الدین الطریحیّ </w:t>
      </w:r>
      <w:r>
        <w:rPr>
          <w:rFonts w:eastAsia="IRNazanin" w:cs="IRNazanin"/>
          <w:color w:val="111111"/>
          <w:sz w:val="28"/>
          <w:szCs w:val="28"/>
          <w:lang w:bidi="fa-IR"/>
        </w:rPr>
        <w:t>5:417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اتّحاد مفاهیم الأظلّة و الأشباح و الأرواح فی هذا المیدان أنّه نسب إلی بعض الغلاة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الأشباح و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نسبته إلی بعض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السرویّة للمفید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بأس بنقل کلام للشیخ البهائیّ رحمه‌الله مفید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المجلسیّ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أنّ القول بتعلّق الأرواح بعد مفارقة أبدانها العنصریّة بأشباح أخر، قول بالتناسخ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توهّم سخیف؛ لأنّ التناسخ الذی أطبق المسلمون علی بطلانه هو تعلّق الأرواح بعد خراب أجسادها بأجسام أخر فی هذا العالم؛ إمّا عنصریّة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 بعضهم و یقسّمه إلی النسخ و المسخ و الفسخ و الرسخ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فلکیّة ابتداءا أو بعد تردّدها فی الأبدان العنصریّة علی اختلاف آرائهم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بتعلّقها فی عالم آخر بأبدان مثالیّة مدّة البرزخ إلی أن تقوم قیامتها الکبری، فتعود إلی أبدانها الأوّلیّة بإذن مبدعها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بجمع أجزائها المتشتّتة، أو بإیجادها من کتم العدم کما أنشأها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التناسخ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إنکارنا علی التناسخیّة و حکمنا بتکفیرهم، بمجرّد قولهم بانتقال الروح من بدن إلی آخر؛ فإنّ المعاد الجسمانیّ کذلک عند کثیر من أهل الإسلام، بل بقولهم بقدم النفوس، و تردّد باقی أجسام هذا العالم، و إنکارهم المعاد الجسمانیّ فی النشأة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أسند ذلک إلی جابر بن عبد اللّه الأنصاریّ، ثمّ إلی</w:t>
      </w:r>
    </w:p>
    <w:p>
      <w:pPr>
        <w:pStyle w:val="BookText"/>
        <w:rPr/>
      </w:pPr>
      <w:r>
        <w:rPr>
          <w:rFonts w:ascii="IRNazanin" w:hAnsi="IRNazanin" w:eastAsia="IRNazanin"/>
          <w:color w:val="111111"/>
          <w:sz w:val="28"/>
          <w:sz w:val="28"/>
          <w:szCs w:val="28"/>
          <w:rtl w:val="true"/>
          <w:lang w:bidi="fa-IR"/>
        </w:rPr>
        <w:t>جابر بن یزید الجعفیّ، فخدعهم بذلک حتّی ردعهم عن جمیع الفرائض و الشرائع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أنّ هذا مذهب الجابرَین؛ و هما قد کانا بریئَین من ذلک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یُعرف سرّ ما یُری من أنّ أغلب الأخبار المُشعرة بالغلوّ و الارتفاع منسوبة إلی جابر الجعفیّ، و مُنهیة إسنادها إلیه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زاد فی تفاقم الأمر أنّ بعض هؤلاء الأشخاص کان لهم حال استقامة رووا فیها شیئا من الأحادیث، ثمّ خلّطوا و ظهر منهم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ممّن تثق الشیعة بدیانته و تطمئنّ إلی أقواله، کالشلمغانیّ الذی کان فی بدو أمره مستقیم الطریقة متقدّما فیهم، ثمّ </w:t>
      </w:r>
      <w:bookmarkStart w:id="207" w:name="pg4793_55730"/>
    </w:p>
    <w:p>
      <w:pPr>
        <w:pStyle w:val="BookText"/>
        <w:rPr/>
      </w:pPr>
      <w:bookmarkEnd w:id="207"/>
      <w:r>
        <w:rPr>
          <w:rFonts w:ascii="IRNazanin" w:hAnsi="IRNazanin" w:eastAsia="IRNazanin"/>
          <w:color w:val="111111"/>
          <w:sz w:val="28"/>
          <w:sz w:val="28"/>
          <w:szCs w:val="28"/>
          <w:rtl w:val="true"/>
          <w:lang w:bidi="fa-IR"/>
        </w:rPr>
        <w:t>حمله الحسد لأبی القاسم الحسین بن روح النوبختیّ علی ترک الطریقة المستقیمة و الدخول فی المذاهب الردیّة، کما سبقت الإشارة إلیه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الصنف من الأشخاص علیّ بن أحمد أبو القاسم الکوفیّ، فقد کان إمامیّا مستقیم الطریقة، ثمّ خلّط و أظهر مذهب المُخمِّسة، و صنّف کتبا فی الغلوّ و التخلیط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له مقالة تُنسَب إلیه، و الغلاة تدّعی له منازل عظیمة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295293_2035185390"/>
      <w:bookmarkStart w:id="209" w:name="_Toc76"/>
      <w:bookmarkEnd w:id="208"/>
      <w:r>
        <w:rPr>
          <w:rtl w:val="true"/>
        </w:rPr>
        <w:t>[</w:t>
      </w:r>
      <w:r>
        <w:rPr>
          <w:rtl w:val="true"/>
        </w:rPr>
        <w:t>اختلاط الغلاة برواة الحدیث</w:t>
      </w:r>
      <w:r>
        <w:rPr>
          <w:rtl w:val="true"/>
        </w:rPr>
        <w:t>]</w:t>
      </w:r>
      <w:bookmarkEnd w:id="209"/>
    </w:p>
    <w:p>
      <w:pPr>
        <w:pStyle w:val="BookText"/>
        <w:rPr/>
      </w:pPr>
      <w:r>
        <w:rPr>
          <w:rFonts w:ascii="IRNazanin" w:hAnsi="IRNazanin" w:eastAsia="IRNazanin"/>
          <w:color w:val="111111"/>
          <w:sz w:val="28"/>
          <w:sz w:val="28"/>
          <w:szCs w:val="28"/>
          <w:rtl w:val="true"/>
          <w:lang w:bidi="fa-IR"/>
        </w:rPr>
        <w:t>و بالجملة، هؤلاء الغلاة قد نسبوا کثیرا من أقاویلهم الفاسدة إلی رجال من الشیعة و رواتها و أوهموا صدورها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مراجعة ما صنّفه علماء النقد للرجال فی حالهم و الجرح و التعدیل لهم، غنیً عن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میّزوا روایات هؤلاء و سمّوهم بأسماء و أوصاف مخصوصة؛ کالطیّارة و أهل الارتفاع و غیر ذلک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صار اختلاط رجالهم برواة الشیعة سببا لشیء آخر، هو تضعیف علماء الرجال، الکثیرَ من الرواة بمجرّد ما کانوا یجدون فی الروایات المرویّة عنهم ما یوهم الغلوّ و الارتفاع، حتّی أن القمّیّین کانوا یُخرجون مِن بلدهم مَن کانوا یتهمّونه بذلک؛ کما</w:t>
      </w:r>
    </w:p>
    <w:p>
      <w:pPr>
        <w:pStyle w:val="BookText"/>
        <w:rPr/>
      </w:pPr>
      <w:r>
        <w:rPr>
          <w:rFonts w:ascii="Amiri" w:hAnsi="Amiri" w:eastAsia="Amiri" w:cs="Amiri"/>
          <w:color w:val="111111"/>
          <w:sz w:val="28"/>
          <w:sz w:val="28"/>
          <w:szCs w:val="28"/>
          <w:rtl w:val="true"/>
          <w:lang w:bidi="ar-SA"/>
        </w:rPr>
        <w:t>أخرجوا الحسین بن عبید اللّه القمّیّ، و کان ممّن رُمی بالغلوّ</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رئیسا مطاعا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الآدمیّ الرازیّ و نهی الناس عن السماع منه، و أظهر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أبا سُمینة محمّد بن علیّ الصیرفیّ، و کان ورد إلی قمّ و اشتهر بالکذب و الغلوّ</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یُخرجون من یروی عن الضعفاء و المجاهیل، و إن لم یکن متّهما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أحمد بن محمّد بن خالد البرقیّ </w:t>
      </w:r>
    </w:p>
    <w:p>
      <w:pPr>
        <w:pStyle w:val="BookText"/>
        <w:rPr/>
      </w:pPr>
      <w:r>
        <w:rPr>
          <w:rFonts w:ascii="IRNazanin" w:hAnsi="IRNazanin" w:eastAsia="IRNazanin"/>
          <w:color w:val="111111"/>
          <w:sz w:val="28"/>
          <w:sz w:val="28"/>
          <w:szCs w:val="28"/>
          <w:rtl w:val="true"/>
          <w:lang w:bidi="fa-IR"/>
        </w:rPr>
        <w:t>و إخراج أحمد بن محمّد بن عیسی إیّاه عن قمّ، ثمّ إعادته له و اعتذاره عنه، معروفة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التشدید و الإنکار من القمّیّین نَسَب جمعٌ آخر من العلماء مشایخَ القمّیّین</w:t>
      </w:r>
    </w:p>
    <w:p>
      <w:pPr>
        <w:pStyle w:val="BookText"/>
        <w:rPr/>
      </w:pPr>
      <w:r>
        <w:rPr>
          <w:rFonts w:ascii="IRNazanin" w:hAnsi="IRNazanin" w:eastAsia="IRNazanin"/>
          <w:color w:val="111111"/>
          <w:sz w:val="28"/>
          <w:sz w:val="28"/>
          <w:szCs w:val="28"/>
          <w:rtl w:val="true"/>
          <w:lang w:bidi="fa-IR"/>
        </w:rPr>
        <w:t>إلی التقصیر المضادّ للغلوّ</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تصانیف علماء الشیعة من لدن عصر الأئمّة علیهم‌السلام إلی الأعصار المتأخّرة فی الردّ علی الغالیة و الکشف عن فساد أقاویلهم و تزییف آرائهم، ممّا لایحصی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یجدها المراجع لفهارس کتب الرجال و مصنّفاتهم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4793_55735"/>
      <w:bookmarkStart w:id="211" w:name="pg4793_55735"/>
      <w:bookmarkEnd w:id="211"/>
    </w:p>
    <w:p>
      <w:pPr>
        <w:pStyle w:val="Heading2"/>
        <w:numPr>
          <w:ilvl w:val="1"/>
          <w:numId w:val="1"/>
        </w:numPr>
        <w:rPr/>
      </w:pPr>
      <w:bookmarkStart w:id="212" w:name="pg4793_55735"/>
      <w:bookmarkStart w:id="213" w:name="__RefHeading___Toc2295295_2035185390"/>
      <w:bookmarkStart w:id="214" w:name="_Toc77"/>
      <w:bookmarkEnd w:id="212"/>
      <w:bookmarkEnd w:id="213"/>
      <w:r>
        <w:rPr>
          <w:rtl w:val="true"/>
        </w:rPr>
        <w:t>الباب الثالث</w:t>
      </w:r>
      <w:r>
        <w:rPr>
          <w:rtl w:val="true"/>
        </w:rPr>
        <w:t xml:space="preserve">: </w:t>
      </w:r>
      <w:r>
        <w:rPr>
          <w:rtl w:val="true"/>
        </w:rPr>
        <w:t>الشیعة الإمامیّة</w:t>
      </w:r>
      <w:bookmarkEnd w:id="214"/>
    </w:p>
    <w:p>
      <w:pPr>
        <w:pStyle w:val="Heading3"/>
        <w:numPr>
          <w:ilvl w:val="2"/>
          <w:numId w:val="1"/>
        </w:numPr>
        <w:rPr/>
      </w:pPr>
      <w:bookmarkStart w:id="215" w:name="__RefHeading___Toc2295297_2035185390"/>
      <w:bookmarkStart w:id="216" w:name="_Toc78"/>
      <w:bookmarkEnd w:id="215"/>
      <w:r>
        <w:rPr>
          <w:rtl w:val="true"/>
        </w:rPr>
        <w:t>اشارة</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4793_55739"/>
      <w:bookmarkStart w:id="218" w:name="pg4793_55739"/>
      <w:bookmarkEnd w:id="218"/>
    </w:p>
    <w:p>
      <w:pPr>
        <w:pStyle w:val="Heading3"/>
        <w:numPr>
          <w:ilvl w:val="2"/>
          <w:numId w:val="1"/>
        </w:numPr>
        <w:rPr/>
      </w:pPr>
      <w:bookmarkStart w:id="219" w:name="pg4793_55739"/>
      <w:bookmarkStart w:id="220" w:name="__RefHeading___Toc2295299_2035185390"/>
      <w:bookmarkStart w:id="221" w:name="_Toc79"/>
      <w:bookmarkEnd w:id="219"/>
      <w:bookmarkEnd w:id="220"/>
      <w:r>
        <w:rPr>
          <w:rtl w:val="true"/>
        </w:rPr>
        <w:t>الفصل الأوّل</w:t>
      </w:r>
      <w:r>
        <w:rPr>
          <w:rtl w:val="true"/>
        </w:rPr>
        <w:t xml:space="preserve">: </w:t>
      </w:r>
      <w:r>
        <w:rPr>
          <w:rtl w:val="true"/>
        </w:rPr>
        <w:t>خلاصة إجمالیّة لعقائد الإمامیّة فی أصول الدین</w:t>
      </w:r>
      <w:bookmarkEnd w:id="221"/>
    </w:p>
    <w:p>
      <w:pPr>
        <w:pStyle w:val="Heading4"/>
        <w:numPr>
          <w:ilvl w:val="3"/>
          <w:numId w:val="1"/>
        </w:numPr>
        <w:rPr/>
      </w:pPr>
      <w:bookmarkStart w:id="222" w:name="__RefHeading___Toc2295301_2035185390"/>
      <w:bookmarkStart w:id="223" w:name="_Toc80"/>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اعتقادهم فی الأصول أنّه یجب معرفتها بالعلم و النظر و الدلیل، و لایکتفون فی ذلک بالظنّ و التقلید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295303_2035185390"/>
      <w:bookmarkStart w:id="225" w:name="_Toc81"/>
      <w:bookmarkEnd w:id="224"/>
      <w:r>
        <w:rPr>
          <w:rtl w:val="true"/>
        </w:rPr>
        <w:t>[</w:t>
      </w:r>
      <w:r>
        <w:rPr>
          <w:rtl w:val="true"/>
        </w:rPr>
        <w:t>توحید اللّه تعالی</w:t>
      </w:r>
      <w:r>
        <w:rPr>
          <w:rtl w:val="true"/>
        </w:rPr>
        <w:t>]</w:t>
      </w:r>
      <w:bookmarkEnd w:id="225"/>
    </w:p>
    <w:p>
      <w:pPr>
        <w:pStyle w:val="BookText"/>
        <w:rPr/>
      </w:pPr>
      <w:r>
        <w:rPr>
          <w:rFonts w:ascii="IRNazanin" w:hAnsi="IRNazanin" w:eastAsia="IRNazanin"/>
          <w:color w:val="111111"/>
          <w:sz w:val="28"/>
          <w:sz w:val="28"/>
          <w:szCs w:val="28"/>
          <w:rtl w:val="true"/>
          <w:lang w:bidi="fa-IR"/>
        </w:rPr>
        <w:t>یعتقدون أنّ اللّه تعالی واحد أحد فرد، لا یشبهه شیء و لایماثله شیء، و أنّه تعالی متّصف بجمیع صفات الکمال و منزّه عن جمیع صفات النقص و سِمات الحدوث، و أنّه قادر مختار عالم حیّ مرید کاره مدرک، قدیم أزلیّ باقٍ أبدیّ متکلّم صادق، لیس بمرکّب</w:t>
      </w:r>
    </w:p>
    <w:p>
      <w:pPr>
        <w:pStyle w:val="BookText"/>
        <w:rPr/>
      </w:pPr>
      <w:r>
        <w:rPr>
          <w:rFonts w:ascii="IRNazanin" w:hAnsi="IRNazanin" w:eastAsia="IRNazanin"/>
          <w:color w:val="111111"/>
          <w:sz w:val="28"/>
          <w:sz w:val="28"/>
          <w:szCs w:val="28"/>
          <w:rtl w:val="true"/>
          <w:lang w:bidi="fa-IR"/>
        </w:rPr>
        <w:t>و لاجسم و لامرئیّ و لامحتاج إلی شیء علی وجه من الوجوه، و لامحلّ للحوادث و لیس له شریک، و یُنفی عنه المعانی و الصفات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قدرته تعالی تتعلّق بکلّ مقدور، و علمه یتعلّق بکلّ معلوم، و یعلم کلّ ما یکون قبل کونه، و أنّه لاحادث إلاّ و قد عَلِمه قبل حدوثه، و لامعلوم و ممکن أن یکون معلوما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و هو عالم بحقیقته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لایعزب عن علمه مثقال ذرّة فی الأرض و لا فی السماء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226" w:name="pg4793_55741"/>
    </w:p>
    <w:p>
      <w:pPr>
        <w:pStyle w:val="BookText"/>
        <w:rPr/>
      </w:pPr>
      <w:bookmarkEnd w:id="226"/>
      <w:r>
        <w:rPr>
          <w:rFonts w:ascii="IRNazanin" w:hAnsi="IRNazanin" w:eastAsia="IRNazanin"/>
          <w:color w:val="111111"/>
          <w:sz w:val="28"/>
          <w:sz w:val="28"/>
          <w:szCs w:val="28"/>
          <w:rtl w:val="true"/>
          <w:lang w:bidi="fa-IR"/>
        </w:rPr>
        <w:t>و إرادته تعالی لأفعاله هی نفس أفعاله و إرادته لأفعال خلقه إنّما هی أمره بها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295305_2035185390"/>
      <w:bookmarkStart w:id="228" w:name="_Toc82"/>
      <w:bookmarkEnd w:id="227"/>
      <w:r>
        <w:rPr>
          <w:rtl w:val="true"/>
        </w:rPr>
        <w:t>[</w:t>
      </w:r>
      <w:r>
        <w:rPr>
          <w:rtl w:val="true"/>
        </w:rPr>
        <w:t>صفاته تعالی</w:t>
      </w:r>
      <w:r>
        <w:rPr>
          <w:rtl w:val="true"/>
        </w:rPr>
        <w:t>]</w:t>
      </w:r>
      <w:bookmarkEnd w:id="228"/>
    </w:p>
    <w:p>
      <w:pPr>
        <w:pStyle w:val="BookText"/>
        <w:rPr/>
      </w:pPr>
      <w:r>
        <w:rPr>
          <w:rFonts w:ascii="IRNazanin" w:hAnsi="IRNazanin" w:eastAsia="IRNazanin"/>
          <w:color w:val="111111"/>
          <w:sz w:val="28"/>
          <w:sz w:val="28"/>
          <w:szCs w:val="28"/>
          <w:rtl w:val="true"/>
          <w:lang w:bidi="fa-IR"/>
        </w:rPr>
        <w:t>و المعنیّ فی وصفه تعالی بأنّه سمیع، بصیر، راءٍ، مدرک؛ هو العلم بالمسموعات والمبصَرات والمدرکات والمرئیّات، لابمعنی الجوارح و الآلات کما فی المخلوقین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ذلک فی بعض مخلوقاته، کالشجرة و غیرها</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تُدرکه الأبصار و لا تبلغه العقول و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نفی المعانی 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صفاته</w:t>
      </w:r>
    </w:p>
    <w:p>
      <w:pPr>
        <w:pStyle w:val="BookText"/>
        <w:rPr/>
      </w:pPr>
      <w:r>
        <w:rPr>
          <w:rFonts w:ascii="IRNazanin" w:hAnsi="IRNazanin" w:eastAsia="IRNazanin"/>
          <w:color w:val="111111"/>
          <w:sz w:val="28"/>
          <w:sz w:val="28"/>
          <w:szCs w:val="28"/>
          <w:rtl w:val="true"/>
          <w:lang w:bidi="fa-IR"/>
        </w:rPr>
        <w:t>تعالی هی عین ذاته، و لیست بمغایرة لذاته، فهو تعالی قادر لذاته، حیّ و عالم لذاته،</w:t>
      </w:r>
    </w:p>
    <w:p>
      <w:pPr>
        <w:pStyle w:val="BookText"/>
        <w:rPr/>
      </w:pPr>
      <w:r>
        <w:rPr>
          <w:rFonts w:ascii="IRNazanin" w:hAnsi="IRNazanin" w:eastAsia="IRNazanin"/>
          <w:color w:val="111111"/>
          <w:sz w:val="28"/>
          <w:sz w:val="28"/>
          <w:szCs w:val="28"/>
          <w:rtl w:val="true"/>
          <w:lang w:bidi="fa-IR"/>
        </w:rPr>
        <w:t>لابمعانٍ و أحوال</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منزّه عن صفات المخلوقین، کالحدود و الأقطار و الجوارح و الأعضاء، و أنّ القرآن کلام اللّه تعالی و وحیه و تنزیله، و أنّه مُحدَث و اللّه مُحدِثه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یعتقدون أنّ اللّه تعالی عدل کریم خَلَق الخلق لعبادته و أمرهم بطاعته و نهاهم عن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 أحدا إلاّ دون الطاقة، و لم یأمره إلاّ بما جعل له علیه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عبث فی صنعه و لا قبیح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مشارکة عباده فی الأفعال و عن اضطرارهم إلی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لایعذّب أحدا إلاّ علی ذنبٍ فَعَله و لایلوم عبدا إلاّ علی قبیحٍ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سبحانه منزّه عن القبائح و متعالٍ عن فعل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الفساد و لایرید ظلما للعباد،</w:t>
      </w:r>
    </w:p>
    <w:p>
      <w:pPr>
        <w:pStyle w:val="BookText"/>
        <w:rPr/>
      </w:pPr>
      <w:r>
        <w:rPr>
          <w:rFonts w:ascii="IRNazanin" w:hAnsi="IRNazanin" w:eastAsia="IRNazanin"/>
          <w:color w:val="111111"/>
          <w:sz w:val="28"/>
          <w:sz w:val="28"/>
          <w:szCs w:val="28"/>
          <w:rtl w:val="true"/>
          <w:lang w:bidi="fa-IR"/>
        </w:rPr>
        <w:t>و کلّ فعله حسن و کلّ صنعه و تدبیره حکمة</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سبحانه و تعالی لایفعل بعباده ما داموا مکلّفین إلاّ أصلح الأشیاء لهم فی دینهم و دنیاهم و لایدّخر عنهم صلاحا و لا نفعا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العدل الکریم الذی حسنات العباد منسوبة إلیه و سیّئاتهم منفیّة عنه؛ لأنّه أمر بالحسنة </w:t>
      </w:r>
      <w:bookmarkStart w:id="229" w:name="pg4793_55742"/>
    </w:p>
    <w:p>
      <w:pPr>
        <w:pStyle w:val="BookText"/>
        <w:rPr/>
      </w:pPr>
      <w:bookmarkEnd w:id="229"/>
      <w:r>
        <w:rPr>
          <w:rFonts w:ascii="IRNazanin" w:hAnsi="IRNazanin" w:eastAsia="IRNazanin"/>
          <w:color w:val="111111"/>
          <w:sz w:val="28"/>
          <w:sz w:val="28"/>
          <w:szCs w:val="28"/>
          <w:rtl w:val="true"/>
          <w:lang w:bidi="fa-IR"/>
        </w:rPr>
        <w:t>و رغّب فیها و أعان علیها، و نهی عن المعصیة و سَخِطها و زَجَر عنها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295307_2035185390"/>
      <w:bookmarkStart w:id="231" w:name="_Toc83"/>
      <w:bookmarkEnd w:id="230"/>
      <w:r>
        <w:rPr>
          <w:rtl w:val="true"/>
        </w:rPr>
        <w:t>[</w:t>
      </w:r>
      <w:r>
        <w:rPr>
          <w:rtl w:val="true"/>
        </w:rPr>
        <w:t>النبوّة</w:t>
      </w:r>
      <w:r>
        <w:rPr>
          <w:rtl w:val="true"/>
        </w:rPr>
        <w:t>]</w:t>
      </w:r>
      <w:bookmarkEnd w:id="231"/>
    </w:p>
    <w:p>
      <w:pPr>
        <w:pStyle w:val="BookText"/>
        <w:rPr/>
      </w:pPr>
      <w:r>
        <w:rPr>
          <w:rFonts w:ascii="IRNazanin" w:hAnsi="IRNazanin" w:eastAsia="IRNazanin"/>
          <w:color w:val="111111"/>
          <w:sz w:val="28"/>
          <w:sz w:val="28"/>
          <w:szCs w:val="28"/>
          <w:rtl w:val="true"/>
          <w:lang w:bidi="fa-IR"/>
        </w:rPr>
        <w:t>أمّا اعتقادهم فی النبوّة فهو أنّ النبوّة و البعثة واجبة، و أنّ الأنبیاء علیهم‌السلام هم رسل اللّه سبحانه إلی الخلق لتبلیغ أحکامه، و أنّهم معصومون من کبائر الذنوب و صغائرها و من السهو</w:t>
      </w:r>
      <w:r>
        <w:rPr>
          <w:rStyle w:val="FootnoteAnchor"/>
          <w:rtl w:val="true"/>
        </w:rPr>
        <w:footnoteReference w:id="406"/>
      </w:r>
      <w:r>
        <w:rPr>
          <w:rFonts w:ascii="IRNazanin" w:hAnsi="IRNazanin" w:eastAsia="IRNazanin"/>
          <w:color w:val="111111"/>
          <w:sz w:val="28"/>
          <w:sz w:val="28"/>
          <w:szCs w:val="28"/>
          <w:rtl w:val="true"/>
          <w:lang w:bidi="fa-IR"/>
        </w:rPr>
        <w:t>فی تبلیغ الأحکام، و أنّ محمّداً صلی‌الله‌علیه‌و‌آله هو أفضل الأنبیاء و خاتمهم و 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الإیمان و التصدیق بکلّ ما جاء به من عند ربّه، و أنّ شریعته ناسخة جمیع الشرائع</w:t>
      </w:r>
    </w:p>
    <w:p>
      <w:pPr>
        <w:pStyle w:val="BookText"/>
        <w:rPr/>
      </w:pPr>
      <w:r>
        <w:rPr>
          <w:rFonts w:ascii="IRNazanin" w:hAnsi="IRNazanin" w:eastAsia="IRNazanin"/>
          <w:color w:val="111111"/>
          <w:sz w:val="28"/>
          <w:sz w:val="28"/>
          <w:szCs w:val="28"/>
          <w:rtl w:val="true"/>
          <w:lang w:bidi="fa-IR"/>
        </w:rPr>
        <w:t>السابقة، باقیة إلی یوم الدین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295309_2035185390"/>
      <w:bookmarkStart w:id="233" w:name="_Toc84"/>
      <w:bookmarkEnd w:id="232"/>
      <w:r>
        <w:rPr>
          <w:rtl w:val="true"/>
        </w:rPr>
        <w:t>[</w:t>
      </w:r>
      <w:r>
        <w:rPr>
          <w:rtl w:val="true"/>
        </w:rPr>
        <w:t>الإمامة</w:t>
      </w:r>
      <w:r>
        <w:rPr>
          <w:rtl w:val="true"/>
        </w:rPr>
        <w:t>]</w:t>
      </w:r>
      <w:bookmarkEnd w:id="233"/>
    </w:p>
    <w:p>
      <w:pPr>
        <w:pStyle w:val="BookText"/>
        <w:rPr/>
      </w:pPr>
      <w:r>
        <w:rPr>
          <w:rFonts w:ascii="IRNazanin" w:hAnsi="IRNazanin" w:eastAsia="IRNazanin"/>
          <w:color w:val="111111"/>
          <w:sz w:val="28"/>
          <w:sz w:val="28"/>
          <w:szCs w:val="28"/>
          <w:rtl w:val="true"/>
          <w:lang w:bidi="fa-IR"/>
        </w:rPr>
        <w:t>و یعتقدون أنّه لابدّ فی کلّ زمان من إمام موجود یحتجّ اللّه عزّ وجلّ به علی عباده المکلّفین، یکون بوجوده تمام المصلحة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لابدّ أن یکون معصوما من الزیغ</w:t>
      </w:r>
    </w:p>
    <w:p>
      <w:pPr>
        <w:pStyle w:val="BookText"/>
        <w:rPr/>
      </w:pPr>
      <w:r>
        <w:rPr>
          <w:rFonts w:ascii="IRNazanin" w:hAnsi="IRNazanin" w:eastAsia="IRNazanin"/>
          <w:color w:val="111111"/>
          <w:sz w:val="28"/>
          <w:sz w:val="28"/>
          <w:szCs w:val="28"/>
          <w:rtl w:val="true"/>
          <w:lang w:bidi="fa-IR"/>
        </w:rPr>
        <w:t>و الزلل و الخطأ فی القول والعمل، عالما بجمیع علوم الدین کاملاً فی الفضل، أفضل أهل</w:t>
      </w:r>
    </w:p>
    <w:p>
      <w:pPr>
        <w:pStyle w:val="BookText"/>
        <w:rPr/>
      </w:pPr>
      <w:r>
        <w:rPr>
          <w:rFonts w:ascii="IRNazanin" w:hAnsi="IRNazanin" w:eastAsia="IRNazanin"/>
          <w:color w:val="111111"/>
          <w:sz w:val="28"/>
          <w:sz w:val="28"/>
          <w:szCs w:val="28"/>
          <w:rtl w:val="true"/>
          <w:lang w:bidi="fa-IR"/>
        </w:rPr>
        <w:t>زمانه و أقربهم إلی اللّه عزّ وجلّ، و یجتمع فیه خصال الخیر کلّها، و أن یکون منصوصا من النبیّ أو من المنصوص علیه مِن قِبَله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رسول اللّه صلی‌الله‌علیه‌و‌آله استخلف أمیر المؤمنین علیه‌السلام، و نصّ علیه بالإمامة، و نصّ أمیر المؤمنین علی إمامة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کلّ إمام علی إمامة مَن بعده إلی خاتم الأئمّة المعصومین سلام اللّه علیهم أجمعین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غیبة إمام هذا العصر لحکمة إلهیّة و مصلحة خفیّة اقتضت ذلک، و حججهم فی </w:t>
      </w:r>
      <w:bookmarkStart w:id="234" w:name="pg4793_55744"/>
    </w:p>
    <w:p>
      <w:pPr>
        <w:pStyle w:val="BookText"/>
        <w:rPr/>
      </w:pPr>
      <w:bookmarkEnd w:id="234"/>
      <w:r>
        <w:rPr>
          <w:rFonts w:ascii="IRNazanin" w:hAnsi="IRNazanin" w:eastAsia="IRNazanin"/>
          <w:color w:val="111111"/>
          <w:sz w:val="28"/>
          <w:sz w:val="28"/>
          <w:szCs w:val="28"/>
          <w:rtl w:val="true"/>
          <w:lang w:bidi="fa-IR"/>
        </w:rPr>
        <w:t>ذلک ظاهرة مذکورة فی کتبهم الکلامیّة و غیرها</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295311_2035185390"/>
      <w:bookmarkStart w:id="236" w:name="_Toc85"/>
      <w:bookmarkEnd w:id="235"/>
      <w:r>
        <w:rPr>
          <w:rtl w:val="true"/>
        </w:rPr>
        <w:t>[</w:t>
      </w:r>
      <w:r>
        <w:rPr>
          <w:rtl w:val="true"/>
        </w:rPr>
        <w:t>المعاد</w:t>
      </w:r>
      <w:r>
        <w:rPr>
          <w:rtl w:val="true"/>
        </w:rPr>
        <w:t>]</w:t>
      </w:r>
      <w:bookmarkEnd w:id="236"/>
    </w:p>
    <w:p>
      <w:pPr>
        <w:pStyle w:val="BookText"/>
        <w:rPr/>
      </w:pPr>
      <w:r>
        <w:rPr>
          <w:rFonts w:ascii="IRNazanin" w:hAnsi="IRNazanin" w:eastAsia="IRNazanin"/>
          <w:color w:val="111111"/>
          <w:sz w:val="28"/>
          <w:sz w:val="28"/>
          <w:szCs w:val="28"/>
          <w:rtl w:val="true"/>
          <w:lang w:bidi="fa-IR"/>
        </w:rPr>
        <w:t xml:space="preserve">و یعتقدون أنّ المعاد حقّ، و أنّ کلّ ما ثبت من شریعة رسول اللّه صلی‌الله‌علیه‌و‌آلهفی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إعادة الأجسام بعد تفرّقها و منکر و نکیر و عذاب القبر، و الأمور التی أخبر بها من الصراط و المیزان والحساب و أهوال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کلّها حقّ علی ما أخبر النبیّ الصادق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37" w:name="pg4793_55746"/>
    </w:p>
    <w:p>
      <w:pPr>
        <w:pStyle w:val="Heading3"/>
        <w:numPr>
          <w:ilvl w:val="2"/>
          <w:numId w:val="1"/>
        </w:numPr>
        <w:rPr/>
      </w:pPr>
      <w:bookmarkStart w:id="238" w:name="__RefHeading___Toc2295313_2035185390"/>
      <w:bookmarkStart w:id="239" w:name="_Toc86"/>
      <w:bookmarkEnd w:id="237"/>
      <w:bookmarkEnd w:id="238"/>
      <w:r>
        <w:rPr>
          <w:rtl w:val="true"/>
        </w:rPr>
        <w:t>الفصل الثانی</w:t>
      </w:r>
      <w:r>
        <w:rPr>
          <w:rtl w:val="true"/>
        </w:rPr>
        <w:t xml:space="preserve">: </w:t>
      </w:r>
      <w:r>
        <w:rPr>
          <w:rtl w:val="true"/>
        </w:rPr>
        <w:t>جملة معتقدات للشیعة یخالفهم فیها أهل السنّة</w:t>
      </w:r>
      <w:bookmarkEnd w:id="239"/>
    </w:p>
    <w:p>
      <w:pPr>
        <w:pStyle w:val="Heading4"/>
        <w:numPr>
          <w:ilvl w:val="3"/>
          <w:numId w:val="1"/>
        </w:numPr>
        <w:rPr/>
      </w:pPr>
      <w:bookmarkStart w:id="240" w:name="__RefHeading___Toc2295315_2035185390"/>
      <w:bookmarkStart w:id="241" w:name="_Toc87"/>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إنّ الشیعة الإمامیّة، کما عرفت، لا یعوّلون فی أصول العقائد إلاّ علی الدلیل والبرهان المفید للیقین، و لایرکنون إلی الظنّ و التقلید فی شیء من ذلک</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خالفوا فیه الجمهور من أهل السنّة و غیرهم، فلهم فیه أدلّة قطعیّة مذکورة فی طیّ مؤلّفاتهم الکلامیّة</w:t>
      </w:r>
    </w:p>
    <w:p>
      <w:pPr>
        <w:pStyle w:val="BookText"/>
        <w:rPr/>
      </w:pPr>
      <w:r>
        <w:rPr>
          <w:rFonts w:ascii="IRNazanin" w:hAnsi="IRNazanin" w:eastAsia="IRNazanin"/>
          <w:color w:val="111111"/>
          <w:sz w:val="28"/>
          <w:sz w:val="28"/>
          <w:szCs w:val="28"/>
          <w:rtl w:val="true"/>
          <w:lang w:bidi="fa-IR"/>
        </w:rPr>
        <w:t>والکتب الخاصّة التی ألّفوها فی أبواب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یخالفهم فیه سائر أهل السنّة هی مسألة الإمامة و فروعها، و بعض مسائل أخری سنتعرّض لها بإجمال فی هذا الفصل، متحرّین فی ذلک انتهاج طریق الإنصاف والتجنّب عن المیل والتعصّب بقدر الوسع إن شاء اللّه تعالی</w:t>
      </w:r>
      <w:r>
        <w:rPr>
          <w:rFonts w:eastAsia="IRNazanin" w:cs="IRNazanin"/>
          <w:color w:val="111111"/>
          <w:sz w:val="28"/>
          <w:szCs w:val="28"/>
          <w:rtl w:val="true"/>
          <w:lang w:bidi="fa-IR"/>
        </w:rPr>
        <w:t>.</w:t>
      </w:r>
    </w:p>
    <w:p>
      <w:pPr>
        <w:pStyle w:val="Heading4"/>
        <w:numPr>
          <w:ilvl w:val="3"/>
          <w:numId w:val="1"/>
        </w:numPr>
        <w:rPr/>
      </w:pPr>
      <w:bookmarkStart w:id="242" w:name="__RefHeading___Toc2295317_2035185390"/>
      <w:bookmarkStart w:id="243" w:name="_Toc88"/>
      <w:bookmarkEnd w:id="242"/>
      <w:r>
        <w:rPr>
          <w:rtl w:val="true"/>
        </w:rPr>
        <w:t>مسألة الإمامة</w:t>
      </w:r>
      <w:bookmarkEnd w:id="243"/>
    </w:p>
    <w:p>
      <w:pPr>
        <w:pStyle w:val="BookText"/>
        <w:rPr/>
      </w:pPr>
      <w:r>
        <w:rPr>
          <w:rFonts w:ascii="IRNazanin" w:hAnsi="IRNazanin" w:eastAsia="IRNazanin"/>
          <w:color w:val="111111"/>
          <w:sz w:val="28"/>
          <w:sz w:val="28"/>
          <w:szCs w:val="28"/>
          <w:rtl w:val="true"/>
          <w:lang w:bidi="fa-IR"/>
        </w:rPr>
        <w:t>الإمامة هی الریاسة الکبری و الزعامة الإسلامیّة العظمی، و هی خلافة النبیّ صلی‌الله‌علیه‌و‌آله فی ما کان إلیه من شؤون الدین والدنیا غیر ما کان یختصّ به من الوحی والتبلیغ، فهی عندهم</w:t>
      </w:r>
    </w:p>
    <w:p>
      <w:pPr>
        <w:pStyle w:val="BookText"/>
        <w:rPr/>
      </w:pPr>
      <w:r>
        <w:rPr>
          <w:rFonts w:ascii="IRNazanin" w:hAnsi="IRNazanin" w:eastAsia="IRNazanin"/>
          <w:color w:val="111111"/>
          <w:sz w:val="28"/>
          <w:sz w:val="28"/>
          <w:szCs w:val="28"/>
          <w:rtl w:val="true"/>
          <w:lang w:bidi="fa-IR"/>
        </w:rPr>
        <w:t>رکن من أرکان الدین و قاعدة من قواعد الإسلام الأساسیّة التی لابدّ منها و لایُستغنی</w:t>
      </w:r>
    </w:p>
    <w:p>
      <w:pPr>
        <w:pStyle w:val="BookText"/>
        <w:rPr/>
      </w:pPr>
      <w:r>
        <w:rPr>
          <w:rFonts w:ascii="IRNazanin" w:hAnsi="IRNazanin" w:eastAsia="IRNazanin"/>
          <w:color w:val="111111"/>
          <w:sz w:val="28"/>
          <w:sz w:val="28"/>
          <w:szCs w:val="28"/>
          <w:rtl w:val="true"/>
          <w:lang w:bidi="fa-IR"/>
        </w:rPr>
        <w:t>عنها، لأجل جمع الکلمة و ر تق الفتق و لمّ الشعث، و إنصاف المظلوم، و تعلیم الجاهل،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ردع المعاند، والدفاع عن بیضة الإسلام، و الذبّ عن حوزته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44" w:name="pg4793_55748"/>
    </w:p>
    <w:p>
      <w:pPr>
        <w:pStyle w:val="BookText"/>
        <w:rPr/>
      </w:pPr>
      <w:bookmarkEnd w:id="244"/>
      <w:r>
        <w:rPr>
          <w:rFonts w:ascii="IRNazanin" w:hAnsi="IRNazanin" w:eastAsia="IRNazanin"/>
          <w:color w:val="111111"/>
          <w:sz w:val="28"/>
          <w:sz w:val="28"/>
          <w:szCs w:val="28"/>
          <w:rtl w:val="true"/>
          <w:lang w:bidi="fa-IR"/>
        </w:rPr>
        <w:t>و لقد کانت مسألة الإمامة أعظم مشکلة واجهها المسلمون بعد وفاة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النظر و البتّ فیها کان یتوقّف نجاحهم فی مصائر أمورهم، فأحسّ المسلمون بخطورة الموقف و لزوم تعیین من یتعهّد أمورهم و یرشدهم إلی طریق الصلاح و الهدایة فی أمور الدین والدنیا، و لکن وقع الاختلاف فی تعیین ذاک القائم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 قة شایعت أمیر المؤمنین علیه‌السلام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له علیه‌السلام؛ لفضله و سابقته فی الإسلام، و مواقفه الخطیرة المشهورة فی تأییده، و لفضائله المعروفة التی اختصّ بها و لم یشارکه أحد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ثابت له بأمر من اللّه عزّ وجلّ لنبیّه صلی‌الله‌علیه‌و‌آله بنصبه خلیفة من بعده، و إنّه صلی‌الله‌علیه‌و‌آلهنصّ علیه و قلّده الأمر و عرّف الأمّة إمامته و أعلمهم بنصبه لذلک المقام، فلا یستحقّه أحد سواه</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القائلون بهذه المقالة جماعة من کبار الصحابة و أجلاّء بنی هاشم و غیرهم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افترقت فرقة أخری ادّعَوا أنّ أمر الخلافة یجب أن یکون لهم، و هی فرقة الأنصار؛ لما لهم من الفضل فی تأیید الدین و تقویة الإسلام و نصرتهم لرسول اللّه صلی‌الله‌علیه‌و‌آله، و المنع له و لأصحابه، و الإعزاز لدینه و الجهاد لأعدائه، حتّی توفّی و هو عنهم راضٍ و بهم قریر</w:t>
      </w:r>
    </w:p>
    <w:p>
      <w:pPr>
        <w:pStyle w:val="BookText"/>
        <w:rPr/>
      </w:pPr>
      <w:r>
        <w:rPr>
          <w:rFonts w:ascii="IRNazanin" w:hAnsi="IRNazanin" w:eastAsia="IRNazanin"/>
          <w:color w:val="111111"/>
          <w:sz w:val="28"/>
          <w:sz w:val="28"/>
          <w:szCs w:val="28"/>
          <w:rtl w:val="true"/>
          <w:lang w:bidi="fa-IR"/>
        </w:rPr>
        <w:t>العین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295319_2035185390"/>
      <w:bookmarkStart w:id="246" w:name="_Toc89"/>
      <w:bookmarkEnd w:id="245"/>
      <w:r>
        <w:rPr>
          <w:rtl w:val="true"/>
        </w:rPr>
        <w:t>[</w:t>
      </w:r>
      <w:r>
        <w:rPr>
          <w:rtl w:val="true"/>
        </w:rPr>
        <w:t>قصّة السقیفة</w:t>
      </w:r>
      <w:r>
        <w:rPr>
          <w:rtl w:val="true"/>
        </w:rPr>
        <w:t>]</w:t>
      </w:r>
      <w:bookmarkEnd w:id="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لم ینصّ علی شخص معیّن، و فوّض الأمر إلی نظر الأمّة تختار لحکم نفسها مَن رضیت به، فیجب أن یکون الأمر برضا منهم و شوری بینهم</w:t>
      </w:r>
      <w:r>
        <w:rPr>
          <w:rFonts w:eastAsia="IRNazanin" w:cs="IRNazanin"/>
          <w:color w:val="111111"/>
          <w:sz w:val="28"/>
          <w:szCs w:val="28"/>
          <w:rtl w:val="true"/>
          <w:lang w:bidi="fa-IR"/>
        </w:rPr>
        <w:t xml:space="preserve">. </w:t>
      </w:r>
      <w:bookmarkStart w:id="247" w:name="pg4793_55750"/>
    </w:p>
    <w:p>
      <w:pPr>
        <w:pStyle w:val="BookText"/>
        <w:rPr/>
      </w:pPr>
      <w:bookmarkEnd w:id="247"/>
      <w:r>
        <w:rPr>
          <w:rFonts w:ascii="IRNazanin" w:hAnsi="IRNazanin" w:eastAsia="IRNazanin"/>
          <w:color w:val="111111"/>
          <w:sz w:val="28"/>
          <w:sz w:val="28"/>
          <w:szCs w:val="28"/>
          <w:rtl w:val="true"/>
          <w:lang w:bidi="fa-IR"/>
        </w:rPr>
        <w:t>فأسرعت الأنصار بعد وفاته صلی‌الله‌علیه‌و‌آله إلی عقد اجتماع فی محلّ لهم یعرف بسقیفة بنی ساعدة، فتداولوا الکلام فی أمر الخلافة و مالوا إلی البیعة لسعد بن أبی عُبادة الخزرجیّ سیّد</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الخبر إلی جمع من المهاجرین فأسرعوا إلی السقیفة، و وقع بینهم و بین</w:t>
      </w:r>
    </w:p>
    <w:p>
      <w:pPr>
        <w:pStyle w:val="BookText"/>
        <w:rPr/>
      </w:pPr>
      <w:r>
        <w:rPr>
          <w:rFonts w:ascii="IRNazanin" w:hAnsi="IRNazanin" w:eastAsia="IRNazanin"/>
          <w:color w:val="111111"/>
          <w:sz w:val="28"/>
          <w:sz w:val="28"/>
          <w:szCs w:val="28"/>
          <w:rtl w:val="true"/>
          <w:lang w:bidi="fa-IR"/>
        </w:rPr>
        <w:t>الأنصار کلام و حوار طویل، حتّی قال قائلهم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فاحتجّ أبو بکر من المهاجرین علیهم بحدیث رواه عن رسول اللّه صلی‌الله‌علیه‌و‌آلهو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فأذعنت الأنصار فی آخر الأمر إلی رأی المهاجرین إثر تخاذلٍ وقع بینهم یرجع أصله إلی</w:t>
      </w:r>
    </w:p>
    <w:p>
      <w:pPr>
        <w:pStyle w:val="BookText"/>
        <w:rPr/>
      </w:pPr>
      <w:r>
        <w:rPr>
          <w:rFonts w:ascii="IRNazanin" w:hAnsi="IRNazanin" w:eastAsia="IRNazanin"/>
          <w:color w:val="111111"/>
          <w:sz w:val="28"/>
          <w:sz w:val="28"/>
          <w:szCs w:val="28"/>
          <w:rtl w:val="true"/>
          <w:lang w:bidi="fa-IR"/>
        </w:rPr>
        <w:t xml:space="preserve">العصبیّة القبیلیّة، لأجل منافسة معروفة کانت واقعة بین الأوس و الخزرج قبل الإسلام من النزعات الجاهلیّة التی کانت محاها الإسلام و لم یذهب أثَرُها من نفوسهم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بایع جمهور الناس بعد تلک الحادثة أبا بکر بن أبی قحافة التیمیّ القرشیّ، و تمّ الأمر 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ما اتّفق له من الفوز و النجاح و تجمهر الناس حوله و إخضاعهم لمن تأبّی</w:t>
      </w:r>
    </w:p>
    <w:p>
      <w:pPr>
        <w:pStyle w:val="BookText"/>
        <w:rPr/>
      </w:pPr>
      <w:r>
        <w:rPr>
          <w:rFonts w:ascii="IRNazanin" w:hAnsi="IRNazanin" w:eastAsia="IRNazanin"/>
          <w:color w:val="111111"/>
          <w:sz w:val="28"/>
          <w:sz w:val="28"/>
          <w:szCs w:val="28"/>
          <w:rtl w:val="true"/>
          <w:lang w:bidi="fa-IR"/>
        </w:rPr>
        <w:t>عن البیعة ظاهرا، فإنّ اختلافات الأنظار و حزازات النفوس لم تعدم و لم تفقد من البین،</w:t>
      </w:r>
    </w:p>
    <w:p>
      <w:pPr>
        <w:pStyle w:val="BookText"/>
        <w:rPr/>
      </w:pPr>
      <w:r>
        <w:rPr>
          <w:rFonts w:ascii="IRNazanin" w:hAnsi="IRNazanin" w:eastAsia="IRNazanin"/>
          <w:color w:val="111111"/>
          <w:sz w:val="28"/>
          <w:sz w:val="28"/>
          <w:szCs w:val="28"/>
          <w:rtl w:val="true"/>
          <w:lang w:bidi="fa-IR"/>
        </w:rPr>
        <w:t>بل بقیت علی حالها و صارت منشأَ نظریّات تولّد منها الاختلافُ العظیم الموجود أثَرُه إلی الآن بین المسلمین</w:t>
      </w:r>
      <w:r>
        <w:rPr>
          <w:rFonts w:eastAsia="IRNazanin" w:cs="IRNazanin"/>
          <w:color w:val="111111"/>
          <w:sz w:val="28"/>
          <w:szCs w:val="28"/>
          <w:rtl w:val="true"/>
          <w:lang w:bidi="fa-IR"/>
        </w:rPr>
        <w:t>.</w:t>
      </w:r>
    </w:p>
    <w:p>
      <w:pPr>
        <w:pStyle w:val="Heading4"/>
        <w:numPr>
          <w:ilvl w:val="3"/>
          <w:numId w:val="1"/>
        </w:numPr>
        <w:rPr/>
      </w:pPr>
      <w:bookmarkStart w:id="248" w:name="__RefHeading___Toc2295321_2035185390"/>
      <w:bookmarkStart w:id="249" w:name="_Toc90"/>
      <w:bookmarkEnd w:id="248"/>
      <w:r>
        <w:rPr>
          <w:rtl w:val="true"/>
        </w:rPr>
        <w:t>[</w:t>
      </w:r>
      <w:r>
        <w:rPr>
          <w:rtl w:val="true"/>
        </w:rPr>
        <w:t>نظرات حول الإمامة و فروعها</w:t>
      </w:r>
      <w:r>
        <w:rPr>
          <w:rtl w:val="true"/>
        </w:rPr>
        <w:t>]</w:t>
      </w:r>
      <w:bookmarkEnd w:id="249"/>
    </w:p>
    <w:p>
      <w:pPr>
        <w:pStyle w:val="BookText"/>
        <w:rPr/>
      </w:pPr>
      <w:r>
        <w:rPr>
          <w:rFonts w:ascii="IRNazanin" w:hAnsi="IRNazanin" w:eastAsia="IRNazanin"/>
          <w:color w:val="111111"/>
          <w:sz w:val="28"/>
          <w:sz w:val="28"/>
          <w:szCs w:val="28"/>
          <w:rtl w:val="true"/>
          <w:lang w:bidi="fa-IR"/>
        </w:rPr>
        <w:t>هناک نظریّة الشیعة القائلین بثبوت النصّ و انحصار الإمامة فی أمیر المؤمنین و أولاده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نظریّة القائلین بالعقد و الاختیار، مع حصر الأمر فی قریش علی اختلاف بطونها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نظریّة القائلین بعدم انحصارها فی طائفة خاصّة، و أنّها صالحة فی کلّ مَن یتمکّن مِن إقامة أحکام الدین مع العلم بالکتاب و السنّة و القیام بأعباء الأمور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حدثت هذه الآراء و النظریّات فی الخلافة، و کانت منشأ لتشعّب المذاهب فی فروع راجعة إلی تلک الأصول؛ حیث اختلفوا فی وجوب نصب الإمام و عدم وجوبه، و فی </w:t>
      </w:r>
      <w:bookmarkStart w:id="250" w:name="pg4793_55751"/>
    </w:p>
    <w:p>
      <w:pPr>
        <w:pStyle w:val="BookText"/>
        <w:rPr/>
      </w:pPr>
      <w:bookmarkEnd w:id="250"/>
      <w:r>
        <w:rPr>
          <w:rFonts w:ascii="IRNazanin" w:hAnsi="IRNazanin" w:eastAsia="IRNazanin"/>
          <w:color w:val="111111"/>
          <w:sz w:val="28"/>
          <w:sz w:val="28"/>
          <w:szCs w:val="28"/>
          <w:rtl w:val="true"/>
          <w:lang w:bidi="fa-IR"/>
        </w:rPr>
        <w:t>طریق وجوبه، و هل هو العقل أو الشرع أو کلیهما؟ و فی أنّ وجوب نصبه یعمّ الأوقات</w:t>
      </w:r>
    </w:p>
    <w:p>
      <w:pPr>
        <w:pStyle w:val="BookText"/>
        <w:rPr/>
      </w:pPr>
      <w:r>
        <w:rPr>
          <w:rFonts w:ascii="IRNazanin" w:hAnsi="IRNazanin" w:eastAsia="IRNazanin"/>
          <w:color w:val="111111"/>
          <w:sz w:val="28"/>
          <w:sz w:val="28"/>
          <w:szCs w:val="28"/>
          <w:rtl w:val="true"/>
          <w:lang w:bidi="fa-IR"/>
        </w:rPr>
        <w:t>و الأزمان کلّها أم یختصّ بوقت خاصّ؟ و هل الإمامة لطائفة و قبیلة خاصّة أو تصلح فی أفناء الناس کلّهم؟</w:t>
      </w:r>
    </w:p>
    <w:p>
      <w:pPr>
        <w:pStyle w:val="BookText"/>
        <w:rPr/>
      </w:pPr>
      <w:r>
        <w:rPr>
          <w:rFonts w:ascii="IRNazanin" w:hAnsi="IRNazanin" w:eastAsia="IRNazanin"/>
          <w:color w:val="111111"/>
          <w:sz w:val="28"/>
          <w:sz w:val="28"/>
          <w:szCs w:val="28"/>
          <w:rtl w:val="true"/>
          <w:lang w:bidi="fa-IR"/>
        </w:rPr>
        <w:t xml:space="preserve">و کذا وقع الخلاف فی طریق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النصّ أو الاختیار أو الإرث؟ و فی وجود النصّ و عدم وجوده؟ و هل هو نصّ جلیّ أو خفیّ؟ و فی المنصوص علیه مَن هو حینئذٍ؟</w:t>
      </w:r>
    </w:p>
    <w:p>
      <w:pPr>
        <w:pStyle w:val="BookText"/>
        <w:rPr/>
      </w:pPr>
      <w:r>
        <w:rPr>
          <w:rFonts w:ascii="IRNazanin" w:hAnsi="IRNazanin" w:eastAsia="IRNazanin"/>
          <w:color w:val="111111"/>
          <w:sz w:val="28"/>
          <w:sz w:val="28"/>
          <w:szCs w:val="28"/>
          <w:rtl w:val="true"/>
          <w:lang w:bidi="fa-IR"/>
        </w:rPr>
        <w:t>و لسنا بصدد الإفاضة فی هذه المناحی المختلفة من هذه المسائل؛ فإنّ لها مواضع معروفة من کتب الکلام و المصنّفات فی مسألة الإمامة</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نرید الإشارة إلی مذهب</w:t>
      </w:r>
    </w:p>
    <w:p>
      <w:pPr>
        <w:pStyle w:val="BookText"/>
        <w:rPr/>
      </w:pPr>
      <w:r>
        <w:rPr>
          <w:rFonts w:ascii="IRNazanin" w:hAnsi="IRNazanin" w:eastAsia="IRNazanin"/>
          <w:color w:val="111111"/>
          <w:sz w:val="28"/>
          <w:sz w:val="28"/>
          <w:szCs w:val="28"/>
          <w:rtl w:val="true"/>
          <w:lang w:bidi="fa-IR"/>
        </w:rPr>
        <w:t>الشیعة فی هذه المسألة و متفرّعاتها و ما یخالفون فیها سائر الفرق</w:t>
      </w:r>
      <w:r>
        <w:rPr>
          <w:rFonts w:eastAsia="IRNazanin" w:cs="IRNazanin"/>
          <w:color w:val="111111"/>
          <w:sz w:val="28"/>
          <w:szCs w:val="28"/>
          <w:rtl w:val="true"/>
          <w:lang w:bidi="fa-IR"/>
        </w:rPr>
        <w:t>.</w:t>
      </w:r>
    </w:p>
    <w:p>
      <w:pPr>
        <w:pStyle w:val="Heading4"/>
        <w:numPr>
          <w:ilvl w:val="3"/>
          <w:numId w:val="1"/>
        </w:numPr>
        <w:rPr/>
      </w:pPr>
      <w:bookmarkStart w:id="251" w:name="__RefHeading___Toc2295323_2035185390"/>
      <w:bookmarkStart w:id="252" w:name="_Toc91"/>
      <w:bookmarkEnd w:id="251"/>
      <w:r>
        <w:rPr>
          <w:rtl w:val="true"/>
        </w:rPr>
        <w:t>[</w:t>
      </w:r>
      <w:r>
        <w:rPr>
          <w:rtl w:val="true"/>
        </w:rPr>
        <w:t>الإمامة عند الشیعة</w:t>
      </w:r>
      <w:r>
        <w:rPr>
          <w:rtl w:val="true"/>
        </w:rPr>
        <w:t>]</w:t>
      </w:r>
      <w:bookmarkEnd w:id="252"/>
    </w:p>
    <w:p>
      <w:pPr>
        <w:pStyle w:val="BookText"/>
        <w:rPr/>
      </w:pP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الإمام واجب؛ لأنّ وجوده من الألطاف العظیمة فی الطاعات و الکفّ و الزجر عن المعاصی، فیجب أنْ لایخلو الزمان منه لِما فیه من المصالح العظیمة</w:t>
      </w:r>
    </w:p>
    <w:p>
      <w:pPr>
        <w:pStyle w:val="BookText"/>
        <w:rPr/>
      </w:pPr>
      <w:r>
        <w:rPr>
          <w:rFonts w:ascii="Amiri" w:hAnsi="Amiri" w:eastAsia="Amiri" w:cs="Amiri"/>
          <w:color w:val="111111"/>
          <w:sz w:val="28"/>
          <w:sz w:val="28"/>
          <w:szCs w:val="28"/>
          <w:rtl w:val="true"/>
          <w:lang w:bidi="ar-SA"/>
        </w:rPr>
        <w:t>للمکلّفین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وجوبه هو العقل ؛ لإنّه إنّما یُحتاج إلیه لکونه لطفا و مصلحة فی أداء الواجبات العقلیّة و الشرعیّة و الکفّ عن المحرّمات کذلک، و العقل یوجب ذلک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یَرَون أنّ وجوب نصب الإمام لایختصّ بزمان و وقت دون وقت؛ لدوام علّة الاحتیاج فی الأزمنة کلّها و استمراره فیها دائما ما اتّصلت أوامرُ اللّه تعالی و نواهیه، </w:t>
      </w:r>
      <w:bookmarkStart w:id="253" w:name="pg4793_55753"/>
    </w:p>
    <w:p>
      <w:pPr>
        <w:pStyle w:val="BookText"/>
        <w:rPr/>
      </w:pPr>
      <w:bookmarkEnd w:id="253"/>
      <w:r>
        <w:rPr>
          <w:rFonts w:ascii="IRNazanin" w:hAnsi="IRNazanin" w:eastAsia="IRNazanin"/>
          <w:color w:val="111111"/>
          <w:sz w:val="28"/>
          <w:sz w:val="28"/>
          <w:szCs w:val="28"/>
          <w:rtl w:val="true"/>
          <w:lang w:bidi="fa-IR"/>
        </w:rPr>
        <w:t>و امتدّت سلسلة التکالیف</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لا تصلح إلاّ فی قریش و خاصّة فی بنی هاشم منهم، و إنّها بعد</w:t>
      </w:r>
    </w:p>
    <w:p>
      <w:pPr>
        <w:pStyle w:val="BookText"/>
        <w:rPr/>
      </w:pPr>
      <w:r>
        <w:rPr>
          <w:rFonts w:ascii="IRNazanin" w:hAnsi="IRNazanin" w:eastAsia="IRNazanin"/>
          <w:color w:val="111111"/>
          <w:sz w:val="28"/>
          <w:sz w:val="28"/>
          <w:szCs w:val="28"/>
          <w:rtl w:val="true"/>
          <w:lang w:bidi="fa-IR"/>
        </w:rPr>
        <w:t>رسول اللّه صلی‌الله‌علیه‌و‌آله فی أمیر المؤمنین علیّ علیه‌السلام، ثمّ فی الأئمّة المعروفین من ولده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لیست من الأمور التی تُفوَّض إلی نظر الأمّة حتّی یتعیّن القائم</w:t>
      </w:r>
    </w:p>
    <w:p>
      <w:pPr>
        <w:pStyle w:val="BookText"/>
        <w:rPr/>
      </w:pPr>
      <w:r>
        <w:rPr>
          <w:rFonts w:ascii="IRNazanin" w:hAnsi="IRNazanin" w:eastAsia="IRNazanin"/>
          <w:color w:val="111111"/>
          <w:sz w:val="28"/>
          <w:sz w:val="28"/>
          <w:szCs w:val="28"/>
          <w:rtl w:val="true"/>
          <w:lang w:bidi="fa-IR"/>
        </w:rPr>
        <w:t>بالأمر باختیار منهم و بآرائهم، بل هی من تمام الدین، و لایجوز للنبیّ صلی‌الله‌علیه‌و‌آله إغفالها و تفویضها إلی آراء الناس، و إنّه صلی‌الله‌علیه‌و‌آله لم یَمضِ و لم یفارق الدنیا حتّی بیّن للأمّة من یقوم مقامه، کما بیّن معالم الدین کلّها و أوضح لهم مناهجه و دلّهم علی سبیل الرشد، و إنّه علیه‌السلام هو الإمام الذی عیّنه النبیّ صلی‌الله‌علیه‌و‌آله بعده بنصوص معروفة جلیّة و خفیّة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مستمرّة فی عقبه فی الإمامَین الحسن و الحسین علیهماالسلام بنصّ من النبیّ صلی‌الله‌علیه‌و‌آلهو نصّ أمیر المؤمنین علیه‌السلام، ثمّ بعد الحسین علیه‌السلام فی الأئمّة من ولده، بنصّ کلّ سابق منهم علی لاحقه، و اجتماع أوصاف الإمامة فیهم من العلم و الکمال و الفضل و سائر الأوصاف التی یجب وجودها فی الإمام و عدم ثبوتها فی مَن سواهم، علی ما تقتضیه أدلّة العقل و النقل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295325_2035185390"/>
      <w:bookmarkStart w:id="255" w:name="_Toc92"/>
      <w:bookmarkEnd w:id="254"/>
      <w:r>
        <w:rPr>
          <w:rtl w:val="true"/>
        </w:rPr>
        <w:t xml:space="preserve">النصّ الجلیّ </w:t>
      </w:r>
      <w:r>
        <w:rPr>
          <w:rtl w:val="true"/>
        </w:rPr>
        <w:t>[</w:t>
      </w:r>
      <w:r>
        <w:rPr>
          <w:rtl w:val="true"/>
        </w:rPr>
        <w:t>و الخفیّ</w:t>
      </w:r>
      <w:r>
        <w:rPr>
          <w:rtl w:val="true"/>
        </w:rPr>
        <w:t>]</w:t>
      </w:r>
      <w:bookmarkEnd w:id="255"/>
    </w:p>
    <w:p>
      <w:pPr>
        <w:pStyle w:val="BookText"/>
        <w:rPr/>
      </w:pPr>
      <w:r>
        <w:rPr>
          <w:rFonts w:ascii="IRNazanin" w:hAnsi="IRNazanin" w:eastAsia="IRNazanin"/>
          <w:color w:val="111111"/>
          <w:sz w:val="28"/>
          <w:sz w:val="28"/>
          <w:szCs w:val="28"/>
          <w:rtl w:val="true"/>
          <w:lang w:bidi="fa-IR"/>
        </w:rPr>
        <w:t>إنّ عمدة ما وقع من الخلاف بینهم و بین غیرهم فی باب الإمامة هو وجود النصّ علی إمامة أمیر المؤمنین علیه‌السلام ؛ فادّعت الشیعة وجود النصّ الجلیّ و ثبوته فی حقّه مضافا إلی النصوص التی اصطلحوا علیها بالنصوص الخفیّة، و نحن نشیر إلی ذلک بنحو من الاختصار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فی اللّغة هو الإظهار و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استُعملت هذه اللفظة فی العرف الخاصّ فی </w:t>
      </w:r>
    </w:p>
    <w:p>
      <w:pPr>
        <w:pStyle w:val="BookText"/>
        <w:rPr/>
      </w:pPr>
      <w:r>
        <w:rPr>
          <w:rFonts w:ascii="IRNazanin" w:hAnsi="IRNazanin" w:eastAsia="IRNazanin"/>
          <w:color w:val="111111"/>
          <w:sz w:val="28"/>
          <w:sz w:val="28"/>
          <w:szCs w:val="28"/>
          <w:rtl w:val="true"/>
          <w:lang w:bidi="fa-IR"/>
        </w:rPr>
        <w:t>معنیً آخر، هو القول المنبئ علی سبیل الإظهار فی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التعبیر بأوضح</w:t>
      </w:r>
    </w:p>
    <w:p>
      <w:pPr>
        <w:pStyle w:val="BookText"/>
        <w:rPr/>
      </w:pPr>
      <w:r>
        <w:rPr>
          <w:rFonts w:ascii="IRNazanin" w:hAnsi="IRNazanin" w:eastAsia="IRNazanin"/>
          <w:color w:val="111111"/>
          <w:sz w:val="28"/>
          <w:sz w:val="28"/>
          <w:szCs w:val="28"/>
          <w:rtl w:val="true"/>
          <w:lang w:bidi="fa-IR"/>
        </w:rPr>
        <w:t>من تلک العبارة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علی معنی غیر محتمل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النصّ بحسب الاصطلاح الخاصّ بأهل العلم فی هذا المقام إلی جلیّ</w:t>
      </w:r>
    </w:p>
    <w:p>
      <w:pPr>
        <w:pStyle w:val="BookText"/>
        <w:rPr/>
      </w:pPr>
      <w:r>
        <w:rPr>
          <w:rFonts w:ascii="Amiri" w:hAnsi="Amiri" w:eastAsia="Amiri" w:cs="Amiri"/>
          <w:color w:val="111111"/>
          <w:sz w:val="28"/>
          <w:sz w:val="28"/>
          <w:szCs w:val="28"/>
          <w:rtl w:val="true"/>
          <w:lang w:bidi="ar-SA"/>
        </w:rPr>
        <w:t>و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فالجلیّ هو القول الذی ظاهر لفظه ثبوت الإمامة و الخلافة، و الذی یَعلم مَن سمعه من النبیّ صلی‌الله‌علیه‌و‌آله مراده منه بالعلم الضروریّ الذی لایقبل الشکّ و الارتیاب و یقطع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الخفیّ هو ما لا یُقطع فیه بأنّ سامعیه قد علموا و فهموا منه هذا المعنی بالضرورة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فالإمامیّة یثبتون وجود النصّ بکلا قسمَیه فی حقّه علیه‌السلام،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نصّ علی إمامته و خلافته علی الأمّة من بعده، و عقد له الأمر و عرّف الأمّة ذلک علی وجه غیر قابل للارتیاب، کما أنّهم یُثبتون له کثیرا من النصوص الداخلة بحسب الاصطلاح فی</w:t>
      </w:r>
    </w:p>
    <w:p>
      <w:pPr>
        <w:pStyle w:val="BookText"/>
        <w:rPr/>
      </w:pPr>
      <w:r>
        <w:rPr>
          <w:rFonts w:ascii="IRNazanin" w:hAnsi="IRNazanin" w:eastAsia="IRNazanin"/>
          <w:color w:val="111111"/>
          <w:sz w:val="28"/>
          <w:sz w:val="28"/>
          <w:szCs w:val="28"/>
          <w:rtl w:val="true"/>
          <w:lang w:bidi="fa-IR"/>
        </w:rPr>
        <w:t>القسم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یصحّحون ما یدّعونه من ثبوت النصّ الجلیّ بأنّ الشیعة مع کثرتهم و اختلاف طبقاتهم و تباعد أمکنتهم ینقلون ذلک عن أسلافهم نقلاً متواترا قاطعا للعذر، و هم علی</w:t>
      </w:r>
    </w:p>
    <w:p>
      <w:pPr>
        <w:pStyle w:val="BookText"/>
        <w:rPr/>
      </w:pPr>
      <w:r>
        <w:rPr>
          <w:rFonts w:ascii="IRNazanin" w:hAnsi="IRNazanin" w:eastAsia="IRNazanin"/>
          <w:color w:val="111111"/>
          <w:sz w:val="28"/>
          <w:sz w:val="28"/>
          <w:szCs w:val="28"/>
          <w:rtl w:val="true"/>
          <w:lang w:bidi="fa-IR"/>
        </w:rPr>
        <w:t>مثل حالهم و صفاتهم ینقلون ذلک طبقة عن طبقة إلی أن یتّصل النقل بالنبیّ صلی‌الله‌علیه‌و‌آله و أنّه نصّ علی إمامته و استخلافه إیّاه علی أمّته بألفاظ صریحة فی ذلک المعنی، مثل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علیه بإمرة المؤمنین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و قوله صلی‌الله‌علیه‌و‌آله مشیرا إلیه و آخذا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خلیفتی من بعدی، فاسَمعوا له و أطیعوا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أن یکون مثل هذا النقل المتواتر ممّا یتّفق صدفةً و اتّفاقا، و لا أن </w:t>
      </w:r>
    </w:p>
    <w:p>
      <w:pPr>
        <w:pStyle w:val="BookText"/>
        <w:rPr/>
      </w:pPr>
      <w:r>
        <w:rPr>
          <w:rFonts w:ascii="IRNazanin" w:hAnsi="IRNazanin" w:eastAsia="IRNazanin"/>
          <w:color w:val="111111"/>
          <w:sz w:val="28"/>
          <w:sz w:val="28"/>
          <w:szCs w:val="28"/>
          <w:rtl w:val="true"/>
          <w:lang w:bidi="fa-IR"/>
        </w:rPr>
        <w:t>یکون مستندا إلی تواطؤ و تعاقد من جماعة مخصوصین، و لا لشبهة حاصلة خَفِی وجهها لکلّ أحد؛ فإنّ کلّ ذلک ممّا تُبطله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فُرض حصول شیء ممّا ذکرنا، لظهر الحال فیه بعد ذلک، لاسیّما فی مثل هذا الخبر ؛ لکثرة الدواعی الموجبة لظهور الحال</w:t>
      </w:r>
    </w:p>
    <w:p>
      <w:pPr>
        <w:pStyle w:val="BookText"/>
        <w:rPr/>
      </w:pPr>
      <w:r>
        <w:rPr>
          <w:rFonts w:ascii="IRNazanin" w:hAnsi="IRNazanin" w:eastAsia="IRNazanin"/>
          <w:color w:val="111111"/>
          <w:sz w:val="28"/>
          <w:sz w:val="28"/>
          <w:szCs w:val="28"/>
          <w:rtl w:val="true"/>
          <w:lang w:bidi="fa-IR"/>
        </w:rPr>
        <w:t>و انتشار جلیّة الواقع من جهة ما کان بین الشیعة و مخالفیهم من الخصام، و ما کان مِن جِدّ</w:t>
      </w:r>
    </w:p>
    <w:p>
      <w:pPr>
        <w:pStyle w:val="BookText"/>
        <w:rPr/>
      </w:pPr>
      <w:r>
        <w:rPr>
          <w:rFonts w:ascii="IRNazanin" w:hAnsi="IRNazanin" w:eastAsia="IRNazanin"/>
          <w:color w:val="111111"/>
          <w:sz w:val="28"/>
          <w:sz w:val="28"/>
          <w:szCs w:val="28"/>
          <w:rtl w:val="true"/>
          <w:lang w:bidi="fa-IR"/>
        </w:rPr>
        <w:t>هؤلاء فی الطعن علی دعوی الشیعة و الثلم لها و تطلّب ما یدحضها و یدفعها ؛ إذ کلّ ذلک</w:t>
      </w:r>
    </w:p>
    <w:p>
      <w:pPr>
        <w:pStyle w:val="BookText"/>
        <w:rPr/>
      </w:pPr>
      <w:r>
        <w:rPr>
          <w:rFonts w:ascii="IRNazanin" w:hAnsi="IRNazanin" w:eastAsia="IRNazanin"/>
          <w:color w:val="111111"/>
          <w:sz w:val="28"/>
          <w:sz w:val="28"/>
          <w:szCs w:val="28"/>
          <w:rtl w:val="true"/>
          <w:lang w:bidi="fa-IR"/>
        </w:rPr>
        <w:t>من أوکد الأسباب لظهور حال الخبر و انجلاء 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انتفاء کلّ ذلک و وصول هذا النصّ و خبره إلینا علی الحال الذی عرفناه دلیل علی صحّة ما تنقله هذه الجماعات الوفیرة خَلَفا عن سلف و طبقةً عن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إذا لوحظ حال هذا التواتر الحاصل فی هذا الخبر مع ملاحظة حال الشیعة من لدن العصر الأوّل، و ما ابتُلیت به من الاضطهاد و التعب و حال التقیّة التی کانت مقرونة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غالب الأعصار، و عصبیّة العامّة و تحاملهم علی الشیعة و ظهور کلمة مخالفیهم، ثمّ قِیس ذلک إلی سائر الأخبار التی ادُّعِی تواترها و صارت مقبولة بهذه الصفة عند الناس؛ ظهر أنّ ذلک أوجب للعلم من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متأخّری المتکلّمین من المعتزلة حیث لم یجدوا مناصا عن لزوم ما تحتجّ به الشیعة فی ذلک الباب، راموا القدح فی ذلک و إخراجه عن حریم التواتر، فادّعوا أنّ دعوی</w:t>
      </w:r>
    </w:p>
    <w:p>
      <w:pPr>
        <w:pStyle w:val="BookText"/>
        <w:rPr/>
      </w:pPr>
      <w:r>
        <w:rPr>
          <w:rFonts w:ascii="IRNazanin" w:hAnsi="IRNazanin" w:eastAsia="IRNazanin"/>
          <w:color w:val="111111"/>
          <w:sz w:val="28"/>
          <w:sz w:val="28"/>
          <w:szCs w:val="28"/>
          <w:rtl w:val="true"/>
          <w:lang w:bidi="fa-IR"/>
        </w:rPr>
        <w:t>النصّ الجلیّ و القول به لم تکن موجودة عند الشیعة، و لم تکن دائرة علی ألسنتهم قبل</w:t>
      </w:r>
    </w:p>
    <w:p>
      <w:pPr>
        <w:pStyle w:val="BookText"/>
        <w:rPr/>
      </w:pPr>
      <w:r>
        <w:rPr>
          <w:rFonts w:ascii="IRNazanin" w:hAnsi="IRNazanin" w:eastAsia="IRNazanin"/>
          <w:color w:val="111111"/>
          <w:sz w:val="28"/>
          <w:sz w:val="28"/>
          <w:szCs w:val="28"/>
          <w:rtl w:val="true"/>
          <w:lang w:bidi="fa-IR"/>
        </w:rPr>
        <w:t>زمان ابن الراوندیّ و أبی عیسی الورّاق، و من قبلهما هشام بن الحکم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راجع الأخبار و الآثار و مقالات الشیعة المأثورة قبل زمان المذکورین، و ما دار علی ألسنتهم من الکلام و الشعر و الاحتجاج فی هذا المعنی ینکشف له ضعف هذه الدعوی و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التشیّع و التدیّن بمذهب الشیعة إلاّ عبارة عن هذا المعنی</w:t>
      </w:r>
    </w:p>
    <w:p>
      <w:pPr>
        <w:pStyle w:val="BookText"/>
        <w:rPr/>
      </w:pPr>
      <w:r>
        <w:rPr>
          <w:rFonts w:ascii="IRNazanin" w:hAnsi="IRNazanin" w:eastAsia="IRNazanin"/>
          <w:color w:val="111111"/>
          <w:sz w:val="28"/>
          <w:sz w:val="28"/>
          <w:szCs w:val="28"/>
          <w:rtl w:val="true"/>
          <w:lang w:bidi="fa-IR"/>
        </w:rPr>
        <w:t>و القول به؟ فیلزم إنکار وجود مذهب الشیعة و طریقة التشیّع قبل زمن هؤلاء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دعوی الشیعة لذلک المعنی مقارن لأوّل ظهور التشیّع</w:t>
      </w:r>
      <w:r>
        <w:rPr>
          <w:rStyle w:val="FootnoteAnchor"/>
          <w:rtl w:val="true"/>
        </w:rPr>
        <w:footnoteReference w:id="428"/>
      </w:r>
      <w:r>
        <w:rPr>
          <w:rFonts w:ascii="IRNazanin" w:hAnsi="IRNazanin" w:eastAsia="IRNazanin"/>
          <w:color w:val="111111"/>
          <w:sz w:val="28"/>
          <w:sz w:val="28"/>
          <w:szCs w:val="28"/>
          <w:rtl w:val="true"/>
          <w:lang w:bidi="fa-IR"/>
        </w:rPr>
        <w:t xml:space="preserve">، و لکن هذه </w:t>
      </w:r>
      <w:bookmarkStart w:id="256" w:name="pg4793_55760"/>
    </w:p>
    <w:p>
      <w:pPr>
        <w:pStyle w:val="BookText"/>
        <w:rPr/>
      </w:pPr>
      <w:bookmarkEnd w:id="256"/>
      <w:r>
        <w:rPr>
          <w:rFonts w:ascii="IRNazanin" w:hAnsi="IRNazanin" w:eastAsia="IRNazanin"/>
          <w:color w:val="111111"/>
          <w:sz w:val="28"/>
          <w:sz w:val="28"/>
          <w:szCs w:val="28"/>
          <w:rtl w:val="true"/>
          <w:lang w:bidi="fa-IR"/>
        </w:rPr>
        <w:t>العبارات و الألفاظ کتقسیم النصّ إلی جلیّ و خفیّ و نظائرها، اصطلاحات حادثة بعد تدوین علم الکلام و تکوّن مسائله، و احتدام المجادلات المذهبیّة بین مختلف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وجود الدعوی و تدیّن الشیعة بها ممّا لایقبل الإنکار إلاّ مِن غافل أو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توهّم هؤلاء أنّهم لم یجدوا للشیعة کلاما مجموعا فی إثبات النصّ و تهذیب طریق</w:t>
      </w:r>
    </w:p>
    <w:p>
      <w:pPr>
        <w:pStyle w:val="BookText"/>
        <w:rPr/>
      </w:pPr>
      <w:r>
        <w:rPr>
          <w:rFonts w:ascii="IRNazanin" w:hAnsi="IRNazanin" w:eastAsia="IRNazanin"/>
          <w:color w:val="111111"/>
          <w:sz w:val="28"/>
          <w:sz w:val="28"/>
          <w:szCs w:val="28"/>
          <w:rtl w:val="true"/>
          <w:lang w:bidi="fa-IR"/>
        </w:rPr>
        <w:t>المناظرة فیه متقدّما علی زمان المذکورین، فحسبوا أنّ ابتداء القول به کان منهم، و غیر</w:t>
      </w:r>
    </w:p>
    <w:p>
      <w:pPr>
        <w:pStyle w:val="BookText"/>
        <w:rPr/>
      </w:pPr>
      <w:r>
        <w:rPr>
          <w:rFonts w:ascii="IRNazanin" w:hAnsi="IRNazanin" w:eastAsia="IRNazanin"/>
          <w:color w:val="111111"/>
          <w:sz w:val="28"/>
          <w:sz w:val="28"/>
          <w:szCs w:val="28"/>
          <w:rtl w:val="true"/>
          <w:lang w:bidi="fa-IR"/>
        </w:rPr>
        <w:t>متقدّم علی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فساد هذا الزعم، و فی مراجعة الآثار المرویّة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له من نظائر فی أقاویل الفرق المختلفة؛ کأقاویل المجبّرة و المرجئة و الخوارج و غیرهم ممّن تقدّم ظهور مقالاتهم بأزمنة بعیدة علی ظهور المصنّفات و تهذیب طرق الجدال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یغنیه وضوحه و ظهوره عن الإطالة فیه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295327_2035185390"/>
      <w:bookmarkStart w:id="258" w:name="_Toc93"/>
      <w:bookmarkEnd w:id="257"/>
      <w:r>
        <w:rPr>
          <w:rtl w:val="true"/>
        </w:rPr>
        <w:t>[</w:t>
      </w:r>
      <w:r>
        <w:rPr>
          <w:rtl w:val="true"/>
        </w:rPr>
        <w:t>أسباب الخلاف فی مسألة الإمامة</w:t>
      </w:r>
      <w:r>
        <w:rPr>
          <w:rtl w:val="true"/>
        </w:rPr>
        <w:t>]</w:t>
      </w:r>
      <w:bookmarkEnd w:id="258"/>
    </w:p>
    <w:p>
      <w:pPr>
        <w:pStyle w:val="BookText"/>
        <w:rPr/>
      </w:pPr>
      <w:r>
        <w:rPr>
          <w:rFonts w:ascii="IRNazanin" w:hAnsi="IRNazanin" w:eastAsia="IRNazanin"/>
          <w:color w:val="111111"/>
          <w:sz w:val="28"/>
          <w:sz w:val="28"/>
          <w:szCs w:val="28"/>
          <w:rtl w:val="true"/>
          <w:lang w:bidi="fa-IR"/>
        </w:rPr>
        <w:t>إنّ الأمر الجدیر بالنظر و الاعتبار هو التدبّر فی أنّ هذه النصوص المعلومة کیف وسع أکثر الخلق کتمانها، و تیسّر إخفاؤها و السکوت عن النکیر لدافعیها، حتّی خَفِی الأمرُ فیها علی من أتی بَعدَهم، و کان منشأً لوجود هذا الخلاف العظیم فی الملّة الإسلامیّة إلی الآن؟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لو تأمّلت شتات الآثار الباقیة فیما بین أیدینا من أخبار السقیفة و أوضاع العصر الذی أعقب وفاة رسول اللّه صلی‌الله‌علیه‌و‌آلهو نظرتَ فی أطرافها نظر متدبّر ناقد، واضعا لنفسیّات الأشخاص الموجودین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من کان بیدهم أزمّة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التحلیل، و نظرت فی أفکارهم و مطامعهم و فی کیفیّة نظرهم إلی مسألة الخلافة </w:t>
      </w:r>
    </w:p>
    <w:p>
      <w:pPr>
        <w:pStyle w:val="BookText"/>
        <w:rPr/>
      </w:pPr>
      <w:r>
        <w:rPr>
          <w:rFonts w:ascii="IRNazanin" w:hAnsi="IRNazanin" w:eastAsia="IRNazanin"/>
          <w:color w:val="111111"/>
          <w:sz w:val="28"/>
          <w:sz w:val="28"/>
          <w:szCs w:val="28"/>
          <w:rtl w:val="true"/>
          <w:lang w:bidi="fa-IR"/>
        </w:rPr>
        <w:t>و المحلّ الذی وضعوها فیه، فلعلّه ینکشف لدیک شیء من الحقائق و الأوضاع، و تعرف من خلالها الأسباب المختلفة التی کانت علّة لاتّفاقهم علی صرف الأمر عن أمیر المؤمنین علیه‌السلام و إجماعهم علی بیعة أبی بکر</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أیضا أنّ الأمر لم یکن شیئا</w:t>
      </w:r>
    </w:p>
    <w:p>
      <w:pPr>
        <w:pStyle w:val="BookText"/>
        <w:rPr/>
      </w:pPr>
      <w:r>
        <w:rPr>
          <w:rFonts w:ascii="IRNazanin" w:hAnsi="IRNazanin" w:eastAsia="IRNazanin"/>
          <w:color w:val="111111"/>
          <w:sz w:val="28"/>
          <w:sz w:val="28"/>
          <w:szCs w:val="28"/>
          <w:rtl w:val="true"/>
          <w:lang w:bidi="fa-IR"/>
        </w:rPr>
        <w:t>مفاجئاً جرت علیه أنظار القوم فی الحال، بل کان نتیجة أمور و أفکار و مواضعات سابقة، و ولیدة أغراض متنوّعة انجرّ الأمر بسببها إلی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ستقف علی شیء من التفصیل حینما نسرد علیک أخبار السقیفة و قضایاها، و ما جری علی الشیعة من الاضطهاد فی موضعه اللائق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تقف أیضا علی أنّ الصحابة الموجودین آنذاک لم یکونوا بأجمعهم دافعین للنصّ الواقع بحضرتهم و بمرأیً و مسمع منهم، و إنّما ساعد القومَ علی ما فعلوه مسارعةُ الأنصار</w:t>
      </w:r>
    </w:p>
    <w:p>
      <w:pPr>
        <w:pStyle w:val="BookText"/>
        <w:rPr/>
      </w:pPr>
      <w:r>
        <w:rPr>
          <w:rFonts w:ascii="IRNazanin" w:hAnsi="IRNazanin" w:eastAsia="IRNazanin"/>
          <w:color w:val="111111"/>
          <w:sz w:val="28"/>
          <w:sz w:val="28"/>
          <w:szCs w:val="28"/>
          <w:rtl w:val="true"/>
          <w:lang w:bidi="fa-IR"/>
        </w:rPr>
        <w:t xml:space="preserve">و مبادرتهم لنیل أمر الخلافة، و هم أهل القوّة و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فی ظلالهم و أفنائهم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ادّعاء الأمر، و عقد اجتماعهم المعروف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یکون من الأسباب الداعیة لهم إلی المسارعة فی ذلک علمُهم و اطّلاعهم علی نوایا آخرین فی ذلک و الاستبداد بأمر الخلافة، فأسرعو إلی السقیفة و تداولوا الکلام، و اختلفت الکلمة بینهم و اتّصل الخبر إلی بعض المهاجرین، فحضروها</w:t>
      </w:r>
    </w:p>
    <w:p>
      <w:pPr>
        <w:pStyle w:val="BookText"/>
        <w:rPr/>
      </w:pPr>
      <w:r>
        <w:rPr>
          <w:rFonts w:ascii="IRNazanin" w:hAnsi="IRNazanin" w:eastAsia="IRNazanin"/>
          <w:color w:val="111111"/>
          <w:sz w:val="28"/>
          <w:sz w:val="28"/>
          <w:szCs w:val="28"/>
          <w:rtl w:val="true"/>
          <w:lang w:bidi="fa-IR"/>
        </w:rPr>
        <w:t>و نازعوا القوم و جادلوهم و قَوَوا علیهم بسبب التخاذل و التحاسد الواقع بین الأنصار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انضاف إلی ذلک تشاغل أمیر المؤمنین علیه‌السلامو سائر بنی هاشم بأمر وفاة رسول اللّه صلی‌الله‌علیه‌و‌آلهو عکوفهم علی تجهیزه، فسنحت فرصة تمّ الأمر فیها لأبی بکر، و جری الأمر علی الحال الذی یعرفه التاریخ</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وقعت هذه الواقعة، و ساد المجتمع الإسلامیّ إثر هذه الفتنة المفاجئة حال اندهاش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المتغلّبون مجاری الأمور بأیدیهم، و أداروها علی ما شاءوا و شاءت لهم الظروف 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أناس آخرون خوفا أو رجاء، و دخلت الشبهة فی ذلک علی جماعة حیث ظنّوا أنّهم إنّما فعلوا ذلک لعذر یسوغ لهم معه 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منهم</w:t>
      </w:r>
    </w:p>
    <w:p>
      <w:pPr>
        <w:pStyle w:val="BookText"/>
        <w:rPr/>
      </w:pPr>
      <w:r>
        <w:rPr>
          <w:rFonts w:ascii="IRNazanin" w:hAnsi="IRNazanin" w:eastAsia="IRNazanin"/>
          <w:color w:val="111111"/>
          <w:sz w:val="28"/>
          <w:sz w:val="28"/>
          <w:szCs w:val="28"/>
          <w:rtl w:val="true"/>
          <w:lang w:bidi="fa-IR"/>
        </w:rPr>
        <w:t>بعض من عرفوا الحقّ بما هو معروف من کلامهم</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رأوا أنّه لایسعهم إلاّ التسلیم کفّوا عن منازعة القوم و مجاراتهم فی الظاهر، و لم یتمکّنوا إلاّ مِن نقل ما علموه إلی مَن یثقون به و یأمنون جانبه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إنّا لو سبرنا آراء الناس و نزعات الأهواء و خلجات النفوس حینذاک لوجدناها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المبغض له علیه‌السلامالشانئ له، فکان ما وقع موافقا لرغائبه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فئة الرؤساء العاقدین للأمر و المسبّبین له، فاحتجّوا علی الناس فی تصحیح ما فعلوه مخافة وقوع الفتنة، و تأوّلوا أمر النصّ بنحو من الرأی زاعمین أنّه یمکن أن یترک لأجل مصلحة راجحة، و برّروا فعلهم فی ذلک بزعم أنّ العرب کانوا لایطیعونه إذا صار الأمر إلیه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اشتبه علیه الأمر لأجل ما صنعوه حیث رأوا هؤلاء القومَ، و هم من زعماء الصحابة وقادة الأمّة، قد اتّفقوا علی ذلک، فزعموا أنّهم فعلوا ما فعلوه لأجل نصٍّ سمعوه</w:t>
      </w:r>
    </w:p>
    <w:p>
      <w:pPr>
        <w:pStyle w:val="BookText"/>
        <w:rPr/>
      </w:pPr>
      <w:r>
        <w:rPr>
          <w:rFonts w:ascii="IRNazanin" w:hAnsi="IRNazanin" w:eastAsia="IRNazanin"/>
          <w:color w:val="111111"/>
          <w:sz w:val="28"/>
          <w:sz w:val="28"/>
          <w:szCs w:val="28"/>
          <w:rtl w:val="true"/>
          <w:lang w:bidi="fa-IR"/>
        </w:rPr>
        <w:t>من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لما سمعوه من النصّ الصریح فی أمیر المؤمنین علیه‌السلام، لا سیّما أنّ ما رواه أبو بکر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کثیرا من الناس توهّموا أنّه ناسخ للنصّ</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w:t>
      </w:r>
      <w:r>
        <w:rPr>
          <w:rStyle w:val="FootnoteAnchor"/>
          <w:rtl w:val="true"/>
        </w:rPr>
        <w:footnoteReference w:id="436"/>
      </w:r>
      <w:r>
        <w:rPr>
          <w:rFonts w:ascii="IRNazanin" w:hAnsi="IRNazanin" w:eastAsia="IRNazanin"/>
          <w:color w:val="111111"/>
          <w:sz w:val="28"/>
          <w:sz w:val="28"/>
          <w:szCs w:val="28"/>
          <w:rtl w:val="true"/>
          <w:lang w:bidi="fa-IR"/>
        </w:rPr>
        <w:t>، و أنّ لهم أن یقیموا إماما من أیّ بطن من بطون قریش أرادوا نصبه، فأحسنوا الظنّ بعاقِدی البیعة لأبی بکر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أعرف بغرض رسول اللّه صلی‌الله‌علیه‌و‌آله، فلذلک أمسکوا </w:t>
      </w:r>
    </w:p>
    <w:p>
      <w:pPr>
        <w:pStyle w:val="BookText"/>
        <w:rPr/>
      </w:pPr>
      <w:r>
        <w:rPr>
          <w:rFonts w:ascii="IRNazanin" w:hAnsi="IRNazanin" w:eastAsia="IRNazanin"/>
          <w:color w:val="111111"/>
          <w:sz w:val="28"/>
          <w:sz w:val="28"/>
          <w:szCs w:val="28"/>
          <w:rtl w:val="true"/>
          <w:lang w:bidi="fa-IR"/>
        </w:rPr>
        <w:t>و کفّوا عن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ثبتت العقائد علی موالاة القوم و تصویب أعمالهم، و جری الأمر فی مجاریها و استأنس بها الناس، لاسیّما أنّهم کانوا لایخرجون فی أفعالهم و أعمالهم عن</w:t>
      </w:r>
    </w:p>
    <w:p>
      <w:pPr>
        <w:pStyle w:val="BookText"/>
        <w:rPr/>
      </w:pPr>
      <w:r>
        <w:rPr>
          <w:rFonts w:ascii="IRNazanin" w:hAnsi="IRNazanin" w:eastAsia="IRNazanin"/>
          <w:color w:val="111111"/>
          <w:sz w:val="28"/>
          <w:sz w:val="28"/>
          <w:szCs w:val="28"/>
          <w:rtl w:val="true"/>
          <w:lang w:bidi="fa-IR"/>
        </w:rPr>
        <w:t>طریق الدیانة، و یقیمون شعائرها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اشتغل المسلمون بعد ذلک بالفتوح و الغزوات، و جاءتهم الغنائم و الأموال، و ملکوا البلاد،و تمتّعوا بکنوز الأکاسرة و القیاصرة و أملاکهم، و تبدّلت الأحوال و المعائش، فمالت إلیهم القلوب و حسنت بهم الظنون، و اتّخذت سیرة القوم مثلاً أعلی لأفاعیل الناس یجرون علیها و ینکرون علی من یحید عنها و یخالفها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فتمادی الزمان علی تلک الحال، و آل أمر النصّ إلی خفاء و هجران و طیّ و نسیان عند الجمهور و السواد</w:t>
      </w:r>
    </w:p>
    <w:p>
      <w:pPr>
        <w:pStyle w:val="BookText"/>
        <w:rPr/>
      </w:pPr>
      <w:r>
        <w:rPr>
          <w:rFonts w:ascii="IRNazanin" w:hAnsi="IRNazanin" w:eastAsia="IRNazanin"/>
          <w:color w:val="111111"/>
          <w:sz w:val="28"/>
          <w:sz w:val="28"/>
          <w:szCs w:val="28"/>
          <w:rtl w:val="true"/>
          <w:lang w:bidi="fa-IR"/>
        </w:rPr>
        <w:t>من الناس، و هم أتباع مَن غلب، فاستحکمت الشبهة فی النفوس، و لم یکن فی وسع العارفین به إلاّ نقل ذلک إلی من یثقون به حیث تواتر الخبر منهم إلی أخلافهم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علیه‌السلامو الأئمّة علیهم‌السلام، و هی مسطورة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للطبرسیّ أحمد</w:t>
      </w:r>
    </w:p>
    <w:p>
      <w:pPr>
        <w:pStyle w:val="BookText"/>
        <w:rPr/>
      </w:pPr>
      <w:r>
        <w:rPr>
          <w:rFonts w:ascii="IRNazanin" w:hAnsi="IRNazanin" w:eastAsia="IRNazanin"/>
          <w:color w:val="111111"/>
          <w:sz w:val="28"/>
          <w:sz w:val="28"/>
          <w:szCs w:val="28"/>
          <w:rtl w:val="true"/>
          <w:lang w:bidi="fa-IR"/>
        </w:rPr>
        <w:t>بن علیّ، و مواقف الشیعة للأحمدیّ المیانجیّ، 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أقوی الأسباب التی ساعدت القوم علی ما فعلوه هو کفّ أمیر المؤمنین علیه‌السلام عن منازعتهم و معارضتهم فی أمر الخلافة، حیاطةً علی الدین و إشفاقا علی الإسلام، و خوفا</w:t>
      </w:r>
    </w:p>
    <w:p>
      <w:pPr>
        <w:pStyle w:val="BookText"/>
        <w:rPr/>
      </w:pPr>
      <w:r>
        <w:rPr>
          <w:rFonts w:ascii="IRNazanin" w:hAnsi="IRNazanin" w:eastAsia="IRNazanin"/>
          <w:color w:val="111111"/>
          <w:sz w:val="28"/>
          <w:sz w:val="28"/>
          <w:szCs w:val="28"/>
          <w:rtl w:val="true"/>
          <w:lang w:bidi="fa-IR"/>
        </w:rPr>
        <w:t xml:space="preserve">من ارتداد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حدیثو عهد بالدیانة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رجوعهم إلی الجاهلیّة الأولی</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مضت خلافة السابقین علی أمیر المؤمنین علیه‌السلام و نشأت الأجیال الآتیة علی ذلک حتّی اتّخذت ذلک عقیدة ثابتة لایعدلون عنها و ینصبون العداوة لمن خالفها، و اشتدّت الحالة</w:t>
      </w:r>
    </w:p>
    <w:p>
      <w:pPr>
        <w:pStyle w:val="BookText"/>
        <w:rPr/>
      </w:pPr>
      <w:r>
        <w:rPr>
          <w:rFonts w:ascii="IRNazanin" w:hAnsi="IRNazanin" w:eastAsia="IRNazanin"/>
          <w:color w:val="111111"/>
          <w:sz w:val="28"/>
          <w:sz w:val="28"/>
          <w:szCs w:val="28"/>
          <w:rtl w:val="true"/>
          <w:lang w:bidi="fa-IR"/>
        </w:rPr>
        <w:t>بعد أن آلت الدولة بعد عصر الراشدین إلی الأمویّین الناصبین العداء لأهل البیت النبویّ</w:t>
      </w:r>
    </w:p>
    <w:p>
      <w:pPr>
        <w:pStyle w:val="BookText"/>
        <w:rPr/>
      </w:pPr>
      <w:r>
        <w:rPr>
          <w:rFonts w:ascii="IRNazanin" w:hAnsi="IRNazanin" w:eastAsia="IRNazanin"/>
          <w:color w:val="111111"/>
          <w:sz w:val="28"/>
          <w:sz w:val="28"/>
          <w:szCs w:val="28"/>
          <w:rtl w:val="true"/>
          <w:lang w:bidi="fa-IR"/>
        </w:rPr>
        <w:t>و لشیعتهم و موالیهم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إنّ قوما من بنی أمیّة قالوا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بلغت ما أمّلت، فلو کففتَ عن لعن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 الصغیر و یهرم علیه الکبیر، و لایذکر له ذاکر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نفس‌المصدر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لَأکتم بغضکم أهل هذا البیت منذ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تظافرت الروایة عن عروة بن الزبیر أنّه کان یأخذه الرمع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علیّ علیه‌السلام، فیسبّه و یضرب بإحدی یدیه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عمرو بن ثابت أنّه کان یرکب و یدور القُری بالشام و یجمع أهلها،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أیّهاالناس، إنّ علیّا کان رجلاً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 فیلعنه أهل تلک‌القریة، ثمّ یسیر إلی القریة الأخری فیأمرهم 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البصرة کلّهم یبغضونه، و کثیر من أهل الکوفة و کثیر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مکّة فکلّهم کانوا یبغضونه، و کانت قریش کلّها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جمهور الخلق مع بنی أمیّة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عبدالرحمن بن أبیبکرة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أحد من الناس ما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4793_55768"/>
    </w:p>
    <w:p>
      <w:pPr>
        <w:pStyle w:val="BookText"/>
        <w:rPr/>
      </w:pPr>
      <w:bookmarkEnd w:id="259"/>
      <w:r>
        <w:rPr>
          <w:rFonts w:ascii="IRNazanin" w:hAnsi="IRNazanin" w:eastAsia="IRNazanin"/>
          <w:color w:val="111111"/>
          <w:sz w:val="28"/>
          <w:sz w:val="28"/>
          <w:szCs w:val="28"/>
          <w:rtl w:val="true"/>
          <w:lang w:bidi="fa-IR"/>
        </w:rPr>
        <w:t>هذا کلّه فی النصّ الجلیّ الذی تدّعیه الشیعة، و قد عرفت الحال فیه و مساعدة الآثار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الخفیّة الأخری فهی أیضا کثیرة تکفّلت مؤلّفاتهم فی الحدیث و الکلام و الإمامة بإثباتها، و لایسع المقام للتعرّض لها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2295329_2035185390"/>
      <w:bookmarkStart w:id="261" w:name="_Toc94"/>
      <w:bookmarkEnd w:id="260"/>
      <w:r>
        <w:rPr>
          <w:rtl w:val="true"/>
        </w:rPr>
        <w:t>[</w:t>
      </w:r>
      <w:r>
        <w:rPr>
          <w:rtl w:val="true"/>
        </w:rPr>
        <w:t>مسألة</w:t>
      </w:r>
      <w:r>
        <w:rPr>
          <w:rtl w:val="true"/>
        </w:rPr>
        <w:t xml:space="preserve">] </w:t>
      </w:r>
      <w:r>
        <w:rPr>
          <w:rtl w:val="true"/>
        </w:rPr>
        <w:t>الغَیبة</w:t>
      </w:r>
      <w:bookmarkEnd w:id="261"/>
    </w:p>
    <w:p>
      <w:pPr>
        <w:pStyle w:val="BookText"/>
        <w:rPr/>
      </w:pPr>
      <w:r>
        <w:rPr>
          <w:rFonts w:ascii="IRNazanin" w:hAnsi="IRNazanin" w:eastAsia="IRNazanin"/>
          <w:color w:val="111111"/>
          <w:sz w:val="28"/>
          <w:sz w:val="28"/>
          <w:szCs w:val="28"/>
          <w:rtl w:val="true"/>
          <w:lang w:bidi="fa-IR"/>
        </w:rPr>
        <w:t xml:space="preserve">الإمامیّة یعتقدون أنّ الإمامة لاتکون إلاّ بنصّ، 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متّصفا بالصفات التی ذکرناها، و أنّها منحصرة بعد الحسن و الحسین علیهماالسلام فی الأئمّة المعصومین من أولاد الحسین علیه‌السلام، و أنّ إمام هذا الزمان هو الإمام المهدیّ المسمّی باسم رسول اللّه المکنّی بکنیته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أبوه عند ثقاته و خاصّة شیعته، و کان قد أخفی مولده و ستر أمره لصعوبة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و شدّة الطلب له و الاجتهاد فی البحث عنه، لِما کان قد شاع من مذهب الشیعة الإمامیّة فیه و انتظارهم له، و أنّه القائم المنتظر الذی یملأ اللّه به الأرض قسطا و عدلاً کما </w:t>
      </w:r>
    </w:p>
    <w:p>
      <w:pPr>
        <w:pStyle w:val="BookText"/>
        <w:rPr/>
      </w:pPr>
      <w:r>
        <w:rPr>
          <w:rFonts w:ascii="IRNazanin" w:hAnsi="IRNazanin" w:eastAsia="IRNazanin"/>
          <w:color w:val="111111"/>
          <w:sz w:val="28"/>
          <w:sz w:val="28"/>
          <w:szCs w:val="28"/>
          <w:rtl w:val="true"/>
          <w:lang w:bidi="fa-IR"/>
        </w:rPr>
        <w:t>مُلئت ظلما و جورا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مسألة الغیبة ممّا طال الحِجاج و الخصام فیها بین الشیعة و مخالفیهم من لَدُن عصر الغیبة إلی الآن، و مخالفوهم یستبعدون ذلک و یحیلونه، و یرونه خلاف ما هو المعهود من</w:t>
      </w:r>
    </w:p>
    <w:p>
      <w:pPr>
        <w:pStyle w:val="BookText"/>
        <w:rPr/>
      </w:pPr>
      <w:r>
        <w:rPr>
          <w:rFonts w:ascii="IRNazanin" w:hAnsi="IRNazanin" w:eastAsia="IRNazanin"/>
          <w:color w:val="111111"/>
          <w:sz w:val="28"/>
          <w:sz w:val="28"/>
          <w:szCs w:val="28"/>
          <w:rtl w:val="true"/>
          <w:lang w:bidi="fa-IR"/>
        </w:rPr>
        <w:t>أحکام العادات و الطبائع</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الغیبة التی تدّعیها الإمامیّة للإمام الثانی عشر فرع لأصول ؛ إنّ صحّت تلک الأصول و تقرّرت حججها و وضحت براهینها من العقل، فإنّ الأمر ینساق إلی القول بالغیبة سَوقا ضروریّا لایقع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بمقدّمتین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العقل دلّت علی وجوب الإمامة، و هذا ممّا تسلّمه أکثر أهل القبلة و تلقّته جماهیر علماء الأمّة بالقبول، و لم ینازع فیه إلاّ شُذّاد من الخوارج لا اعتداد</w:t>
      </w:r>
    </w:p>
    <w:p>
      <w:pPr>
        <w:pStyle w:val="BookText"/>
        <w:rPr/>
      </w:pPr>
      <w:r>
        <w:rPr>
          <w:rFonts w:ascii="IRNazanin" w:hAnsi="IRNazanin" w:eastAsia="IRNazanin"/>
          <w:color w:val="111111"/>
          <w:sz w:val="28"/>
          <w:sz w:val="28"/>
          <w:szCs w:val="28"/>
          <w:rtl w:val="true"/>
          <w:lang w:bidi="fa-IR"/>
        </w:rPr>
        <w:t>بخلافهم</w:t>
      </w:r>
      <w:r>
        <w:rPr>
          <w:rStyle w:val="FootnoteAnchor"/>
          <w:rtl w:val="true"/>
        </w:rPr>
        <w:footnoteReference w:id="443"/>
      </w:r>
      <w:r>
        <w:rPr>
          <w:rFonts w:ascii="IRNazanin" w:hAnsi="IRNazanin" w:eastAsia="IRNazanin"/>
          <w:color w:val="111111"/>
          <w:sz w:val="28"/>
          <w:sz w:val="28"/>
          <w:szCs w:val="28"/>
          <w:rtl w:val="true"/>
          <w:lang w:bidi="fa-IR"/>
        </w:rPr>
        <w:t>لاحتیاج الناس کلّهم إلی سلطان یکونون بوجوده أقرب إلی الصلاح و أبعد من الفساد، و لحاجة الکلّ إلی شخص یقوم بالسیاسات؛ من تأدیب الجُناة و تقویم العُصاة، و تعلیم الجهّال، و إقامة الحدود، و تنفیذ الأحکام، و فصل الخصومات، و سدّ</w:t>
      </w:r>
    </w:p>
    <w:p>
      <w:pPr>
        <w:pStyle w:val="BookText"/>
        <w:rPr/>
      </w:pPr>
      <w:r>
        <w:rPr>
          <w:rFonts w:ascii="IRNazanin" w:hAnsi="IRNazanin" w:eastAsia="IRNazanin"/>
          <w:color w:val="111111"/>
          <w:sz w:val="28"/>
          <w:sz w:val="28"/>
          <w:szCs w:val="28"/>
          <w:rtl w:val="true"/>
          <w:lang w:bidi="fa-IR"/>
        </w:rPr>
        <w:t>الثغور، و نصب الولاة، و الذبّ عن الدیانة، و حفظ بیضة الإسلام، إلی غیر ذلک من المصالح العامّة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یدّعون بعد ثبوت ذلک أنّ هذا الإمام الذی ثبت وجوب وجوده فی کلّ زمان من أزمنة التکلیف، یجب أن یکون معصوما من الخطأ مأمونا منه کلّ زلل، غنیّا عن سائر الناس فی کافّة ما یحتاج إلیه من العلوم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التی ینازعهم فیها سائر من یخالفهم من فرق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تکفّلت کتب الکلام و المؤلّفات الخاصّة بمسألة الإمامة، ببیان ما لهم فی إثبات هذه المقدّمة من حجج العقل و أدلّة </w:t>
      </w:r>
      <w:bookmarkStart w:id="262" w:name="pg4793_55772"/>
    </w:p>
    <w:p>
      <w:pPr>
        <w:pStyle w:val="BookText"/>
        <w:rPr/>
      </w:pPr>
      <w:bookmarkEnd w:id="262"/>
      <w:r>
        <w:rPr>
          <w:rFonts w:ascii="IRNazanin" w:hAnsi="IRNazanin" w:eastAsia="IRNazanin"/>
          <w:color w:val="111111"/>
          <w:sz w:val="28"/>
          <w:sz w:val="28"/>
          <w:szCs w:val="28"/>
          <w:rtl w:val="true"/>
          <w:lang w:bidi="fa-IR"/>
        </w:rPr>
        <w:t>النقل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ثبوت هاتین المقدّمتین لامجال إلاّ للمصیر إلی إمامة من یقولون بإمامته؛ إذ الصفات التی دلّ العقل علی وجودها فی إمام کلّ زمان ممّا یتعرّی عنه غیره، حیث إنّ من</w:t>
      </w:r>
    </w:p>
    <w:p>
      <w:pPr>
        <w:pStyle w:val="BookText"/>
        <w:rPr/>
      </w:pPr>
      <w:r>
        <w:rPr>
          <w:rFonts w:ascii="IRNazanin" w:hAnsi="IRNazanin" w:eastAsia="IRNazanin"/>
          <w:color w:val="111111"/>
          <w:sz w:val="28"/>
          <w:sz w:val="28"/>
          <w:szCs w:val="28"/>
          <w:rtl w:val="true"/>
          <w:lang w:bidi="fa-IR"/>
        </w:rPr>
        <w:t>یدّعی الإمامة أو یُدّعی له ذلک، لا قطع بعصمتهم، و لا هم یدّعون تلک لأنفسهم، و لایدّعیها لهم أشیاعهم و متابعوهم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یذهب إلی خلاف مقال الإمامیّة هو بین مَن ینفی وجوب العصمة للإمام رأسا، أو یثبت الإمامة لمن یعترف بنفی تلک الصفة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اعتبارها بحجج العقول، فلم</w:t>
      </w:r>
    </w:p>
    <w:p>
      <w:pPr>
        <w:pStyle w:val="BookText"/>
        <w:rPr/>
      </w:pPr>
      <w:r>
        <w:rPr>
          <w:rFonts w:ascii="IRNazanin" w:hAnsi="IRNazanin" w:eastAsia="IRNazanin"/>
          <w:color w:val="111111"/>
          <w:sz w:val="28"/>
          <w:sz w:val="28"/>
          <w:szCs w:val="28"/>
          <w:rtl w:val="true"/>
          <w:lang w:bidi="fa-IR"/>
        </w:rPr>
        <w:t>یَبقَ فی أقوال المختلفین فی باب الإمامة ما ینطبق علی ما یقتضیه الدلیل العقلیّ إلاّ قول الإمامیّة فیجب الالتزام به، و إلاّ لزم خروج الحقّ عمّا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الأصل لایحتاج</w:t>
      </w:r>
    </w:p>
    <w:p>
      <w:pPr>
        <w:pStyle w:val="BookText"/>
        <w:rPr/>
      </w:pPr>
      <w:r>
        <w:rPr>
          <w:rFonts w:ascii="IRNazanin" w:hAnsi="IRNazanin" w:eastAsia="IRNazanin"/>
          <w:color w:val="111111"/>
          <w:sz w:val="28"/>
          <w:sz w:val="28"/>
          <w:szCs w:val="28"/>
          <w:rtl w:val="true"/>
          <w:lang w:bidi="fa-IR"/>
        </w:rPr>
        <w:t>معه فی باب الإمامة إلی شیء آخر من النصوص و غیرها ؛ لقیامه بنفسه فی قضیّة العقول،</w:t>
      </w:r>
    </w:p>
    <w:p>
      <w:pPr>
        <w:pStyle w:val="BookText"/>
        <w:rPr/>
      </w:pPr>
      <w:r>
        <w:rPr>
          <w:rFonts w:ascii="IRNazanin" w:hAnsi="IRNazanin" w:eastAsia="IRNazanin"/>
          <w:color w:val="111111"/>
          <w:sz w:val="28"/>
          <w:sz w:val="28"/>
          <w:szCs w:val="28"/>
          <w:rtl w:val="true"/>
          <w:lang w:bidi="fa-IR"/>
        </w:rPr>
        <w:t>و صحّته بثابت الاستدلال</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یثبتون إمامته عجّل اللّه تعالی فرجه و إمامة سائر الأئمّة بنصوص خاصّة، عن طرق قاطعة للعذر مُبیَّنة فی محالّها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2295331_2035185390"/>
      <w:bookmarkStart w:id="264" w:name="_Toc95"/>
      <w:bookmarkEnd w:id="263"/>
      <w:r>
        <w:rPr>
          <w:rtl w:val="true"/>
        </w:rPr>
        <w:t>[</w:t>
      </w:r>
      <w:r>
        <w:rPr>
          <w:rtl w:val="true"/>
        </w:rPr>
        <w:t>تواتر الروایات حول المهدیّ علیه‌السلام و غیبته</w:t>
      </w:r>
      <w:r>
        <w:rPr>
          <w:rtl w:val="true"/>
        </w:rPr>
        <w:t>]</w:t>
      </w:r>
      <w:bookmarkEnd w:id="264"/>
    </w:p>
    <w:p>
      <w:pPr>
        <w:pStyle w:val="BookText"/>
        <w:rPr/>
      </w:pPr>
      <w:r>
        <w:rPr>
          <w:rFonts w:ascii="IRNazanin" w:hAnsi="IRNazanin" w:eastAsia="IRNazanin"/>
          <w:color w:val="111111"/>
          <w:sz w:val="28"/>
          <w:sz w:val="28"/>
          <w:szCs w:val="28"/>
          <w:rtl w:val="true"/>
          <w:lang w:bidi="fa-IR"/>
        </w:rPr>
        <w:t>ثمّ إنّه قد وردت روایات کثیرة من طرق الفریقین تبلغ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فی آخر الزمان من أهل بیت رسول اللّه صلی‌الله‌علیه‌و‌آله إمام مهدیّ یملأ الأرض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تلقّت کافّة الأمّة هذه الأخبار بالقبول، و إن اختلفوا فی وجوده فی الآن،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سیوجد بعد ذلک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استفاضت روایات کثیرة أخری من طرق هذین الفریقین المختلفین، مشعرةً بأنّ النبیّ صلی‌الله‌علیه‌و‌آله نصّ علی أنّ الأئمّة بعده اثنا عشر إماما</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قال بذلک یقطع بالأئمّة</w:t>
      </w:r>
    </w:p>
    <w:p>
      <w:pPr>
        <w:pStyle w:val="BookText"/>
        <w:rPr/>
      </w:pPr>
      <w:r>
        <w:rPr>
          <w:rFonts w:ascii="IRNazanin" w:hAnsi="IRNazanin" w:eastAsia="IRNazanin"/>
          <w:color w:val="111111"/>
          <w:sz w:val="28"/>
          <w:sz w:val="28"/>
          <w:szCs w:val="28"/>
          <w:rtl w:val="true"/>
          <w:lang w:bidi="fa-IR"/>
        </w:rPr>
        <w:t>الاثنی عشر الذین تقول الإمامیّة بإمامتهم، إذ مَن یخالفهم فی ذلک لایقصر الإمامة علی هذا العدد، بل یثبتها لغیرهم و یجوّز الزیادة علیه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الخلفاء فی زمن الأمویّین أکثر من اثنی عشر، فلا وجه لعدّ الولید بن یزید بن عبد الملک الفاسق منهم، کما لا وجه لإخراج الحسن بن علیّ و عمر بن عبد العزیز الذی أطبقت الأمّة علی شکره و مدحه، حتّی عدوّه من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اعتبرنا فی العدد اجتماع الأمّة علیهم فیلزم خروج علیّ و ابنه الحسن منهم؛ لأنّ أهل الشام کلّهم لم یبایعوهما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نصّ علیه أئمّة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قولاً آخر فی أنّ المراد وجود اثنی عشر فی جمیع مدّة الإسلام، ثمّ أیّده بروایة و طابقهم علی الخلفاء الأربعة و الحسن بن علیّ و معاویة و ابن الزبیر و عمر بن عبد العزیز من الأمویّین، و المهتدی و الطاهر من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الاثنان المنتظران أحدهما المهدیّ لأنّه من آل بیت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قاله العلاّمة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حار علماء مدرسة الخلفاء فی بیان المقصود من الاثنی عشر فی الروایات المذکورة و تضاربت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للعلاّمة السیّد مرتضی العسکریّ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ثبت بالأخبار القاطعة للأعذار، هذا العدد المخصوص فی تعیین أشخاص الأئمّة، و ثبت بمقتضی البرهان وجوب الإمامة و عدم جواز خلوّ الزمان من إمام معصوم لایجوز علیه الخطأ و الزلل؛ ثبت قولهم فی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قولهم بغیبة إمام هذا الزمان عجّل اللّه تعالی فرجه الشریف فرع لهذه الأصول التی ذکرناها، فإنّه متی تحقّق وجود إمام معصوم بعینه و رأیناه غائبا غیر ظاهر فلا بدّ أن تکون غیبته و فقدُ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تعیّن فرض الإمامة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اقتضی ذلک، و حالٍ أوجبه، </w:t>
      </w:r>
    </w:p>
    <w:p>
      <w:pPr>
        <w:pStyle w:val="BookText"/>
        <w:rPr/>
      </w:pPr>
      <w:r>
        <w:rPr>
          <w:rFonts w:ascii="IRNazanin" w:hAnsi="IRNazanin" w:eastAsia="IRNazanin"/>
          <w:color w:val="111111"/>
          <w:sz w:val="28"/>
          <w:sz w:val="28"/>
          <w:szCs w:val="28"/>
          <w:rtl w:val="true"/>
          <w:lang w:bidi="fa-IR"/>
        </w:rPr>
        <w:t>و مصلحة استدعته، و حِکَم استأثر اللّه تعالی بعلمها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الأئمّة من لدن زمن أمیر المؤمنین علیّ بن أبی طالب إلی زمن الإمام الحادی عشر أبی محمّد العسکریّ سلام اللّه علیهم نَصَّ کلُّ واحد منهم علی الإمام القائم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کما نصّوا علی ذلک أخبروا خاصّة شیعتهم و الثقات من أصحابهم بأنّ الإمام الثانی عشر تکون</w:t>
      </w:r>
    </w:p>
    <w:p>
      <w:pPr>
        <w:pStyle w:val="BookText"/>
        <w:rPr/>
      </w:pPr>
      <w:r>
        <w:rPr>
          <w:rFonts w:ascii="IRNazanin" w:hAnsi="IRNazanin" w:eastAsia="IRNazanin"/>
          <w:color w:val="111111"/>
          <w:sz w:val="28"/>
          <w:sz w:val="28"/>
          <w:szCs w:val="28"/>
          <w:rtl w:val="true"/>
          <w:lang w:bidi="fa-IR"/>
        </w:rPr>
        <w:t>له غَیبة طویلة یرجع فیها أکثر مَن یقول بإمامته لطول الغیبة، و أنّه هو الإمام المنتظر</w:t>
      </w:r>
    </w:p>
    <w:p>
      <w:pPr>
        <w:pStyle w:val="BookText"/>
        <w:rPr/>
      </w:pPr>
      <w:r>
        <w:rPr>
          <w:rFonts w:ascii="IRNazanin" w:hAnsi="IRNazanin" w:eastAsia="IRNazanin"/>
          <w:color w:val="111111"/>
          <w:sz w:val="28"/>
          <w:sz w:val="28"/>
          <w:szCs w:val="28"/>
          <w:rtl w:val="true"/>
          <w:lang w:bidi="fa-IR"/>
        </w:rPr>
        <w:t>لإظهار العدل و قمع الظلم و إصلاح الفاسد من الأمور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الخبر بغیبته ثابتا قبل وجوده، و الآثار بذلک متناصرة عمّن تقدّمه من أئمّة آل محمّد صلی‌الله‌علیه‌و‌آله قبل وقوعها بعصر طویل، و رواها عنهم الثقات الأثبات، و أُثِر ذلک عن الصادقین فی المقال و المتحرّزین عن الإفک و الکذب، و لم یکن لهم فی روایة تلک الآثار غرض سوی حفظها و ضبطها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علی القائم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xml:space="preserve">؛ کتاب الغیبة للطوسیّ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حفظوها فی أصولهم و دوّنوها فی مصنّفاتهم، من قبل أن تقع الغیبة بأزمنة طویلة تقرب من مأتی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بعض هذه الکتب المؤلّفة إلی زماننا، و ضاع کثیر منها فیما ضاع من الآثار، و بقیت عن بعضها منقولات فی کتب قد تُلقّیت عن مؤلّفیها بطریق الروایة و الإسناد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صدق مضامین هذه الأخبار المرویّة و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زمان الغیبة و 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أخبروا به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الشیعة من قدیم الزمان و من عصر الأئمّة السابقین یتوقّعون وقوع هذه الغیبة و یتوخّونها، و أنفسهم منبعثة منتظرة لها مترقّبة لها، لِما یرجون بعد ذلک من ظهور العدل </w:t>
      </w:r>
    </w:p>
    <w:p>
      <w:pPr>
        <w:pStyle w:val="BookText"/>
        <w:rPr/>
      </w:pPr>
      <w:r>
        <w:rPr>
          <w:rFonts w:ascii="IRNazanin" w:hAnsi="IRNazanin" w:eastAsia="IRNazanin"/>
          <w:color w:val="111111"/>
          <w:sz w:val="28"/>
          <w:sz w:val="28"/>
          <w:szCs w:val="28"/>
          <w:rtl w:val="true"/>
          <w:lang w:bidi="fa-IR"/>
        </w:rPr>
        <w:t>بقیامه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حکی أیضا أنّ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علیهماالسلامفقلت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 لکنّ القائم الذی یطهّر الأرض من أعداء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ولدی، له غیبة یطول أمدها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الخلفاء المعاصرون لهم یتحقّقون ذلک من حال الشیعة و عقیدتهم و انتظارهم لحصولها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کان یبعثهم علی المراقبة للدعوة الشیعیّة و التطلّع إلی</w:t>
      </w:r>
    </w:p>
    <w:p>
      <w:pPr>
        <w:pStyle w:val="BookText"/>
        <w:rPr/>
      </w:pPr>
      <w:r>
        <w:rPr>
          <w:rFonts w:ascii="IRNazanin" w:hAnsi="IRNazanin" w:eastAsia="IRNazanin"/>
          <w:color w:val="111111"/>
          <w:sz w:val="28"/>
          <w:sz w:val="28"/>
          <w:szCs w:val="28"/>
          <w:rtl w:val="true"/>
          <w:lang w:bidi="fa-IR"/>
        </w:rPr>
        <w:t>حرکتها و السعی الحثیث وراءها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أنّک أخذت بمجاری التاریخ لاطّلعتَ علی مبلغ المخافة الحاصلة لهم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کانوا لایکتر ثون بخروج مَن یخرج علیهم من سائر الطالبیّین و العلویّین</w:t>
      </w:r>
    </w:p>
    <w:p>
      <w:pPr>
        <w:pStyle w:val="BookText"/>
        <w:rPr/>
      </w:pPr>
      <w:r>
        <w:rPr>
          <w:rFonts w:ascii="IRNazanin" w:hAnsi="IRNazanin" w:eastAsia="IRNazanin"/>
          <w:color w:val="111111"/>
          <w:sz w:val="28"/>
          <w:sz w:val="28"/>
          <w:szCs w:val="28"/>
          <w:rtl w:val="true"/>
          <w:lang w:bidi="fa-IR"/>
        </w:rPr>
        <w:t>القائمین بغیر هذه الدعوة؛ لعلمهم بعدم تمایل الرأی العامّ إلیهم، و قلّة من یأوی إلی</w:t>
      </w:r>
    </w:p>
    <w:p>
      <w:pPr>
        <w:pStyle w:val="BookText"/>
        <w:rPr/>
      </w:pPr>
      <w:r>
        <w:rPr>
          <w:rFonts w:ascii="IRNazanin" w:hAnsi="IRNazanin" w:eastAsia="IRNazanin"/>
          <w:color w:val="111111"/>
          <w:sz w:val="28"/>
          <w:sz w:val="28"/>
          <w:szCs w:val="28"/>
          <w:rtl w:val="true"/>
          <w:lang w:bidi="fa-IR"/>
        </w:rPr>
        <w:t>جانبهم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سبیلهم فی ذلک سبیل من یخرج علی الملوک و ینازعهم فی طرف من سلطانهم و ملکهم، فکان یسهل لهم رتق الفتق و تلافی الخطر من ناحیتهم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الذی کانوا یؤرّقهم هو الدعوة الشیعیّة التی ما زالت تقلق أفکارهم، و أمر هذه الغیبة التی کانت الأخبار بها شائعة ذائعة بین الشیعة تنتظرها و تترقّب وقوعها علی الکثرة الحاصلة فیهم،</w:t>
      </w:r>
    </w:p>
    <w:p>
      <w:pPr>
        <w:pStyle w:val="BookText"/>
        <w:rPr/>
      </w:pPr>
      <w:r>
        <w:rPr>
          <w:rFonts w:ascii="IRNazanin" w:hAnsi="IRNazanin" w:eastAsia="IRNazanin"/>
          <w:color w:val="111111"/>
          <w:sz w:val="28"/>
          <w:sz w:val="28"/>
          <w:szCs w:val="28"/>
          <w:rtl w:val="true"/>
          <w:lang w:bidi="fa-IR"/>
        </w:rPr>
        <w:t>و تفرّقهم فی البلاد و الأمصار، و تمایل جمع کثیر من أولیاء الأمور و قادة الأفکار إلیها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تدیّنهم باطنا بها</w:t>
      </w:r>
      <w:r>
        <w:rPr>
          <w:rFonts w:eastAsia="IRNazanin" w:cs="IRNazanin"/>
          <w:color w:val="111111"/>
          <w:sz w:val="28"/>
          <w:szCs w:val="28"/>
          <w:rtl w:val="true"/>
          <w:lang w:bidi="fa-IR"/>
        </w:rPr>
        <w:t xml:space="preserve">. </w:t>
      </w:r>
      <w:bookmarkStart w:id="265" w:name="pg4793_55779"/>
    </w:p>
    <w:p>
      <w:pPr>
        <w:pStyle w:val="Heading3"/>
        <w:numPr>
          <w:ilvl w:val="2"/>
          <w:numId w:val="1"/>
        </w:numPr>
        <w:rPr/>
      </w:pPr>
      <w:bookmarkStart w:id="266" w:name="__RefHeading___Toc2295333_2035185390"/>
      <w:bookmarkStart w:id="267" w:name="_Toc96"/>
      <w:bookmarkEnd w:id="265"/>
      <w:bookmarkEnd w:id="266"/>
      <w:r>
        <w:rPr>
          <w:rtl w:val="true"/>
        </w:rPr>
        <w:t>الفصل الثالث</w:t>
      </w:r>
      <w:r>
        <w:rPr>
          <w:rtl w:val="true"/>
        </w:rPr>
        <w:t xml:space="preserve">: </w:t>
      </w:r>
      <w:r>
        <w:rPr>
          <w:rtl w:val="true"/>
        </w:rPr>
        <w:t>جملة أمور نُسبت إلی الشیعة الإمامیّة</w:t>
      </w:r>
      <w:bookmarkEnd w:id="267"/>
    </w:p>
    <w:p>
      <w:pPr>
        <w:pStyle w:val="Heading4"/>
        <w:numPr>
          <w:ilvl w:val="3"/>
          <w:numId w:val="1"/>
        </w:numPr>
        <w:rPr/>
      </w:pPr>
      <w:bookmarkStart w:id="268" w:name="__RefHeading___Toc2295335_2035185390"/>
      <w:bookmarkStart w:id="269" w:name="_Toc97"/>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نسب مخالفو الشیعة إلیهم جملة معتقدات سخیفة، و هی بین ما لاحقیقة له من مذهبهم أصلاً، و بین أشیاء قال بها بعض الشیعة و لها محامل صحیحة عند قائلیها، و لکن</w:t>
      </w:r>
    </w:p>
    <w:p>
      <w:pPr>
        <w:pStyle w:val="BookText"/>
        <w:rPr/>
      </w:pPr>
      <w:r>
        <w:rPr>
          <w:rFonts w:ascii="IRNazanin" w:hAnsi="IRNazanin" w:eastAsia="IRNazanin"/>
          <w:color w:val="111111"/>
          <w:sz w:val="28"/>
          <w:sz w:val="28"/>
          <w:szCs w:val="28"/>
          <w:rtl w:val="true"/>
          <w:lang w:bidi="fa-IR"/>
        </w:rPr>
        <w:t>حرّفت کَلمها عن مواضعها بقصد التشنیع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نتعرّض لها علی اختصار</w:t>
      </w:r>
      <w:r>
        <w:rPr>
          <w:rFonts w:eastAsia="IRNazanin" w:cs="IRNazanin"/>
          <w:color w:val="111111"/>
          <w:sz w:val="28"/>
          <w:szCs w:val="28"/>
          <w:rtl w:val="true"/>
          <w:lang w:bidi="fa-IR"/>
        </w:rPr>
        <w:t>.</w:t>
      </w:r>
    </w:p>
    <w:p>
      <w:pPr>
        <w:pStyle w:val="Heading4"/>
        <w:numPr>
          <w:ilvl w:val="3"/>
          <w:numId w:val="1"/>
        </w:numPr>
        <w:rPr/>
      </w:pPr>
      <w:bookmarkStart w:id="270" w:name="__RefHeading___Toc2295337_2035185390"/>
      <w:bookmarkStart w:id="271" w:name="_Toc98"/>
      <w:bookmarkEnd w:id="270"/>
      <w:r>
        <w:rPr>
          <w:rtl w:val="true"/>
        </w:rPr>
        <w:t>رمی قدماء الإمامیّة بالقول بالجبر و التشبیه</w:t>
      </w:r>
      <w:bookmarkEnd w:id="271"/>
    </w:p>
    <w:p>
      <w:pPr>
        <w:pStyle w:val="BookText"/>
        <w:rPr/>
      </w:pPr>
      <w:r>
        <w:rPr>
          <w:rFonts w:ascii="IRNazanin" w:hAnsi="IRNazanin" w:eastAsia="IRNazanin"/>
          <w:color w:val="111111"/>
          <w:sz w:val="28"/>
          <w:sz w:val="28"/>
          <w:szCs w:val="28"/>
          <w:rtl w:val="true"/>
          <w:lang w:bidi="fa-IR"/>
        </w:rPr>
        <w:t xml:space="preserve">ممّا أُسند إلی الإمامیّة فی کتب المقالات القول بالجبر و التشبیه، حتّی أنّ أحمد بن یحیی الیمنیّ قال فی الجزء الخاصّ بالملل و النحل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w:t>
      </w:r>
    </w:p>
    <w:p>
      <w:pPr>
        <w:pStyle w:val="BookText"/>
        <w:rPr/>
      </w:pPr>
      <w:r>
        <w:rPr>
          <w:rFonts w:ascii="IRNazanin" w:hAnsi="IRNazanin" w:eastAsia="IRNazanin"/>
          <w:color w:val="111111"/>
          <w:sz w:val="28"/>
          <w:sz w:val="28"/>
          <w:szCs w:val="28"/>
          <w:rtl w:val="true"/>
          <w:lang w:bidi="fa-IR"/>
        </w:rPr>
        <w:t>مقالات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أطبقوا، إلاّ مَن عصم اللّه، علی الجبر و التشبیه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الشهرستانیّ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التشبیه فی الوضع و الأصل فی الشیعة، و إنّما عادت إلی بعض أهل السنّة بعد ذلک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صارت هذه النسبة إلی الشیعة شائعة فی کتب المقالات و غیرها، و یجدها المراجع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غرض لنا فی ذکرها و إنّما نرید الإشارة إلی منشأ هذه النسبة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الشیعة و مکانها من الصحّة</w:t>
      </w:r>
      <w:r>
        <w:rPr>
          <w:rFonts w:eastAsia="IRNazanin" w:cs="IRNazanin"/>
          <w:color w:val="111111"/>
          <w:sz w:val="28"/>
          <w:szCs w:val="28"/>
          <w:rtl w:val="true"/>
          <w:lang w:bidi="fa-IR"/>
        </w:rPr>
        <w:t xml:space="preserve">. </w:t>
      </w:r>
      <w:bookmarkStart w:id="272" w:name="pg4793_55781"/>
    </w:p>
    <w:p>
      <w:pPr>
        <w:pStyle w:val="BookText"/>
        <w:rPr/>
      </w:pPr>
      <w:bookmarkEnd w:id="272"/>
      <w:r>
        <w:rPr>
          <w:rFonts w:ascii="IRNazanin" w:hAnsi="IRNazanin" w:eastAsia="IRNazanin"/>
          <w:color w:val="111111"/>
          <w:sz w:val="28"/>
          <w:sz w:val="28"/>
          <w:szCs w:val="28"/>
          <w:rtl w:val="true"/>
          <w:lang w:bidi="fa-IR"/>
        </w:rPr>
        <w:t>سیمرّ علیک فی القسم الخاصّ بتاریخ العلوم الإسلامیّة عند الشیعة</w:t>
      </w:r>
      <w:r>
        <w:rPr>
          <w:rStyle w:val="FootnoteAnchor"/>
          <w:rtl w:val="true"/>
        </w:rPr>
        <w:footnoteReference w:id="460"/>
      </w:r>
      <w:r>
        <w:rPr>
          <w:rFonts w:ascii="Amiri" w:hAnsi="Amiri" w:eastAsia="Amiri" w:cs="Amiri"/>
          <w:color w:val="111111"/>
          <w:sz w:val="28"/>
          <w:sz w:val="28"/>
          <w:szCs w:val="28"/>
          <w:rtl w:val="true"/>
          <w:lang w:bidi="ar-SA"/>
        </w:rPr>
        <w:t>أنّ رواة</w:t>
      </w:r>
    </w:p>
    <w:p>
      <w:pPr>
        <w:pStyle w:val="BookText"/>
        <w:rPr/>
      </w:pPr>
      <w:r>
        <w:rPr>
          <w:rFonts w:ascii="IRNazanin" w:hAnsi="IRNazanin" w:eastAsia="IRNazanin"/>
          <w:color w:val="111111"/>
          <w:sz w:val="28"/>
          <w:sz w:val="28"/>
          <w:szCs w:val="28"/>
          <w:rtl w:val="true"/>
          <w:lang w:bidi="fa-IR"/>
        </w:rPr>
        <w:t>الآثار و السنن من الشیعة کانت لهم أصول و مصنّفات جمعوا فیها الروایات التی کانوا سمعوها من الأئمّة علیهم‌السلام فی أبواب الحلال و الحرام و أصول العقائد، أو سمعها مَن سواهم و وصلت إلیهم بطرق الروایة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2295339_2035185390"/>
      <w:bookmarkStart w:id="274" w:name="_Toc99"/>
      <w:bookmarkEnd w:id="273"/>
      <w:r>
        <w:rPr>
          <w:rtl w:val="true"/>
        </w:rPr>
        <w:t>[</w:t>
      </w:r>
      <w:r>
        <w:rPr>
          <w:rtl w:val="true"/>
        </w:rPr>
        <w:t>نسبة الضلالات إلی الشیعة</w:t>
      </w:r>
      <w:r>
        <w:rPr>
          <w:rtl w:val="true"/>
        </w:rPr>
        <w:t>]</w:t>
      </w:r>
      <w:bookmarkEnd w:id="274"/>
    </w:p>
    <w:p>
      <w:pPr>
        <w:pStyle w:val="BookText"/>
        <w:rPr/>
      </w:pPr>
      <w:r>
        <w:rPr>
          <w:rFonts w:ascii="IRNazanin" w:hAnsi="IRNazanin" w:eastAsia="IRNazanin"/>
          <w:color w:val="111111"/>
          <w:sz w:val="28"/>
          <w:sz w:val="28"/>
          <w:szCs w:val="28"/>
          <w:rtl w:val="true"/>
          <w:lang w:bidi="fa-IR"/>
        </w:rPr>
        <w:t>و قد وقفنا فیما سلف أیضا علی أنّ جماعة من أرباب النحل و أصحاب المقالات الفاسدة من الغلاة و غیرهم کانوا متستّرین بمقالة الإمامیّة و مخلوطین برواة الشیعة و نقلة الأحادیث منهم، و لکلّ منهم فی ذلک غرض خاصّ، فکان جمع من هؤلاء الرواة ممّن یرجعون إلی ورع و تقوی و صفاء ضمیر و سلامة ناحیة، مع قصورهم عن تمییز صحیح الأخبار من زائفها، و نقد الصادق من رواتها من الکاذب و المدلّس؛ فکانوا إذا رأوا رجلاً</w:t>
      </w:r>
    </w:p>
    <w:p>
      <w:pPr>
        <w:pStyle w:val="BookText"/>
        <w:rPr/>
      </w:pPr>
      <w:r>
        <w:rPr>
          <w:rFonts w:ascii="IRNazanin" w:hAnsi="IRNazanin" w:eastAsia="IRNazanin"/>
          <w:color w:val="111111"/>
          <w:sz w:val="28"/>
          <w:sz w:val="28"/>
          <w:szCs w:val="28"/>
          <w:rtl w:val="true"/>
          <w:lang w:bidi="fa-IR"/>
        </w:rPr>
        <w:t>حسن الظاهر علیه سیماء الصلاح، أحسنوا به الظنّ و قبلوا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فی أثناء ذلک وجود کذّابین دسّوا أنفسهم فیهم فی الوقت بعد الوقت و الزمان بعد الزمان، حتّی عَظُم</w:t>
      </w:r>
    </w:p>
    <w:p>
      <w:pPr>
        <w:pStyle w:val="BookText"/>
        <w:rPr/>
      </w:pPr>
      <w:r>
        <w:rPr>
          <w:rFonts w:ascii="IRNazanin" w:hAnsi="IRNazanin" w:eastAsia="IRNazanin"/>
          <w:color w:val="111111"/>
          <w:sz w:val="28"/>
          <w:sz w:val="28"/>
          <w:szCs w:val="28"/>
          <w:rtl w:val="true"/>
          <w:lang w:bidi="fa-IR"/>
        </w:rPr>
        <w:t>البلاء فی ذلک و فَشَت هذه الأخبار فی بعض تلک الکتب من جهتهم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تفطّن لهذا النقّاد و أهل النظر من الإمامیّة من أوّل الأمر و ابتداء تطرّق ید الدسّ</w:t>
      </w:r>
    </w:p>
    <w:p>
      <w:pPr>
        <w:pStyle w:val="BookText"/>
        <w:rPr/>
      </w:pPr>
      <w:r>
        <w:rPr>
          <w:rFonts w:ascii="IRNazanin" w:hAnsi="IRNazanin" w:eastAsia="IRNazanin"/>
          <w:color w:val="111111"/>
          <w:sz w:val="28"/>
          <w:sz w:val="28"/>
          <w:szCs w:val="28"/>
          <w:rtl w:val="true"/>
          <w:lang w:bidi="fa-IR"/>
        </w:rPr>
        <w:t>و الوضع فی الأخبار، حتّی شکوا ذلک إلی الأئمّة علیهم‌السلام، فأمروهم بالأخذ بالمُجمَع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 إلینا من الآثار فی ذلک ما هو معروف</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کتاب أبی عمر الکشّیّ فی روایة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عن هشام ابن الحکم أنّه سمع أبا عبد اللّه علیه‌السلامیقول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المغیرة بن سعید یتعمّد الکذب علی أبی و یأخذ کتب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أصحابه المتستّرون بأصحاب أبی یأخذون الکتب من أصحاب أبی فیدفعونها إلی المغیرة، و کان یدعو و یدسّ فیها الکفر و الزندقة </w:t>
      </w:r>
    </w:p>
    <w:p>
      <w:pPr>
        <w:pStyle w:val="BookText"/>
        <w:rPr/>
      </w:pPr>
      <w:r>
        <w:rPr>
          <w:rFonts w:ascii="IRNazanin" w:hAnsi="IRNazanin" w:eastAsia="IRNazanin"/>
          <w:color w:val="111111"/>
          <w:sz w:val="28"/>
          <w:sz w:val="28"/>
          <w:szCs w:val="28"/>
          <w:rtl w:val="true"/>
          <w:lang w:bidi="fa-IR"/>
        </w:rPr>
        <w:t>و یسندها إلی أبی، ثمّ یدفعها إلی أصحابه، ثمّ یأمرهم أن یبثّوها فی الشیعة؛ فکلّ ما کان فی کتب أصحاب أبی من الغلوّ فذاک ممّا دسّه المغیرة بن سعید فی کتبهم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البغدادیّ و غیره أنّ ابن أبی العوجاء کان وضع أحادیث کثیرة بأسانید یغترّ بها من لا معرفة له بالجرح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الأحادیث التی وضعها کلّها ضلالات فی التشبیه</w:t>
      </w:r>
    </w:p>
    <w:p>
      <w:pPr>
        <w:pStyle w:val="BookText"/>
        <w:rPr/>
      </w:pPr>
      <w:r>
        <w:rPr>
          <w:rFonts w:ascii="IRNazanin" w:hAnsi="IRNazanin" w:eastAsia="IRNazanin"/>
          <w:color w:val="111111"/>
          <w:sz w:val="28"/>
          <w:sz w:val="28"/>
          <w:szCs w:val="28"/>
          <w:rtl w:val="true"/>
          <w:lang w:bidi="fa-IR"/>
        </w:rPr>
        <w:t>و التعطیل، و فی بعضها تغییر أحکام الشریعة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الإمامیّة الخالصة لم یَقُل أحد منهم بأمثال هذه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یتفوّهون</w:t>
      </w:r>
    </w:p>
    <w:p>
      <w:pPr>
        <w:pStyle w:val="BookText"/>
        <w:rPr/>
      </w:pPr>
      <w:r>
        <w:rPr>
          <w:rFonts w:ascii="IRNazanin" w:hAnsi="IRNazanin" w:eastAsia="IRNazanin"/>
          <w:color w:val="111111"/>
          <w:sz w:val="28"/>
          <w:sz w:val="28"/>
          <w:szCs w:val="28"/>
          <w:rtl w:val="true"/>
          <w:lang w:bidi="fa-IR"/>
        </w:rPr>
        <w:t>بذلک و کلماتُ أئمّتهم و خطبهم مشحونة بالتنزیه و إثبات العدل؟ و هم یضلّلون القائل</w:t>
      </w:r>
    </w:p>
    <w:p>
      <w:pPr>
        <w:pStyle w:val="BookText"/>
        <w:rPr/>
      </w:pPr>
      <w:r>
        <w:rPr>
          <w:rFonts w:ascii="IRNazanin" w:hAnsi="IRNazanin" w:eastAsia="IRNazanin"/>
          <w:color w:val="111111"/>
          <w:sz w:val="28"/>
          <w:sz w:val="28"/>
          <w:szCs w:val="28"/>
          <w:rtl w:val="true"/>
          <w:lang w:bidi="fa-IR"/>
        </w:rPr>
        <w:t>بالجبر و تشبیه الخالق بمخلوقاته، تعالی عن ذلک</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أتی البلاء من جهة أمثال هذه الأخبار المدسوسة التی صارت سببا للشبهة علی بعض الأغمار من الشیعة حتّی حسبوها أخبارا صحیحة واردة عن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التهمة و رمی أوائل الإمامیّة بالتشبیه إنّما وقع من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 و مشبّهة</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غرض المعتزلة من ذلک التشنیع علی الإمامیّة، و أنّهم لم یکونوا یعلمون بطلان التشبیه حتّی عرفوه من أصول المعتزلة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المشبّهة فکانوا یریدون من ذلک إظهار موافقة الإمامیّة لهم، و فات ذلک علی بعض من لم یتعاطَ النظر من أصحاب الحدیث من الشیعة حتّی وافقوهم علی ذلک</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سلف الإمامیّة من یدین بالتشبیه من طریق، و إنّما نُسب إلی هشام بن </w:t>
      </w:r>
      <w:bookmarkStart w:id="275" w:name="pg4793_55785"/>
    </w:p>
    <w:p>
      <w:pPr>
        <w:pStyle w:val="BookText"/>
        <w:rPr/>
      </w:pPr>
      <w:bookmarkEnd w:id="275"/>
      <w:r>
        <w:rPr>
          <w:rFonts w:ascii="IRNazanin" w:hAnsi="IRNazanin" w:eastAsia="IRNazanin"/>
          <w:color w:val="111111"/>
          <w:sz w:val="28"/>
          <w:sz w:val="28"/>
          <w:szCs w:val="28"/>
          <w:rtl w:val="true"/>
          <w:lang w:bidi="fa-IR"/>
        </w:rPr>
        <w:t>الحکم إطلاق القول بأنّه تعالی جسم لا کالأجسام</w:t>
      </w:r>
      <w:r>
        <w:rPr>
          <w:rStyle w:val="FootnoteAnchor"/>
          <w:rtl w:val="true"/>
        </w:rPr>
        <w:footnoteReference w:id="469"/>
      </w:r>
      <w:r>
        <w:rPr>
          <w:rFonts w:ascii="IRNazanin" w:hAnsi="IRNazanin" w:eastAsia="IRNazanin"/>
          <w:color w:val="111111"/>
          <w:sz w:val="28"/>
          <w:sz w:val="28"/>
          <w:szCs w:val="28"/>
          <w:rtl w:val="true"/>
          <w:lang w:bidi="fa-IR"/>
        </w:rPr>
        <w:t>، و سیجیء أنّه لم یقصد بذلک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القول بالجبر و القول بالرؤیة؛ فإنّه ما دان بذلک أحد منهم إلاّ أن یکون عامّیّا لایعرف تأویل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و نفی التشبیه و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أئمّة</w:t>
      </w:r>
    </w:p>
    <w:p>
      <w:pPr>
        <w:pStyle w:val="BookText"/>
        <w:rPr/>
      </w:pPr>
      <w:r>
        <w:rPr>
          <w:rFonts w:ascii="IRNazanin" w:hAnsi="IRNazanin" w:eastAsia="IRNazanin"/>
          <w:color w:val="111111"/>
          <w:sz w:val="28"/>
          <w:sz w:val="28"/>
          <w:szCs w:val="28"/>
          <w:rtl w:val="true"/>
          <w:lang w:bidi="fa-IR"/>
        </w:rPr>
        <w:t>آل محمّد صلی‌الله‌علیه‌و‌آلهأکثر من أن تحصی</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المراجعة إلی مظانّها تعرف أنّ هذا البلاء لم یکن تختصّ به الشیعة، بل شارکهم فیه فِرق أهل السنّة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کذّابین دسّوا أنفسهم فی رواة تلک الفِرق و دلّسوا فی الکتب من الأخبار الضعیفة و الآثار الواهیة ما لایخفی حاله علی أهل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نقّاد</w:t>
      </w:r>
    </w:p>
    <w:p>
      <w:pPr>
        <w:pStyle w:val="BookText"/>
        <w:rPr/>
      </w:pPr>
      <w:r>
        <w:rPr>
          <w:rFonts w:ascii="IRNazanin" w:hAnsi="IRNazanin" w:eastAsia="IRNazanin"/>
          <w:color w:val="111111"/>
          <w:sz w:val="28"/>
          <w:sz w:val="28"/>
          <w:szCs w:val="28"/>
          <w:rtl w:val="true"/>
          <w:lang w:bidi="fa-IR"/>
        </w:rPr>
        <w:t>الحدیث و الروایات من الفریقین بسطوا الکلام علی علل وضع الحدیث و أغراض واضعیها المختلفة بما لامزید علیه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لعبد الرحمن بن أبی بکر جلال الدین السیوطیّ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295341_2035185390"/>
      <w:bookmarkStart w:id="277" w:name="_Toc100"/>
      <w:bookmarkEnd w:id="276"/>
      <w:r>
        <w:rPr>
          <w:rtl w:val="true"/>
        </w:rPr>
        <w:t>[</w:t>
      </w:r>
      <w:r>
        <w:rPr>
          <w:rtl w:val="true"/>
        </w:rPr>
        <w:t>مسألة</w:t>
      </w:r>
      <w:r>
        <w:rPr>
          <w:rtl w:val="true"/>
        </w:rPr>
        <w:t xml:space="preserve">] </w:t>
      </w:r>
      <w:r>
        <w:rPr>
          <w:rtl w:val="true"/>
        </w:rPr>
        <w:t>البَداء</w:t>
      </w:r>
      <w:bookmarkEnd w:id="277"/>
    </w:p>
    <w:p>
      <w:pPr>
        <w:pStyle w:val="BookText"/>
        <w:rPr/>
      </w:pPr>
      <w:r>
        <w:rPr>
          <w:rFonts w:ascii="Amiri" w:hAnsi="Amiri" w:eastAsia="Amiri" w:cs="Amiri"/>
          <w:color w:val="111111"/>
          <w:sz w:val="28"/>
          <w:sz w:val="28"/>
          <w:szCs w:val="28"/>
          <w:rtl w:val="true"/>
          <w:lang w:bidi="ar-SA"/>
        </w:rPr>
        <w:t xml:space="preserve">ممّا ظُنّ تفرّد الإمامیّة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تشنیع مخالفیهم لذلک علیهم، حتّی</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فیهم إلاّ مَن یقول بالبَداء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البَداء فی أصل اللّغة هو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فی حصول العلم أو الظنّ بالشیء بعد أن لم‌یکن حاصلاً</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المعنی لایصحّ إطلاقه علی اللّه تعالی و کان مستلزما لحدوث العلم و تجدّده، و دلّت الأدلّة القطعیّة علی نفی ذلک، فالمراد من البَداء حیث یضاف إلی اللّه سبحانه هو ظهور أمر غیر مترقّب</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المعنی یُحمل </w:t>
      </w:r>
    </w:p>
    <w:p>
      <w:pPr>
        <w:pStyle w:val="BookText"/>
        <w:rPr/>
      </w:pP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یعنی ظهر لهم من أفعال اللّه تعالی ما لم یکن فی حسبانهم و تقدیرهم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 بالبَداء إنّما هو فیما لم یکن الظنّ بوقوعه غالبا، و أمّا ما عُلم وقوعه و غلب</w:t>
      </w:r>
    </w:p>
    <w:p>
      <w:pPr>
        <w:pStyle w:val="BookText"/>
        <w:rPr/>
      </w:pPr>
      <w:r>
        <w:rPr>
          <w:rFonts w:ascii="IRNazanin" w:hAnsi="IRNazanin" w:eastAsia="IRNazanin"/>
          <w:color w:val="111111"/>
          <w:sz w:val="28"/>
          <w:sz w:val="28"/>
          <w:szCs w:val="28"/>
          <w:rtl w:val="true"/>
          <w:lang w:bidi="fa-IR"/>
        </w:rPr>
        <w:t>علی الظنّ حصوله فلا تُستعمل فیه هذه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دعا إلی إطلاق القول بذلک هو الأخبار الواردة فی ذلک من طرقهم، کما ورد نظائرها من طرق أهل السنّة أیضا</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فالمجوّز لهم لإطلاق لفظ البَداء هو السمع، کما ورد فی إثبات الرضا و الغضب و التعجّب</w:t>
      </w:r>
    </w:p>
    <w:p>
      <w:pPr>
        <w:pStyle w:val="BookText"/>
        <w:rPr/>
      </w:pPr>
      <w:r>
        <w:rPr>
          <w:rFonts w:ascii="IRNazanin" w:hAnsi="IRNazanin" w:eastAsia="IRNazanin"/>
          <w:color w:val="111111"/>
          <w:sz w:val="28"/>
          <w:sz w:val="28"/>
          <w:szCs w:val="28"/>
          <w:rtl w:val="true"/>
          <w:lang w:bidi="fa-IR"/>
        </w:rPr>
        <w:t>و أمثالها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ورودها عن طریق النقل و الأدلّة السمعیّة لما جاز إطلاقها فی حقّه سبحانه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یتحصّل من تدقیق النظر فی الأخبار المذکورة، أنّها صدرت لأجل ما کان انتشر بین الناس من آراء الفلاسفة و نظریّات القائلین بالطبائع من القول بالإیجاب</w:t>
      </w:r>
      <w:r>
        <w:rPr>
          <w:rStyle w:val="FootnoteAnchor"/>
          <w:rtl w:val="true"/>
        </w:rPr>
        <w:footnoteReference w:id="478"/>
      </w:r>
      <w:r>
        <w:rPr>
          <w:rFonts w:ascii="IRNazanin" w:hAnsi="IRNazanin" w:eastAsia="IRNazanin"/>
          <w:color w:val="111111"/>
          <w:sz w:val="28"/>
          <w:sz w:val="28"/>
          <w:szCs w:val="28"/>
          <w:rtl w:val="true"/>
          <w:lang w:bidi="fa-IR"/>
        </w:rPr>
        <w:t>، و أنّ صدور الأشیاء عن اللّه تعالی إنّما هو بنحو الضرورة، و بسبب نوامیس طبیعیّة و سنن جاریة فی الخلقة لاتختلف و لاتتخلّف عن مقتضاها، و لایتیسّر تغییرها عمّا هی علیه، و ما کان تولّد عن ذلک من المقالات الأُخَر ممّا کانت مخالفة للأصول الإسلامیّة و إثباتِ</w:t>
      </w:r>
    </w:p>
    <w:p>
      <w:pPr>
        <w:pStyle w:val="BookText"/>
        <w:rPr/>
      </w:pPr>
      <w:r>
        <w:rPr>
          <w:rFonts w:ascii="IRNazanin" w:hAnsi="IRNazanin" w:eastAsia="IRNazanin"/>
          <w:color w:val="111111"/>
          <w:sz w:val="28"/>
          <w:sz w:val="28"/>
          <w:szCs w:val="28"/>
          <w:rtl w:val="true"/>
          <w:lang w:bidi="fa-IR"/>
        </w:rPr>
        <w:t>الاختیار له تعالی، و ما کان من قول الیهود من الفراغ عن الخلقة</w:t>
      </w:r>
      <w:r>
        <w:rPr>
          <w:rStyle w:val="FootnoteAnchor"/>
          <w:rtl w:val="true"/>
        </w:rPr>
        <w:footnoteReference w:id="479"/>
      </w:r>
      <w:r>
        <w:rPr>
          <w:rFonts w:ascii="IRNazanin" w:hAnsi="IRNazanin" w:eastAsia="IRNazanin"/>
          <w:color w:val="111111"/>
          <w:sz w:val="28"/>
          <w:sz w:val="28"/>
          <w:szCs w:val="28"/>
          <w:rtl w:val="true"/>
          <w:lang w:bidi="fa-IR"/>
        </w:rPr>
        <w:t>علی 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إنّما وردت لنفی أمثال تلک الأقاویل، و إظهار أنّه تعالی لیس معزولاً عن التصرّف فی ملکه، و أنّ بیده الخلق و الأمر، و الإحداث و الإعدام دائما، و أنّ له فی کلّ آنٍ و وقتٍ قضاءً مجدّدا بحسب المصالح؛ یقدّم ما یشاء و یؤخّر ما یشاء من الآجال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الأرزاق و المنایا و البلایا و أمثالها</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تعرف أیضا سرّ ذاک التأکید و المبالغة </w:t>
      </w:r>
      <w:bookmarkStart w:id="278" w:name="pg4793_55789"/>
    </w:p>
    <w:p>
      <w:pPr>
        <w:pStyle w:val="BookText"/>
        <w:rPr/>
      </w:pPr>
      <w:bookmarkEnd w:id="278"/>
      <w:r>
        <w:rPr>
          <w:rFonts w:ascii="IRNazanin" w:hAnsi="IRNazanin" w:eastAsia="IRNazanin"/>
          <w:color w:val="111111"/>
          <w:sz w:val="28"/>
          <w:sz w:val="28"/>
          <w:szCs w:val="28"/>
          <w:rtl w:val="true"/>
          <w:lang w:bidi="fa-IR"/>
        </w:rPr>
        <w:t>الواقعة فی بعض الأخبار الواردة فی ذلک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295343_2035185390"/>
      <w:bookmarkStart w:id="280" w:name="_Toc101"/>
      <w:bookmarkEnd w:id="279"/>
      <w:r>
        <w:rPr>
          <w:rtl w:val="true"/>
        </w:rPr>
        <w:t>[</w:t>
      </w:r>
      <w:r>
        <w:rPr>
          <w:rtl w:val="true"/>
        </w:rPr>
        <w:t>موقف العامّة من مسألة البَداء</w:t>
      </w:r>
      <w:r>
        <w:rPr>
          <w:rtl w:val="true"/>
        </w:rPr>
        <w:t>]</w:t>
      </w:r>
      <w:bookmarkEnd w:id="280"/>
    </w:p>
    <w:p>
      <w:pPr>
        <w:pStyle w:val="BookText"/>
        <w:rPr/>
      </w:pPr>
      <w:r>
        <w:rPr>
          <w:rFonts w:ascii="IRNazanin" w:hAnsi="IRNazanin" w:eastAsia="IRNazanin"/>
          <w:color w:val="111111"/>
          <w:sz w:val="28"/>
          <w:sz w:val="28"/>
          <w:szCs w:val="28"/>
          <w:rtl w:val="true"/>
          <w:lang w:bidi="fa-IR"/>
        </w:rPr>
        <w:t>و مخالفو الإمامیّة یحملون البَداء علی المعنی الذی لایصحّ إطلاقه فی حقّه تعالی، ثمّ یشنّعون بذلک علیهم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البَداء بذاک المعنی لیس من مذهب الإمامیّة، بل هم یکفّرون مَن أطلق القول به فی حقّ اللّه تعالی</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بالمعنی الذی ذکرناه یوافقهم علیه مخالفوهم و یطلقونه فی حقّه تعالی، و یحملون علیه ما ورد فی ذلک من القرآن و الأخبار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محقّقو أهل النظر من الإمامیّة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یجوز إطلاقه إنّما هو ما أفاد معنی النسخ بعینه فیما یجوز فیه النسخ مثل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ذلک فیتغیّر شروط ما کان</w:t>
      </w:r>
    </w:p>
    <w:p>
      <w:pPr>
        <w:pStyle w:val="BookText"/>
        <w:rPr/>
      </w:pPr>
      <w:r>
        <w:rPr>
          <w:rFonts w:ascii="IRNazanin" w:hAnsi="IRNazanin" w:eastAsia="IRNazanin"/>
          <w:color w:val="111111"/>
          <w:sz w:val="28"/>
          <w:sz w:val="28"/>
          <w:szCs w:val="28"/>
          <w:rtl w:val="true"/>
          <w:lang w:bidi="fa-IR"/>
        </w:rPr>
        <w:t>من الکائنات مشروطا بشرط وقوعها، مثل الآجال و الأرزاق و أمثالها، فالبَداء من 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بما کان مشترطا فی التقدیر</w:t>
      </w:r>
      <w:r>
        <w:rPr>
          <w:rStyle w:val="FootnoteAnchor"/>
          <w:rtl w:val="true"/>
        </w:rPr>
        <w:footnoteReference w:id="485"/>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اِلاَّ فی کِتَابٍ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اَهْلَ الْقُری آمَنُوا وَاتَّقَوْا لَفَتَحْنَا عَلَیْهِمْ بَرَکَاتٍ مِنَ السَّمَاءِ وَ الاَْرْضِ</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فبیّن أنّ آجالهم کانت مشترطة فی الامتداد بالبرّ، و فی الانقطاع بالفسوق، و لیس هو الانتقال من عزیمة إلی عزیمة و لاتعقّب الرأی کما توهّموه</w:t>
      </w:r>
      <w:r>
        <w:rPr>
          <w:rFonts w:eastAsia="IRNazanin" w:cs="IRNazanin"/>
          <w:color w:val="111111"/>
          <w:sz w:val="28"/>
          <w:szCs w:val="28"/>
          <w:rtl w:val="true"/>
          <w:lang w:bidi="fa-IR"/>
        </w:rPr>
        <w:t xml:space="preserve">. </w:t>
      </w:r>
      <w:bookmarkStart w:id="281" w:name="pg4793_55791"/>
    </w:p>
    <w:p>
      <w:pPr>
        <w:pStyle w:val="BookText"/>
        <w:rPr/>
      </w:pPr>
      <w:bookmarkEnd w:id="281"/>
      <w:r>
        <w:rPr>
          <w:rFonts w:ascii="IRNazanin" w:hAnsi="IRNazanin" w:eastAsia="IRNazanin"/>
          <w:color w:val="111111"/>
          <w:sz w:val="28"/>
          <w:sz w:val="28"/>
          <w:szCs w:val="28"/>
          <w:rtl w:val="true"/>
          <w:lang w:bidi="fa-IR"/>
        </w:rPr>
        <w:t>و لنسبة الإمامیّة بذلک منشأ آخر، هو أنّ بعض الشیعة فی زمان حیاة الصادق جعفر بن محمّد علیهماالسلام کانوا یزعمون أنّ الإمامة بعده تصیر فی ابنه إسماعیل، کما سبقت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إسماعیل رووا فی ذلک أنّ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للّه فی شیء کما بَدا له فی إسماعیل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طریق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نظائر ذلک ممّا</w:t>
      </w:r>
    </w:p>
    <w:p>
      <w:pPr>
        <w:pStyle w:val="BookText"/>
        <w:rPr/>
      </w:pPr>
      <w:r>
        <w:rPr>
          <w:rFonts w:ascii="IRNazanin" w:hAnsi="IRNazanin" w:eastAsia="IRNazanin"/>
          <w:color w:val="111111"/>
          <w:sz w:val="28"/>
          <w:sz w:val="28"/>
          <w:szCs w:val="28"/>
          <w:rtl w:val="true"/>
          <w:lang w:bidi="fa-IR"/>
        </w:rPr>
        <w:t>ورد فی القرآن علی ما سبق ذکره، فیکون المعنی أنّه ظهر للّه فی أمر إسماعیل شیء لم یکن فی حسبان الناس حیث کانوا یظنّون أنّ الإمامة صائرة إلیه، فظهر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المخالفون یحملونه علی أنّ النصّ بالإمامة کان وقع فی حقّ إسماعیل، فقبضه اللّه و جعل الإمامة فی غیره، و هو البَداء المستحیل فی حقّه تعالی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أنّ نصّ الصادق فی حقّ إسماعیل شیء ادّعاه القائلون بإمامة أولاد إسماعیل، و لیس فی ذلک أثر یعرفه أحد من رواة الآثار من الشیعة، و لاروی ذلک فی الآثار و هو لامعروف من الأخبار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295345_2035185390"/>
      <w:bookmarkStart w:id="283" w:name="_Toc102"/>
      <w:bookmarkEnd w:id="282"/>
      <w:r>
        <w:rPr>
          <w:rtl w:val="true"/>
        </w:rPr>
        <w:t>[</w:t>
      </w:r>
      <w:r>
        <w:rPr>
          <w:rtl w:val="true"/>
        </w:rPr>
        <w:t>مسألة</w:t>
      </w:r>
      <w:r>
        <w:rPr>
          <w:rtl w:val="true"/>
        </w:rPr>
        <w:t xml:space="preserve">] </w:t>
      </w:r>
      <w:r>
        <w:rPr>
          <w:rtl w:val="true"/>
        </w:rPr>
        <w:t>تحریف القرآن و النقصان فیه</w:t>
      </w:r>
      <w:bookmarkEnd w:id="283"/>
    </w:p>
    <w:p>
      <w:pPr>
        <w:pStyle w:val="BookText"/>
        <w:rPr/>
      </w:pPr>
      <w:r>
        <w:rPr>
          <w:rFonts w:ascii="Amiri" w:hAnsi="Amiri" w:eastAsia="Amiri" w:cs="Amiri"/>
          <w:color w:val="111111"/>
          <w:sz w:val="28"/>
          <w:sz w:val="28"/>
          <w:szCs w:val="28"/>
          <w:rtl w:val="true"/>
          <w:lang w:bidi="ar-SA"/>
        </w:rPr>
        <w:t>و ممّا نسبوه إلی الإمامیّة القول بتحریف القرآن، و أنّه زِیدَ فیه ما لیس منه و بُدِّل منه کثیر، و أنّه غُیّر و حُرّف عن مواضعه، و أنّه وقع فیه نقص و زیادة و تغییر و تبدیل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الزیادة فی آیات القرآن فلم یَدَّعِها أحد منهم، بل صرّحوا بعدمها</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النقص عن بعض الآیات فقد وقع عن شُذّاذ من حشویّة أهل السنّة و أخباریّة الشیعة، اغترارا ببعض الروایات الواردة فی ذلک من طرق الآحاد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محقّقو الفریقین و أهل النظر منهم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نورد بعض کلماتهم فی هذا الباب تأییدا لما ذکرناه</w:t>
      </w:r>
      <w:r>
        <w:rPr>
          <w:rFonts w:eastAsia="IRNazanin" w:cs="IRNazanin"/>
          <w:color w:val="111111"/>
          <w:sz w:val="28"/>
          <w:szCs w:val="28"/>
          <w:rtl w:val="true"/>
          <w:lang w:bidi="fa-IR"/>
        </w:rPr>
        <w:t xml:space="preserve">. </w:t>
      </w:r>
      <w:bookmarkStart w:id="284" w:name="pg4793_55794"/>
    </w:p>
    <w:p>
      <w:pPr>
        <w:pStyle w:val="Heading4"/>
        <w:numPr>
          <w:ilvl w:val="3"/>
          <w:numId w:val="1"/>
        </w:numPr>
        <w:rPr/>
      </w:pPr>
      <w:bookmarkStart w:id="285" w:name="__RefHeading___Toc2295347_2035185390"/>
      <w:bookmarkStart w:id="286" w:name="_Toc103"/>
      <w:bookmarkEnd w:id="284"/>
      <w:bookmarkEnd w:id="285"/>
      <w:r>
        <w:rPr>
          <w:rtl w:val="true"/>
        </w:rPr>
        <w:t>[</w:t>
      </w:r>
      <w:r>
        <w:rPr>
          <w:rtl w:val="true"/>
        </w:rPr>
        <w:t>نصّ مشایخ الإمامیّة علی عدم تحریف القرآن</w:t>
      </w:r>
      <w:r>
        <w:rPr>
          <w:rtl w:val="true"/>
        </w:rPr>
        <w:t>]</w:t>
      </w:r>
      <w:bookmarkEnd w:id="286"/>
    </w:p>
    <w:p>
      <w:pPr>
        <w:pStyle w:val="BookText"/>
        <w:rPr/>
      </w:pPr>
      <w:r>
        <w:rPr>
          <w:rFonts w:ascii="IRNazanin" w:hAnsi="IRNazanin" w:eastAsia="IRNazanin"/>
          <w:color w:val="111111"/>
          <w:sz w:val="28"/>
          <w:sz w:val="28"/>
          <w:szCs w:val="28"/>
          <w:rtl w:val="true"/>
          <w:lang w:bidi="fa-IR"/>
        </w:rPr>
        <w:t>قال الشیخ أبو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زیادة القرآن و نقصه فممّا لایلیق به ؛ لأنّ الزیادة فیه مُجمَع علی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النقصان فالظاهر أیضا من</w:t>
      </w:r>
    </w:p>
    <w:p>
      <w:pPr>
        <w:pStyle w:val="BookText"/>
        <w:rPr/>
      </w:pPr>
      <w:r>
        <w:rPr>
          <w:rFonts w:ascii="IRNazanin" w:hAnsi="IRNazanin" w:eastAsia="IRNazanin"/>
          <w:color w:val="111111"/>
          <w:sz w:val="28"/>
          <w:sz w:val="28"/>
          <w:szCs w:val="28"/>
          <w:rtl w:val="true"/>
          <w:lang w:bidi="fa-IR"/>
        </w:rPr>
        <w:t>مذهب المسلمین خلافه، و هو الألیق بالصحیح من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نصره المرتضی</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رحمه‌الله، و هو الظاهر فی الروایة، غیر أنّه رویت روایات کثیرة من جهة الشیعة و أهل السنّة بنقصان کثیر من آی القرآن، و نقل شیءٍ منه من موضع، إلی موضع، طریقها الآحاد التی لا</w:t>
      </w:r>
    </w:p>
    <w:p>
      <w:pPr>
        <w:pStyle w:val="BookText"/>
        <w:rPr/>
      </w:pPr>
      <w:r>
        <w:rPr>
          <w:rFonts w:ascii="IRNazanin" w:hAnsi="IRNazanin" w:eastAsia="IRNazanin"/>
          <w:color w:val="111111"/>
          <w:sz w:val="28"/>
          <w:sz w:val="28"/>
          <w:szCs w:val="28"/>
          <w:rtl w:val="true"/>
          <w:lang w:bidi="fa-IR"/>
        </w:rPr>
        <w:t>توجب علما و لا عملاً، و الأولی الإعراض عنها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الشیخ الصدوق عدم الزیادة و النقصان فیه من اعتقادات الإمامیّة فی کتابه الذی ألّفه لبیان عقائدهم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أشار الشیخ المفید بعده إلی تلک الأخبار الواردة فی نقص آیات من القرآن، و نقل عن جماعة من أهل الإمامة عدم نقص شیء من القرآن من کلمة أو آیة أو سورة، لکن حُذف ما کان مثبتا فی مصحف أمیر المؤمنین من تأویله و تفسیر معانیه علی حقیقة تنزیله، و أنّ ذلک کان ثابتا و إن لم یکن من جملة کلام اللّه الذی هو القرآن 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یسمّی تأویل القرآن قرآنا،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بِالْقُرانِ مِنْ قَبْلِ اَنْ یُقْضی اِلَیْکَ وَحْیُهُ وَ قُلْ رَبِّ زِدْنی عِلْما</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فسمّی تأویل القرآن قرآنا، و هذا ما لیس فیه بین أهل التفسیر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 من ادّعی نقصان کلم من القرآن علی الحقیقة دون التأویل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کلماتهم فی أمثال هذه کثیرة نقتصر منها علی ما نقلناه</w:t>
      </w:r>
      <w:r>
        <w:rPr>
          <w:rFonts w:eastAsia="IRNazanin" w:cs="IRNazanin"/>
          <w:color w:val="111111"/>
          <w:sz w:val="28"/>
          <w:szCs w:val="28"/>
          <w:rtl w:val="true"/>
          <w:lang w:bidi="fa-IR"/>
        </w:rPr>
        <w:t xml:space="preserve">. </w:t>
      </w:r>
      <w:bookmarkStart w:id="287" w:name="pg4793_55795"/>
    </w:p>
    <w:p>
      <w:pPr>
        <w:pStyle w:val="BookText"/>
        <w:rPr/>
      </w:pPr>
      <w:bookmarkEnd w:id="287"/>
      <w:r>
        <w:rPr>
          <w:rFonts w:ascii="IRNazanin" w:hAnsi="IRNazanin" w:eastAsia="IRNazanin"/>
          <w:color w:val="111111"/>
          <w:sz w:val="28"/>
          <w:sz w:val="28"/>
          <w:szCs w:val="28"/>
          <w:rtl w:val="true"/>
          <w:lang w:bidi="fa-IR"/>
        </w:rPr>
        <w:t>فنسبة القول بتحریف القرآن إلی جمهور الإمامیّة خطأ و اشتباه، إذ عرفت أنّ أجلاّء علماء الإمامیّة و مَن تعتدّ بأقاویلهم و آرائهم یصرّحون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بذلک من أهل</w:t>
      </w:r>
    </w:p>
    <w:p>
      <w:pPr>
        <w:pStyle w:val="BookText"/>
        <w:rPr/>
      </w:pPr>
      <w:r>
        <w:rPr>
          <w:rFonts w:ascii="IRNazanin" w:hAnsi="IRNazanin" w:eastAsia="IRNazanin"/>
          <w:color w:val="111111"/>
          <w:sz w:val="28"/>
          <w:sz w:val="28"/>
          <w:szCs w:val="28"/>
          <w:rtl w:val="true"/>
          <w:lang w:bidi="fa-IR"/>
        </w:rPr>
        <w:t>الحدیث و الأخبار اعتمَدَ فیها علی ظواهر بعض الروایات التی طریقها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ورود نظائرها عن طرق الجمهور من أهل السنّة أیضا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ستجیء، فی الموضع المناسب إن شاء اللّه تعالی، الإشارة إلی اختلاف ترتیب المصاحف، و أنّه کان ذلک الترتیب اجتهادا من الصحابة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2295349_2035185390"/>
      <w:bookmarkStart w:id="289" w:name="_Toc104"/>
      <w:bookmarkEnd w:id="288"/>
      <w:r>
        <w:rPr>
          <w:rtl w:val="true"/>
        </w:rPr>
        <w:t>[</w:t>
      </w:r>
      <w:r>
        <w:rPr>
          <w:rtl w:val="true"/>
        </w:rPr>
        <w:t>مسألة</w:t>
      </w:r>
      <w:r>
        <w:rPr>
          <w:rtl w:val="true"/>
        </w:rPr>
        <w:t xml:space="preserve">] </w:t>
      </w:r>
      <w:r>
        <w:rPr>
          <w:rtl w:val="true"/>
        </w:rPr>
        <w:t>الرجعة</w:t>
      </w:r>
      <w:bookmarkEnd w:id="289"/>
    </w:p>
    <w:p>
      <w:pPr>
        <w:pStyle w:val="BookText"/>
        <w:rPr/>
      </w:pPr>
      <w:r>
        <w:rPr>
          <w:rFonts w:ascii="IRNazanin" w:hAnsi="IRNazanin" w:eastAsia="IRNazanin"/>
          <w:color w:val="111111"/>
          <w:sz w:val="28"/>
          <w:sz w:val="28"/>
          <w:szCs w:val="28"/>
          <w:rtl w:val="true"/>
          <w:lang w:bidi="fa-IR"/>
        </w:rPr>
        <w:t>ورد فی بعض الأخبار المرویّة عن طرق الشیعة ما یتضمّن أنّ اللّه تعالی یردّ قوما من الأموات إلی الدنیا فی صورهم التی کانوا علیها، و یُدیل المحقّین منهم من المبطلین،</w:t>
      </w:r>
    </w:p>
    <w:p>
      <w:pPr>
        <w:pStyle w:val="BookText"/>
        <w:rPr/>
      </w:pPr>
      <w:r>
        <w:rPr>
          <w:rFonts w:ascii="IRNazanin" w:hAnsi="IRNazanin" w:eastAsia="IRNazanin"/>
          <w:color w:val="111111"/>
          <w:sz w:val="28"/>
          <w:sz w:val="28"/>
          <w:szCs w:val="28"/>
          <w:rtl w:val="true"/>
          <w:lang w:bidi="fa-IR"/>
        </w:rPr>
        <w:t>و ینصف المظلومین منهم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قیام المنتظر من آل محمّد صلی‌الله‌علیه‌و‌آله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الراجعون إلی الدنیا فریقان، عبّرت عنهما فی الأخبار المذکورة بمَن مَحَض الإیمانَ محضا و مَن مَحَض الکفرَ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أنّه یرجع إلی الدنیا مَن عَلَت له الدرجة فی الإیمان بکثرة الأعمال الصالحة و الخروج من الدنیا علی اجتناب کبائر المعاصی، و من بلغ الغایة فی اقتراف السیّئات و کثرة الظلم و ارتکاب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لأن یُری اللّه من کان من الصنف الأوّل دولةَ الحقّ و یُعزّه بها، و لأجل أن ینتصر المظلوم و یشفی غیظه مِن ظالمه، ثمّ یصیر الفریقان بعد ذلک إلی الموت و مِن بعده إلی النشور و ما وعدهم اللّه تعالی من دوام الثواب و العقاب</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جمهور من الإمامیّة حملوا هذه الأخبار علی ظواهرها؛ إذ لم یَرَوا فیها شیئا یخالف العقل مع عموم قدرة اللّه لکلّ مقدور، و تأوَّلَها آخرون منهم علی وجه یخالف </w:t>
      </w:r>
      <w:bookmarkStart w:id="290" w:name="pg4793_55797"/>
    </w:p>
    <w:p>
      <w:pPr>
        <w:pStyle w:val="BookText"/>
        <w:rPr/>
      </w:pPr>
      <w:bookmarkEnd w:id="290"/>
      <w:r>
        <w:rPr>
          <w:rFonts w:ascii="IRNazanin" w:hAnsi="IRNazanin" w:eastAsia="IRNazanin"/>
          <w:color w:val="111111"/>
          <w:sz w:val="28"/>
          <w:sz w:val="28"/>
          <w:szCs w:val="28"/>
          <w:rtl w:val="true"/>
          <w:lang w:bidi="fa-IR"/>
        </w:rPr>
        <w:t>ذلک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2295351_2035185390"/>
      <w:bookmarkStart w:id="292" w:name="_Toc105"/>
      <w:bookmarkEnd w:id="291"/>
      <w:r>
        <w:rPr>
          <w:rtl w:val="true"/>
        </w:rPr>
        <w:t>[</w:t>
      </w:r>
      <w:r>
        <w:rPr>
          <w:rtl w:val="true"/>
        </w:rPr>
        <w:t>الرجعة عند الغلاة و تبرّؤ الشیعة منها</w:t>
      </w:r>
      <w:r>
        <w:rPr>
          <w:rtl w:val="true"/>
        </w:rPr>
        <w:t>]</w:t>
      </w:r>
      <w:bookmarkEnd w:id="292"/>
    </w:p>
    <w:p>
      <w:pPr>
        <w:pStyle w:val="BookText"/>
        <w:rPr/>
      </w:pPr>
      <w:r>
        <w:rPr>
          <w:rFonts w:ascii="IRNazanin" w:hAnsi="IRNazanin" w:eastAsia="IRNazanin"/>
          <w:color w:val="111111"/>
          <w:sz w:val="28"/>
          <w:sz w:val="28"/>
          <w:szCs w:val="28"/>
          <w:rtl w:val="true"/>
          <w:lang w:bidi="fa-IR"/>
        </w:rPr>
        <w:t xml:space="preserve">و معنی الرجعة عند الغلاة هو تکرُّر حلول النفس الإنسانیّة فی الصور و الهیاکل علی قدر أعمالهم فی الدور الأوّل؛ فالصالح یُجعل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خراب قالبه و تلاشی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بدنٍ آخر یُنعَّم فیه و 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الطالح ینتقل إلی بدن آخر یُهان فیه و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الرجعة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تلاشی الأبدان و بقاء النفس الإنسانیّة و تردّدها فی القوالب و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القول بالتناسخ الذی أشرنا إلیه سابقا من عقیدتهم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شنّع المخالفون للشیعة علیهم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 منشأ التشنیع هو الخلط بین ما یقصده الشیعة من معنی الرجعة، و ما یثبته الغالیة من ذلک</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الرجعة بالمعنی الذی تثبته الإمامیّة لایصادمه عقل و لا یضادّه صحیحُ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بالمعنی</w:t>
      </w:r>
    </w:p>
    <w:p>
      <w:pPr>
        <w:pStyle w:val="BookText"/>
        <w:rPr/>
      </w:pPr>
      <w:r>
        <w:rPr>
          <w:rFonts w:ascii="IRNazanin" w:hAnsi="IRNazanin" w:eastAsia="IRNazanin"/>
          <w:color w:val="111111"/>
          <w:sz w:val="28"/>
          <w:sz w:val="28"/>
          <w:szCs w:val="28"/>
          <w:rtl w:val="true"/>
          <w:lang w:bidi="fa-IR"/>
        </w:rPr>
        <w:t>الآخر الذی تثبته الغالیة و أهل الارتفاع لیس معتقدا لأحد من الشیعة، بل هم یکفّرون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 به و یضلّلونه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93" w:name="pg4793_55799"/>
    </w:p>
    <w:p>
      <w:pPr>
        <w:pStyle w:val="Heading3"/>
        <w:numPr>
          <w:ilvl w:val="2"/>
          <w:numId w:val="1"/>
        </w:numPr>
        <w:rPr/>
      </w:pPr>
      <w:bookmarkStart w:id="294" w:name="__RefHeading___Toc2295353_2035185390"/>
      <w:bookmarkStart w:id="295" w:name="_Toc106"/>
      <w:bookmarkEnd w:id="293"/>
      <w:bookmarkEnd w:id="294"/>
      <w:r>
        <w:rPr>
          <w:rtl w:val="true"/>
        </w:rPr>
        <w:t>الفصل الرابع</w:t>
      </w:r>
      <w:r>
        <w:rPr>
          <w:rtl w:val="true"/>
        </w:rPr>
        <w:t xml:space="preserve">: </w:t>
      </w:r>
      <w:r>
        <w:rPr>
          <w:rtl w:val="true"/>
        </w:rPr>
        <w:t>تفصیل مقالات نُسبت إلی بعض متکلّمی الشیعة</w:t>
      </w:r>
      <w:bookmarkEnd w:id="295"/>
    </w:p>
    <w:p>
      <w:pPr>
        <w:pStyle w:val="Heading4"/>
        <w:numPr>
          <w:ilvl w:val="3"/>
          <w:numId w:val="1"/>
        </w:numPr>
        <w:rPr/>
      </w:pPr>
      <w:bookmarkStart w:id="296" w:name="__RefHeading___Toc2295355_2035185390"/>
      <w:bookmarkStart w:id="297" w:name="_Toc107"/>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قد یناسب ما نحن بصدد البحث عنه أن نتعرّض لمقالات نسبوها إلی جماعة من متکلّمی الشیعة و شیوخهم، أمثال هشام بن الحکم و محمّد بن النعمان و زرارة بن أعین و غیرهم، تشنیعا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غالبها لیس علی ما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صحّ انتسابه منها لیس</w:t>
      </w:r>
    </w:p>
    <w:p>
      <w:pPr>
        <w:pStyle w:val="BookText"/>
        <w:rPr/>
      </w:pPr>
      <w:r>
        <w:rPr>
          <w:rFonts w:ascii="IRNazanin" w:hAnsi="IRNazanin" w:eastAsia="IRNazanin"/>
          <w:color w:val="111111"/>
          <w:sz w:val="28"/>
          <w:sz w:val="28"/>
          <w:szCs w:val="28"/>
          <w:rtl w:val="true"/>
          <w:lang w:bidi="fa-IR"/>
        </w:rPr>
        <w:t>مقصودا لهم بالمعنی الذی فسّروه، مؤثرین فی ذلک تحرّی الحقّ و إصابة الواقع بالاستناد</w:t>
      </w:r>
    </w:p>
    <w:p>
      <w:pPr>
        <w:pStyle w:val="BookText"/>
        <w:rPr/>
      </w:pPr>
      <w:r>
        <w:rPr>
          <w:rFonts w:ascii="IRNazanin" w:hAnsi="IRNazanin" w:eastAsia="IRNazanin"/>
          <w:color w:val="111111"/>
          <w:sz w:val="28"/>
          <w:sz w:val="28"/>
          <w:szCs w:val="28"/>
          <w:rtl w:val="true"/>
          <w:lang w:bidi="fa-IR"/>
        </w:rPr>
        <w:t>إلی شواهد الآثار</w:t>
      </w:r>
      <w:r>
        <w:rPr>
          <w:rFonts w:eastAsia="IRNazanin" w:cs="IRNazanin"/>
          <w:color w:val="111111"/>
          <w:sz w:val="28"/>
          <w:szCs w:val="28"/>
          <w:rtl w:val="true"/>
          <w:lang w:bidi="fa-IR"/>
        </w:rPr>
        <w:t>.</w:t>
      </w:r>
    </w:p>
    <w:p>
      <w:pPr>
        <w:pStyle w:val="Heading4"/>
        <w:numPr>
          <w:ilvl w:val="3"/>
          <w:numId w:val="1"/>
        </w:numPr>
        <w:rPr/>
      </w:pPr>
      <w:bookmarkStart w:id="298" w:name="__RefHeading___Toc2295357_2035185390"/>
      <w:bookmarkStart w:id="299" w:name="_Toc108"/>
      <w:bookmarkEnd w:id="298"/>
      <w:r>
        <w:rPr>
          <w:rtl w:val="true"/>
        </w:rPr>
        <w:t>هشام بن الحکم و ما رُمی به من القول بالتشبیه و التجسیم و غیره</w:t>
      </w:r>
      <w:bookmarkEnd w:id="299"/>
    </w:p>
    <w:p>
      <w:pPr>
        <w:pStyle w:val="BookText"/>
        <w:rPr/>
      </w:pPr>
      <w:r>
        <w:rPr>
          <w:rFonts w:ascii="IRNazanin" w:hAnsi="IRNazanin" w:eastAsia="IRNazanin"/>
          <w:color w:val="111111"/>
          <w:sz w:val="28"/>
          <w:sz w:val="28"/>
          <w:szCs w:val="28"/>
          <w:rtl w:val="true"/>
          <w:lang w:bidi="fa-IR"/>
        </w:rPr>
        <w:t>هذا الرجل من أجلاّء متکلّمی الشیعة و ممّن فتق الکلام فی الإمامة و هذّب مناهج النظر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نُسبت إلیه فی کتب المقالات مقالة سخیفة فی التشبیه، مع أقاویل فاسدة</w:t>
      </w:r>
    </w:p>
    <w:p>
      <w:pPr>
        <w:pStyle w:val="BookText"/>
        <w:rPr/>
      </w:pPr>
      <w:r>
        <w:rPr>
          <w:rFonts w:ascii="IRNazanin" w:hAnsi="IRNazanin" w:eastAsia="IRNazanin"/>
          <w:color w:val="111111"/>
          <w:sz w:val="28"/>
          <w:sz w:val="28"/>
          <w:szCs w:val="28"/>
          <w:rtl w:val="true"/>
          <w:lang w:bidi="fa-IR"/>
        </w:rPr>
        <w:t>أخری یجدها المراجع فی ضمن تعرّض أصحابها لذکرها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المراجع لترجمة هشام و ما ذُکر من حاله فی کتب الرجال یطّلع علی أنّه کان یذهب فی بادئ أمره مذهب الجهمیّة</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سلف المعتزلة و هی ور یثتها فی غالب الآراء و الأفکار، و کثیرا ما یطلق اسم أحدهما علی ما یطلق علیه اسم </w:t>
      </w:r>
      <w:bookmarkStart w:id="300" w:name="pg4793_55801"/>
    </w:p>
    <w:p>
      <w:pPr>
        <w:pStyle w:val="BookText"/>
        <w:rPr/>
      </w:pPr>
      <w:bookmarkEnd w:id="300"/>
      <w:r>
        <w:rPr>
          <w:rFonts w:ascii="IRNazanin" w:hAnsi="IRNazanin" w:eastAsia="IRNazanin"/>
          <w:color w:val="111111"/>
          <w:sz w:val="28"/>
          <w:sz w:val="28"/>
          <w:szCs w:val="28"/>
          <w:rtl w:val="true"/>
          <w:lang w:bidi="fa-IR"/>
        </w:rPr>
        <w:t>الآخر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یری رأی الاعتزال، ثمّ إنّه اتّصل بالإمام أبی عبد اللّه جعفر</w:t>
      </w:r>
    </w:p>
    <w:p>
      <w:pPr>
        <w:pStyle w:val="BookText"/>
        <w:rPr/>
      </w:pPr>
      <w:r>
        <w:rPr>
          <w:rFonts w:ascii="IRNazanin" w:hAnsi="IRNazanin" w:eastAsia="IRNazanin"/>
          <w:color w:val="111111"/>
          <w:sz w:val="28"/>
          <w:sz w:val="28"/>
          <w:szCs w:val="28"/>
          <w:rtl w:val="true"/>
          <w:lang w:bidi="fa-IR"/>
        </w:rPr>
        <w:t>بن محمّد علیهماالسلام، فرجع عن طریقته إلی القول بالإمامة، و نقض بعد ذلک کثیرا من آراء المعتزلة بما کان فیه من المهارة فی صناعة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لَسِنا نظّارا، مجادلاً حاضر</w:t>
      </w:r>
    </w:p>
    <w:p>
      <w:pPr>
        <w:pStyle w:val="BookText"/>
        <w:rPr/>
      </w:pPr>
      <w:r>
        <w:rPr>
          <w:rFonts w:ascii="IRNazanin" w:hAnsi="IRNazanin" w:eastAsia="IRNazanin"/>
          <w:color w:val="111111"/>
          <w:sz w:val="28"/>
          <w:sz w:val="28"/>
          <w:szCs w:val="28"/>
          <w:rtl w:val="true"/>
          <w:lang w:bidi="fa-IR"/>
        </w:rPr>
        <w:t>الجواب؛ یناظر متکلّمی المعتزلة و غیرهم، و کان منقطعا إلی یحیی بن خالد البرمکیّ، قیّما بمجالس کلامه و نظره و یعضّهم جداله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المسعودیّ تفصیل مناظرته لأبی الهُذیل العلاّف و قطعه إیّاه، و خبر مناظرته لعمرو بن عبید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أیضا أنّه ناظر النظّام و غلب علیه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الشهرستانیّ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هشام بن الحکم صاحبُ غَورٍ فی الأصول، لا یجوز أن یُغفَل عن إلزاماته علی المعتزلة</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مجالسه فی الإمامة و مناظراته لمتکلّمی الفرق محفوظة فی کتب الشیعة و غیرهم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2295359_2035185390"/>
      <w:bookmarkStart w:id="302" w:name="_Toc109"/>
      <w:bookmarkEnd w:id="301"/>
      <w:r>
        <w:rPr>
          <w:rtl w:val="true"/>
        </w:rPr>
        <w:t>[</w:t>
      </w:r>
      <w:r>
        <w:rPr>
          <w:rtl w:val="true"/>
        </w:rPr>
        <w:t>المقالات المنسوبة إلی هشام و الجواب عنها</w:t>
      </w:r>
      <w:r>
        <w:rPr>
          <w:rtl w:val="true"/>
        </w:rPr>
        <w:t>]</w:t>
      </w:r>
      <w:bookmarkEnd w:id="302"/>
    </w:p>
    <w:p>
      <w:pPr>
        <w:pStyle w:val="BookText"/>
        <w:rPr/>
      </w:pPr>
      <w:r>
        <w:rPr>
          <w:rFonts w:ascii="IRNazanin" w:hAnsi="IRNazanin" w:eastAsia="IRNazanin"/>
          <w:color w:val="111111"/>
          <w:sz w:val="28"/>
          <w:sz w:val="28"/>
          <w:szCs w:val="28"/>
          <w:rtl w:val="true"/>
          <w:lang w:bidi="fa-IR"/>
        </w:rPr>
        <w:t>نستفید من مجموع ذلک سببَ رمیه بأمثال تلک الأقاویل، لاسیّما إذا انضمّ إلی ذلک ما ستعرفه من أنّ هذه النِّسب لم تُعرف عنه إلاّ من جهة خصومه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المقالة المنسوبة إلیه فی التشبیه فقد نقل البغدادیّ و الشهرستانیّ عن الراوندیّ </w:t>
      </w:r>
    </w:p>
    <w:p>
      <w:pPr>
        <w:pStyle w:val="BookText"/>
        <w:rPr/>
      </w:pPr>
      <w:r>
        <w:rPr>
          <w:rFonts w:ascii="IRNazanin" w:hAnsi="IRNazanin" w:eastAsia="IRNazanin"/>
          <w:color w:val="111111"/>
          <w:sz w:val="28"/>
          <w:sz w:val="28"/>
          <w:szCs w:val="28"/>
          <w:rtl w:val="true"/>
          <w:lang w:bidi="fa-IR"/>
        </w:rPr>
        <w:t>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اللّه و بین الأجسام المحسوسة تشابه من بعض الوجوه، و لولا ذلک ما</w:t>
      </w:r>
    </w:p>
    <w:p>
      <w:pPr>
        <w:pStyle w:val="BookText"/>
        <w:rPr/>
      </w:pPr>
      <w:r>
        <w:rPr>
          <w:rFonts w:ascii="Amiri" w:hAnsi="Amiri" w:eastAsia="Amiri" w:cs="Amiri"/>
          <w:color w:val="111111"/>
          <w:sz w:val="28"/>
          <w:sz w:val="28"/>
          <w:szCs w:val="28"/>
          <w:rtl w:val="true"/>
          <w:lang w:bidi="ar-SA"/>
        </w:rPr>
        <w:t>دلّت علیه</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الشهرستانیّ عن الکعبیّ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ذو أبعاض له قدر من الأقدار، و لکن لایشبه شیئا من المخلوقات و لایشبهه شیء</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أبی عیسی الورّاق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مماسّ لعرشه و لایفضل منه شیء من العرش و لایفضل عن العرش شیء منه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تهافتُ هذه الأقاویل التی نقلوها عنه ممّا یوهن فی أصل النسبة، و عمدة ما اشتهر عنه فی التشبیه هو ما حکوه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سبعة أشبار بشبرِ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ثبوت هذه الحکایة عنه مورد شکّ، و لم تثبت بطریق یُطمئَنّ به فی صدق النسبة ؛ فإنّ أقدم ما وصل إلینا فی هذا الباب هو ما أورده أبو محمّد النوبختیّ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w:t>
      </w:r>
    </w:p>
    <w:p>
      <w:pPr>
        <w:pStyle w:val="BookText"/>
        <w:rPr/>
      </w:pPr>
      <w:r>
        <w:rPr>
          <w:rFonts w:ascii="IRNazanin" w:hAnsi="IRNazanin" w:eastAsia="IRNazanin"/>
          <w:color w:val="111111"/>
          <w:sz w:val="28"/>
          <w:sz w:val="28"/>
          <w:szCs w:val="28"/>
          <w:rtl w:val="true"/>
          <w:lang w:bidi="fa-IR"/>
        </w:rPr>
        <w:t>و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عنه ابن الجوزیّ عن الجاحظ عن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الحکم قال فی التشبیه فی سنة واحدة خمسة أقاویل؛ قطع فی آخره بأنّ معبوده بشبرِ نفسِه سبعة</w:t>
      </w:r>
    </w:p>
    <w:p>
      <w:pPr>
        <w:pStyle w:val="BookText"/>
        <w:rPr/>
      </w:pPr>
      <w:r>
        <w:rPr>
          <w:rFonts w:ascii="IRNazanin" w:hAnsi="IRNazanin" w:eastAsia="IRNazanin"/>
          <w:color w:val="111111"/>
          <w:sz w:val="28"/>
          <w:sz w:val="28"/>
          <w:szCs w:val="28"/>
          <w:rtl w:val="true"/>
          <w:lang w:bidi="fa-IR"/>
        </w:rPr>
        <w:t>أشبار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نصّ الشریف المرتضی علیّ بن الحسین الموسویّ قدس‌سره صریحا علی أنّ هذا القول لا یُعرف إلاّ من جهة النظّام بحکایة الجاحظ ذلک عنه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بعد ملاحظة ما تقدّم، تعرف قیمة حکایة الجاحظ عن النظّام ذلک القولَ عنه و نصیبه من الصحّة و الاعتبار ؛ فما منهما إلاّ مَن هو متّهم علیه و غیر موثوق بقوله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هو الظاهر فی الحکایة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تأیید صدوره منه من قرائن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بأنّه جسم لا کالأجسام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شیء لایفید التشبیه صریحا، و إنّما أطلقه فی مکان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کالأشیاء</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ما یمکن القول فیه هو السؤال عن صحّة إطلاق هذه </w:t>
      </w:r>
    </w:p>
    <w:p>
      <w:pPr>
        <w:pStyle w:val="BookText"/>
        <w:rPr/>
      </w:pPr>
      <w:r>
        <w:rPr>
          <w:rFonts w:ascii="IRNazanin" w:hAnsi="IRNazanin" w:eastAsia="IRNazanin"/>
          <w:color w:val="111111"/>
          <w:sz w:val="28"/>
          <w:sz w:val="28"/>
          <w:szCs w:val="28"/>
          <w:rtl w:val="true"/>
          <w:lang w:bidi="fa-IR"/>
        </w:rPr>
        <w:t>اللّفظة عند إرادة المعنی المذکور منه و عدمه، فالمرجع حین ذاک إلی اللّغة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استفادة القول بالتجسیم من مجرّد ذلک فلا موضع له، بل یدلّ بعض القرائن و النصوص علی خلاف ما نسبوه إلیه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زیادة بیان فی ذلک و فی الغرض الذی دعاه إلی ذلک، فاعلم أنّه کان قد رسخ فی أذهان العامّة و الحشویّة من أهل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کانوا یرون تأویل المعتزلة و من یحذو حذوهم لبعض آیات الصفات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المأوّلین من ذلک هو نفی أسماء 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یقصده المأوّلون من تأویلها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 بحجّة أنّ ظاهرها یماثل</w:t>
      </w:r>
    </w:p>
    <w:p>
      <w:pPr>
        <w:pStyle w:val="BookText"/>
        <w:rPr/>
      </w:pPr>
      <w:r>
        <w:rPr>
          <w:rFonts w:ascii="IRNazanin" w:hAnsi="IRNazanin" w:eastAsia="IRNazanin"/>
          <w:color w:val="111111"/>
          <w:sz w:val="28"/>
          <w:sz w:val="28"/>
          <w:szCs w:val="28"/>
          <w:rtl w:val="true"/>
          <w:lang w:bidi="fa-IR"/>
        </w:rPr>
        <w:t>ما یفهم من صفات المخلوقین، و أنّه یجب صرفها عن ظواهرها إلی ما دلّ علی تنزیه ذاته</w:t>
      </w:r>
    </w:p>
    <w:p>
      <w:pPr>
        <w:pStyle w:val="BookText"/>
        <w:rPr/>
      </w:pPr>
      <w:r>
        <w:rPr>
          <w:rFonts w:ascii="IRNazanin" w:hAnsi="IRNazanin" w:eastAsia="IRNazanin"/>
          <w:color w:val="111111"/>
          <w:sz w:val="28"/>
          <w:sz w:val="28"/>
          <w:szCs w:val="28"/>
          <w:rtl w:val="true"/>
          <w:lang w:bidi="fa-IR"/>
        </w:rPr>
        <w:t>تعالی عن مماثلة المخلوقین و صفاتهم من العقل و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یحمله هؤلاء الأثریّة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المتمسّکون بألفاظ السنن و المقتصرون علی ما یفهم من ظواهرها علی التعطیل، و یتخیّلون أنّ ما یثبته هؤلاء فإنّما هو لدفع الشنعة بذلک عن أنفسهم ، و غرضهم</w:t>
      </w:r>
    </w:p>
    <w:p>
      <w:pPr>
        <w:pStyle w:val="BookText"/>
        <w:rPr/>
      </w:pPr>
      <w:r>
        <w:rPr>
          <w:rFonts w:ascii="IRNazanin" w:hAnsi="IRNazanin" w:eastAsia="IRNazanin"/>
          <w:color w:val="111111"/>
          <w:sz w:val="28"/>
          <w:sz w:val="28"/>
          <w:szCs w:val="28"/>
          <w:rtl w:val="true"/>
          <w:lang w:bidi="fa-IR"/>
        </w:rPr>
        <w:t>إنّما هو الإبطال</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من أطلق القول بأنّه جسم لا کالأجسام إنّما أطلقه مخافة إیهام النفی و 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صریحا علی أنّ غرض هشام أیضا من ذلک التعبیر هو الإثبات فی مقابلة النفی، هو الخبر الذی رواه الکشّیّ بسنده عن عبد الملک بن هشام الخیّاط حین سأل أبا الحسن الرضا علیه‌السلام،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یونس مولی آل یقطین و هشام بن الحکم أنّ اللّه شیء لا کالأشیاء، و أنّ الأشیاء بائنة منه، و أنّه بائن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زعما أنّ إثبات الشیء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لا کالأجسام و شیء لا کالأشیاء، ثابت موجود، غیر مفقود، خارج عن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الإبطال و حدّ التشبیه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أصرح من ذلک خبر آخر مرویّ عن الصادق علیه‌السلام فی جواب الزندیق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w:t>
      </w:r>
    </w:p>
    <w:p>
      <w:pPr>
        <w:pStyle w:val="BookText"/>
        <w:rPr/>
      </w:pPr>
      <w:r>
        <w:rPr>
          <w:rFonts w:ascii="IRNazanin" w:hAnsi="IRNazanin" w:eastAsia="IRNazanin"/>
          <w:color w:val="111111"/>
          <w:sz w:val="28"/>
          <w:sz w:val="28"/>
          <w:szCs w:val="28"/>
          <w:rtl w:val="true"/>
          <w:lang w:bidi="fa-IR"/>
        </w:rPr>
        <w:t>عن اللّه تعالی،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الأشیاء؛ ارجع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إثبات معنی، و أنّه شیء بحقیقة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الشهرستانیّ یذکر خبر مناظرة بینه و بین أبی الهذیل، و فیه أنّ هشاما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البارئ تعالی عالم بعلم، و علمُه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فیشارک المُحدَثات فی أنّه عالم بعلم، و یباینها فی أنّ علمه ذاته، فیکون عالما لا کالعالِمین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لا کالأجسام و صورة لا کالصور و له قدر لا کالأقدار</w:t>
      </w:r>
      <w:r>
        <w:rPr>
          <w:rStyle w:val="FootnoteAnchor"/>
          <w:rtl w:val="true"/>
        </w:rPr>
        <w:footnoteReference w:id="526"/>
      </w:r>
      <w:r>
        <w:rPr>
          <w:rFonts w:ascii="IRNazanin" w:hAnsi="IRNazanin" w:eastAsia="IRNazanin"/>
          <w:color w:val="111111"/>
          <w:sz w:val="28"/>
          <w:sz w:val="28"/>
          <w:szCs w:val="28"/>
          <w:rtl w:val="true"/>
          <w:lang w:bidi="fa-IR"/>
        </w:rPr>
        <w:t>؟ إلی غیر ذلک، فمع صرف النظر عمّا ذکرناه سابقا من أنّه أطلق هذه اللّفظة مکان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فی الظنّ کون أصل</w:t>
      </w:r>
    </w:p>
    <w:p>
      <w:pPr>
        <w:pStyle w:val="BookText"/>
        <w:rPr/>
      </w:pPr>
      <w:r>
        <w:rPr>
          <w:rFonts w:ascii="IRNazanin" w:hAnsi="IRNazanin" w:eastAsia="IRNazanin"/>
          <w:color w:val="111111"/>
          <w:sz w:val="28"/>
          <w:sz w:val="28"/>
          <w:szCs w:val="28"/>
          <w:rtl w:val="true"/>
          <w:lang w:bidi="fa-IR"/>
        </w:rPr>
        <w:t>هذه النسبة ناشئة عن هذه المناظرة التی أورد فیها هذا فی معرض الجدال و الإلزام لمناظره، فنسبوا إلیه هذا القول الصادر عنه فی مقام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أمثال هذه النِّسَب</w:t>
      </w:r>
    </w:p>
    <w:p>
      <w:pPr>
        <w:pStyle w:val="BookText"/>
        <w:rPr/>
      </w:pPr>
      <w:r>
        <w:rPr>
          <w:rFonts w:ascii="IRNazanin" w:hAnsi="IRNazanin" w:eastAsia="IRNazanin"/>
          <w:color w:val="111111"/>
          <w:sz w:val="28"/>
          <w:sz w:val="28"/>
          <w:szCs w:val="28"/>
          <w:rtl w:val="true"/>
          <w:lang w:bidi="fa-IR"/>
        </w:rPr>
        <w:t>و التُّهَم شائعة، و الأقاویل تنسب إلی الأشخاص بأدون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ذُکِر ترکه لهذا القول من إطلاق هذه اللفظة، و رجوعه عنه لمّا ظهر له أنّ الصادق علیه‌السلامأنکر علیه هذا، کما ذکره الکراجکیّ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نسبوا إلی هشام مقالة أخری فی کیفیّة علم اللّه تعالی، و أنّه یعلم الأشیاء المتجدّدة بعلم متجدّد</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النسبة أیضا مشابهة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الإمامیّة و المعروفون من نضّال الشیعة ینکرون قوله بذلک إذ لم یجدوا ذلک بطریق یُعتمد علیه فی تلک 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نعرف ما حکاه المعتزلة عن هشام بن الحکم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أنّه تخرّصٌ منهم علیه و غلط ممّن قلّدهم فیه، فحکاه بعض الشیعة عنه، و لم نجد به کتابا مصنّفا و لامجلسا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فی أصول الإمامة و مجالس الامتحان یدلّ علی ضدّ ما</w:t>
      </w:r>
    </w:p>
    <w:p>
      <w:pPr>
        <w:pStyle w:val="BookText"/>
        <w:rPr/>
      </w:pPr>
      <w:r>
        <w:rPr>
          <w:rFonts w:ascii="IRNazanin" w:hAnsi="IRNazanin" w:eastAsia="IRNazanin"/>
          <w:color w:val="111111"/>
          <w:sz w:val="28"/>
          <w:sz w:val="28"/>
          <w:szCs w:val="28"/>
          <w:rtl w:val="true"/>
          <w:lang w:bidi="fa-IR"/>
        </w:rPr>
        <w:t>حکاه الخصوم عنه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صرّح الشریف المرتضی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حکایاتهم المختلقة، و ما نعرف </w:t>
      </w:r>
      <w:bookmarkStart w:id="303" w:name="pg4793_55809"/>
    </w:p>
    <w:p>
      <w:pPr>
        <w:pStyle w:val="BookText"/>
        <w:rPr/>
      </w:pPr>
      <w:bookmarkEnd w:id="303"/>
      <w:r>
        <w:rPr>
          <w:rFonts w:ascii="IRNazanin" w:hAnsi="IRNazanin" w:eastAsia="IRNazanin"/>
          <w:color w:val="111111"/>
          <w:sz w:val="28"/>
          <w:sz w:val="28"/>
          <w:szCs w:val="28"/>
          <w:rtl w:val="true"/>
          <w:lang w:bidi="fa-IR"/>
        </w:rPr>
        <w:t>للرجل فیه کتابا و لاحکاه عنه ثقة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نسبوا إلیه القول بالجبر و تکلیف ما لایطاق، کما نقله السید المرتضی عن القاضی عبد الجبّار بن أحمد الرازیّ</w:t>
      </w:r>
      <w:r>
        <w:rPr>
          <w:rStyle w:val="FootnoteAnchor"/>
          <w:rtl w:val="true"/>
        </w:rPr>
        <w:footnoteReference w:id="531"/>
      </w:r>
      <w:r>
        <w:rPr>
          <w:rFonts w:ascii="IRNazanin" w:hAnsi="IRNazanin" w:eastAsia="IRNazanin"/>
          <w:color w:val="111111"/>
          <w:sz w:val="28"/>
          <w:sz w:val="28"/>
          <w:szCs w:val="28"/>
          <w:rtl w:val="true"/>
          <w:lang w:bidi="fa-IR"/>
        </w:rPr>
        <w:t>، و لکن لم نقف علی مستند صحیح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هشام رحمه‌الله متکلّما لَسِنا حاضر الجواب مؤلّفا، ذکر النجاشیّ له ثلاثین کتابا فی التوحید و الإمامة، و الردّ علی أصحاب الطبائع و أصحاب الاثنین، و الردّ علی الزنادقة</w:t>
      </w:r>
    </w:p>
    <w:p>
      <w:pPr>
        <w:pStyle w:val="BookText"/>
        <w:rPr/>
      </w:pPr>
      <w:r>
        <w:rPr>
          <w:rFonts w:ascii="IRNazanin" w:hAnsi="IRNazanin" w:eastAsia="IRNazanin"/>
          <w:color w:val="111111"/>
          <w:sz w:val="28"/>
          <w:sz w:val="28"/>
          <w:szCs w:val="28"/>
          <w:rtl w:val="true"/>
          <w:lang w:bidi="fa-IR"/>
        </w:rPr>
        <w:t>و الردّ علی مخالفیه من المعتزلة و غیرهم، و فی مختلف الأبحاث الکلامیّة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2295361_2035185390"/>
      <w:bookmarkStart w:id="305" w:name="_Toc110"/>
      <w:bookmarkEnd w:id="304"/>
      <w:r>
        <w:rPr>
          <w:rtl w:val="true"/>
        </w:rPr>
        <w:t>محمّد بن علیّ بن النعمان أبوجعفر الطاقیّ</w:t>
      </w:r>
      <w:bookmarkEnd w:id="305"/>
    </w:p>
    <w:p>
      <w:pPr>
        <w:pStyle w:val="BookText"/>
        <w:rPr/>
      </w:pPr>
      <w:r>
        <w:rPr>
          <w:rFonts w:ascii="IRNazanin" w:hAnsi="IRNazanin" w:eastAsia="IRNazanin"/>
          <w:color w:val="111111"/>
          <w:sz w:val="28"/>
          <w:sz w:val="28"/>
          <w:szCs w:val="28"/>
          <w:rtl w:val="true"/>
          <w:lang w:bidi="fa-IR"/>
        </w:rPr>
        <w:t>نسب إلیه البغدادیّ و الشهرستانیّ و غیرهما جملة مقالات لاحاجة بنا إلی نقلها، إذ یجدها المراجع فی مظانّها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ابن حزم حکایةً مصدرها الجاحظ عن النظّام تتضمّن إنکار أبی جعفر المذکور وجودَ آیة الغار فی القرآن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الحکایة و أمثالها ممّا یؤکّد أنّه کان للجاحظ و أمثاله ید فی نسبة هذه المزاعم</w:t>
      </w:r>
    </w:p>
    <w:p>
      <w:pPr>
        <w:pStyle w:val="BookText"/>
        <w:rPr/>
      </w:pPr>
      <w:r>
        <w:rPr>
          <w:rFonts w:ascii="IRNazanin" w:hAnsi="IRNazanin" w:eastAsia="IRNazanin"/>
          <w:color w:val="111111"/>
          <w:sz w:val="28"/>
          <w:sz w:val="28"/>
          <w:szCs w:val="28"/>
          <w:rtl w:val="true"/>
          <w:lang w:bidi="fa-IR"/>
        </w:rPr>
        <w:t>و الأقاویل إلی شیوخ الشیعة و متکلّمیها، و الطعن بها علیهم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الشخص کان من مشاهیر أهل الکلام فی عصره، صاحب بدیهة و إلزامات علی مخالفیه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أبی حنیفة قضایا ذکرها الخطیب البغدادیّ و ذکرها غیره أیضا</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من بداهة نظره و سرعة خاطره أشیاء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صیرفیّایسکن فی طاق المحامل بالکوفة یرجع إلیه فی النقد فیردّ ردّا، فیخرج کما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bookmarkStart w:id="306" w:name="pg4793_55811"/>
    </w:p>
    <w:p>
      <w:pPr>
        <w:pStyle w:val="BookText"/>
        <w:rPr/>
      </w:pPr>
      <w:bookmarkEnd w:id="306"/>
      <w:r>
        <w:rPr>
          <w:rFonts w:ascii="IRNazanin" w:hAnsi="IRNazanin" w:eastAsia="IRNazanin"/>
          <w:color w:val="111111"/>
          <w:sz w:val="28"/>
          <w:sz w:val="28"/>
          <w:szCs w:val="28"/>
          <w:rtl w:val="true"/>
          <w:lang w:bidi="fa-IR"/>
        </w:rPr>
        <w:t>الطاق، لأجل ذلک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کتب ذکروا من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 فی إمامة أمیر المؤمنین علیه‌السلام، و کتاب</w:t>
      </w:r>
    </w:p>
    <w:p>
      <w:pPr>
        <w:pStyle w:val="BookText"/>
        <w:rPr/>
      </w:pPr>
      <w:r>
        <w:rPr>
          <w:rFonts w:ascii="IRNazanin" w:hAnsi="IRNazanin" w:eastAsia="IRNazanin"/>
          <w:color w:val="111111"/>
          <w:sz w:val="28"/>
          <w:sz w:val="28"/>
          <w:szCs w:val="28"/>
          <w:rtl w:val="true"/>
          <w:lang w:bidi="fa-IR"/>
        </w:rPr>
        <w:t>کلامه علی الخوارج، و کتاب مجالسه مع أبی حنیفة و المرجئة</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الشهرستانیّ أنّه صنّف کتبا جمّة للشیعة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لِمَ فعلت،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لا تفعل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کان بهذه المثابة من النظر و البداهة فی إلزام الخصوم لایستبعد رمیه بأمثال الأقاویل المذکورة تشنیعا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نستفید ممّا أورده النجاشیّ فی ترجمته أنّ بعض المتأخّرین أدخلوا فی کتابه المعنون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تدلّ علی فساد أقاویل الصحابة، ممّا یکشف أنّ ید</w:t>
      </w:r>
    </w:p>
    <w:p>
      <w:pPr>
        <w:pStyle w:val="BookText"/>
        <w:rPr/>
      </w:pPr>
      <w:r>
        <w:rPr>
          <w:rFonts w:ascii="IRNazanin" w:hAnsi="IRNazanin" w:eastAsia="IRNazanin"/>
          <w:color w:val="111111"/>
          <w:sz w:val="28"/>
          <w:sz w:val="28"/>
          <w:szCs w:val="28"/>
          <w:rtl w:val="true"/>
          <w:lang w:bidi="fa-IR"/>
        </w:rPr>
        <w:t>الدسّ و التحریف قد أصابت بعض کتبه لأجل الشنعة و الطعن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النجاشیّ أیضا بأنّه نسب إلیه أشیاء و لم تثبت عندنا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295363_2035185390"/>
      <w:bookmarkStart w:id="308" w:name="_Toc111"/>
      <w:bookmarkEnd w:id="307"/>
      <w:r>
        <w:rPr>
          <w:rtl w:val="true"/>
        </w:rPr>
        <w:t>زرارة بن أعین الشیبانیّ</w:t>
      </w:r>
      <w:bookmarkEnd w:id="308"/>
    </w:p>
    <w:p>
      <w:pPr>
        <w:pStyle w:val="BookText"/>
        <w:rPr/>
      </w:pPr>
      <w:r>
        <w:rPr>
          <w:rFonts w:ascii="IRNazanin" w:hAnsi="IRNazanin" w:eastAsia="IRNazanin"/>
          <w:color w:val="111111"/>
          <w:sz w:val="28"/>
          <w:sz w:val="28"/>
          <w:szCs w:val="28"/>
          <w:rtl w:val="true"/>
          <w:lang w:bidi="fa-IR"/>
        </w:rPr>
        <w:t>کان من أجلاّء شیوخ الشیعة و رجالهم المقدّمین، اجتمعت فیه خلال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إلیه أشیاء من القول بحدوث صفات اللّه، و أنّ الأئمّة علومهم ضروریّة و معارفهم فطریّة؛</w:t>
      </w:r>
    </w:p>
    <w:p>
      <w:pPr>
        <w:pStyle w:val="BookText"/>
        <w:rPr/>
      </w:pPr>
      <w:r>
        <w:rPr>
          <w:rFonts w:ascii="IRNazanin" w:hAnsi="IRNazanin" w:eastAsia="IRNazanin"/>
          <w:color w:val="111111"/>
          <w:sz w:val="28"/>
          <w:sz w:val="28"/>
          <w:szCs w:val="28"/>
          <w:rtl w:val="true"/>
          <w:lang w:bidi="fa-IR"/>
        </w:rPr>
        <w:t>کلّ ما یعرفه غیرهم بالنظر فهو عندهم أوّلیّ فطریّ، کما نسبوا أمثالها إلی غیره من رجال</w:t>
      </w:r>
    </w:p>
    <w:p>
      <w:pPr>
        <w:pStyle w:val="BookText"/>
        <w:rPr/>
      </w:pPr>
      <w:r>
        <w:rPr>
          <w:rFonts w:ascii="IRNazanin" w:hAnsi="IRNazanin" w:eastAsia="IRNazanin"/>
          <w:color w:val="111111"/>
          <w:sz w:val="28"/>
          <w:sz w:val="28"/>
          <w:szCs w:val="28"/>
          <w:rtl w:val="true"/>
          <w:lang w:bidi="fa-IR"/>
        </w:rPr>
        <w:t>الشیعة ممّا قد عرفت شیئا منها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کتب رجال الشیعة إسناد القول بالاستطاعة و التفویض إلیه، علی خلاف ما علیه جمهور الشیعة، و ذکر أیضا إنکار الصادق علیه‌السلام فی هذا القول علیه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کتب الرجال أخبار کثیرة تتضمّن توثیقه و مدحه، و أخبار أخری فی ذمّه</w:t>
      </w:r>
      <w:r>
        <w:rPr>
          <w:rFonts w:eastAsia="IRNazanin" w:cs="IRNazanin"/>
          <w:color w:val="111111"/>
          <w:sz w:val="28"/>
          <w:szCs w:val="28"/>
          <w:rtl w:val="true"/>
          <w:lang w:bidi="fa-IR"/>
        </w:rPr>
        <w:t xml:space="preserve">. </w:t>
      </w:r>
      <w:bookmarkStart w:id="309" w:name="pg4793_55813"/>
    </w:p>
    <w:p>
      <w:pPr>
        <w:pStyle w:val="BookText"/>
        <w:rPr/>
      </w:pPr>
      <w:bookmarkEnd w:id="309"/>
      <w:r>
        <w:rPr>
          <w:rFonts w:ascii="IRNazanin" w:hAnsi="IRNazanin" w:eastAsia="IRNazanin"/>
          <w:color w:val="111111"/>
          <w:sz w:val="28"/>
          <w:sz w:val="28"/>
          <w:szCs w:val="28"/>
          <w:rtl w:val="true"/>
          <w:lang w:bidi="fa-IR"/>
        </w:rPr>
        <w:t>و قد حمل أهلُ النقد الأخبارَ المُشعرة بالذمّ علی التقیّة، إذ کان زرارة من معروفی رجال الشیعة و أصحاب الأئمّة، و کان لأجل ذلک فی معرض التعرّض و المحنة، فکان ورود القدح و الطعن فیه لئلاّ یظهر شدّة اختصاصه بهم</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فالمقالات المنسوبة</w:t>
      </w:r>
    </w:p>
    <w:p>
      <w:pPr>
        <w:pStyle w:val="BookText"/>
        <w:rPr/>
      </w:pPr>
      <w:r>
        <w:rPr>
          <w:rFonts w:ascii="IRNazanin" w:hAnsi="IRNazanin" w:eastAsia="IRNazanin"/>
          <w:color w:val="111111"/>
          <w:sz w:val="28"/>
          <w:sz w:val="28"/>
          <w:szCs w:val="28"/>
          <w:rtl w:val="true"/>
          <w:lang w:bidi="fa-IR"/>
        </w:rPr>
        <w:t>إلیه من حدوث العلم و القدرة و سائر الصفات و غیر ذلک ممّا لم نقف له علی مستند صحیح یوجب الاعتماد علیه، سوی کتب المقالات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295365_2035185390"/>
      <w:bookmarkStart w:id="311" w:name="_Toc112"/>
      <w:bookmarkEnd w:id="310"/>
      <w:r>
        <w:rPr>
          <w:rtl w:val="true"/>
        </w:rPr>
        <w:t>یونس بن عبد الرحمن القمّیّ مولی آل یقطین</w:t>
      </w:r>
      <w:bookmarkEnd w:id="311"/>
    </w:p>
    <w:p>
      <w:pPr>
        <w:pStyle w:val="BookText"/>
        <w:rPr/>
      </w:pPr>
      <w:r>
        <w:rPr>
          <w:rFonts w:ascii="IRNazanin" w:hAnsi="IRNazanin" w:eastAsia="IRNazanin"/>
          <w:color w:val="111111"/>
          <w:sz w:val="28"/>
          <w:sz w:val="28"/>
          <w:szCs w:val="28"/>
          <w:rtl w:val="true"/>
          <w:lang w:bidi="fa-IR"/>
        </w:rPr>
        <w:t>کان وجها متقدّما عظیم المنزلة فی الشیعة، و نسبوا إلیه مقالة سخیفة فی التشبیه یجلّ مثله عن القول بها</w:t>
      </w:r>
      <w:r>
        <w:rPr>
          <w:rStyle w:val="FootnoteAnchor"/>
          <w:rtl w:val="true"/>
        </w:rPr>
        <w:footnoteReference w:id="544"/>
      </w:r>
      <w:r>
        <w:rPr>
          <w:rFonts w:ascii="IRNazanin" w:hAnsi="IRNazanin" w:eastAsia="IRNazanin"/>
          <w:color w:val="111111"/>
          <w:sz w:val="28"/>
          <w:sz w:val="28"/>
          <w:szCs w:val="28"/>
          <w:rtl w:val="true"/>
          <w:lang w:bidi="fa-IR"/>
        </w:rPr>
        <w:t>، و هی أیضا من النسب التی لا مدرک صحیحا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ما روی من أخباره وجود قول له فی خصوص خلق القرآن، و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لیس بمخلوق، و أنّه کان یعتقد أنّ الجنّة لم تُخلَق بعدُ و أنّها ستُخلَق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هذه المقالة المنسوبة إلیه فی التشبیه لم نجد لها مصدرا إلاّ کتب المقالات المأخوذ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راجعنا ترجمته فی کتب الشیعة وجدناه من فقهاء الشیعة الإمامیّة، و له مصنّفات کثیرة غالبها فی الفروع و الأحکام</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المستبعد أن یکون قائلاً بهذه المقالة و لایظهر منه شیء</w:t>
      </w:r>
      <w:r>
        <w:rPr>
          <w:rFonts w:eastAsia="IRNazanin" w:cs="IRNazanin"/>
          <w:color w:val="111111"/>
          <w:sz w:val="28"/>
          <w:szCs w:val="28"/>
          <w:rtl w:val="true"/>
          <w:lang w:bidi="fa-IR"/>
        </w:rPr>
        <w:t>.</w:t>
      </w:r>
    </w:p>
    <w:p>
      <w:pPr>
        <w:pStyle w:val="Heading4"/>
        <w:numPr>
          <w:ilvl w:val="3"/>
          <w:numId w:val="1"/>
        </w:numPr>
        <w:rPr/>
      </w:pPr>
      <w:bookmarkStart w:id="312" w:name="__RefHeading___Toc2295367_2035185390"/>
      <w:bookmarkStart w:id="313" w:name="_Toc113"/>
      <w:bookmarkEnd w:id="312"/>
      <w:r>
        <w:rPr>
          <w:rtl w:val="true"/>
        </w:rPr>
        <w:t>أبو عیسی محمّد بن هارون الورّاق</w:t>
      </w:r>
      <w:bookmarkEnd w:id="3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الرجل أیضا من جملة متکلّمی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رماه المعتزلة بالقول بالتثنیة و نصرة قول المانویّة و الثنویّة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تقدّمهم فی قذفه بذلک ابن الراوندیّ ؛ لعداوة کانت </w:t>
      </w:r>
    </w:p>
    <w:p>
      <w:pPr>
        <w:pStyle w:val="BookText"/>
        <w:rPr/>
      </w:pPr>
      <w:r>
        <w:rPr>
          <w:rFonts w:ascii="IRNazanin" w:hAnsi="IRNazanin" w:eastAsia="IRNazanin"/>
          <w:color w:val="111111"/>
          <w:sz w:val="28"/>
          <w:sz w:val="28"/>
          <w:szCs w:val="28"/>
          <w:rtl w:val="true"/>
          <w:lang w:bidi="fa-IR"/>
        </w:rPr>
        <w:t>بینهما</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نسبوا إلیه کتبا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الذی تعلّقوا به فی رمیه بالقول بالتثنیة هو إطنابه فی ذکر مقالة الثنویّة و ذکر</w:t>
      </w:r>
    </w:p>
    <w:p>
      <w:pPr>
        <w:pStyle w:val="BookText"/>
        <w:rPr/>
      </w:pPr>
      <w:r>
        <w:rPr>
          <w:rFonts w:ascii="IRNazanin" w:hAnsi="IRNazanin" w:eastAsia="IRNazanin"/>
          <w:color w:val="111111"/>
          <w:sz w:val="28"/>
          <w:sz w:val="28"/>
          <w:szCs w:val="28"/>
          <w:rtl w:val="true"/>
          <w:lang w:bidi="fa-IR"/>
        </w:rPr>
        <w:t>شُبَههم فی کتابه المعروف بالمقالات، ممّا لایصحّ التعلّق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صنع مثل ذلک غیره ممّن ذکر مقالات الفرق و ذکر شُبَهَهم و تأکیدَ مقالاتهم کالجاحظ و غیره ممّن ألّفوا الکتب فی مقالات الفرق المبطلة و أکّدوا شبههم و هذّبوا طرق الحجاج فیها</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مثل هذه الوقیعة للمبرّد و رمیه بمقالات الخوارج</w:t>
      </w:r>
      <w:r>
        <w:rPr>
          <w:rStyle w:val="FootnoteAnchor"/>
          <w:rtl w:val="true"/>
        </w:rPr>
        <w:footnoteReference w:id="549"/>
      </w:r>
      <w:r>
        <w:rPr>
          <w:rFonts w:ascii="IRNazanin" w:hAnsi="IRNazanin" w:eastAsia="IRNazanin"/>
          <w:color w:val="111111"/>
          <w:sz w:val="28"/>
          <w:sz w:val="28"/>
          <w:szCs w:val="28"/>
          <w:rtl w:val="true"/>
          <w:lang w:bidi="fa-IR"/>
        </w:rPr>
        <w:t>لأجل إطنابه فی ذکر حالاتهم و أخبارهم، و لغیره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أسندوا إلی الورّاق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 علی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مدفوعان عنه، و ما یبعد أن یکون بعض الثنویّة عملهما علی</w:t>
      </w:r>
    </w:p>
    <w:p>
      <w:pPr>
        <w:pStyle w:val="BookText"/>
        <w:rPr/>
      </w:pPr>
      <w:r>
        <w:rPr>
          <w:rFonts w:ascii="IRNazanin" w:hAnsi="IRNazanin" w:eastAsia="IRNazanin"/>
          <w:color w:val="111111"/>
          <w:sz w:val="28"/>
          <w:sz w:val="28"/>
          <w:szCs w:val="28"/>
          <w:rtl w:val="true"/>
          <w:lang w:bidi="fa-IR"/>
        </w:rPr>
        <w:t>لسانه، لأنّ من شأن بعض مَن یُعرف ببعض المذاهب أن یضاف إلیه ما یدخل فی نصرتها الکثیر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الورّاق من أوّل المتکلّمین فی تهذیب طرق الجدال فی دعوی الشیعة بثبوت النصّ الجلیّ لإمامة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من کتبه کتاب الإمامة، و کذا صنّف کتابا خاصّا بقضیّة السقیفة، لم‌یَترک لغیره زیادة علیه فیما یوضح فساد قول مخالفی الشیعة</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 العمدة فی رمیه بتلک المقالات إنّما هی هذه و مبالغته فی نصرة القول بالنصّ</w:t>
      </w:r>
    </w:p>
    <w:p>
      <w:pPr>
        <w:pStyle w:val="BookText"/>
        <w:rPr/>
      </w:pPr>
      <w:r>
        <w:rPr>
          <w:rFonts w:ascii="IRNazanin" w:hAnsi="IRNazanin" w:eastAsia="IRNazanin"/>
          <w:color w:val="111111"/>
          <w:sz w:val="28"/>
          <w:sz w:val="28"/>
          <w:szCs w:val="28"/>
          <w:rtl w:val="true"/>
          <w:lang w:bidi="fa-IR"/>
        </w:rPr>
        <w:t>و فساد الاختیار و نقض ما تعلّق به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المرتضی رحمه‌الله أنّ متکلّمی الإمامیّة ممّن تأخّروا عن زمانه کانوا یعتمدون علی أکثر ما ذکره، و سلکوا فی نصرة أصول الإمامة مسلکه</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4793_55817"/>
    </w:p>
    <w:p>
      <w:pPr>
        <w:pStyle w:val="BookText"/>
        <w:rPr/>
      </w:pPr>
      <w:bookmarkEnd w:id="314"/>
      <w:r>
        <w:rPr>
          <w:rFonts w:ascii="IRNazanin" w:hAnsi="IRNazanin" w:eastAsia="IRNazanin"/>
          <w:color w:val="111111"/>
          <w:sz w:val="28"/>
          <w:sz w:val="28"/>
          <w:szCs w:val="28"/>
          <w:rtl w:val="true"/>
          <w:lang w:bidi="fa-IR"/>
        </w:rPr>
        <w:t>هذه جملة ممّا نسبوه إلی جماعة من رجال الشیعة بقصد الطعن علیهم و التشنیع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حقیقة الحال ممّا أشرنا إلیه و أنّ غالبها ممّا تفرّد به خصومهم أو ممّا رموهم به لعداوة أو عصبیّة أو شبهة، فنقَلَها عنهم مَن غفل 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المصدر لنسبة غالب هذه الأقاویل إلی الشیعة هو الکتب المخصوصة بذکر آراء الفرق و مقالات الملل و أصحاب الأهواء و ما نسب فی طیّها إلی الفرق و أصحابها، نری من المناسب فی هذا المقام التنبیه علی عدم صحّة الاعتماد علی ما فی أمثال هذه الکتب فی البحث العلمیّ النزیه الخالص عن شائبة التعصّب و التحزّب للآراء</w:t>
      </w:r>
    </w:p>
    <w:p>
      <w:pPr>
        <w:pStyle w:val="BookText"/>
        <w:rPr/>
      </w:pPr>
      <w:r>
        <w:rPr>
          <w:rFonts w:ascii="IRNazanin" w:hAnsi="IRNazanin" w:eastAsia="IRNazanin"/>
          <w:color w:val="111111"/>
          <w:sz w:val="28"/>
          <w:sz w:val="28"/>
          <w:szCs w:val="28"/>
          <w:rtl w:val="true"/>
          <w:lang w:bidi="fa-IR"/>
        </w:rPr>
        <w:t>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ابتُدئ فی هذا النوع من التألیف و ذکر آراء الفرق، من صدر الدولة العبّاسیّة و من حین ظهور مقالات الفرق الإسلامیّة المختلفة من جهة، و ظهور أقاویل المانویّة و الدیصانیّة و الزنادقة و سائر الطوائف الخارجة عن الملّة و انتشارها بین المسلمین من أجل نقل کتبهم، من جهة أخری</w:t>
      </w:r>
      <w:r>
        <w:rPr>
          <w:rStyle w:val="FootnoteAnchor"/>
          <w:rtl w:val="true"/>
        </w:rPr>
        <w:footnoteReference w:id="553"/>
      </w:r>
      <w:r>
        <w:rPr>
          <w:rFonts w:ascii="IRNazanin" w:hAnsi="IRNazanin" w:eastAsia="IRNazanin"/>
          <w:color w:val="111111"/>
          <w:sz w:val="28"/>
          <w:sz w:val="28"/>
          <w:szCs w:val="28"/>
          <w:rtl w:val="true"/>
          <w:lang w:bidi="fa-IR"/>
        </w:rPr>
        <w:t>إذ نجد الخلیفة العبّاسیّ المهدیّ یتتبّع آثار من یشکّ فی دیانته، و یمعن فی قتل الزنادقة و المداهنین من الدین و یأمر الجدلیّین و أصحاب الکلام بتصنیف الکتب فی الردّ علی الملحدین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295369_2035185390"/>
      <w:bookmarkStart w:id="316" w:name="_Toc114"/>
      <w:bookmarkEnd w:id="315"/>
      <w:r>
        <w:rPr>
          <w:rtl w:val="true"/>
        </w:rPr>
        <w:t>[</w:t>
      </w:r>
      <w:r>
        <w:rPr>
          <w:rtl w:val="true"/>
        </w:rPr>
        <w:t>أوّل المصنّفات فی الفِرَق و المقالات</w:t>
      </w:r>
      <w:r>
        <w:rPr>
          <w:rtl w:val="true"/>
        </w:rPr>
        <w:t>]</w:t>
      </w:r>
      <w:bookmarkEnd w:id="316"/>
    </w:p>
    <w:p>
      <w:pPr>
        <w:pStyle w:val="BookText"/>
        <w:rPr/>
      </w:pPr>
      <w:r>
        <w:rPr>
          <w:rFonts w:ascii="IRNazanin" w:hAnsi="IRNazanin" w:eastAsia="IRNazanin"/>
          <w:color w:val="111111"/>
          <w:sz w:val="28"/>
          <w:sz w:val="28"/>
          <w:szCs w:val="28"/>
          <w:rtl w:val="true"/>
          <w:lang w:bidi="fa-IR"/>
        </w:rPr>
        <w:t>و نجد أیضا فیما حکاه هشام بن الحکم أنّ ابن المفضّل کتب للمهدیّ المذکور صنوف الفرق، حتّی قال فی کتابه عند ذکره للشیعة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فرقة منهم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الزُّراریّة</w:t>
      </w:r>
    </w:p>
    <w:p>
      <w:pPr>
        <w:pStyle w:val="BookText"/>
        <w:rPr/>
      </w:pPr>
      <w:r>
        <w:rPr>
          <w:rFonts w:ascii="IRNazanin" w:hAnsi="IRNazanin" w:eastAsia="IRNazanin"/>
          <w:color w:val="111111"/>
          <w:sz w:val="28"/>
          <w:sz w:val="28"/>
          <w:szCs w:val="28"/>
          <w:rtl w:val="true"/>
          <w:lang w:bidi="fa-IR"/>
        </w:rPr>
        <w:t>أصحاب زرارة بن أعین الشیبانیّ، و فرقة یقال لهم العمّاریّة أصحاب عمّار الساباطیّ،</w:t>
      </w:r>
    </w:p>
    <w:p>
      <w:pPr>
        <w:pStyle w:val="BookText"/>
        <w:rPr/>
      </w:pPr>
      <w:r>
        <w:rPr>
          <w:rFonts w:ascii="IRNazanin" w:hAnsi="IRNazanin" w:eastAsia="IRNazanin"/>
          <w:color w:val="111111"/>
          <w:sz w:val="28"/>
          <w:sz w:val="28"/>
          <w:szCs w:val="28"/>
          <w:rtl w:val="true"/>
          <w:lang w:bidi="fa-IR"/>
        </w:rPr>
        <w:t xml:space="preserve">و فرقة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الیعفوریّة أصحاب عبد اللّه بن أبی یعفور، و منهم فرقة سلیمان الأقطع،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فرقة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الجوالیقیّة</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 فیکون کتاب ابن المفضّل أقدم ما وصل إلینا خبره من </w:t>
      </w:r>
    </w:p>
    <w:p>
      <w:pPr>
        <w:pStyle w:val="BookText"/>
        <w:rPr/>
      </w:pPr>
      <w:r>
        <w:rPr>
          <w:rFonts w:ascii="IRNazanin" w:hAnsi="IRNazanin" w:eastAsia="IRNazanin"/>
          <w:color w:val="111111"/>
          <w:sz w:val="28"/>
          <w:sz w:val="28"/>
          <w:szCs w:val="28"/>
          <w:rtl w:val="true"/>
          <w:lang w:bidi="fa-IR"/>
        </w:rPr>
        <w:t>المصنّفات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تتابعت التآلیف من مختلف الناس فی ذلک، و فیها المبسوط و المختصر، و من مؤلّف فی الآراء و الدیانات عامّةً، و مقتصرٍ للإسلامیّین من بینهم، أو لفرق الشیعة خاصّة،</w:t>
      </w:r>
    </w:p>
    <w:p>
      <w:pPr>
        <w:pStyle w:val="BookText"/>
        <w:rPr/>
      </w:pPr>
      <w:r>
        <w:rPr>
          <w:rFonts w:ascii="IRNazanin" w:hAnsi="IRNazanin" w:eastAsia="IRNazanin"/>
          <w:color w:val="111111"/>
          <w:sz w:val="28"/>
          <w:sz w:val="28"/>
          <w:szCs w:val="28"/>
          <w:rtl w:val="true"/>
          <w:lang w:bidi="fa-IR"/>
        </w:rPr>
        <w:t>مع تفاوت طرق أبحاثهم و تنوّع أسالیب کلماتهم و کتبهم، من الاکتفاء بنقل مجرّد الأقاویل أو ذکر ما احتجّ به کلّ فریق لمذهبه، أو الردّ علی ما ذکروه، إلی غیر ذلک ممّا</w:t>
      </w:r>
    </w:p>
    <w:p>
      <w:pPr>
        <w:pStyle w:val="BookText"/>
        <w:rPr/>
      </w:pPr>
      <w:r>
        <w:rPr>
          <w:rFonts w:ascii="IRNazanin" w:hAnsi="IRNazanin" w:eastAsia="IRNazanin"/>
          <w:color w:val="111111"/>
          <w:sz w:val="28"/>
          <w:sz w:val="28"/>
          <w:szCs w:val="28"/>
          <w:rtl w:val="true"/>
          <w:lang w:bidi="fa-IR"/>
        </w:rPr>
        <w:t>لایسع المقام لاستقصاء البحث فیه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ذهب معظم هذه الکتب و المصنّفات من البین، و لم یَبقَ منها إلاّ القلیل و النزر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القلیل الباقی أیضا لم یَخلُ غالبه من الخلل فی النقل و التحزّب للمذاهب</w:t>
      </w:r>
    </w:p>
    <w:p>
      <w:pPr>
        <w:pStyle w:val="BookText"/>
        <w:rPr/>
      </w:pPr>
      <w:r>
        <w:rPr>
          <w:rFonts w:ascii="IRNazanin" w:hAnsi="IRNazanin" w:eastAsia="IRNazanin"/>
          <w:color w:val="111111"/>
          <w:sz w:val="28"/>
          <w:sz w:val="28"/>
          <w:szCs w:val="28"/>
          <w:rtl w:val="true"/>
          <w:lang w:bidi="fa-IR"/>
        </w:rPr>
        <w:t>و عدم تجرّد مؤلّفیها للبحث المبنیّ علی بیان الحقائق و کشف صریح الواقع، فنسبوا إلی</w:t>
      </w:r>
    </w:p>
    <w:p>
      <w:pPr>
        <w:pStyle w:val="BookText"/>
        <w:rPr/>
      </w:pPr>
      <w:r>
        <w:rPr>
          <w:rFonts w:ascii="IRNazanin" w:hAnsi="IRNazanin" w:eastAsia="IRNazanin"/>
          <w:color w:val="111111"/>
          <w:sz w:val="28"/>
          <w:sz w:val="28"/>
          <w:szCs w:val="28"/>
          <w:rtl w:val="true"/>
          <w:lang w:bidi="fa-IR"/>
        </w:rPr>
        <w:t>مخالفیها أقوالاً و آراء لا حقیقة لها، أو نقلوا مذاهبهم علی غیر الوجه الذی یعتقدونه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مراجعة کتاب الملل و النحل لأبی الفتح محمّد بن عبد الکریم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أشهر کتب المتأخّرین فی هذا الموضوع، و عوّل علیه کلّ مَن تأخّر عن زمانه من</w:t>
      </w:r>
    </w:p>
    <w:p>
      <w:pPr>
        <w:pStyle w:val="BookText"/>
        <w:rPr/>
      </w:pPr>
      <w:r>
        <w:rPr>
          <w:rFonts w:ascii="IRNazanin" w:hAnsi="IRNazanin" w:eastAsia="IRNazanin"/>
          <w:color w:val="111111"/>
          <w:sz w:val="28"/>
          <w:sz w:val="28"/>
          <w:szCs w:val="28"/>
          <w:rtl w:val="true"/>
          <w:lang w:bidi="fa-IR"/>
        </w:rPr>
        <w:t xml:space="preserve">الباحثین فی العقائد و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لک سرّ ما أشرنا إلیه ؛ فقد نقل غالبَ ما أورده فیه من مقالات الفرق الإسلامیّة عن کتاب أبی منصور عبد القاهر بن طاهر البغدادیّ</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مراجعة کتاب البغدادیّ تغنینا عن التعرّض لمسلکه و أسلوب بحثه، فتراه ینتقل کثیرا عند</w:t>
      </w:r>
    </w:p>
    <w:p>
      <w:pPr>
        <w:pStyle w:val="BookText"/>
        <w:rPr/>
      </w:pPr>
      <w:r>
        <w:rPr>
          <w:rFonts w:ascii="IRNazanin" w:hAnsi="IRNazanin" w:eastAsia="IRNazanin"/>
          <w:color w:val="111111"/>
          <w:sz w:val="28"/>
          <w:sz w:val="28"/>
          <w:szCs w:val="28"/>
          <w:rtl w:val="true"/>
          <w:lang w:bidi="fa-IR"/>
        </w:rPr>
        <w:t>ذکر أقاویل مخالفیه عن النقل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علیه بنی وضع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الاحتجاج علیهم،</w:t>
      </w:r>
    </w:p>
    <w:p>
      <w:pPr>
        <w:pStyle w:val="BookText"/>
        <w:rPr/>
      </w:pPr>
      <w:r>
        <w:rPr>
          <w:rFonts w:ascii="IRNazanin" w:hAnsi="IRNazanin" w:eastAsia="IRNazanin"/>
          <w:color w:val="111111"/>
          <w:sz w:val="28"/>
          <w:sz w:val="28"/>
          <w:szCs w:val="28"/>
          <w:rtl w:val="true"/>
          <w:lang w:bidi="fa-IR"/>
        </w:rPr>
        <w:t>بل التسفیه و التقریع و الاستهزاء</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اطّلع علی سوء طریقته فی البحث من قبلُ، الإمامُ الرازیّ فخر الدین بن الخطیب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شدید التعصّب علی المخالفین، فلا یکاد </w:t>
      </w:r>
    </w:p>
    <w:p>
      <w:pPr>
        <w:pStyle w:val="BookText"/>
        <w:rPr/>
      </w:pPr>
      <w:r>
        <w:rPr>
          <w:rFonts w:ascii="IRNazanin" w:hAnsi="IRNazanin" w:eastAsia="IRNazanin"/>
          <w:color w:val="111111"/>
          <w:sz w:val="28"/>
          <w:sz w:val="28"/>
          <w:szCs w:val="28"/>
          <w:rtl w:val="true"/>
          <w:lang w:bidi="fa-IR"/>
        </w:rPr>
        <w:t xml:space="preserve">ینقل مذهبهم علی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الشیعة عن بعض من تصدّی لذلک، مع تحریف و خلل</w:t>
      </w:r>
    </w:p>
    <w:p>
      <w:pPr>
        <w:pStyle w:val="BookText"/>
        <w:rPr/>
      </w:pPr>
      <w:r>
        <w:rPr>
          <w:rFonts w:ascii="IRNazanin" w:hAnsi="IRNazanin" w:eastAsia="IRNazanin"/>
          <w:color w:val="111111"/>
          <w:sz w:val="28"/>
          <w:sz w:val="28"/>
          <w:szCs w:val="28"/>
          <w:rtl w:val="true"/>
          <w:lang w:bidi="fa-IR"/>
        </w:rPr>
        <w:t>فی النقل یظهر عند المراجعة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اعتمد فی منقولاته عن آراء الفلاسفة الیونانیّین علی کتاب صاعد بن أحمد الأندلسیّ مع تغییر واضح و خلل فیما نقله عنه کثیر؛ لغرض تطبیق آرائهم علی ظواهر المبانی الدینیّة الإسلامیّة، و وقع له من الخلل غیر ما ذکرناه ما لایخفی علی أهل البصیرة</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اعتمد فی نقله لآراء الفلاسفة،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لصاعد بن أحمد الأندلسیّ المتوفّی سنة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تأمّلنا فی کتاب أبی محمّد بن حزم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أبسط الکتب المتداولة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من التباغض و التحامل و تکفیر مخالفیه و تضلیلهم علی طرف من الإفراط عظیم</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أیضا یقاس سائر کتب هذا الموضوع، و فلا یصحّ الاعتماد علی جملة محتویاتها و السکون إلی مسطوراتها و منقولاتها عن هذا الفرق المختلفة و أقاویلها</w:t>
      </w:r>
    </w:p>
    <w:p>
      <w:pPr>
        <w:pStyle w:val="BookText"/>
        <w:rPr/>
      </w:pPr>
      <w:r>
        <w:rPr>
          <w:rFonts w:ascii="IRNazanin" w:hAnsi="IRNazanin" w:eastAsia="IRNazanin"/>
          <w:color w:val="111111"/>
          <w:sz w:val="28"/>
          <w:sz w:val="28"/>
          <w:szCs w:val="28"/>
          <w:rtl w:val="true"/>
          <w:lang w:bidi="fa-IR"/>
        </w:rPr>
        <w:t>المنسوبة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عثرت بعد ذلک علی کلام محکیّ عن أبی الحسن الأشعریّ عن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تفطّنه لهذا، حیث یقول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الناس فی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حکایة ما یحکون عن ذکر المقالات و یصنّفون فی النحل و الدیانات بین مقصّرٍ فیما یحکیه، و غالطٍ فیما یذکره من قول مخالفیه، و من بین معتمدٍ للکذب و الحکایة، إرادةَ التشنیع علی مَن یخالفه، و من بین تارکٍ للتفصّی فی روایته لما یرویه من اختلاف المختلفین، و مِن بین مَن یضیف إلی قول مخالفیه ما یظنّ أنّ الحجّة تلز مهم به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317" w:name="pg4793_55822"/>
    </w:p>
    <w:p>
      <w:pPr>
        <w:pStyle w:val="BookText"/>
        <w:rPr/>
      </w:pPr>
      <w:bookmarkEnd w:id="317"/>
      <w:r>
        <w:rPr>
          <w:rFonts w:ascii="IRNazanin" w:hAnsi="IRNazanin" w:eastAsia="IRNazanin"/>
          <w:color w:val="111111"/>
          <w:sz w:val="28"/>
          <w:sz w:val="28"/>
          <w:szCs w:val="28"/>
          <w:rtl w:val="true"/>
          <w:lang w:bidi="fa-IR"/>
        </w:rPr>
        <w:t>و فی هذا الکلام کفایة فی ما نحن بصدد 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ما نقلنا عنه فقد أوقع نفسه أیضا فی معرض الانتقاد و التعریض، فقد نقل ابن تیمیّة أنّه جاء بعده مِن أتباعه مَن لم یعجبه ما نقله عن مذهب أهل السنّة و الحدیث، فنقص من ذلک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أنّه لکون خبر ته بالکلام أکثر من خبر ته بالحدیث و مقالات السلف فقد ذکر فی غیر موضع</w:t>
      </w:r>
    </w:p>
    <w:p>
      <w:pPr>
        <w:pStyle w:val="BookText"/>
        <w:rPr/>
      </w:pPr>
      <w:r>
        <w:rPr>
          <w:rFonts w:ascii="IRNazanin" w:hAnsi="IRNazanin" w:eastAsia="IRNazanin"/>
          <w:color w:val="111111"/>
          <w:sz w:val="28"/>
          <w:sz w:val="28"/>
          <w:szCs w:val="28"/>
          <w:rtl w:val="true"/>
          <w:lang w:bidi="fa-IR"/>
        </w:rPr>
        <w:t>أقوالاً فی النفی و الإثبات لاتنقل عن أحد منهم أصلاً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2295371_2035185390"/>
      <w:bookmarkStart w:id="319" w:name="_Toc115"/>
      <w:bookmarkEnd w:id="318"/>
      <w:r>
        <w:rPr>
          <w:rtl w:val="true"/>
        </w:rPr>
        <w:t>[</w:t>
      </w:r>
      <w:r>
        <w:rPr>
          <w:rtl w:val="true"/>
        </w:rPr>
        <w:t>منشأ آخر للأقاویل المنسوبة إلی شیوخ الشیعة</w:t>
      </w:r>
      <w:r>
        <w:rPr>
          <w:rtl w:val="true"/>
        </w:rPr>
        <w:t>]</w:t>
      </w:r>
      <w:bookmarkEnd w:id="319"/>
    </w:p>
    <w:p>
      <w:pPr>
        <w:pStyle w:val="BookText"/>
        <w:rPr/>
      </w:pPr>
      <w:r>
        <w:rPr>
          <w:rFonts w:ascii="IRNazanin" w:hAnsi="IRNazanin" w:eastAsia="IRNazanin"/>
          <w:color w:val="111111"/>
          <w:sz w:val="28"/>
          <w:sz w:val="28"/>
          <w:szCs w:val="28"/>
          <w:rtl w:val="true"/>
          <w:lang w:bidi="fa-IR"/>
        </w:rPr>
        <w:t xml:space="preserve">و هناک منشأ آخر لانتساب أمثال هذه الأقاویل إلی شیوخ الشیعة لم یسبق له تعرّض فیما تقدّم، و هو أنّ المشهورین بالفضل من أصحاب الأئمّة علیهم‌السلام و أهل الفقه و النظر منهم کان یتّفق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أنظارهم الاجتهادیّة و استقلالهم بآرائهم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w:t>
      </w:r>
    </w:p>
    <w:p>
      <w:pPr>
        <w:pStyle w:val="BookText"/>
        <w:rPr/>
      </w:pPr>
      <w:r>
        <w:rPr>
          <w:rFonts w:ascii="IRNazanin" w:hAnsi="IRNazanin" w:eastAsia="IRNazanin"/>
          <w:color w:val="111111"/>
          <w:sz w:val="28"/>
          <w:sz w:val="28"/>
          <w:szCs w:val="28"/>
          <w:rtl w:val="true"/>
          <w:lang w:bidi="fa-IR"/>
        </w:rPr>
        <w:t xml:space="preserve">نظریّة، و ربّما کان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و الأخبار المأثورة خلاف ما یفهمه آخرون، أو یری شیئا غلوّا أو تفویضا بینما لایراه الآخر کذلک، أو تتّصل به روایة مرویّة فیراها</w:t>
      </w:r>
    </w:p>
    <w:p>
      <w:pPr>
        <w:pStyle w:val="BookText"/>
        <w:rPr/>
      </w:pPr>
      <w:r>
        <w:rPr>
          <w:rFonts w:ascii="IRNazanin" w:hAnsi="IRNazanin" w:eastAsia="IRNazanin"/>
          <w:color w:val="111111"/>
          <w:sz w:val="28"/>
          <w:sz w:val="28"/>
          <w:szCs w:val="28"/>
          <w:rtl w:val="true"/>
          <w:lang w:bidi="fa-IR"/>
        </w:rPr>
        <w:t>صدقا فیقطع بها و یأخذ بمضمونها، مع أنّ الآخر یضعّف راویها و لایعتمد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باب القدح و الذمّ مفتوحا، ممّا کان یؤول فی غالب الأحیان إلی المنافرة و الهجران، و إیقاع بعضهم القول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کثیر من هؤلاء فی الردّ علی مخالفیهم من الشیعة کتبا کثیرة، فعدّ أهل الرجال من کتب سعد بن عبد اللّه الأشعریّ القمّیّ کتاب مثالب هشام و یونس، و کتاب الردّ علی علیّ بن إبراهیم فی معنی هشام و یونس، و کتاب مثالب رواة الحدیث</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لیعقوب بن یزید الأنباریّ کتاب الطعن علی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 اللّه بن جعفر الحِمیَریّ کتاب ما بین هشام بن الحکم و هشام بن سالم</w:t>
      </w:r>
      <w:r>
        <w:rPr>
          <w:rStyle w:val="FootnoteAnchor"/>
          <w:rtl w:val="true"/>
        </w:rPr>
        <w:footnoteReference w:id="566"/>
      </w:r>
      <w:r>
        <w:rPr>
          <w:rFonts w:ascii="IRNazanin" w:hAnsi="IRNazanin" w:eastAsia="IRNazanin"/>
          <w:color w:val="111111"/>
          <w:sz w:val="28"/>
          <w:sz w:val="28"/>
          <w:szCs w:val="28"/>
          <w:rtl w:val="true"/>
          <w:lang w:bidi="fa-IR"/>
        </w:rPr>
        <w:t>، إلی کثیر غیر هذه المذکورات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تأمّل ما نقلوه فی تراجم جماعة من أجلاّء الشیعة ممّن أدرکوا عصر الأئمّة علیهم‌السلام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کهشام بن الحکم و هشام بن سالم و محمّد بن أبی عمیر و یونس بن عبد الرحمن و الفضل بن شاذان و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 مبلغ التنافر و التنابذ الحاصل بینهم و بین آخرین من معاصریهم و غیرهم، مع أنّ هؤلاء المعدودین کانوا من أهل الفضل و الجلالة و العلم،</w:t>
      </w:r>
    </w:p>
    <w:p>
      <w:pPr>
        <w:pStyle w:val="BookText"/>
        <w:rPr/>
      </w:pPr>
      <w:r>
        <w:rPr>
          <w:rFonts w:ascii="IRNazanin" w:hAnsi="IRNazanin" w:eastAsia="IRNazanin"/>
          <w:color w:val="111111"/>
          <w:sz w:val="28"/>
          <w:sz w:val="28"/>
          <w:szCs w:val="28"/>
          <w:rtl w:val="true"/>
          <w:lang w:bidi="fa-IR"/>
        </w:rPr>
        <w:t>و کان یختصّ بکلّ منهم جماعة یتلقّون منهم الفقه و الروایات و أحکام الدین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أیضا أنّ بعض ما کان یظهر منهم فی مقام الجدال و المعارضة و إلزام الخصوم و التبکیت لهم، کانوا یسندونها إلیهم لأجل التشنیع، و یتّخذون لازم الکلام الصادر منهم مذهبا و نحلة لهم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الأسباب القویّة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الرواة الذین رَوَوا شیئا من الأخبار کانوا ممّن</w:t>
      </w:r>
    </w:p>
    <w:p>
      <w:pPr>
        <w:pStyle w:val="BookText"/>
        <w:rPr/>
      </w:pPr>
      <w:r>
        <w:rPr>
          <w:rFonts w:ascii="IRNazanin" w:hAnsi="IRNazanin" w:eastAsia="IRNazanin"/>
          <w:color w:val="111111"/>
          <w:sz w:val="28"/>
          <w:sz w:val="28"/>
          <w:szCs w:val="28"/>
          <w:rtl w:val="true"/>
          <w:lang w:bidi="fa-IR"/>
        </w:rPr>
        <w:t>ینتحلون مذاهب فاسدة، ثمّ ظهر لهم فساد ما یعتقدونه و رجعوا إلی الحقّ و القول بالإمامة، لکنّ کتبهم و مرویّاتهم بقیت فی أیدی الناس، و فیها تلک المقالات الزائغة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علل انتساب تلک الأقاویل إلی الشیعة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تشتهر و تُتَداول بین الناس بسبب انتشار الروایة، و کثرة الرحلة إلی أطراف البلاد لأخذ الآثار</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وصلت هذه کلّها بعد مضیّ الزمن و اختفاء القرائن و الخصوصیّات بتقادم</w:t>
      </w:r>
    </w:p>
    <w:p>
      <w:pPr>
        <w:pStyle w:val="BookText"/>
        <w:rPr/>
      </w:pPr>
      <w:r>
        <w:rPr>
          <w:rFonts w:ascii="Amiri" w:hAnsi="Amiri" w:eastAsia="Amiri" w:cs="Amiri"/>
          <w:color w:val="111111"/>
          <w:sz w:val="28"/>
          <w:sz w:val="28"/>
          <w:szCs w:val="28"/>
          <w:rtl w:val="true"/>
          <w:lang w:bidi="ar-SA"/>
        </w:rPr>
        <w:t>العهد إلی جمع من الأخباریّین و جمّاع السِّیَر الذین کان همّهم مجرّد جمع الروایات</w:t>
      </w:r>
    </w:p>
    <w:p>
      <w:pPr>
        <w:pStyle w:val="BookText"/>
        <w:rPr/>
      </w:pPr>
      <w:r>
        <w:rPr>
          <w:rFonts w:ascii="IRNazanin" w:hAnsi="IRNazanin" w:eastAsia="IRNazanin"/>
          <w:color w:val="111111"/>
          <w:sz w:val="28"/>
          <w:sz w:val="28"/>
          <w:szCs w:val="28"/>
          <w:rtl w:val="true"/>
          <w:lang w:bidi="fa-IR"/>
        </w:rPr>
        <w:t xml:space="preserve">و کثرة المرویّات و المسموعات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عن الضعفاء أو المجاهیل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کتابتها و تقییدها، بدون اعتناء بنقدها و تمحیصها و استخلاص صوابها من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و أمثال هؤلاء تلقّاها المؤلّفون فی المقالات و حکایة آراء الفرق و أهلها، و هم علی ما ألمَمنا بطرف منه فیما مضی، فجاء المتأخّرون منهم، فرأوا تلک الکتب و تلک المسطورات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طیّاتها، فزعموها انتسابات صحیحة، لها قسطها من الصحّة و نصیبها من الواقع</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4793_55828"/>
      <w:bookmarkStart w:id="321" w:name="pg4793_55828"/>
      <w:bookmarkEnd w:id="321"/>
    </w:p>
    <w:p>
      <w:pPr>
        <w:pStyle w:val="Heading2"/>
        <w:numPr>
          <w:ilvl w:val="1"/>
          <w:numId w:val="1"/>
        </w:numPr>
        <w:rPr/>
      </w:pPr>
      <w:bookmarkStart w:id="322" w:name="pg4793_55828"/>
      <w:bookmarkStart w:id="323" w:name="__RefHeading___Toc2295373_2035185390"/>
      <w:bookmarkStart w:id="324" w:name="_Toc116"/>
      <w:bookmarkEnd w:id="322"/>
      <w:bookmarkEnd w:id="323"/>
      <w:r>
        <w:rPr>
          <w:rtl w:val="true"/>
        </w:rPr>
        <w:t>الباب الرابع</w:t>
      </w:r>
      <w:r>
        <w:rPr>
          <w:rtl w:val="true"/>
        </w:rPr>
        <w:t xml:space="preserve">: </w:t>
      </w:r>
      <w:r>
        <w:rPr>
          <w:rtl w:val="true"/>
        </w:rPr>
        <w:t>الشیعة و فروع الدین</w:t>
      </w:r>
      <w:bookmarkEnd w:id="324"/>
    </w:p>
    <w:p>
      <w:pPr>
        <w:pStyle w:val="Heading3"/>
        <w:numPr>
          <w:ilvl w:val="2"/>
          <w:numId w:val="1"/>
        </w:numPr>
        <w:rPr/>
      </w:pPr>
      <w:bookmarkStart w:id="325" w:name="__RefHeading___Toc2295375_2035185390"/>
      <w:bookmarkStart w:id="326" w:name="_Toc117"/>
      <w:bookmarkEnd w:id="325"/>
      <w:r>
        <w:rPr>
          <w:rtl w:val="true"/>
        </w:rPr>
        <w:t>اشارة</w:t>
      </w:r>
      <w:bookmarkEnd w:id="3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4793_55831"/>
      <w:bookmarkStart w:id="328" w:name="pg4793_55831"/>
      <w:bookmarkEnd w:id="328"/>
    </w:p>
    <w:p>
      <w:pPr>
        <w:pStyle w:val="Heading3"/>
        <w:numPr>
          <w:ilvl w:val="2"/>
          <w:numId w:val="1"/>
        </w:numPr>
        <w:rPr/>
      </w:pPr>
      <w:bookmarkStart w:id="329" w:name="pg4793_55831"/>
      <w:bookmarkStart w:id="330" w:name="__RefHeading___Toc2295377_2035185390"/>
      <w:bookmarkStart w:id="331" w:name="_Toc118"/>
      <w:bookmarkEnd w:id="329"/>
      <w:bookmarkEnd w:id="330"/>
      <w:r>
        <w:rPr>
          <w:rtl w:val="true"/>
        </w:rPr>
        <w:t>[</w:t>
      </w:r>
      <w:r>
        <w:rPr>
          <w:rtl w:val="true"/>
        </w:rPr>
        <w:t>مقدّمة</w:t>
      </w:r>
      <w:r>
        <w:rPr>
          <w:rtl w:val="true"/>
        </w:rPr>
        <w:t>]</w:t>
      </w:r>
      <w:bookmarkEnd w:id="331"/>
    </w:p>
    <w:p>
      <w:pPr>
        <w:pStyle w:val="BookText"/>
        <w:rPr/>
      </w:pPr>
      <w:r>
        <w:rPr>
          <w:rFonts w:ascii="IRNazanin" w:hAnsi="IRNazanin" w:eastAsia="IRNazanin"/>
          <w:color w:val="111111"/>
          <w:sz w:val="28"/>
          <w:sz w:val="28"/>
          <w:szCs w:val="28"/>
          <w:rtl w:val="true"/>
          <w:lang w:bidi="fa-IR"/>
        </w:rPr>
        <w:t>الشیعة الإمامیّة فی الفروع و أحکام الشرع یرجعون إلی الکتاب و السنّة و إلی ما یَرجِع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لایعتمدون علی غیرهما من القیاس و الاستحسان و الآراء الظنّیّة و نظائرهما ممّا لم تثبت حجّیّته بطریق یوجب القطع و الیقین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المتکفّل لبیان الأحکام الشرعیّة بأقسامها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العبادات و العقود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یبحث عنها فیه، هو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یستفرغ الوسع فی تحصیل تلک الأحکام من مدارکها هو الفقیه أو المجتهد، و غیره یرجع إلیه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القواعد التی یستعملها المجتهد فی استنباط الأحکام و أخذها من أصول الکتاب و السنّة و ما یؤول إلیهما هو فنّ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نشیر إلی شیء من هذه الأمور بعد</w:t>
      </w:r>
    </w:p>
    <w:p>
      <w:pPr>
        <w:pStyle w:val="BookText"/>
        <w:rPr/>
      </w:pPr>
      <w:r>
        <w:rPr>
          <w:rFonts w:ascii="IRNazanin" w:hAnsi="IRNazanin" w:eastAsia="IRNazanin"/>
          <w:color w:val="111111"/>
          <w:sz w:val="28"/>
          <w:sz w:val="28"/>
          <w:szCs w:val="28"/>
          <w:rtl w:val="true"/>
          <w:lang w:bidi="fa-IR"/>
        </w:rPr>
        <w:t>الإشارة إلی کلّیّات من طریقة الشیعة، و حال الأئمّة فی بیان الأحکام الشرعیّة علی 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 المقام لبیانه إن شاء اللّه تعالی، و ذلک فی ضمن فصول</w:t>
      </w:r>
      <w:r>
        <w:rPr>
          <w:rFonts w:eastAsia="IRNazanin" w:cs="IRNazanin"/>
          <w:color w:val="111111"/>
          <w:sz w:val="28"/>
          <w:szCs w:val="28"/>
          <w:rtl w:val="true"/>
          <w:lang w:bidi="fa-IR"/>
        </w:rPr>
        <w:t xml:space="preserve">. </w:t>
      </w:r>
      <w:bookmarkStart w:id="332" w:name="pg4793_55833"/>
    </w:p>
    <w:p>
      <w:pPr>
        <w:pStyle w:val="Heading3"/>
        <w:numPr>
          <w:ilvl w:val="2"/>
          <w:numId w:val="1"/>
        </w:numPr>
        <w:rPr/>
      </w:pPr>
      <w:bookmarkStart w:id="333" w:name="__RefHeading___Toc2295379_2035185390"/>
      <w:bookmarkStart w:id="334" w:name="_Toc119"/>
      <w:bookmarkEnd w:id="332"/>
      <w:bookmarkEnd w:id="333"/>
      <w:r>
        <w:rPr>
          <w:rtl w:val="true"/>
        </w:rPr>
        <w:t>الفصل الأوّل</w:t>
      </w:r>
      <w:r>
        <w:rPr>
          <w:rtl w:val="true"/>
        </w:rPr>
        <w:t xml:space="preserve">: </w:t>
      </w:r>
      <w:r>
        <w:rPr>
          <w:rtl w:val="true"/>
        </w:rPr>
        <w:t>الأئمّة علیهم‌السلام و بیان الأحکام و الواقعیّات</w:t>
      </w:r>
      <w:bookmarkEnd w:id="334"/>
    </w:p>
    <w:p>
      <w:pPr>
        <w:pStyle w:val="Heading4"/>
        <w:numPr>
          <w:ilvl w:val="3"/>
          <w:numId w:val="1"/>
        </w:numPr>
        <w:rPr/>
      </w:pPr>
      <w:bookmarkStart w:id="335" w:name="__RefHeading___Toc2295381_2035185390"/>
      <w:bookmarkStart w:id="336" w:name="_Toc120"/>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إنّ جماعة من مخالفی الشیعة ممّن لم یُعطُوا النظر حقّه قد أوردوا علی مذهب الإمامیّة ما یتراءی من وقوع الاختلاف بینهم فی غالب أبواب الفروع و أحکام الشریعة، معلّلین ذلک بأنّ الإمامیّة یزعمون أنّ الأحکام الشرعیّة ممّا یثبت بالنصوص عن صاحب</w:t>
      </w:r>
    </w:p>
    <w:p>
      <w:pPr>
        <w:pStyle w:val="BookText"/>
        <w:rPr/>
      </w:pPr>
      <w:r>
        <w:rPr>
          <w:rFonts w:ascii="IRNazanin" w:hAnsi="IRNazanin" w:eastAsia="IRNazanin"/>
          <w:color w:val="111111"/>
          <w:sz w:val="28"/>
          <w:sz w:val="28"/>
          <w:szCs w:val="28"/>
          <w:rtl w:val="true"/>
          <w:lang w:bidi="fa-IR"/>
        </w:rPr>
        <w:t>الشریعة صلی‌الله‌علیه‌و‌آله، و یدّعون أنّه صلی‌الله‌علیه‌و‌آلهبیّن لأمّته قاطبة ما یحتاجون إلیه، و أنّه استودع علم ذلک کلّه عند أوصیائه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الأحکام مأثورة محفوظة عند الأئمّة القائمین مقام</w:t>
      </w:r>
    </w:p>
    <w:p>
      <w:pPr>
        <w:pStyle w:val="BookText"/>
        <w:rPr/>
      </w:pPr>
      <w:r>
        <w:rPr>
          <w:rFonts w:ascii="IRNazanin" w:hAnsi="IRNazanin" w:eastAsia="IRNazanin"/>
          <w:color w:val="111111"/>
          <w:sz w:val="28"/>
          <w:sz w:val="28"/>
          <w:szCs w:val="28"/>
          <w:rtl w:val="true"/>
          <w:lang w:bidi="fa-IR"/>
        </w:rPr>
        <w:t>النبیّ صلی‌الله‌علیه‌و‌آله فی حفظ الشرع و بیان أحکامه، کان من اللازم إظهار ما عندهم من ذلک لئلاّ یقع فیها اختلاف و لایبقی مجال للتفرّق</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لأجل تحقیق الواقع یجب التعمّق قلیلاً فیما أورده أهل الآثار و السِّیَر من قضایا الصدر الأوّل إلی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صار مرجع الشیعة فی العمل فیها تلک الأخبار و الأحکام المأثورة المنتهیة إلیهم بواسطة الرواة و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نطّلع علی مقدار ما کان للأئمّة علیهم‌السلام من التفرّغ لإظهار الحقّ و التمکّن من نشر الأحکام و إذاعة ما عندهم من واقعیّات الحلال و الحرام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لزیادة التثبّت فی البحث التحلیلیّ نری من اللازم أن نشیر إشارة إجمالیّة إلی حالات أشخاص الأئمّة علیهم‌السلام و أوضاع عصورهم و أزمنتهم بحسب التمکّن من بیان </w:t>
      </w:r>
      <w:bookmarkStart w:id="337" w:name="pg4793_55835"/>
    </w:p>
    <w:p>
      <w:pPr>
        <w:pStyle w:val="BookText"/>
        <w:rPr/>
      </w:pPr>
      <w:bookmarkEnd w:id="337"/>
      <w:r>
        <w:rPr>
          <w:rFonts w:ascii="IRNazanin" w:hAnsi="IRNazanin" w:eastAsia="IRNazanin"/>
          <w:color w:val="111111"/>
          <w:sz w:val="28"/>
          <w:sz w:val="28"/>
          <w:szCs w:val="28"/>
          <w:rtl w:val="true"/>
          <w:lang w:bidi="fa-IR"/>
        </w:rPr>
        <w:t>الأحکام علی واقعیّاتها و عدمه، حتّی ننتقل من ذلک إلی علل اختلاف الأخبار المأثورة عنهم علیهم‌السلام، ثمّ إلی أنّ اختلاف الإمامیّة فی باب الفروع و أحکام الدین هل هو ناشئ من ذلک و منحصر فی هذه الجهة، أو له وراء ذلک علل و أسباب معقولة، حتّی یتّضح صریح الحقیقة من ثنا یاها ؟</w:t>
      </w:r>
    </w:p>
    <w:p>
      <w:pPr>
        <w:pStyle w:val="Heading4"/>
        <w:numPr>
          <w:ilvl w:val="3"/>
          <w:numId w:val="1"/>
        </w:numPr>
        <w:rPr/>
      </w:pPr>
      <w:bookmarkStart w:id="338" w:name="__RefHeading___Toc2295383_2035185390"/>
      <w:bookmarkStart w:id="339" w:name="_Toc121"/>
      <w:bookmarkEnd w:id="338"/>
      <w:r>
        <w:rPr>
          <w:rtl w:val="true"/>
        </w:rPr>
        <w:t>[</w:t>
      </w:r>
      <w:r>
        <w:rPr>
          <w:rtl w:val="true"/>
        </w:rPr>
        <w:t>دور أمیر المؤمنین علیه‌السلام فی بیان الأحکام</w:t>
      </w:r>
      <w:r>
        <w:rPr>
          <w:rtl w:val="true"/>
        </w:rPr>
        <w:t>]</w:t>
      </w:r>
      <w:bookmarkEnd w:id="339"/>
    </w:p>
    <w:p>
      <w:pPr>
        <w:pStyle w:val="BookText"/>
        <w:rPr/>
      </w:pPr>
      <w:r>
        <w:rPr>
          <w:rFonts w:ascii="IRNazanin" w:hAnsi="IRNazanin" w:eastAsia="IRNazanin"/>
          <w:color w:val="111111"/>
          <w:sz w:val="28"/>
          <w:sz w:val="28"/>
          <w:szCs w:val="28"/>
          <w:rtl w:val="true"/>
          <w:lang w:bidi="fa-IR"/>
        </w:rPr>
        <w:t>أمّا أمیر المؤمنین فأیّام حیاته بعد رسول اللّه صلی‌الله‌علیه‌و‌آله تنقسم إلی زمانٍ عاصر فیه المتقدّمین علیه من الخلفاء، و إلی عصرٍ آل أمر الخلافة ظاهرا إلیه و تحمّل أعباء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حاله فی الزمان الأوّل معلوم تکفّلت کتب الآثار ببیانه مفصّلاً ؛ فإنّه ما زال فی طول ذلک الزمان فی حال مداراة للقوم و مماشاة لهم فی مجاری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لاینازعهم فی سلطانهم و لایخالفهم فی شیء من آرائهم ؛ حیاطة علی الإسلام و إشفاقا علی الدین لئلاّ یرتدّ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حدیثو عهد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اختلاف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أنّه علیه‌السلام کان یری الخلافة حقّا ثابتا له، کان مراعاة هذه المصلحة فی حفظ الدیانة الإسلامیّة أعظم عنده من خروج</w:t>
      </w:r>
    </w:p>
    <w:p>
      <w:pPr>
        <w:pStyle w:val="BookText"/>
        <w:rPr/>
      </w:pPr>
      <w:r>
        <w:rPr>
          <w:rFonts w:ascii="IRNazanin" w:hAnsi="IRNazanin" w:eastAsia="IRNazanin"/>
          <w:color w:val="111111"/>
          <w:sz w:val="28"/>
          <w:sz w:val="28"/>
          <w:szCs w:val="28"/>
          <w:rtl w:val="true"/>
          <w:lang w:bidi="fa-IR"/>
        </w:rPr>
        <w:t>الأمر من یده ظاهرا</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صلی‌الله‌علیه‌و‌آله، فخشیت إن لم أنصر الإسلام و أهله أن أری فیه ثلما أو هَدما تکون المصیبة به علَیّ أعظم من فوت ولایتکم التی إنّما هی متاع أیّام قلائل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بشرح الشیخ محمّد عبده </w:t>
      </w:r>
      <w:r>
        <w:rPr>
          <w:rFonts w:eastAsia="IRNazanin" w:cs="IRNazanin"/>
          <w:color w:val="111111"/>
          <w:sz w:val="28"/>
          <w:szCs w:val="28"/>
          <w:lang w:bidi="fa-IR"/>
        </w:rPr>
        <w:t>3/119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اتّفقت فی أثناء ذلک الزمان الممتدّ الذی عاصر فیه هؤلاء القوم جملة قضایا و حوادث، و جرت أمور و وقائع بحسب ما کان یقع من الحوادث و یتجدّد من الأوضاع، حکموا فیها بمقتضی آرائهم و بحسب ما کانوا یرونه من المصالح ممّا کان مخالفا لرأیه و لما عنده من الحکم، فاجتمعت بسبب ذلک جملة أحکام جری الناس علیها و عملوا بها و اتّخذوها سنّة و سیرة و صارت لهم مذهبا و دیانة یتدیّنون بصحّتها و التبدیع لمن یخالفها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علی ذلک من جاء بعد ذلک الزمان و مَن دخل فی الدیانة من أصناف الأمم،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مضی الجمهور الأعظم منهم علیها لموافقتها لحال الوسط و المجتمع و مطابقتها میوله </w:t>
      </w:r>
      <w:bookmarkStart w:id="340" w:name="pg4793_55837"/>
    </w:p>
    <w:p>
      <w:pPr>
        <w:pStyle w:val="BookText"/>
        <w:rPr/>
      </w:pPr>
      <w:bookmarkEnd w:id="340"/>
      <w:r>
        <w:rPr>
          <w:rFonts w:ascii="IRNazanin" w:hAnsi="IRNazanin" w:eastAsia="IRNazanin"/>
          <w:color w:val="111111"/>
          <w:sz w:val="28"/>
          <w:sz w:val="28"/>
          <w:szCs w:val="28"/>
          <w:rtl w:val="true"/>
          <w:lang w:bidi="fa-IR"/>
        </w:rPr>
        <w:t>و أذواقه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الأمور فی مجاریها و اعتاد الناس علیها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انقضی ذلک الزمان بانقضاء عصر مَن تقدّمه من الخلفاء، و قام بالأمر و تحمّل أعباء الخلافة بعد تعلّل منه و امتناع</w:t>
      </w:r>
      <w:r>
        <w:rPr>
          <w:rStyle w:val="FootnoteAnchor"/>
          <w:rtl w:val="true"/>
        </w:rPr>
        <w:footnoteReference w:id="574"/>
      </w:r>
      <w:r>
        <w:rPr>
          <w:rFonts w:ascii="IRNazanin" w:hAnsi="IRNazanin" w:eastAsia="IRNazanin"/>
          <w:color w:val="111111"/>
          <w:sz w:val="28"/>
          <w:sz w:val="28"/>
          <w:szCs w:val="28"/>
          <w:rtl w:val="true"/>
          <w:lang w:bidi="fa-IR"/>
        </w:rPr>
        <w:t>، و ذلک لِما کان یراه من صعوبة القیام بذلک الأمر من جهة إقبال الفتن و انفتاح أبوابها، فلم یکن من الأمر الهیّن حین ذلک تغییر تلک الأمور</w:t>
      </w:r>
    </w:p>
    <w:p>
      <w:pPr>
        <w:pStyle w:val="BookText"/>
        <w:rPr/>
      </w:pPr>
      <w:r>
        <w:rPr>
          <w:rFonts w:ascii="IRNazanin" w:hAnsi="IRNazanin" w:eastAsia="IRNazanin"/>
          <w:color w:val="111111"/>
          <w:sz w:val="28"/>
          <w:sz w:val="28"/>
          <w:szCs w:val="28"/>
          <w:rtl w:val="true"/>
          <w:lang w:bidi="fa-IR"/>
        </w:rPr>
        <w:t>و حمل الناس علی ترک ما نشأوا علیه و اعتادوه، لاسیّما أنّ ذلک التغییر و نقض أحکام</w:t>
      </w:r>
    </w:p>
    <w:p>
      <w:pPr>
        <w:pStyle w:val="BookText"/>
        <w:rPr/>
      </w:pPr>
      <w:r>
        <w:rPr>
          <w:rFonts w:ascii="IRNazanin" w:hAnsi="IRNazanin" w:eastAsia="IRNazanin"/>
          <w:color w:val="111111"/>
          <w:sz w:val="28"/>
          <w:sz w:val="28"/>
          <w:szCs w:val="28"/>
          <w:rtl w:val="true"/>
          <w:lang w:bidi="fa-IR"/>
        </w:rPr>
        <w:t>السابقین کان متضمّنا لنوع تضلیل لهم و تخطئة لآرائهم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الناس ممّن أذعنوا بخلافته و دانوا ببیعته کانوا یرون لهم من السوابق الحسنة و فضیلة الصحبة و التقدّم فی الإسلام ما یرونه، و یعتقدون أنّ سنّتهم الجاریة و طریقتهم المسلوکة هی الطریقة المثلی</w:t>
      </w:r>
    </w:p>
    <w:p>
      <w:pPr>
        <w:pStyle w:val="BookText"/>
        <w:rPr/>
      </w:pPr>
      <w:r>
        <w:rPr>
          <w:rFonts w:ascii="IRNazanin" w:hAnsi="IRNazanin" w:eastAsia="IRNazanin"/>
          <w:color w:val="111111"/>
          <w:sz w:val="28"/>
          <w:sz w:val="28"/>
          <w:szCs w:val="28"/>
          <w:rtl w:val="true"/>
          <w:lang w:bidi="fa-IR"/>
        </w:rPr>
        <w:t>و المنهاج الذی ینبغی أن تجری الأمور علیه، و أنّ الغایة لمن یأتی بعدهم هو اتّباع سننهم</w:t>
      </w:r>
    </w:p>
    <w:p>
      <w:pPr>
        <w:pStyle w:val="BookText"/>
        <w:rPr/>
      </w:pPr>
      <w:r>
        <w:rPr>
          <w:rFonts w:ascii="IRNazanin" w:hAnsi="IRNazanin" w:eastAsia="IRNazanin"/>
          <w:color w:val="111111"/>
          <w:sz w:val="28"/>
          <w:sz w:val="28"/>
          <w:szCs w:val="28"/>
          <w:rtl w:val="true"/>
          <w:lang w:bidi="fa-IR"/>
        </w:rPr>
        <w:t>و الاقتفاء لآثارهم</w:t>
      </w:r>
      <w:r>
        <w:rPr>
          <w:rFonts w:eastAsia="IRNazanin" w:cs="IRNazanin"/>
          <w:color w:val="111111"/>
          <w:sz w:val="28"/>
          <w:szCs w:val="28"/>
          <w:rtl w:val="true"/>
          <w:lang w:bidi="fa-IR"/>
        </w:rPr>
        <w:t>.</w:t>
      </w:r>
    </w:p>
    <w:p>
      <w:pPr>
        <w:pStyle w:val="Heading4"/>
        <w:numPr>
          <w:ilvl w:val="3"/>
          <w:numId w:val="1"/>
        </w:numPr>
        <w:rPr/>
      </w:pPr>
      <w:bookmarkStart w:id="341" w:name="__RefHeading___Toc2295385_2035185390"/>
      <w:bookmarkStart w:id="342" w:name="_Toc122"/>
      <w:bookmarkEnd w:id="341"/>
      <w:r>
        <w:rPr>
          <w:rtl w:val="true"/>
        </w:rPr>
        <w:t>[</w:t>
      </w:r>
      <w:r>
        <w:rPr>
          <w:rtl w:val="true"/>
        </w:rPr>
        <w:t>المِحَن التی منعت الإمام من تغییر البدع</w:t>
      </w:r>
      <w:r>
        <w:rPr>
          <w:rtl w:val="true"/>
        </w:rPr>
        <w:t>]</w:t>
      </w:r>
      <w:bookmarkEnd w:id="342"/>
    </w:p>
    <w:p>
      <w:pPr>
        <w:pStyle w:val="BookText"/>
        <w:rPr/>
      </w:pPr>
      <w:r>
        <w:rPr>
          <w:rFonts w:ascii="IRNazanin" w:hAnsi="IRNazanin" w:eastAsia="IRNazanin"/>
          <w:color w:val="111111"/>
          <w:sz w:val="28"/>
          <w:sz w:val="28"/>
          <w:szCs w:val="28"/>
          <w:rtl w:val="true"/>
          <w:lang w:bidi="fa-IR"/>
        </w:rPr>
        <w:t>فکان قصاری أمره علیه‌السلام أن یقرّ أحکام القوم و یحافظ علیها، فلم یَسَعه لأجل ذلک تغییر لها إلاّ فی أمور طفیفة و وقائع ضئیلة، عُلم بشاهد الحال أنّ الخلاف فیها لایورث</w:t>
      </w:r>
    </w:p>
    <w:p>
      <w:pPr>
        <w:pStyle w:val="BookText"/>
        <w:rPr/>
      </w:pPr>
      <w:r>
        <w:rPr>
          <w:rFonts w:ascii="Amiri" w:hAnsi="Amiri" w:eastAsia="Amiri" w:cs="Amiri"/>
          <w:color w:val="111111"/>
          <w:sz w:val="28"/>
          <w:sz w:val="28"/>
          <w:szCs w:val="28"/>
          <w:rtl w:val="true"/>
          <w:lang w:bidi="ar-SA"/>
        </w:rPr>
        <w:t>للناس نفورا و لا وحشة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أردت زیادة تثبّتٍ فی ذلک ففی مراجعة الآثار شواهد کثیرة ؛ فقد نهی الناسَ </w:t>
      </w:r>
    </w:p>
    <w:p>
      <w:pPr>
        <w:pStyle w:val="BookText"/>
        <w:rPr/>
      </w:pPr>
      <w:r>
        <w:rPr>
          <w:rFonts w:ascii="IRNazanin" w:hAnsi="IRNazanin" w:eastAsia="IRNazanin"/>
          <w:color w:val="111111"/>
          <w:sz w:val="28"/>
          <w:sz w:val="28"/>
          <w:szCs w:val="28"/>
          <w:rtl w:val="true"/>
          <w:lang w:bidi="fa-IR"/>
        </w:rPr>
        <w:t>عن الصلاة جماعة فی نافلة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کان ممّا نهی عنه رسول اللّه صلی‌الله‌علیه‌و‌آله أیضا فی زمانه، إذ قام علی المنبر خطیبا و نصّ علی ملأ من الناس أنّها بدعة و ضلالة، فترکها الناس فی زمانه صلی‌الله‌علیه‌و‌آلهو زمان أبی بکر و برهة من زمن عمر، و لکنّ عمر أذِن فی ذلک لرأی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أمیر المؤمنین علیه‌السلام أن یغیّرها و یردّ الأمر إلی ما کان علیه فی عهد رسول اللّه صلی‌الله‌علیه‌و‌آله و یحمل الناس علی ترکها، لم یقبلوا منه و امتنعوا عن ذلک</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عزل شُریح عن القضاء، فامتنع علیه أهل الکوفة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لاتعزله؛ لأنّه منصوب من قِبَل عمر</w:t>
      </w:r>
      <w:r>
        <w:rPr>
          <w:rStyle w:val="FootnoteAnchor"/>
          <w:rtl w:val="true"/>
        </w:rPr>
        <w:footnoteReference w:id="576"/>
      </w:r>
      <w:r>
        <w:rPr>
          <w:rFonts w:ascii="IRNazanin" w:hAnsi="IRNazanin" w:eastAsia="IRNazanin"/>
          <w:color w:val="111111"/>
          <w:sz w:val="28"/>
          <w:sz w:val="28"/>
          <w:szCs w:val="28"/>
          <w:rtl w:val="true"/>
          <w:lang w:bidi="fa-IR"/>
        </w:rPr>
        <w:t xml:space="preserve">، مع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مرجوع إلیه، و کان فی زمانه و کان له التصرّف فیه بما یراه مصلحة کما کان ذلک لمن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المنبر فی خصوص أُمّهات الأولاد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رأیی و رأی عمر أن لایُبَعنَ، و أنا أری الآن بیعهنّ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عبیدة السلمانیّ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رأیک مع الجماعة أحبّ إلینا من رأیک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أعاد علیه حرفا</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نظائر من ذلک من أمور نحن فی غنیً عن الإطالة بذکرها، و یجدها المراجع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علیه‌السلام فی أیّام خلافته تلک القلیلة صار مُمتحَنا بأمور عظام؛ کلّ واحد منها کان کافیا لأن یشغله عن التفرّغ لإظهار الحقّ؛ منها مباینة عائشة بنت أبی بکر له، و لها عند الجمهور مکانتها المعلومة؛ إذ کانت من أمّهات المؤمنین بل أفضل أزواج النبیّ صلی‌الله‌علیه‌و‌آله عندهم، و قد تحمّلوا عنها کثیرا من السنن النبویّة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مباینة طلحة و الزبیر، و هما عندهم نظیراه فی الجلالة، و من الشخصیّات المحفوفة بالسوابق الحسنة و جلائل الأعمال فی الإسلام، و اجتماع الثلاثة علی حربه، و ما کانوا یبذلونه من الجهد فی نقض أمره و التماس الحِیَل فی تفریق جمعه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زاد فی شدّة الأمر من تلک الجهة مَهابةُ الناس دِینا من قتالهم و استعظامهم لقتال أهل القبلة ممّن یصلّی کصلاتهم و یؤذّن کأذانهم و یقیم أحکام الدین و شعائره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اجتراؤه علی سلّ السیف علیهم ما کان یقدم علی ذلک أحد، و قد أشار علیه‌السلام إلی ذلک فی بعض کلماته المأثورة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مُنی بعد ذلک بمعاویة بن أبی سفیان و مَن کان فی حیّزه من الصحابة و مَن اجتمع حوله من وجوه الناس و قیامهم ضدّه، فکان الابتلاء بهم أشدّ و أعظم من الابتلاء بمن سبقهم، إذ کانت سیرته فی کلّ ناحیة من نواحی الأمور مخالفة لسیرته علیه‌السلام الدینیّة العادلة، کما یظهر من مقایسة السیرتین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هو یدسّ الدسائس و یستعمل المکائد حلالها و حرامها، و یستعمل خلاف الکتاب و السنّة، و یسیر بسیرة جبابرة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فیه عمر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کسری و قیصر و دهاءهما، و عندکم معاویة</w:t>
      </w:r>
      <w:r>
        <w:rPr>
          <w:rStyle w:val="FootnoteAnchor"/>
          <w:rtl w:val="true"/>
        </w:rPr>
        <w:footnoteReference w:id="5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الوصول إلی أغراضه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یأبی بتضحیة کلّ ما یقدر علیه، و لو کان من أعظم أصول الدیانة، و یتساهل فی إقامة الحدود الدینیّة مهما شاء حتّی یتمّ له غرضه</w:t>
      </w:r>
    </w:p>
    <w:p>
      <w:pPr>
        <w:pStyle w:val="BookText"/>
        <w:rPr/>
      </w:pPr>
      <w:r>
        <w:rPr>
          <w:rFonts w:ascii="Amiri" w:hAnsi="Amiri" w:eastAsia="Amiri" w:cs="Amiri"/>
          <w:color w:val="111111"/>
          <w:sz w:val="28"/>
          <w:sz w:val="28"/>
          <w:szCs w:val="28"/>
          <w:rtl w:val="true"/>
          <w:lang w:bidi="ar-SA"/>
        </w:rPr>
        <w:t>الدنیویّ</w:t>
      </w:r>
      <w:r>
        <w:rPr>
          <w:rStyle w:val="FootnoteAnchor"/>
          <w:rtl w:val="true"/>
        </w:rPr>
        <w:footnoteReference w:id="582"/>
      </w:r>
      <w:r>
        <w:rPr>
          <w:rFonts w:ascii="IRNazanin" w:hAnsi="IRNazanin" w:eastAsia="IRNazanin"/>
          <w:color w:val="111111"/>
          <w:sz w:val="28"/>
          <w:sz w:val="28"/>
          <w:szCs w:val="28"/>
          <w:rtl w:val="true"/>
          <w:lang w:bidi="fa-IR"/>
        </w:rPr>
        <w:t>، و أمیر المؤمنین علیه‌السلام لایعمل فی مقابل تلک السیرة إلاّ بما یقتضیه الدین، و یوجبه العدل و التقوی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 فی التدقیق فی محاسبة العمّال و یتجنّب أسالیب</w:t>
      </w:r>
    </w:p>
    <w:p>
      <w:pPr>
        <w:pStyle w:val="BookText"/>
        <w:rPr/>
      </w:pPr>
      <w:r>
        <w:rPr>
          <w:rFonts w:ascii="IRNazanin" w:hAnsi="IRNazanin" w:eastAsia="IRNazanin"/>
          <w:color w:val="111111"/>
          <w:sz w:val="28"/>
          <w:sz w:val="28"/>
          <w:szCs w:val="28"/>
          <w:rtl w:val="true"/>
          <w:lang w:bidi="fa-IR"/>
        </w:rPr>
        <w:t>الخداع و 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 و لایمنع إلاّ بالحقّ، و لایضع و لایرفع إلاّ بالکتاب و السنّة،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یسیر بسیرة رسول اللّه فی کلّ أعماله، فکان مقابلةً لأحکام الدین بمصالح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جهادا بین الخلافة الإسلامیّة و الملک الدنیویّ</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انتهت هذه الواقعة بقضیّة التحکیم المعروفة فی التاریخ، التی صارت سببا لانشقاق فرقة الخوارج و قیامهم علیه بکلمة حقّ یراد بها باطل، و ما تعقّبته من نشوب</w:t>
      </w:r>
    </w:p>
    <w:p>
      <w:pPr>
        <w:pStyle w:val="BookText"/>
        <w:rPr/>
      </w:pPr>
      <w:r>
        <w:rPr>
          <w:rFonts w:ascii="IRNazanin" w:hAnsi="IRNazanin" w:eastAsia="IRNazanin"/>
          <w:color w:val="111111"/>
          <w:sz w:val="28"/>
          <w:sz w:val="28"/>
          <w:szCs w:val="28"/>
          <w:rtl w:val="true"/>
          <w:lang w:bidi="fa-IR"/>
        </w:rPr>
        <w:t>وقعة النهروان الهائلة علی التفصیل المعروف من الآثار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الحوادث و الفتن المتّصلة التی کانت کسلسلة مربوطة الحلقات لم یُبقِ له علیه‌السلاممجالاً لأن یستقرّ به الدار و یتفرّغ لإظهار الحقّ و یحمل الناس علی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یَسَعه تتبّع أحکام القوم بالنقض و الإبطال، و معظم العاقدین له الأمر و المسلّمین له ذلک هم أولیاء القوم و أودّاؤهم؟ و یرون إمامته متفرّعةً عن إمامتهم،</w:t>
      </w:r>
    </w:p>
    <w:p>
      <w:pPr>
        <w:pStyle w:val="BookText"/>
        <w:rPr/>
      </w:pPr>
      <w:r>
        <w:rPr>
          <w:rFonts w:ascii="IRNazanin" w:hAnsi="IRNazanin" w:eastAsia="IRNazanin"/>
          <w:color w:val="111111"/>
          <w:sz w:val="28"/>
          <w:sz w:val="28"/>
          <w:szCs w:val="28"/>
          <w:rtl w:val="true"/>
          <w:lang w:bidi="fa-IR"/>
        </w:rPr>
        <w:t>و الطریق إلیها من جهتهم، إذ یزعمون أنّ عقد الإمامة له وقع باختیار منهم، کما وقع للسابقین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فبعد التجاهر بخلاف المتقدّمین، و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أشرنا إلی إجمال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یبثّ الرجال لیشیعوا بین الجمهور ممّن حوله من الموالین للقوم المتدیّنین بصحّة</w:t>
      </w:r>
    </w:p>
    <w:p>
      <w:pPr>
        <w:pStyle w:val="BookText"/>
        <w:rPr/>
      </w:pPr>
      <w:r>
        <w:rPr>
          <w:rFonts w:ascii="IRNazanin" w:hAnsi="IRNazanin" w:eastAsia="IRNazanin"/>
          <w:color w:val="111111"/>
          <w:sz w:val="28"/>
          <w:sz w:val="28"/>
          <w:szCs w:val="28"/>
          <w:rtl w:val="true"/>
          <w:lang w:bidi="fa-IR"/>
        </w:rPr>
        <w:t>إمامتهم و صواب طریقتهم، أنّه یتبرّأ منهم و یضلّلهم و یخطّئهم، و هو یقذفه بدم عثمان</w:t>
      </w:r>
    </w:p>
    <w:p>
      <w:pPr>
        <w:pStyle w:val="BookText"/>
        <w:rPr/>
      </w:pPr>
      <w:r>
        <w:rPr>
          <w:rFonts w:ascii="IRNazanin" w:hAnsi="IRNazanin" w:eastAsia="IRNazanin"/>
          <w:color w:val="111111"/>
          <w:sz w:val="28"/>
          <w:sz w:val="28"/>
          <w:szCs w:val="28"/>
          <w:rtl w:val="true"/>
          <w:lang w:bidi="fa-IR"/>
        </w:rPr>
        <w:t>الخلیفة المقتول عندهم ظلما و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 ذلک مع هذه الأهواء المتشتّتة و الأغراض</w:t>
      </w:r>
    </w:p>
    <w:p>
      <w:pPr>
        <w:pStyle w:val="BookText"/>
        <w:rPr/>
      </w:pPr>
      <w:r>
        <w:rPr>
          <w:rFonts w:ascii="IRNazanin" w:hAnsi="IRNazanin" w:eastAsia="IRNazanin"/>
          <w:color w:val="111111"/>
          <w:sz w:val="28"/>
          <w:sz w:val="28"/>
          <w:szCs w:val="28"/>
          <w:rtl w:val="true"/>
          <w:lang w:bidi="fa-IR"/>
        </w:rPr>
        <w:t>المختلفة؟ فکان یری علیه‌السلاممن السیاسة، بل من السداد و الحکمة، السکوت علی کلّ ذلک حتّی لا تنفصم عُری الوحدة الإسلامیّة و یکون الناس علی وفاق و جماعة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تبوّأ بعده علیه‌السلام معاویة أریکة المُلک، فاستبدّ بأمر الأمّة، و صیّر الخلافة الإسلامیّة مُلکا عضوضا، فاتّخذ فی إطفاء الدعوة الشیعیّة و اجتثات أصلها و إفناء جرثومتها، ما</w:t>
      </w:r>
    </w:p>
    <w:p>
      <w:pPr>
        <w:pStyle w:val="BookText"/>
        <w:rPr/>
      </w:pPr>
      <w:r>
        <w:rPr>
          <w:rFonts w:ascii="IRNazanin" w:hAnsi="IRNazanin" w:eastAsia="IRNazanin"/>
          <w:color w:val="111111"/>
          <w:sz w:val="28"/>
          <w:sz w:val="28"/>
          <w:szCs w:val="28"/>
          <w:rtl w:val="true"/>
          <w:lang w:bidi="fa-IR"/>
        </w:rPr>
        <w:t xml:space="preserve">کان یقدر علیه من الوسائل الفعّالة، فتتّبع هو و ولاته و الدُّهاة من عمّاله و بِطانته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عملوا علی توطید أساس المُلک له و مَشَوا علی خطواته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الشیعة و قتلوهم تحت کلّ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و مدر و قطّعوا الأیدی و الأرجل، و صلّبوا علی جذوع النخل، و شرّدوهم عن </w:t>
      </w:r>
      <w:bookmarkStart w:id="343" w:name="pg4793_55845"/>
    </w:p>
    <w:p>
      <w:pPr>
        <w:pStyle w:val="BookText"/>
        <w:rPr/>
      </w:pPr>
      <w:bookmarkEnd w:id="343"/>
      <w:r>
        <w:rPr>
          <w:rFonts w:ascii="IRNazanin" w:hAnsi="IRNazanin" w:eastAsia="IRNazanin"/>
          <w:color w:val="111111"/>
          <w:sz w:val="28"/>
          <w:sz w:val="28"/>
          <w:szCs w:val="28"/>
          <w:rtl w:val="true"/>
          <w:lang w:bidi="fa-IR"/>
        </w:rPr>
        <w:t>الدیار و الأوطان، و أخذوا الناس بالظنون و التُّهَم؛ حتّی أنّ الرجل من شیعة أمیر المؤمنین</w:t>
      </w:r>
    </w:p>
    <w:p>
      <w:pPr>
        <w:pStyle w:val="BookText"/>
        <w:rPr/>
      </w:pPr>
      <w:r>
        <w:rPr>
          <w:rFonts w:ascii="IRNazanin" w:hAnsi="IRNazanin" w:eastAsia="IRNazanin"/>
          <w:color w:val="111111"/>
          <w:sz w:val="28"/>
          <w:sz w:val="28"/>
          <w:szCs w:val="28"/>
          <w:rtl w:val="true"/>
          <w:lang w:bidi="fa-IR"/>
        </w:rPr>
        <w:t>علیه‌السلاملَیأتیه مَن یثق به فلایحدّثه حتّی یأخذ علیه الأیمان المغلّظة بالکتمان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یَزَل الأمر علی ذلک حتّی استشهد الحسن علیه‌السلام فازداد البلاء و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الأمر بعد الحسین علیه‌السلام، و دام الأمر علی ذلک طول مدّة الحکومة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الشیعة فی خمول و خفاء، و خوف و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باد مُلکهم و انقضت أیّامهم علی ید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سنلمّ فی الموضع المناسب بشیء ممّا اتّخذه معاویة و خلفاؤه من ذلک، و مَن وقع تحت</w:t>
      </w:r>
    </w:p>
    <w:p>
      <w:pPr>
        <w:pStyle w:val="BookText"/>
        <w:rPr/>
      </w:pPr>
      <w:r>
        <w:rPr>
          <w:rFonts w:ascii="IRNazanin" w:hAnsi="IRNazanin" w:eastAsia="IRNazanin"/>
          <w:color w:val="111111"/>
          <w:sz w:val="28"/>
          <w:sz w:val="28"/>
          <w:szCs w:val="28"/>
          <w:rtl w:val="true"/>
          <w:lang w:bidi="fa-IR"/>
        </w:rPr>
        <w:t>اضطهادهم، و قسوتهم علی الشیعة</w:t>
      </w:r>
      <w:r>
        <w:rPr>
          <w:rFonts w:eastAsia="IRNazanin" w:cs="IRNazanin"/>
          <w:color w:val="111111"/>
          <w:sz w:val="28"/>
          <w:szCs w:val="28"/>
          <w:rtl w:val="true"/>
          <w:lang w:bidi="fa-IR"/>
        </w:rPr>
        <w:t>.</w:t>
      </w:r>
    </w:p>
    <w:p>
      <w:pPr>
        <w:pStyle w:val="Heading4"/>
        <w:numPr>
          <w:ilvl w:val="3"/>
          <w:numId w:val="1"/>
        </w:numPr>
        <w:rPr/>
      </w:pPr>
      <w:bookmarkStart w:id="344" w:name="__RefHeading___Toc2295387_2035185390"/>
      <w:bookmarkStart w:id="345" w:name="_Toc123"/>
      <w:bookmarkEnd w:id="344"/>
      <w:r>
        <w:rPr>
          <w:rtl w:val="true"/>
        </w:rPr>
        <w:t>[</w:t>
      </w:r>
      <w:r>
        <w:rPr>
          <w:rtl w:val="true"/>
        </w:rPr>
        <w:t>دَور الصادقَین علیهماالسلام فی بیان الأحکام</w:t>
      </w:r>
      <w:r>
        <w:rPr>
          <w:rtl w:val="true"/>
        </w:rPr>
        <w:t>]</w:t>
      </w:r>
      <w:bookmarkEnd w:id="345"/>
    </w:p>
    <w:p>
      <w:pPr>
        <w:pStyle w:val="BookText"/>
        <w:rPr/>
      </w:pPr>
      <w:r>
        <w:rPr>
          <w:rFonts w:ascii="IRNazanin" w:hAnsi="IRNazanin" w:eastAsia="IRNazanin"/>
          <w:color w:val="111111"/>
          <w:sz w:val="28"/>
          <w:sz w:val="28"/>
          <w:szCs w:val="28"/>
          <w:rtl w:val="true"/>
          <w:lang w:bidi="fa-IR"/>
        </w:rPr>
        <w:t>و لم یتنفّس الشیعة فی أمور دینهم إلاّ أواخر زمان الباقر محمّد بن علیّ علیهماالسلام، و ذلک لاجتماع علل و أسباب و ظهور حوادث و وقائع تطوّرت لأجلها الأوضاع، و سنحت فرصة صالحة للشیعة لیظهروا شعائرهم و ینشروا الأحکام المأثورة عن أئمّتهم علیهم‌السلام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ما کان من بوادر الثورة علی الأمویّین و انتفاض الولایات التابعة لسلطانهم علیهم،مع سائر ما کان یقع فی أثناء ذلک من الفتن المتّصلة بین القبائل العربیّة، و العصبیّة</w:t>
      </w:r>
    </w:p>
    <w:p>
      <w:pPr>
        <w:pStyle w:val="BookText"/>
        <w:rPr/>
      </w:pPr>
      <w:r>
        <w:rPr>
          <w:rFonts w:ascii="IRNazanin" w:hAnsi="IRNazanin" w:eastAsia="IRNazanin"/>
          <w:color w:val="111111"/>
          <w:sz w:val="28"/>
          <w:sz w:val="28"/>
          <w:szCs w:val="28"/>
          <w:rtl w:val="true"/>
          <w:lang w:bidi="fa-IR"/>
        </w:rPr>
        <w:t>الواقعة بین مختلف تلک الطوائف؛ تلک الفتن التی فتّت عضد الأمویّین، و کانت لها أکبر</w:t>
      </w:r>
    </w:p>
    <w:p>
      <w:pPr>
        <w:pStyle w:val="BookText"/>
        <w:rPr/>
      </w:pPr>
      <w:r>
        <w:rPr>
          <w:rFonts w:ascii="IRNazanin" w:hAnsi="IRNazanin" w:eastAsia="IRNazanin"/>
          <w:color w:val="111111"/>
          <w:sz w:val="28"/>
          <w:sz w:val="28"/>
          <w:szCs w:val="28"/>
          <w:rtl w:val="true"/>
          <w:lang w:bidi="fa-IR"/>
        </w:rPr>
        <w:t>الأثر فی القضاء علی سلطانهم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کان من وقوف الناس علی المنکرات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یکن لهم عهد بها فی زمن الخلفاء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ظهورها لهم کما کان ظاهرا للخاصّة من الناس، و لم یکن یَسَعهم إلاّ </w:t>
      </w:r>
    </w:p>
    <w:p>
      <w:pPr>
        <w:pStyle w:val="BookText"/>
        <w:rPr/>
      </w:pP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فأطلقت الألسن التی کان أخرسها الخوف أو الرجاء و غیر ذلک ممّا لو ألمَمنا</w:t>
      </w:r>
    </w:p>
    <w:p>
      <w:pPr>
        <w:pStyle w:val="BookText"/>
        <w:rPr/>
      </w:pPr>
      <w:r>
        <w:rPr>
          <w:rFonts w:ascii="IRNazanin" w:hAnsi="IRNazanin" w:eastAsia="IRNazanin"/>
          <w:color w:val="111111"/>
          <w:sz w:val="28"/>
          <w:sz w:val="28"/>
          <w:szCs w:val="28"/>
          <w:rtl w:val="true"/>
          <w:lang w:bidi="fa-IR"/>
        </w:rPr>
        <w:t>بطرف منه لخرجنا عن الموضوع</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مثل ثورة مطرف بن المغیرة بن شعبة، مع أنّ أباه المغیرة هو الذی کان یحابی الأمویّین علی دینه و قومه و یخدمهم بکلّ ما لدیه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ولده مطرف فلم یستطع أن یصبر علی الظلم الفادح الذی أنزله الحجّاج بالمسلمین، فأعلن الثورة بمن معه، و مضی یدعو إلی کتاب اللّه و سنّة نبیّه و الثورة علی الظلم و الظالمین، إلی غیر ذلک من الانتفاضات التی کانت تحدث حینا فحینا منذ مجزرة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تلک الانتفاضات علی اختلاف أهداف قادتها تقوم علی سواعد الشیعة من العرب و الموالی، حتّی لفظت الدولة الأمویّة آخر أنفاسها علی ید أبی مسلم الخراسانیّ و أعوانه دعاة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تلک الأوضاع و الأحوال سببا لاشتغال ولاة الأمور بأنفسهم و الدفاع عن حوزتهم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تحوّل الرأی العامّ و مراقبة العامّة لسیر الحوادث الجاریة و الکفّ عن التعرّض لمن یخالفهم فی الآراء المذهبیّة و النزعات السیاسیّة أیضا، صار سببا لحصول</w:t>
      </w:r>
    </w:p>
    <w:p>
      <w:pPr>
        <w:pStyle w:val="BookText"/>
        <w:rPr/>
      </w:pPr>
      <w:r>
        <w:rPr>
          <w:rFonts w:ascii="IRNazanin" w:hAnsi="IRNazanin" w:eastAsia="IRNazanin"/>
          <w:color w:val="111111"/>
          <w:sz w:val="28"/>
          <w:sz w:val="28"/>
          <w:szCs w:val="28"/>
          <w:rtl w:val="true"/>
          <w:lang w:bidi="fa-IR"/>
        </w:rPr>
        <w:t>نوع من الحرّیّة فی الآراء و الأفکار و خوض الناس فی مسائل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الأسباب القویّة التی أوجبت انتشار جملة من الآثار و العلوم و الروایات عن الباقر علیه‌السلامهو اشتهار أمر التفقّه فی الدین و کثرة أهل الفقه و العلم فی عصره، و توفّر رغبات کثیر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لایعتقد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الرجوع إلیه؛ فقد روی الناس عنه أمر المبتدأ</w:t>
      </w:r>
    </w:p>
    <w:p>
      <w:pPr>
        <w:pStyle w:val="BookText"/>
        <w:rPr/>
      </w:pPr>
      <w:r>
        <w:rPr>
          <w:rFonts w:ascii="IRNazanin" w:hAnsi="IRNazanin" w:eastAsia="IRNazanin"/>
          <w:color w:val="111111"/>
          <w:sz w:val="28"/>
          <w:sz w:val="28"/>
          <w:szCs w:val="28"/>
          <w:rtl w:val="true"/>
          <w:lang w:bidi="fa-IR"/>
        </w:rPr>
        <w:t>و أخبار الأنبیاء، و کتبوا عنه تفسیر القرآن و أثروا عنه السنن، و اعتمدوا علیه فی مناسک</w:t>
      </w:r>
    </w:p>
    <w:p>
      <w:pPr>
        <w:pStyle w:val="BookText"/>
        <w:rPr/>
      </w:pPr>
      <w:r>
        <w:rPr>
          <w:rFonts w:ascii="IRNazanin" w:hAnsi="IRNazanin" w:eastAsia="IRNazanin"/>
          <w:color w:val="111111"/>
          <w:sz w:val="28"/>
          <w:sz w:val="28"/>
          <w:szCs w:val="28"/>
          <w:rtl w:val="true"/>
          <w:lang w:bidi="fa-IR"/>
        </w:rPr>
        <w:t>الحجّ التی رواها عن رسول اللّه صلی‌الله‌علیه‌و‌آله، و ناظر مَن کان یَرِد علیه من أهل الأهواء و الآراء، و حفظوا عنه کثیرا من علم الکلام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الشریف أبو محمّد الحسن بن محمّد العلویّ بسند له عن عبد اللّه بن عطاء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العلماء عند أحد قطّ أصغر منهم عند أبی جعفر محمّد بن علیّ بن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رأیت الحکم بن عُتَیبة مع جلالته فی القوم کأنّه صبیّ بین یَدَی </w:t>
      </w:r>
    </w:p>
    <w:p>
      <w:pPr>
        <w:pStyle w:val="BookText"/>
        <w:rPr/>
      </w:pP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الأخبار فی هذا المعنی کثیرة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قد ظهر عنه علیه‌السلام من معالم الدین و مسائل الأصول و الأحکام شیء کثیر، و قَوِی أمر الشیعة فی عصره و کَثُر منهم العلماء و الفقهاء، حتّی أنّ الشیعة قبل عصره کانوا لا یَعرفون غالب ما یحتاجون إلیه من أحکام الفروع، و یعملون فی کثیر منها بما فی أیدی</w:t>
      </w:r>
    </w:p>
    <w:p>
      <w:pPr>
        <w:pStyle w:val="BookText"/>
        <w:rPr/>
      </w:pPr>
      <w:r>
        <w:rPr>
          <w:rFonts w:ascii="IRNazanin" w:hAnsi="IRNazanin" w:eastAsia="IRNazanin"/>
          <w:color w:val="111111"/>
          <w:sz w:val="28"/>
          <w:sz w:val="28"/>
          <w:szCs w:val="28"/>
          <w:rtl w:val="true"/>
          <w:lang w:bidi="fa-IR"/>
        </w:rPr>
        <w:t>العامّة من أقوال قضاتهم و فقهائهم، فصاروا یعلّمون الناس بعد ما کانوا یتعلّمون، و یُحتاج إلیهم بعد ما کانوا محتاجین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أمر الشیعة قوّة فی عصر ابنه الإمام أبی عبد اللّه جعفر بن محمّد علیهماالسلام، و انتشر عنه العلم و کثرت من جهته الروایات</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کان من أسباب ذلک هو قیام الفتنة الشدیدة بین الأمویّین و العبّاسیّین، و تحوّلُ الدولة و انتقالها إلی بنی العبّاس، و ما کان من جرّاء ذلک من ذهاب عالَم لایحصی تحت السیف فی الأمصار الإسلامیّة ممّا تکفّلت کتب التاریخ بشرحه تفصیلاً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کان من ظهور حاله علی معاصریه من خلفاء بنی العبّاس، و أمنِهم من طرفه عن وقوع خلل فی أرکان سلطانهم من جهته، و قد سُعِی به إلی </w:t>
      </w:r>
    </w:p>
    <w:p>
      <w:pPr>
        <w:pStyle w:val="BookText"/>
        <w:rPr/>
      </w:pPr>
      <w:r>
        <w:rPr>
          <w:rFonts w:ascii="IRNazanin" w:hAnsi="IRNazanin" w:eastAsia="IRNazanin"/>
          <w:color w:val="111111"/>
          <w:sz w:val="28"/>
          <w:sz w:val="28"/>
          <w:szCs w:val="28"/>
          <w:rtl w:val="true"/>
          <w:lang w:bidi="fa-IR"/>
        </w:rPr>
        <w:t>المنصور غیر مرّة و فی کلّ ذلک تظهر براءته ممّا نسب إلیه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أصحاب التواریخ ما کان من کتاب أبی سَلَمة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کبار الدعاة للعبّاسیّین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یدعوه إلی الخلافة و أن یصرف أمر الدعوة إلیه، و ما کان من ردّه لسؤاله و امتناعه منه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أقام بالمدینة مدّة یفید الشیعة المنتمین إلیه و یفیض علی الموالین له أسرار العلوم، ثمّ دخل العراق و أقام بها مدّة، ما تعرّض للإمامة قطّ، و لا نازع أحدا فی الخلافة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کثر اختلاف الناس إلیه فی أخذ العلوم و معالم الدین، فنقلوا عنه من العلم و الفتوی ما انتشر ذکره فی البلدان، و لم یُنقَل عن أحد من أهل بیته العلماء ما نقل عنه، و روی عنه جماعة من أعیان الأمّة مثل یحیی بن سعید، و ابن جریج، و مالک بن أنس، و الثوریّ، و سفیان بن عُیینة، و شعبة بن الحجّاج، و أبی أیّوب السختیانیّ و أبی عمرو بن العلاء، و غیر هؤلاء من التابعین و غیرهم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عینی و لا سمعت أذنی و لا خطر علی قلب بشر أفضل من جعفر بن محمّد فضلاً و علما و عبادةً و ورعا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حنیفة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جعفر بن محمّد ما علم الناس مناسک حجّهم</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حنیفة کثیر الاختلاف إلیه علیه‌السلام، و له و لغیره من فقهاء العامّة و قضاتهم فی الرجوع إلیه و إلی أصحابه الآخذین عنه، حکایات کثیرة مذکورة فی محلّها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346" w:name="pg4793_55853"/>
    </w:p>
    <w:p>
      <w:pPr>
        <w:pStyle w:val="BookText"/>
        <w:rPr/>
      </w:pPr>
      <w:bookmarkEnd w:id="346"/>
      <w:r>
        <w:rPr>
          <w:rFonts w:ascii="IRNazanin" w:hAnsi="IRNazanin" w:eastAsia="IRNazanin"/>
          <w:color w:val="111111"/>
          <w:sz w:val="28"/>
          <w:sz w:val="28"/>
          <w:szCs w:val="28"/>
          <w:rtl w:val="true"/>
          <w:lang w:bidi="fa-IR"/>
        </w:rPr>
        <w:t>و مع ما أشرنا إلیه من انتشار العلم من الصادقَین علیهماالسلام فقد کان لهما أیضا موانع جمّة</w:t>
      </w:r>
    </w:p>
    <w:p>
      <w:pPr>
        <w:pStyle w:val="BookText"/>
        <w:rPr/>
      </w:pPr>
      <w:r>
        <w:rPr>
          <w:rFonts w:ascii="IRNazanin" w:hAnsi="IRNazanin" w:eastAsia="IRNazanin"/>
          <w:color w:val="111111"/>
          <w:sz w:val="28"/>
          <w:sz w:val="28"/>
          <w:szCs w:val="28"/>
          <w:rtl w:val="true"/>
          <w:lang w:bidi="fa-IR"/>
        </w:rPr>
        <w:t>و عوائق عن إظهار کثیر من الأحکام، مثل التقیّة و الخوف عن الإفتاء فی بعض ما کان یعلمون أنّه یصیر سببا لمحنة الشیعة، و غیر ذلک ممّا نؤجّل الکلام فیها إلی مقام آخر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2295389_2035185390"/>
      <w:bookmarkStart w:id="348" w:name="_Toc124"/>
      <w:bookmarkEnd w:id="347"/>
      <w:r>
        <w:rPr>
          <w:rtl w:val="true"/>
        </w:rPr>
        <w:t>[</w:t>
      </w:r>
      <w:r>
        <w:rPr>
          <w:rtl w:val="true"/>
        </w:rPr>
        <w:t>شدّة الأمر علی الشیعة بعد الصادقَین علیهماالسلام</w:t>
      </w:r>
      <w:r>
        <w:rPr>
          <w:rtl w:val="true"/>
        </w:rPr>
        <w:t>]</w:t>
      </w:r>
      <w:bookmarkEnd w:id="348"/>
    </w:p>
    <w:p>
      <w:pPr>
        <w:pStyle w:val="BookText"/>
        <w:rPr/>
      </w:pPr>
      <w:r>
        <w:rPr>
          <w:rFonts w:ascii="IRNazanin" w:hAnsi="IRNazanin" w:eastAsia="IRNazanin"/>
          <w:color w:val="111111"/>
          <w:sz w:val="28"/>
          <w:sz w:val="28"/>
          <w:szCs w:val="28"/>
          <w:rtl w:val="true"/>
          <w:lang w:bidi="fa-IR"/>
        </w:rPr>
        <w:t>دام الحال علی ذلک إلی انقضاء زمانهما، ثمّ عاد إلی الشدّة و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لاستقرار قدم العبّاسیّین فی الملک من جهة، و ارتیابهم من حرکات الشیعة من جهة أخری، لکثرة من کان یخرج علیهم من العلویّین فی مختلف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کان یزید لهم فی الریبة تمایلُ کثیر من خواصّ الناس و رجال الدولة و أبناء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قاموا بنقل المُلک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 باطنا إلی العلویّین، فکان ذلک ممّا یبعثهم إلی التطلّع لحرکات الشیعة و مراقبة أعمالهم، و التضییق علی الشخصیّات المشهورة من العلویّین</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ابتدِئ ذلک من أیّام أبی جعفر المنصور ثانی الخلفاء العبّاسیّین حین ما خرج علیه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 بالمدینة، ثمّ أخوه إبراهیم بالبصرة،</w:t>
      </w:r>
    </w:p>
    <w:p>
      <w:pPr>
        <w:pStyle w:val="BookText"/>
        <w:rPr/>
      </w:pPr>
      <w:r>
        <w:rPr>
          <w:rFonts w:ascii="IRNazanin" w:hAnsi="IRNazanin" w:eastAsia="IRNazanin"/>
          <w:color w:val="111111"/>
          <w:sz w:val="28"/>
          <w:sz w:val="28"/>
          <w:szCs w:val="28"/>
          <w:rtl w:val="true"/>
          <w:lang w:bidi="fa-IR"/>
        </w:rPr>
        <w:t>و عَظُم أمرهما حتّی کادا أن یصدعا جوانب خلافته، و ما قضی علیهما إلاّ بعد جهد جهید</w:t>
      </w:r>
    </w:p>
    <w:p>
      <w:pPr>
        <w:pStyle w:val="BookText"/>
        <w:rPr/>
      </w:pPr>
      <w:r>
        <w:rPr>
          <w:rFonts w:ascii="IRNazanin" w:hAnsi="IRNazanin" w:eastAsia="IRNazanin"/>
          <w:color w:val="111111"/>
          <w:sz w:val="28"/>
          <w:sz w:val="28"/>
          <w:szCs w:val="28"/>
          <w:rtl w:val="true"/>
          <w:lang w:bidi="fa-IR"/>
        </w:rPr>
        <w:t>و صعوبات عظیمة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دام هذا الحال إلی عهد الرشید الذی أربی علی مَن کان قبله فی النفور من العلویّین و الکراهیة لهم و التشدید علی أحسّ منه المیل إلیهم، و هو الذی جاء بالإمام موسی بن</w:t>
      </w:r>
    </w:p>
    <w:p>
      <w:pPr>
        <w:pStyle w:val="BookText"/>
        <w:rPr/>
      </w:pPr>
      <w:r>
        <w:rPr>
          <w:rFonts w:ascii="IRNazanin" w:hAnsi="IRNazanin" w:eastAsia="IRNazanin"/>
          <w:color w:val="111111"/>
          <w:sz w:val="28"/>
          <w:sz w:val="28"/>
          <w:szCs w:val="28"/>
          <w:rtl w:val="true"/>
          <w:lang w:bidi="fa-IR"/>
        </w:rPr>
        <w:t>جعفر سلام اللّه علیه إلی بغداد و حبسه بها إلی أن قُبض مسموما فی حبسه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بعده من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لنزعةٍ شیعیّة أو لأغراض سیاسیّة یصعب تحرّی القول </w:t>
      </w:r>
    </w:p>
    <w:p>
      <w:pPr>
        <w:pStyle w:val="BookText"/>
        <w:rPr/>
      </w:pPr>
      <w:r>
        <w:rPr>
          <w:rFonts w:ascii="IRNazanin" w:hAnsi="IRNazanin" w:eastAsia="IRNazanin"/>
          <w:color w:val="111111"/>
          <w:sz w:val="28"/>
          <w:sz w:val="28"/>
          <w:szCs w:val="28"/>
          <w:rtl w:val="true"/>
          <w:lang w:bidi="fa-IR"/>
        </w:rPr>
        <w:t xml:space="preserve">فیها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إلی التشیّع و إکرام العلویّین</w:t>
      </w:r>
      <w:r>
        <w:rPr>
          <w:rStyle w:val="FootnoteAnchor"/>
          <w:rtl w:val="true"/>
        </w:rPr>
        <w:footnoteReference w:id="605"/>
      </w:r>
      <w:r>
        <w:rPr>
          <w:rFonts w:ascii="IRNazanin" w:hAnsi="IRNazanin" w:eastAsia="IRNazanin"/>
          <w:color w:val="111111"/>
          <w:sz w:val="28"/>
          <w:sz w:val="28"/>
          <w:szCs w:val="28"/>
          <w:rtl w:val="true"/>
          <w:lang w:bidi="fa-IR"/>
        </w:rPr>
        <w:t>، لکنّه لم یکن إلاّ برهة قصیرة و فترة من الزمن عادت الأوضاع بعدها إلی ما کانت علیه قبله، و عادوا إلی ما یوجبونه</w:t>
      </w:r>
    </w:p>
    <w:p>
      <w:pPr>
        <w:pStyle w:val="BookText"/>
        <w:rPr/>
      </w:pPr>
      <w:r>
        <w:rPr>
          <w:rFonts w:ascii="IRNazanin" w:hAnsi="IRNazanin" w:eastAsia="IRNazanin"/>
          <w:color w:val="111111"/>
          <w:sz w:val="28"/>
          <w:sz w:val="28"/>
          <w:szCs w:val="28"/>
          <w:rtl w:val="true"/>
          <w:lang w:bidi="fa-IR"/>
        </w:rPr>
        <w:t>من الخوف و الترصّد للشیعة و حرکاتها</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فأشخص المعتصم الذی استخلف بعد</w:t>
      </w:r>
    </w:p>
    <w:p>
      <w:pPr>
        <w:pStyle w:val="BookText"/>
        <w:rPr/>
      </w:pPr>
      <w:r>
        <w:rPr>
          <w:rFonts w:ascii="IRNazanin" w:hAnsi="IRNazanin" w:eastAsia="IRNazanin"/>
          <w:color w:val="111111"/>
          <w:sz w:val="28"/>
          <w:sz w:val="28"/>
          <w:szCs w:val="28"/>
          <w:rtl w:val="true"/>
          <w:lang w:bidi="fa-IR"/>
        </w:rPr>
        <w:t>المأمون، الإمامَ محمّد الجواد علیه‌السلامإلی بغداد، فبقی بها إلی أن قُبض بعد نحو عشرة أشهر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أشخص المتوکّل ابنَه الإمامَ علیّا الهادی علیه‌السلام من المدینة إلی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المتولّی لإشخاصه یحیی بن هَرثَمة فی سنة ثلاث و ثلاثین و مأتین، و بقی هناک إلی آخر</w:t>
      </w:r>
    </w:p>
    <w:p>
      <w:pPr>
        <w:pStyle w:val="BookText"/>
        <w:rPr/>
      </w:pPr>
      <w:r>
        <w:rPr>
          <w:rFonts w:ascii="IRNazanin" w:hAnsi="IRNazanin" w:eastAsia="IRNazanin"/>
          <w:color w:val="111111"/>
          <w:sz w:val="28"/>
          <w:sz w:val="28"/>
          <w:szCs w:val="28"/>
          <w:rtl w:val="true"/>
          <w:lang w:bidi="fa-IR"/>
        </w:rPr>
        <w:t>أیّامه مکرما فی ظاهر الحال، و هم یجتهدون فی إیقاع حیلة یؤاخذونه بها فلا</w:t>
      </w:r>
    </w:p>
    <w:p>
      <w:pPr>
        <w:pStyle w:val="BookText"/>
        <w:rPr/>
      </w:pPr>
      <w:r>
        <w:rPr>
          <w:rFonts w:ascii="IRNazanin" w:hAnsi="IRNazanin" w:eastAsia="IRNazanin"/>
          <w:color w:val="111111"/>
          <w:sz w:val="28"/>
          <w:sz w:val="28"/>
          <w:szCs w:val="28"/>
          <w:rtl w:val="true"/>
          <w:lang w:bidi="fa-IR"/>
        </w:rPr>
        <w:t>یتمکّنون من ذلک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کان الحال لابنه الإمام الحسن بن علیّ علیهماالسلام، و کان معاصرا فی أیّامه القلیلة لثلاثة من خلفاء بنی العبّاس</w:t>
      </w:r>
      <w:r>
        <w:rPr>
          <w:rStyle w:val="FootnoteAnchor"/>
          <w:rtl w:val="true"/>
        </w:rPr>
        <w:footnoteReference w:id="609"/>
      </w:r>
      <w:r>
        <w:rPr>
          <w:rFonts w:ascii="IRNazanin" w:hAnsi="IRNazanin" w:eastAsia="IRNazanin"/>
          <w:color w:val="111111"/>
          <w:sz w:val="28"/>
          <w:sz w:val="28"/>
          <w:szCs w:val="28"/>
          <w:rtl w:val="true"/>
          <w:lang w:bidi="fa-IR"/>
        </w:rPr>
        <w:t>، و جرت له معهم خطوب و حوادث من التهدید و الحبس و إرادة القتل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جری له علیه‌السلامو الشیعة من صالح بن وصیف من حبسه له و لأهل بیته، و طلبُ شیعته و ما نالهم منه من الأذی، معروف</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تسمیة هذا الإمام و أبیه علیهماالسلام بالعسکریّین إنّما کان لأجل ما وقع لهما من الإقامة الطویلة و المکث المدید بسامرّاء، تحت الترقّب و إشراف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سامرّاء معروفة </w:t>
      </w:r>
      <w:bookmarkStart w:id="349" w:name="pg4793_55857"/>
    </w:p>
    <w:p>
      <w:pPr>
        <w:pStyle w:val="BookText"/>
        <w:rPr/>
      </w:pPr>
      <w:bookmarkEnd w:id="349"/>
      <w:r>
        <w:rPr>
          <w:rFonts w:ascii="IRNazanin" w:hAnsi="IRNazanin" w:eastAsia="IRNazanin"/>
          <w:color w:val="111111"/>
          <w:sz w:val="28"/>
          <w:sz w:val="28"/>
          <w:szCs w:val="28"/>
          <w:rtl w:val="true"/>
          <w:lang w:bidi="fa-IR"/>
        </w:rPr>
        <w:t>حین ذاک بالعسکر ؛ لأنّ تأسیسها کان لأجل أن تکون معسکرا و محلاًّ للجیش، ثمّ انتقل إلیها الخلفاء و اتّخذوها عاصمة للملک، و بقیت علی ذلک مدّة مدیدة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مجمل من حال الأئمّة علیهم‌السلام فی بیان الأحکام و إظهارها علی ما کان عندهم؛</w:t>
      </w:r>
    </w:p>
    <w:p>
      <w:pPr>
        <w:pStyle w:val="BookText"/>
        <w:rPr/>
      </w:pPr>
      <w:r>
        <w:rPr>
          <w:rFonts w:ascii="IRNazanin" w:hAnsi="IRNazanin" w:eastAsia="IRNazanin"/>
          <w:color w:val="111111"/>
          <w:sz w:val="28"/>
          <w:sz w:val="28"/>
          <w:szCs w:val="28"/>
          <w:rtl w:val="true"/>
          <w:lang w:bidi="fa-IR"/>
        </w:rPr>
        <w:t xml:space="preserve">یظهر من تضاعیفه أنّه لم یسنح لهم ما یتمکّنون فیه من بیان الواقعیّات و إذاعتها غالبا، و إن کانت الحالات فی ذلک أیضا متفاوتة بحسب الأزمان و الأشخاص، و بحسب اشتداد أمر التقیّة و غلبة الخوف و غیر ذلک، فلم یظهر لذلک و لم ینتشر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یقتضیه مذهب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النزر القلیل ممّا سمح به الحال و اقتضته الظروف</w:t>
      </w:r>
    </w:p>
    <w:p>
      <w:pPr>
        <w:pStyle w:val="BookText"/>
        <w:rPr/>
      </w:pPr>
      <w:r>
        <w:rPr>
          <w:rFonts w:ascii="IRNazanin" w:hAnsi="IRNazanin" w:eastAsia="IRNazanin"/>
          <w:color w:val="111111"/>
          <w:sz w:val="28"/>
          <w:sz w:val="28"/>
          <w:szCs w:val="28"/>
          <w:rtl w:val="true"/>
          <w:lang w:bidi="fa-IR"/>
        </w:rPr>
        <w:t>و الأوضاع، ممّا کان لایورث إظهارُها و إذاعتها وحشةً، علی ما عرفته</w:t>
      </w:r>
      <w:r>
        <w:rPr>
          <w:rFonts w:eastAsia="IRNazanin" w:cs="IRNazanin"/>
          <w:color w:val="111111"/>
          <w:sz w:val="28"/>
          <w:szCs w:val="28"/>
          <w:rtl w:val="true"/>
          <w:lang w:bidi="fa-IR"/>
        </w:rPr>
        <w:t>.</w:t>
      </w:r>
    </w:p>
    <w:p>
      <w:pPr>
        <w:pStyle w:val="Heading4"/>
        <w:numPr>
          <w:ilvl w:val="3"/>
          <w:numId w:val="1"/>
        </w:numPr>
        <w:rPr/>
      </w:pPr>
      <w:bookmarkStart w:id="350" w:name="__RefHeading___Toc2295391_2035185390"/>
      <w:bookmarkStart w:id="351" w:name="_Toc125"/>
      <w:bookmarkEnd w:id="350"/>
      <w:r>
        <w:rPr>
          <w:rtl w:val="true"/>
        </w:rPr>
        <w:t>[</w:t>
      </w:r>
      <w:r>
        <w:rPr>
          <w:rtl w:val="true"/>
        </w:rPr>
        <w:t>التقیّة و تأثیرها فی اختلاف الأخبار</w:t>
      </w:r>
      <w:r>
        <w:rPr>
          <w:rtl w:val="true"/>
        </w:rPr>
        <w:t>]</w:t>
      </w:r>
      <w:bookmarkEnd w:id="351"/>
    </w:p>
    <w:p>
      <w:pPr>
        <w:pStyle w:val="BookText"/>
        <w:rPr/>
      </w:pPr>
      <w:r>
        <w:rPr>
          <w:rFonts w:ascii="IRNazanin" w:hAnsi="IRNazanin" w:eastAsia="IRNazanin"/>
          <w:color w:val="111111"/>
          <w:sz w:val="28"/>
          <w:sz w:val="28"/>
          <w:szCs w:val="28"/>
          <w:rtl w:val="true"/>
          <w:lang w:bidi="fa-IR"/>
        </w:rPr>
        <w:t>و یناسب فی المقام الإشارة إلی شیء من أمر التقیّة و الاختلاف الواقع فی الأخبار المرویّة عن الأئمّة علیهم‌السلام، ممّا صار منشأ للتشنیع علی مذهب الشیعة فی ألسِنَة بعض مخالفیهم و طعنوا بها علیهم، غفلة عن حقیقة الحال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التقیّة لیست مخصوصة بمذهب الشیعة بل یشارکهم فی القول بمقتضاها فی مواردها سائرُ فرق المسلمین، و لم یخالفهم فیها إلاّ الخوارج علی ما نُسب إلی أکثرهم فی کتب المقالات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نسبة القول بها إلی الشیعة هو صدور بعض الروایات عن الأئمّة علیه‌السلام موافقاً لآراء الجمهور، مخالفاً لما هو المعلوم من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المخالفون علی الشیعة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الشیعة لمّا کثرت علیهم مسائل شیعتهم فی فنون الحلال و الحرام، وأجابوا عنها بأجوبة کثیرة متعدّدة فی أزمنة مختلفة متمادیة، و صارت تلک الأجوبة محفوظة عند الشیعة و مکتوبة مدوّنة، وقع فی أیدیهم تلک الأجوبة المتعدّدة المتضادّة فی المسألة الواحدة، و الأجوبة المتّفقة فی مسائل مختلفة، فلمّا رجعوا إلیهم </w:t>
      </w:r>
      <w:bookmarkStart w:id="352" w:name="pg4793_55859"/>
    </w:p>
    <w:p>
      <w:pPr>
        <w:pStyle w:val="BookText"/>
        <w:rPr/>
      </w:pPr>
      <w:bookmarkEnd w:id="352"/>
      <w:r>
        <w:rPr>
          <w:rFonts w:ascii="IRNazanin" w:hAnsi="IRNazanin" w:eastAsia="IRNazanin"/>
          <w:color w:val="111111"/>
          <w:sz w:val="28"/>
          <w:sz w:val="28"/>
          <w:szCs w:val="28"/>
          <w:rtl w:val="true"/>
          <w:lang w:bidi="fa-IR"/>
        </w:rPr>
        <w:t xml:space="preserve">و سألوهم عن سبب ذلک الاختلاف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أجَبنا بهذا للتقیّة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التأمّل یظهر لک فساد هذا القول و بطلان ما زعموه؛ إذ الأئمّة علیهم‌السلام هم أنفسهم کانوا یأمرون الشیعة بصیانة تلک الروایات و أجوبة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عنهم،</w:t>
      </w:r>
    </w:p>
    <w:p>
      <w:pPr>
        <w:pStyle w:val="BookText"/>
        <w:rPr/>
      </w:pPr>
      <w:r>
        <w:rPr>
          <w:rFonts w:ascii="IRNazanin" w:hAnsi="IRNazanin" w:eastAsia="IRNazanin"/>
          <w:color w:val="111111"/>
          <w:sz w:val="28"/>
          <w:sz w:val="28"/>
          <w:szCs w:val="28"/>
          <w:rtl w:val="true"/>
          <w:lang w:bidi="fa-IR"/>
        </w:rPr>
        <w:t>و بحفظها من الضیاع و التحریف، و بثّها و نشرها بین سائر الشیعة، و یصرّحون بأنّ تلک الأخبار و الآثار المرویّة ستکون مداراً لعمل الشیعة علیها بعد زمانهم</w:t>
      </w:r>
      <w:r>
        <w:rPr>
          <w:rStyle w:val="FootnoteAnchor"/>
          <w:rtl w:val="true"/>
        </w:rPr>
        <w:footnoteReference w:id="614"/>
      </w:r>
      <w:r>
        <w:rPr>
          <w:rFonts w:ascii="IRNazanin" w:hAnsi="IRNazanin" w:eastAsia="IRNazanin"/>
          <w:color w:val="111111"/>
          <w:sz w:val="28"/>
          <w:sz w:val="28"/>
          <w:szCs w:val="28"/>
          <w:rtl w:val="true"/>
          <w:lang w:bidi="fa-IR"/>
        </w:rPr>
        <w:t>، فکیف یتصوّر هذا الاهتمام و التأکید منهم فی حفظها مع ما ذکروه و قصدوا التشنیع به علیهم ؟</w:t>
      </w:r>
    </w:p>
    <w:p>
      <w:pPr>
        <w:pStyle w:val="BookText"/>
        <w:rPr/>
      </w:pPr>
      <w:r>
        <w:rPr>
          <w:rFonts w:ascii="IRNazanin" w:hAnsi="IRNazanin" w:eastAsia="IRNazanin"/>
          <w:color w:val="111111"/>
          <w:sz w:val="28"/>
          <w:sz w:val="28"/>
          <w:szCs w:val="28"/>
          <w:rtl w:val="true"/>
          <w:lang w:bidi="fa-IR"/>
        </w:rPr>
        <w:t>و لیس ینحصر سبب اختلاف أخبار الأئمّة علیهم‌السلام فی التقیّة، بل له أسباب و علل أخری علی ما تأتی الإشارة إلیه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الأحکام و الروایات الصادرة فیها تقیّة فسنقصّ علیک شیئاً من العلل الباعثة لصدورها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الإمام إن صُمتَ صُمنا و إن أفطرتَ أفطرنا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لیتّضح فساد ما تخیّلوه من ذلک</w:t>
      </w:r>
      <w:r>
        <w:rPr>
          <w:rFonts w:eastAsia="IRNazanin" w:cs="IRNazanin"/>
          <w:color w:val="111111"/>
          <w:sz w:val="28"/>
          <w:szCs w:val="28"/>
          <w:rtl w:val="true"/>
          <w:lang w:bidi="fa-IR"/>
        </w:rPr>
        <w:t>.</w:t>
      </w:r>
    </w:p>
    <w:p>
      <w:pPr>
        <w:pStyle w:val="Heading4"/>
        <w:numPr>
          <w:ilvl w:val="3"/>
          <w:numId w:val="1"/>
        </w:numPr>
        <w:rPr/>
      </w:pPr>
      <w:bookmarkStart w:id="353" w:name="__RefHeading___Toc2295393_2035185390"/>
      <w:bookmarkStart w:id="354" w:name="_Toc126"/>
      <w:bookmarkEnd w:id="353"/>
      <w:r>
        <w:rPr>
          <w:rtl w:val="true"/>
        </w:rPr>
        <w:t>[</w:t>
      </w:r>
      <w:r>
        <w:rPr>
          <w:rtl w:val="true"/>
        </w:rPr>
        <w:t>حصیلة البحث</w:t>
      </w:r>
      <w:r>
        <w:rPr>
          <w:rtl w:val="true"/>
        </w:rPr>
        <w:t>]</w:t>
      </w:r>
      <w:bookmarkEnd w:id="354"/>
    </w:p>
    <w:p>
      <w:pPr>
        <w:pStyle w:val="BookText"/>
        <w:rPr/>
      </w:pPr>
      <w:r>
        <w:rPr>
          <w:rFonts w:ascii="IRNazanin" w:hAnsi="IRNazanin" w:eastAsia="IRNazanin"/>
          <w:color w:val="111111"/>
          <w:sz w:val="28"/>
          <w:sz w:val="28"/>
          <w:szCs w:val="28"/>
          <w:rtl w:val="true"/>
          <w:lang w:bidi="fa-IR"/>
        </w:rPr>
        <w:t xml:space="preserve">قد اتّضح لدیک من مجمل ما أسلفناه من الخلاصة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علیهم‌السلام لم یکونوا فی غالب أعصار حیاتهم علی تمکّن تامّ من إظهار ما عندهم من صریح الأحکام و واقعیّاتها، لِأسباب و علل شرحنا بعضها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بیاناً أنّهم کما کانوا یرجع إلیهم شیعتهم فی أخذ معالم الدین لأجل الاعتقاد بإمامتهم و التدیّن بفرض طاعتهم، کذلک کانوا مرجعاً لأقوامٍ من غیر شیعتهم ممّن لا تری</w:t>
      </w:r>
    </w:p>
    <w:p>
      <w:pPr>
        <w:pStyle w:val="BookText"/>
        <w:rPr/>
      </w:pPr>
      <w:r>
        <w:rPr>
          <w:rFonts w:ascii="IRNazanin" w:hAnsi="IRNazanin" w:eastAsia="IRNazanin"/>
          <w:color w:val="111111"/>
          <w:sz w:val="28"/>
          <w:sz w:val="28"/>
          <w:szCs w:val="28"/>
          <w:rtl w:val="true"/>
          <w:lang w:bidi="fa-IR"/>
        </w:rPr>
        <w:t>لهم إمامةً مفروضة و لا تتدیّن بوجوب إطاعتهم، و إنّما کانوا یرجعون إلیهم کرجوعهم إلی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سواهم من الفقهاء و رواة الآثار ؛ إذ کانوا یرونهم مِن أکابر فقهاء المسلمین و أجلاّء مَن یُتحمّل عنهم الآثار النبویّة، فکان ما یظهر لهم مِن رأی أو یصدر عنهم من فتوی فی </w:t>
      </w:r>
    </w:p>
    <w:p>
      <w:pPr>
        <w:pStyle w:val="BookText"/>
        <w:rPr/>
      </w:pPr>
      <w:r>
        <w:rPr>
          <w:rFonts w:ascii="Amiri" w:hAnsi="Amiri" w:eastAsia="Amiri" w:cs="Amiri"/>
          <w:color w:val="111111"/>
          <w:sz w:val="28"/>
          <w:sz w:val="28"/>
          <w:szCs w:val="28"/>
          <w:rtl w:val="true"/>
          <w:lang w:bidi="ar-SA"/>
        </w:rPr>
        <w:t>معرض الإشاعة و الانتشار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 غالب ما یصدر من الفتاوی و الآراء من فقهاء القوم و أرباب الرأی منهم مبتنیا علی المقاییس و الاستحسانات و البناء فی الحوادث الجاریة علی المعانی المستنبطة بأنظارهم واجتهاداتهم، بخلاف مذهب الشیعة و طریقتهم التی کانوا یعتمدون</w:t>
      </w:r>
    </w:p>
    <w:p>
      <w:pPr>
        <w:pStyle w:val="BookText"/>
        <w:rPr/>
      </w:pPr>
      <w:r>
        <w:rPr>
          <w:rFonts w:ascii="IRNazanin" w:hAnsi="IRNazanin" w:eastAsia="IRNazanin"/>
          <w:color w:val="111111"/>
          <w:sz w:val="28"/>
          <w:sz w:val="28"/>
          <w:szCs w:val="28"/>
          <w:rtl w:val="true"/>
          <w:lang w:bidi="fa-IR"/>
        </w:rPr>
        <w:t>فیها علی النصوص و الآثار المرویّة عنهم علیهم‌السلام، من غیرتعویل علی الآراء و رکون إلی الظنون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السیاسة معاضدة لآراء أولئک الأشخاص المشهورین بالفتوی والرأی الموالین للخلفاء و ولاة الأمور، مناصرة لها عاملة فی حمل الناس علی اتّباعها والجری</w:t>
      </w:r>
    </w:p>
    <w:p>
      <w:pPr>
        <w:pStyle w:val="BookText"/>
        <w:rPr/>
      </w:pPr>
      <w:r>
        <w:rPr>
          <w:rFonts w:ascii="IRNazanin" w:hAnsi="IRNazanin" w:eastAsia="IRNazanin"/>
          <w:color w:val="111111"/>
          <w:sz w:val="28"/>
          <w:sz w:val="28"/>
          <w:szCs w:val="28"/>
          <w:rtl w:val="true"/>
          <w:lang w:bidi="fa-IR"/>
        </w:rPr>
        <w:t>علیها؛ حتّی ذکر أنّ المنصور أراد أن یبعث بکتب مالک بن أنس الفقیه المعروف إلی الأمصار، و أن یأخذ الناس بالعمل علیها و عدم التعدّی إلی غیرها، فمنعه مالک من هذا،</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هذا، فإنّ الناس قد سبقت إلیهم أقاویلُ و سمعوا أحادیث و رَوَوا روایات،</w:t>
      </w:r>
    </w:p>
    <w:p>
      <w:pPr>
        <w:pStyle w:val="BookText"/>
        <w:rPr/>
      </w:pPr>
      <w:r>
        <w:rPr>
          <w:rFonts w:ascii="IRNazanin" w:hAnsi="IRNazanin" w:eastAsia="IRNazanin"/>
          <w:color w:val="111111"/>
          <w:sz w:val="28"/>
          <w:sz w:val="28"/>
          <w:szCs w:val="28"/>
          <w:rtl w:val="true"/>
          <w:lang w:bidi="fa-IR"/>
        </w:rPr>
        <w:t>و أخذ کلّ قوم بما سبق إلیهم و دانوا به، فدَع الناس و ما اختار أهل کلّ بلد منهم لأنفسهم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فالأئمّة لم یکونوا یجاهرون بآرائهم و فتاویهم فی غالب الأوقات إلاّ لمن کانوا یثقون به، و یطمئنّون بصراحة تشیّعه و عدم وقوع ضرر من جهة ذلک علیهم، أو علی</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یخرج منهم إلی مَن یراجعهم من سائر الناس إلاّ ما یوافق فتاوی القوم</w:t>
      </w:r>
    </w:p>
    <w:p>
      <w:pPr>
        <w:pStyle w:val="BookText"/>
        <w:rPr/>
      </w:pPr>
      <w:r>
        <w:rPr>
          <w:rFonts w:ascii="IRNazanin" w:hAnsi="IRNazanin" w:eastAsia="IRNazanin"/>
          <w:color w:val="111111"/>
          <w:sz w:val="28"/>
          <w:sz w:val="28"/>
          <w:szCs w:val="28"/>
          <w:rtl w:val="true"/>
          <w:lang w:bidi="fa-IR"/>
        </w:rPr>
        <w:t>و آراءهم؛ حفظا لأنفسهم و لشیعتهم عن الوقوع فی الخطر و المحنة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لعین هذه العلّة کانوا یأمرون أصحابهم فی بعض الموارد بالإمساک عن إظهار الحقّ و المظاهرة للعامّة بما یزیل الریب عنهم فی خلافهم</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تشهروا فتُقتَلوا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الأحیان کانوا یترکون الفتوی أو یؤخّرون جواب المسألة، إذا أحسّوا من </w:t>
      </w:r>
    </w:p>
    <w:p>
      <w:pPr>
        <w:pStyle w:val="BookText"/>
        <w:rPr/>
      </w:pPr>
      <w:r>
        <w:rPr>
          <w:rFonts w:ascii="IRNazanin" w:hAnsi="IRNazanin" w:eastAsia="IRNazanin"/>
          <w:color w:val="111111"/>
          <w:sz w:val="28"/>
          <w:sz w:val="28"/>
          <w:szCs w:val="28"/>
          <w:rtl w:val="true"/>
          <w:lang w:bidi="fa-IR"/>
        </w:rPr>
        <w:t>ذلک تعرّضا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الخلفاء فی بعض الأوقات یبثّون أشخاصا لیسألوهم عن مسائل یعلمون فیها مخالفة الشیعة لآراء العامّة، حتّی إذا أجابوا عنها اتّخذوها حجّة</w:t>
      </w:r>
    </w:p>
    <w:p>
      <w:pPr>
        <w:pStyle w:val="BookText"/>
        <w:rPr/>
      </w:pPr>
      <w:r>
        <w:rPr>
          <w:rFonts w:ascii="Amiri" w:hAnsi="Amiri" w:eastAsia="Amiri" w:cs="Amiri"/>
          <w:color w:val="111111"/>
          <w:sz w:val="28"/>
          <w:sz w:val="28"/>
          <w:szCs w:val="28"/>
          <w:rtl w:val="true"/>
          <w:lang w:bidi="ar-SA"/>
        </w:rPr>
        <w:t>للتعرّض</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لم یَصفُ الجوّ و لم تساعد الأزمان فی غالب الأحیان للشیعة و للأئمّة علیهم‌السلام، بحیث یتمکّنون کاملاً من بیان أحکام الدین علی واقعیّاتها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للرجل الذی تعجّب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فأکلت معه و أنا أعلم واللّهِ أنّه یوم من یوم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إفطاری یوما و قضاؤه أیسر علیّ من أن یضرب عنقی و لا یُعبد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 أهلُ فرقة و لا بُلی أهل مذهب بما بُلیت به الشیعة من التتبّع و القصد و ظهور کلمة أهل الخلاف؛ حتّی أنّا لا نکاد نعرف زمانا سلمت فیه الشیعة</w:t>
      </w:r>
    </w:p>
    <w:p>
      <w:pPr>
        <w:pStyle w:val="BookText"/>
        <w:rPr/>
      </w:pPr>
      <w:r>
        <w:rPr>
          <w:rFonts w:ascii="IRNazanin" w:hAnsi="IRNazanin" w:eastAsia="IRNazanin"/>
          <w:color w:val="111111"/>
          <w:sz w:val="28"/>
          <w:sz w:val="28"/>
          <w:szCs w:val="28"/>
          <w:rtl w:val="true"/>
          <w:lang w:bidi="fa-IR"/>
        </w:rPr>
        <w:t>من الخمول و لزوم التقیّة، و لا حالاً عَرِیَت فیها من قصد السلطان و عصبیّته و میله</w:t>
      </w:r>
    </w:p>
    <w:p>
      <w:pPr>
        <w:pStyle w:val="BookText"/>
        <w:rPr/>
      </w:pPr>
      <w:r>
        <w:rPr>
          <w:rFonts w:ascii="IRNazanin" w:hAnsi="IRNazanin" w:eastAsia="IRNazanin"/>
          <w:color w:val="111111"/>
          <w:sz w:val="28"/>
          <w:sz w:val="28"/>
          <w:szCs w:val="28"/>
          <w:rtl w:val="true"/>
          <w:lang w:bidi="fa-IR"/>
        </w:rPr>
        <w:t>و انحرافه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الشیعة لا یجوّزون التقیّة فی کلّ مورد، بل لها موارد مخصوصة معیّنة؛ فلایجوز فی قتل المؤمن مثلاً و لا فی شیء یوجب فسادا فی الدین، فلا وجه لنسبتها إلیهم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تختلف أحکامها بحسب الموارد؛ فقد تجوز فی حال دون حال؛ لخوف أو لضروب من الاستصلاح و المداراة، و قد تجب أحیانا و تکون فرضا، و تجوز أحیانا من غیر وجوب، و تکون فی وقت أفضل من ترکها، و یکون فی وقت آخر ترکها أفضل و إن کان فاعلها معذورا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فقهاؤهم بانقسامها حسب الأحکام الخمسة المعروفة، و عدّوا موارد وجوبها و ما هو جائز منها أو غیر جائز، و أنّ الواجب منها ما کان لدفع الضرر الواجب، کما </w:t>
      </w:r>
    </w:p>
    <w:p>
      <w:pPr>
        <w:pStyle w:val="BookText"/>
        <w:rPr/>
      </w:pPr>
      <w:r>
        <w:rPr>
          <w:rFonts w:ascii="IRNazanin" w:hAnsi="IRNazanin" w:eastAsia="IRNazanin"/>
          <w:color w:val="111111"/>
          <w:sz w:val="28"/>
          <w:sz w:val="28"/>
          <w:szCs w:val="28"/>
          <w:rtl w:val="true"/>
          <w:lang w:bidi="fa-IR"/>
        </w:rPr>
        <w:t>إذا علم بالضرورة أو قَوِی فی الظنّ أنّه یُعقِب ضررا دینیّا أو دنیویّا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المستحبّ منها ما کان للتحرّز عن حصول الضرر، کترک المعاشرة و المداراة التی تنجرّ غالبا إلی 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 ما کان ترکه و تحمّل الضرر الناشئ منه أولی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 منها ما کان فی قتل المؤمنین أو فیما علم أو غلب علی الظنّ بأنّه ینجرّ إلی فساد فی الدین و أصوله و أرکانه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لیست التقیّة و القول بها ممّا یتفرّد به الشیعة</w:t>
      </w:r>
      <w:r>
        <w:rPr>
          <w:rStyle w:val="FootnoteAnchor"/>
          <w:rtl w:val="true"/>
        </w:rPr>
        <w:footnoteReference w:id="625"/>
      </w:r>
      <w:r>
        <w:rPr>
          <w:rFonts w:ascii="IRNazanin" w:hAnsi="IRNazanin" w:eastAsia="IRNazanin"/>
          <w:color w:val="111111"/>
          <w:sz w:val="28"/>
          <w:sz w:val="28"/>
          <w:szCs w:val="28"/>
          <w:rtl w:val="true"/>
          <w:lang w:bidi="fa-IR"/>
        </w:rPr>
        <w:t>، و لا کلّ شیء مورد للتقیّة عندهم، و لا کلّ خبر مخالف لخبر آخر یحملونه علی التقیّة ؛ فإنّ للأخبار المختلفة</w:t>
      </w:r>
    </w:p>
    <w:p>
      <w:pPr>
        <w:pStyle w:val="BookText"/>
        <w:rPr/>
      </w:pPr>
      <w:r>
        <w:rPr>
          <w:rFonts w:ascii="IRNazanin" w:hAnsi="IRNazanin" w:eastAsia="IRNazanin"/>
          <w:color w:val="111111"/>
          <w:sz w:val="28"/>
          <w:sz w:val="28"/>
          <w:szCs w:val="28"/>
          <w:rtl w:val="true"/>
          <w:lang w:bidi="fa-IR"/>
        </w:rPr>
        <w:t>الصادرة عن الأئمّة علیهم‌السلام عللاً غیر ذلک، سنشیر إلی شیء منها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ذلک هو الاختلاف الواقع فی بعض الأخبار فی جواب بعض مسائل سألهم علیهم‌السلام عنها الشیعة فأجابوا فیها باختلاف؛ حیث توافق أجوبتُهم فی بعضها مذاهبَ القوم و تخالفها فی بعض آخر، فکان الاختلاف ناشئا من طرفهم، حتّی أنّه وقع فی</w:t>
      </w:r>
    </w:p>
    <w:p>
      <w:pPr>
        <w:pStyle w:val="BookText"/>
        <w:rPr/>
      </w:pPr>
      <w:r>
        <w:rPr>
          <w:rFonts w:ascii="IRNazanin" w:hAnsi="IRNazanin" w:eastAsia="IRNazanin"/>
          <w:color w:val="111111"/>
          <w:sz w:val="28"/>
          <w:sz w:val="28"/>
          <w:szCs w:val="28"/>
          <w:rtl w:val="true"/>
          <w:lang w:bidi="fa-IR"/>
        </w:rPr>
        <w:t>بعض الأخبار التصریح بذلک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فی جواب من سأل عن سبب هذا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خیر لنا و أبقی لنا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اجتمعتم علی شیء واحد لصدّقکم الناس علینا و لکان أقلّ لبقائنا و بقائکم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أشدّ علیّ من اختلاف أصحابنا، أنّ الإمام علیه‌السلام أجاب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قِبَلی</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سبب ذلک أنّ ولاة الأمر من الخلفاء و غیرهم من المعاصرین للأئمّة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کسب تمایل الرأی العامّ أو لأسباب سیاسیّة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یناصرون الفقهاء المعروفین فی</w:t>
      </w:r>
    </w:p>
    <w:p>
      <w:pPr>
        <w:pStyle w:val="BookText"/>
        <w:rPr/>
      </w:pPr>
      <w:r>
        <w:rPr>
          <w:rFonts w:ascii="IRNazanin" w:hAnsi="IRNazanin" w:eastAsia="IRNazanin"/>
          <w:color w:val="111111"/>
          <w:sz w:val="28"/>
          <w:sz w:val="28"/>
          <w:szCs w:val="28"/>
          <w:rtl w:val="true"/>
          <w:lang w:bidi="fa-IR"/>
        </w:rPr>
        <w:t>ذلک العصر بالرجوع إلیهم فی الفقه و الفتوی</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أشرنا سابقا إلی أنّ المنصور عرض علی ما لک أخذ الناس بفتاویه و العمل علیها، فمنعه مالک عن هذا</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غرضه من ذلک هو أن یجعل لفتاویه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w:t>
      </w:r>
    </w:p>
    <w:p>
      <w:pPr>
        <w:pStyle w:val="BookText"/>
        <w:rPr/>
      </w:pPr>
      <w:r>
        <w:rPr>
          <w:rFonts w:ascii="IRNazanin" w:hAnsi="IRNazanin" w:eastAsia="IRNazanin"/>
          <w:color w:val="111111"/>
          <w:sz w:val="28"/>
          <w:sz w:val="28"/>
          <w:szCs w:val="28"/>
          <w:rtl w:val="true"/>
          <w:lang w:bidi="fa-IR"/>
        </w:rPr>
        <w:t xml:space="preserve">فقهاء المدینة دار الهجرة و له عند الناس مکانة و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قانونیّة رسمیّة، حتّی لا یتجاوزها الناس و لایتعدّوها؛ کما هو الشأن فی القوانین الدولیّة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کانت السیاسة عاملة علی معاضدة هؤلاء الفقهاء الموالین لهم و الموافقین لأغراضهم، مجدّة فی حمل الناس علی اتّباع آرائهم، بل معاقبة من یخالفهم</w:t>
      </w:r>
    </w:p>
    <w:p>
      <w:pPr>
        <w:pStyle w:val="BookText"/>
        <w:rPr/>
      </w:pPr>
      <w:r>
        <w:rPr>
          <w:rFonts w:ascii="IRNazanin" w:hAnsi="IRNazanin" w:eastAsia="IRNazanin"/>
          <w:color w:val="111111"/>
          <w:sz w:val="28"/>
          <w:sz w:val="28"/>
          <w:szCs w:val="28"/>
          <w:rtl w:val="true"/>
          <w:lang w:bidi="fa-IR"/>
        </w:rPr>
        <w:t>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استقرار المذهب من طریقة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موضع ارتیاب و تهمة من الحکومة، و حرکاتهم تحت إشراف و مراقبة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یخالف آراء هؤلاء الفقهاء أو القضاة المنصوبین من قِبَلهم للإفتاء أو القضاء، ممّا له مسیس بالسیاسة، و له أثره</w:t>
      </w:r>
    </w:p>
    <w:p>
      <w:pPr>
        <w:pStyle w:val="BookText"/>
        <w:rPr/>
      </w:pPr>
      <w:r>
        <w:rPr>
          <w:rFonts w:ascii="IRNazanin" w:hAnsi="IRNazanin" w:eastAsia="IRNazanin"/>
          <w:color w:val="111111"/>
          <w:sz w:val="28"/>
          <w:sz w:val="28"/>
          <w:szCs w:val="28"/>
          <w:rtl w:val="true"/>
          <w:lang w:bidi="fa-IR"/>
        </w:rPr>
        <w:t>الطبیعیّ فی وقوع الشیعة تحت التضییق و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السبب کانت الجوابات الصادرة عنهم علیه‌السلامو فتاویهم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یتمایز فیه مذهب الشیعة و طریقهم عن آراء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علی اختلاف، حتّی لایحصل لمذهب الشیعة بسبب ذلک طابع خاصّ متمایز فی الظاهر، یتّخذه خصومهم وسیلة إلی اضطهادهم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الغرض من إیقاع الاختلاف فی أمثال ذلک أن لایحصل لمذهب الشیعة ما یعیّنه و یشخّصه فی مقابل مذهب الحکومة و طریقتهم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الشواهد علی ذلک من الآثار کثیرة وافرة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لنذکرها هنا شیئا من أسباب اختلاف الأخبار المرویّة عن الأئمّة علیهم‌السلام، لیعلم أنّ </w:t>
      </w:r>
      <w:bookmarkStart w:id="355" w:name="pg4793_55869"/>
    </w:p>
    <w:p>
      <w:pPr>
        <w:pStyle w:val="BookText"/>
        <w:rPr/>
      </w:pPr>
      <w:bookmarkEnd w:id="355"/>
      <w:r>
        <w:rPr>
          <w:rFonts w:ascii="IRNazanin" w:hAnsi="IRNazanin" w:eastAsia="IRNazanin"/>
          <w:color w:val="111111"/>
          <w:sz w:val="28"/>
          <w:sz w:val="28"/>
          <w:szCs w:val="28"/>
          <w:rtl w:val="true"/>
          <w:lang w:bidi="fa-IR"/>
        </w:rPr>
        <w:t>ذلک لیس منحصرا فی التقیّة، بل لاختلافها علل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الإشارة إلی ما کان من طعن مخالفی الشیعة من هذه الجهة،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شیوخ الإمامیّة یطعنون علی مخالفیهم بالاختلاف الذی یدینون به، و یشنّعون علیهم بافتراق کلمتهم فی الفروع، و یذکرون أنّ هذا ممّا لایجوز أن یتعبّد اللّه الخلق به؛ مع أنّا نجدهم أشدّ اختلافا ممّن یطعنون علیهم و أشدّ تباینا من مباینتهم، حتّی لایکاد یتّفق خبر إلاّ و بإزائه ما یضادّه، و لایسلم حدیث إلاّ و فی مقابله ما ینافیه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صار هذا الاختلاف سببا لدخول الشبهة علی بعض مَن لیس لهم قوّة فی العلم و لا بصیرة بوجوه النظر و معانی الکلام، حتّی أنّ الشیخ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شیخنا أبا</w:t>
      </w:r>
    </w:p>
    <w:p>
      <w:pPr>
        <w:pStyle w:val="BookText"/>
        <w:rPr/>
      </w:pPr>
      <w:r>
        <w:rPr>
          <w:rFonts w:ascii="IRNazanin" w:hAnsi="IRNazanin" w:eastAsia="IRNazanin"/>
          <w:color w:val="111111"/>
          <w:sz w:val="28"/>
          <w:sz w:val="28"/>
          <w:szCs w:val="28"/>
          <w:rtl w:val="true"/>
          <w:lang w:bidi="fa-IR"/>
        </w:rPr>
        <w:t>عبد اللّه یذکر أنّ أبا الحسین الهارونیّ العلَویّ کان یعتقد الحقّ و یدین بالإمامة، فرجع عنها لمّا التبس علیه الأمر فی اختلاف الأحادیث، و تَرَک المذهب و دان بغیره لمّا لم یتبیّن له وجوه المعانی فیها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295395_2035185390"/>
      <w:bookmarkStart w:id="357" w:name="_Toc127"/>
      <w:bookmarkEnd w:id="356"/>
      <w:r>
        <w:rPr>
          <w:rtl w:val="true"/>
        </w:rPr>
        <w:t>[</w:t>
      </w:r>
      <w:r>
        <w:rPr>
          <w:rtl w:val="true"/>
        </w:rPr>
        <w:t>علل اختلاف الحدیث</w:t>
      </w:r>
      <w:r>
        <w:rPr>
          <w:rtl w:val="true"/>
        </w:rPr>
        <w:t>]</w:t>
      </w:r>
      <w:bookmarkEnd w:id="357"/>
    </w:p>
    <w:p>
      <w:pPr>
        <w:pStyle w:val="BookText"/>
        <w:rPr/>
      </w:pPr>
      <w:r>
        <w:rPr>
          <w:rFonts w:ascii="IRNazanin" w:hAnsi="IRNazanin" w:eastAsia="IRNazanin"/>
          <w:color w:val="111111"/>
          <w:sz w:val="28"/>
          <w:sz w:val="28"/>
          <w:szCs w:val="28"/>
          <w:rtl w:val="true"/>
          <w:lang w:bidi="fa-IR"/>
        </w:rPr>
        <w:t>و علی کلّ حال فقد استقصی العلماء علل اختلاف الأحادیث و أسبابها فی مواضعها، و بسطوا الکلام علیها</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نشیر إلی جمل منها باختصار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الأخبار المکذوبة و الموضوعة ممّا وضعه أصحاب الأهواء و الأغراض بین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مفروغ عن إثباته، لوضوحه و اشتهاره؛ حتّی أنّ جماعة من هؤلاء الوضّاعین اعترفوا بأنفسهم بما ار تکبوه من وضع الأحادیث و دسّهم لها بین أحادیث الفریقین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الأحکام علی طبق مذاهب العامّة تقیّة، کی لا یُعرف مذهب الشیعة و یتمیّز بعینه، علی تفصیل أُشیرَ إلیه فیما سبق</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جوابات المسائل الناشئ منهم علیهم‌السلام، و قد مرّ ذکر العلّة فی ذلک أیضا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بعض الأوقات یصدر عنهم جواب بعض مسائل الشیعة بألفاظ متشابهة تُحمَل علی وجوه</w:t>
      </w:r>
      <w:r>
        <w:rPr>
          <w:rStyle w:val="FootnoteAnchor"/>
          <w:rtl w:val="true"/>
        </w:rPr>
        <w:footnoteReference w:id="638"/>
      </w:r>
      <w:r>
        <w:rPr>
          <w:rFonts w:ascii="IRNazanin" w:hAnsi="IRNazanin" w:eastAsia="IRNazanin"/>
          <w:color w:val="111111"/>
          <w:sz w:val="28"/>
          <w:sz w:val="28"/>
          <w:szCs w:val="28"/>
          <w:rtl w:val="true"/>
          <w:lang w:bidi="fa-IR"/>
        </w:rPr>
        <w:t>، و کانت الشیعة تعرف الواقع منها بقرائن الحال و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الخلط بین الأخبار المرویّة عنهم علیهم‌السلام و روایات العامّة؛ فإنّ من الشیعة مَن کان یروی عن مشایخ أهل الحدیث من العامّة أیضا، فبتمادی الزمان و وقوع الاشتباه نقلوا أحادیث کلّ من الفریقین عن الآخر، کما اتّفق نظیر ذلک فی أخبار أهل السنّة أیضا، فذکروا أنّ أبا هریرة کان یروی أخبارا عن النبیّ صلی‌الله‌علیه‌و‌آله، و کعب الأحبار یروی من أخبار الیهود و الإسرائیلیّات الموجودة فی التلمود</w:t>
      </w:r>
      <w:r>
        <w:rPr>
          <w:rStyle w:val="FootnoteAnchor"/>
          <w:rtl w:val="true"/>
        </w:rPr>
        <w:footnoteReference w:id="639"/>
      </w:r>
      <w:r>
        <w:rPr>
          <w:rFonts w:ascii="IRNazanin" w:hAnsi="IRNazanin" w:eastAsia="IRNazanin"/>
          <w:color w:val="111111"/>
          <w:sz w:val="28"/>
          <w:sz w:val="28"/>
          <w:szCs w:val="28"/>
          <w:rtl w:val="true"/>
          <w:lang w:bidi="fa-IR"/>
        </w:rPr>
        <w:t>و غیره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اختلط علی الناس، فرَوَوا ما سمعوه عن کعب علی أنّه أخبار مرویّة عن النبیّ صلی‌الله‌علیه‌و‌آلهبطریق أبی هریرة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امتنع لأجل هذه العلّة 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مشایخ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مسموعاته عن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لقیت مشایخ العامّة، فکیف 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تسمع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منهم، غیر أنّی رأیت کثیرا من أصحابنا قد سمعوا علم الخاصّة و علم العامّة، فاختلط علیهم حتّی کانوا یروون حدیث العامّة عن الخاصّة </w:t>
      </w:r>
    </w:p>
    <w:p>
      <w:pPr>
        <w:pStyle w:val="BookText"/>
        <w:rPr/>
      </w:pPr>
      <w:r>
        <w:rPr>
          <w:rFonts w:ascii="IRNazanin" w:hAnsi="IRNazanin" w:eastAsia="IRNazanin"/>
          <w:color w:val="111111"/>
          <w:sz w:val="28"/>
          <w:sz w:val="28"/>
          <w:szCs w:val="28"/>
          <w:rtl w:val="true"/>
          <w:lang w:bidi="fa-IR"/>
        </w:rPr>
        <w:t>و حدیث الخاصّة عن العامّة، فکرهت أن تختلط علیّ، فترکت ذلک و أقبلت علی هذا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بالمعنی و ذهاب خصوصیّات الکلام، فکثیرا مّا یحصل الاختلاف بسبب ذلک</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کثیر الوقوع فی أخبار الفریقین، حتّی أنّ الخوارج شنّعوا بذلک علی قاطبة أهل الحدیث،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ما کان الصحابة تکتب کلامه، و إنّما کانوا یسمعون منه، و ربّما رَوَوا ذلک الکلام بعد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من تعوّد تلفیق الکلام من العلماء لو</w:t>
      </w:r>
    </w:p>
    <w:p>
      <w:pPr>
        <w:pStyle w:val="BookText"/>
        <w:rPr/>
      </w:pPr>
      <w:r>
        <w:rPr>
          <w:rFonts w:ascii="IRNazanin" w:hAnsi="IRNazanin" w:eastAsia="IRNazanin"/>
          <w:color w:val="111111"/>
          <w:sz w:val="28"/>
          <w:sz w:val="28"/>
          <w:szCs w:val="28"/>
          <w:rtl w:val="true"/>
          <w:lang w:bidi="fa-IR"/>
        </w:rPr>
        <w:t>سمعوا کلاما قلیلاً فأرادوا إعادته فی تلک الساعة بعین الألفاظ عجزوا عنه، فکیف بالکلام الطویل بعد المدّة الطویلة من غیر تکرار و لا کتابة؟ ثمّ بعد مضیّ مدّة لا یمکن</w:t>
      </w:r>
    </w:p>
    <w:p>
      <w:pPr>
        <w:pStyle w:val="BookText"/>
        <w:rPr/>
      </w:pPr>
      <w:r>
        <w:rPr>
          <w:rFonts w:ascii="IRNazanin" w:hAnsi="IRNazanin" w:eastAsia="IRNazanin"/>
          <w:color w:val="111111"/>
          <w:sz w:val="28"/>
          <w:sz w:val="28"/>
          <w:szCs w:val="28"/>
          <w:rtl w:val="true"/>
          <w:lang w:bidi="fa-IR"/>
        </w:rPr>
        <w:t>إعادة المعنی بتمامه، فإنّ الإنسان مظنّة للنسیان</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نسب إنکار العمل بالحدیث</w:t>
      </w:r>
    </w:p>
    <w:p>
      <w:pPr>
        <w:pStyle w:val="BookText"/>
        <w:rPr/>
      </w:pPr>
      <w:r>
        <w:rPr>
          <w:rFonts w:ascii="IRNazanin" w:hAnsi="IRNazanin" w:eastAsia="IRNazanin"/>
          <w:color w:val="111111"/>
          <w:sz w:val="28"/>
          <w:sz w:val="28"/>
          <w:szCs w:val="28"/>
          <w:rtl w:val="true"/>
          <w:lang w:bidi="fa-IR"/>
        </w:rPr>
        <w:t>إلی الخوارج هو البغدادیّ فی کتابه أصول الدین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کانوا یحضرون مجلس النبیّ صلی‌الله‌علیه‌و‌آله و قد ابتدأ بالحدیث، فیلحقه بعضهم فی الأثناء فینقله بانفراده فیتغیّر المعنی لذلک، و لذلک کان صلی‌الله‌علیه‌و‌آله</w:t>
      </w:r>
      <w:r>
        <w:rPr>
          <w:rStyle w:val="FootnoteAnchor"/>
          <w:rtl w:val="true"/>
        </w:rPr>
        <w:footnoteReference w:id="645"/>
      </w:r>
      <w:r>
        <w:rPr>
          <w:rFonts w:ascii="IRNazanin" w:hAnsi="IRNazanin" w:eastAsia="IRNazanin"/>
          <w:color w:val="111111"/>
          <w:sz w:val="28"/>
          <w:sz w:val="28"/>
          <w:szCs w:val="28"/>
          <w:rtl w:val="true"/>
          <w:lang w:bidi="fa-IR"/>
        </w:rPr>
        <w:t>إذا أحسّ برجل داخل، ابتدأ الحدیث</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58" w:name="pg4793_55874"/>
    </w:p>
    <w:p>
      <w:pPr>
        <w:pStyle w:val="Heading3"/>
        <w:numPr>
          <w:ilvl w:val="2"/>
          <w:numId w:val="1"/>
        </w:numPr>
        <w:rPr/>
      </w:pPr>
      <w:bookmarkStart w:id="359" w:name="__RefHeading___Toc2295397_2035185390"/>
      <w:bookmarkStart w:id="360" w:name="_Toc128"/>
      <w:bookmarkEnd w:id="358"/>
      <w:bookmarkEnd w:id="359"/>
      <w:r>
        <w:rPr>
          <w:rtl w:val="true"/>
        </w:rPr>
        <w:t>الفصل الثانی</w:t>
      </w:r>
      <w:r>
        <w:rPr>
          <w:rtl w:val="true"/>
        </w:rPr>
        <w:t xml:space="preserve">: </w:t>
      </w:r>
      <w:r>
        <w:rPr>
          <w:rtl w:val="true"/>
        </w:rPr>
        <w:t>مدارک الأحکام الشرعیّة عند الشیعة</w:t>
      </w:r>
      <w:bookmarkEnd w:id="360"/>
    </w:p>
    <w:p>
      <w:pPr>
        <w:pStyle w:val="Heading4"/>
        <w:numPr>
          <w:ilvl w:val="3"/>
          <w:numId w:val="1"/>
        </w:numPr>
        <w:rPr/>
      </w:pPr>
      <w:bookmarkStart w:id="361" w:name="__RefHeading___Toc2295399_2035185390"/>
      <w:bookmarkStart w:id="362" w:name="_Toc129"/>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تنحصر مدارک الأحکام الفرعیّة المُتلقّاة من الشرع، فی الکتاب الکریم و السنّة المقدّسة و ما یرجع إلیهما من الإجماع و دلیل العقل، علی ما تطّلع علیه فیما یأتی</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295401_2035185390"/>
      <w:bookmarkStart w:id="364" w:name="_Toc130"/>
      <w:bookmarkEnd w:id="363"/>
      <w:r>
        <w:rPr>
          <w:rtl w:val="true"/>
        </w:rPr>
        <w:t>الکتاب الکریم</w:t>
      </w:r>
      <w:bookmarkEnd w:id="364"/>
    </w:p>
    <w:p>
      <w:pPr>
        <w:pStyle w:val="BookText"/>
        <w:rPr/>
      </w:pPr>
      <w:r>
        <w:rPr>
          <w:rFonts w:ascii="Amiri" w:hAnsi="Amiri" w:eastAsia="Amiri" w:cs="Amiri"/>
          <w:color w:val="111111"/>
          <w:sz w:val="28"/>
          <w:sz w:val="28"/>
          <w:szCs w:val="28"/>
          <w:rtl w:val="true"/>
          <w:lang w:bidi="ar-SA"/>
        </w:rPr>
        <w:t>هو أصل مبانی الدیانة و أساس الشریعة الإسلامیّة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لَکِتَابٌ عَزیزٌ لاَیَأْتیهِ</w:t>
      </w:r>
    </w:p>
    <w:p>
      <w:pPr>
        <w:pStyle w:val="BookText"/>
        <w:rPr/>
      </w:pPr>
      <w:r>
        <w:rPr>
          <w:rFonts w:ascii="Amiri" w:hAnsi="Amiri" w:eastAsia="Amiri" w:cs="Amiri"/>
          <w:color w:val="111111"/>
          <w:sz w:val="28"/>
          <w:sz w:val="28"/>
          <w:szCs w:val="28"/>
          <w:rtl w:val="true"/>
          <w:lang w:bidi="ar-SA"/>
        </w:rPr>
        <w:t>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حجّیّته ثابتة عند قاطبة المسلمین، و المنکر لحجّیّته مخالف لضرورة الدین</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بینهم حجّیّة محکماته من الظواهر و النصوص و إن لم یَرِد تفسیرها من السنّة،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جرت طریقة علماء الإسلام علی التمسّک بالکتاب الکریم و الرجوع إلیه فی موارد </w:t>
      </w:r>
    </w:p>
    <w:p>
      <w:pPr>
        <w:pStyle w:val="BookText"/>
        <w:rPr/>
      </w:pPr>
      <w:r>
        <w:rPr>
          <w:rFonts w:ascii="IRNazanin" w:hAnsi="IRNazanin" w:eastAsia="IRNazanin"/>
          <w:color w:val="111111"/>
          <w:sz w:val="28"/>
          <w:sz w:val="28"/>
          <w:szCs w:val="28"/>
          <w:rtl w:val="true"/>
          <w:lang w:bidi="fa-IR"/>
        </w:rPr>
        <w:t>الخلاف فی مسائل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زالت الأئمّة علیهم‌السلام یحتجّون بآیاته علی المخالفین و فی</w:t>
      </w:r>
    </w:p>
    <w:p>
      <w:pPr>
        <w:pStyle w:val="BookText"/>
        <w:rPr/>
      </w:pPr>
      <w:r>
        <w:rPr>
          <w:rFonts w:ascii="IRNazanin" w:hAnsi="IRNazanin" w:eastAsia="IRNazanin"/>
          <w:color w:val="111111"/>
          <w:sz w:val="28"/>
          <w:sz w:val="28"/>
          <w:szCs w:val="28"/>
          <w:rtl w:val="true"/>
          <w:lang w:bidi="fa-IR"/>
        </w:rPr>
        <w:t>مقام بیان أحکام الدین</w:t>
      </w:r>
      <w:r>
        <w:rPr>
          <w:rStyle w:val="FootnoteAnchor"/>
          <w:rtl w:val="true"/>
        </w:rPr>
        <w:footnoteReference w:id="650"/>
      </w:r>
      <w:r>
        <w:rPr>
          <w:rFonts w:ascii="IRNazanin" w:hAnsi="IRNazanin" w:eastAsia="IRNazanin"/>
          <w:color w:val="111111"/>
          <w:sz w:val="28"/>
          <w:sz w:val="28"/>
          <w:szCs w:val="28"/>
          <w:rtl w:val="true"/>
          <w:lang w:bidi="fa-IR"/>
        </w:rPr>
        <w:t>، و لم یُعهد فی ذلک خلاف من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الأواخر فی حجّیّة ظواهره جملةٌ من متأخّری الأخباریّة من الشیعة، ممّن أقصی درجتهم معرفة ظواهر الآثار و البحث عن مدالیلها بنظر عارٍ عن التدبّر و الاعتبار، فأنکروا حجّیّة ما لم یفسّر منه فی السنّة ؛ اغترارا منهم بظواهر أخبار واردة فی ذلک المعنی حملوها علی غیر محاملها الصحیحة و وجوهها المَرْضیّة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فی الکتاب من الأمر بالتدبّر فی آیاته و أنّه أُنزل تبیانا لکلّ شیء، و أنّه مصدّق</w:t>
      </w:r>
    </w:p>
    <w:p>
      <w:pPr>
        <w:pStyle w:val="BookText"/>
        <w:rPr/>
      </w:pPr>
      <w:r>
        <w:rPr>
          <w:rFonts w:ascii="IRNazanin" w:hAnsi="IRNazanin" w:eastAsia="IRNazanin"/>
          <w:color w:val="111111"/>
          <w:sz w:val="28"/>
          <w:sz w:val="28"/>
          <w:szCs w:val="28"/>
          <w:rtl w:val="true"/>
          <w:lang w:bidi="fa-IR"/>
        </w:rPr>
        <w:t>لما بین یدیه، و أنّه هدیً و بیان، و ما امتنّ اللّه به من إنزال الکتاب بلسان عربیّ مبین ، إلی غیر ذلک من آیات کثیرة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ما فی السنّة من وجوب التمسّک به و الرجوع إلیه و التعویل علیه، و أنّ کلّ شیء مردود إلیه، و أنّ الحدیث إذا کان له شاهد من کتاب اللّه قُبل و إلاّ رُدّ، و أخبار العرض علی کتاب اللّه المدّعی تواترها، إلی غیر ذلک من الأخبار و الآثار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 المجتهدون من الشیعة علی هؤلاء و زیّفوا أقوالهم و أجابوا عن شبهاتهم بما لامزید علیه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365" w:name="pg4793_55878"/>
    </w:p>
    <w:p>
      <w:pPr>
        <w:pStyle w:val="Heading4"/>
        <w:numPr>
          <w:ilvl w:val="3"/>
          <w:numId w:val="1"/>
        </w:numPr>
        <w:rPr/>
      </w:pPr>
      <w:bookmarkStart w:id="366" w:name="__RefHeading___Toc2295403_2035185390"/>
      <w:bookmarkStart w:id="367" w:name="_Toc131"/>
      <w:bookmarkEnd w:id="365"/>
      <w:bookmarkEnd w:id="366"/>
      <w:r>
        <w:rPr>
          <w:rtl w:val="true"/>
        </w:rPr>
        <w:t>[</w:t>
      </w:r>
      <w:r>
        <w:rPr>
          <w:rtl w:val="true"/>
        </w:rPr>
        <w:t>آیات الأحکام</w:t>
      </w:r>
      <w:r>
        <w:rPr>
          <w:rtl w:val="true"/>
        </w:rPr>
        <w:t>]</w:t>
      </w:r>
      <w:bookmarkEnd w:id="367"/>
    </w:p>
    <w:p>
      <w:pPr>
        <w:pStyle w:val="BookText"/>
        <w:rPr/>
      </w:pPr>
      <w:r>
        <w:rPr>
          <w:rFonts w:ascii="IRNazanin" w:hAnsi="IRNazanin" w:eastAsia="IRNazanin"/>
          <w:color w:val="111111"/>
          <w:sz w:val="28"/>
          <w:sz w:val="28"/>
          <w:szCs w:val="28"/>
          <w:rtl w:val="true"/>
          <w:lang w:bidi="fa-IR"/>
        </w:rPr>
        <w:t>و قد اشتمل القرآن من الآیات المتکفّلة بأحکام الفروع علی آیات کثیرة متفرّقة فی</w:t>
      </w:r>
    </w:p>
    <w:p>
      <w:pPr>
        <w:pStyle w:val="BookText"/>
        <w:rPr/>
      </w:pPr>
      <w:r>
        <w:rPr>
          <w:rFonts w:ascii="IRNazanin" w:hAnsi="IRNazanin" w:eastAsia="IRNazanin"/>
          <w:color w:val="111111"/>
          <w:sz w:val="28"/>
          <w:sz w:val="28"/>
          <w:szCs w:val="28"/>
          <w:rtl w:val="true"/>
          <w:lang w:bidi="fa-IR"/>
        </w:rPr>
        <w:t>مواضع کثیرة من السور، و فیها بیان ما فرض علی المکلّفین من عبادات بدنیّة، و مالیّة، و أمور حسبیّة و مدنیّة، و شؤون اجتماعیّة و عائلیّة، و قوانین جزائیّة و جنائیّة؛ فیها</w:t>
      </w:r>
    </w:p>
    <w:p>
      <w:pPr>
        <w:pStyle w:val="BookText"/>
        <w:rPr/>
      </w:pPr>
      <w:r>
        <w:rPr>
          <w:rFonts w:ascii="IRNazanin" w:hAnsi="IRNazanin" w:eastAsia="IRNazanin"/>
          <w:color w:val="111111"/>
          <w:sz w:val="28"/>
          <w:sz w:val="28"/>
          <w:szCs w:val="28"/>
          <w:rtl w:val="true"/>
          <w:lang w:bidi="fa-IR"/>
        </w:rPr>
        <w:t>کلّیّات ما یتعلّق بنظام الاجتماع الإنسانیّ و صلاح الهیئة البشریّة علی أکمل حال و أحسن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العلماء فی بیان هذه الآیات و ما یستخرج منها من الفروع و الأحکام کتبا کثیرة معروفة</w:t>
      </w:r>
      <w:r>
        <w:rPr>
          <w:rStyle w:val="FootnoteAnchor"/>
          <w:rtl w:val="true"/>
        </w:rPr>
        <w:footnoteReference w:id="655"/>
      </w:r>
      <w:r>
        <w:rPr>
          <w:rFonts w:ascii="IRNazanin" w:hAnsi="IRNazanin" w:eastAsia="IRNazanin"/>
          <w:color w:val="111111"/>
          <w:sz w:val="28"/>
          <w:sz w:val="28"/>
          <w:szCs w:val="28"/>
          <w:rtl w:val="true"/>
          <w:lang w:bidi="fa-IR"/>
        </w:rPr>
        <w:t>، و هی تقرب من نحو خمس مائة آیة</w:t>
      </w:r>
      <w:r>
        <w:rPr>
          <w:rFonts w:eastAsia="IRNazanin" w:cs="IRNazanin"/>
          <w:color w:val="111111"/>
          <w:sz w:val="28"/>
          <w:szCs w:val="28"/>
          <w:rtl w:val="true"/>
          <w:lang w:bidi="fa-IR"/>
        </w:rPr>
        <w:t>.</w:t>
      </w:r>
    </w:p>
    <w:p>
      <w:pPr>
        <w:pStyle w:val="Heading4"/>
        <w:numPr>
          <w:ilvl w:val="3"/>
          <w:numId w:val="1"/>
        </w:numPr>
        <w:rPr/>
      </w:pPr>
      <w:bookmarkStart w:id="368" w:name="__RefHeading___Toc2295405_2035185390"/>
      <w:bookmarkStart w:id="369" w:name="_Toc132"/>
      <w:bookmarkEnd w:id="368"/>
      <w:r>
        <w:rPr>
          <w:rtl w:val="true"/>
        </w:rPr>
        <w:t>السنّة</w:t>
      </w:r>
      <w:bookmarkEnd w:id="369"/>
    </w:p>
    <w:p>
      <w:pPr>
        <w:pStyle w:val="BookText"/>
        <w:rPr/>
      </w:pPr>
      <w:r>
        <w:rPr>
          <w:rFonts w:ascii="IRNazanin" w:hAnsi="IRNazanin" w:eastAsia="IRNazanin"/>
          <w:color w:val="111111"/>
          <w:sz w:val="28"/>
          <w:sz w:val="28"/>
          <w:szCs w:val="28"/>
          <w:rtl w:val="true"/>
          <w:lang w:bidi="fa-IR"/>
        </w:rPr>
        <w:t>و معناها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فسنّة کلّ أحد ما عُهِدت منه المحافظة علیه و الإکثار منه، سواء کان ذلک من الأمور الحمیدة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أیضا عن الأزهریّ اختصاصها بالطریقة المحمودة المستقیمة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أُطلقت فی الشرع و عُرفِ أهله علی ما صدر عن النبیّ صلی‌الله‌علیه‌و‌آله من قول أو فعل أو تقریر، ممّا لیس بقرآن و لا أمر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الإمامیّة إذ یعمّمون موضوع السنّة و یدخلون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أصولهم التی تقرّر صحّتها عندهم بالبراهین العقلیّة و الأدلّة السمعیّة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أئمّتهم و أفعالهم و تقاریرهم؛ إذ کانوا قائمین مقام النبیّ صلی‌الله‌علیه‌و‌آله فی حفظ الشرع و إظهاره، فلذلک یعرّفون السنّة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 أو فعله أو تقریره</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یحکی هذه الأمور الثلاثة یسمّی حدیثا و خبرا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370" w:name="pg4793_55881"/>
    </w:p>
    <w:p>
      <w:pPr>
        <w:pStyle w:val="BookText"/>
        <w:rPr/>
      </w:pPr>
      <w:bookmarkEnd w:id="370"/>
      <w:r>
        <w:rPr>
          <w:rFonts w:ascii="IRNazanin" w:hAnsi="IRNazanin" w:eastAsia="IRNazanin"/>
          <w:color w:val="111111"/>
          <w:sz w:val="28"/>
          <w:sz w:val="28"/>
          <w:szCs w:val="28"/>
          <w:rtl w:val="true"/>
          <w:lang w:bidi="fa-IR"/>
        </w:rPr>
        <w:t>و هذه الأحادیث الحاکیة للسنّة هی الأخبار الموجودة فی جوامع الفریقین و صحاحهم و أصولهم و مسانیدهم و کتبهم، ممّا رواه الرواة من الفریقین بالأسانید المتّصلة إلی من یروونها عنهم، علی شروط مذکورة فی محالّها من کتب الأصول و الدرایة</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مقدّمة المعتبر للمحقّق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السنّة الکریمة فی المرتبة الثانیة فی استخراج الأحکام الشرعیّة، فهی بعد کتاب اللّه عزّ وجلّ أصل من أصولها یُبنی علی مقتضاها فی معرفة الحلال و الحرام، و حجّة شرعیّة یجب العمل بمؤدّاها مهما ثبت صدورها بالطرق الموثوقة من قول النبیّ صلی‌الله‌علیه‌و‌آلهو فعله و تقریره، أو من أفعال خلفائه و أوصیائه و أفعالهم و تقاریرهم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المتکفّلة ببیان</w:t>
      </w:r>
    </w:p>
    <w:p>
      <w:pPr>
        <w:pStyle w:val="BookText"/>
        <w:rPr/>
      </w:pPr>
      <w:r>
        <w:rPr>
          <w:rFonts w:ascii="IRNazanin" w:hAnsi="IRNazanin" w:eastAsia="IRNazanin"/>
          <w:color w:val="111111"/>
          <w:sz w:val="28"/>
          <w:sz w:val="28"/>
          <w:szCs w:val="28"/>
          <w:rtl w:val="true"/>
          <w:lang w:bidi="fa-IR"/>
        </w:rPr>
        <w:t>تفاصیل ما ثبت من القرآن الکریم من أصول العبادات و الأحکام و المعاملات و أجزائها و جزئیّاتها و شرائطها، و بیان مجملات الآیات و تقیید مطلقاتها و تخصیص عموماتها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وراء ذلک أحکام قضایا و حوادث لم یرد ذکرها صریحا فی القرآن الکریم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للأخبار النبویّة و سنّته المقدّسة میزة أخری و رجحان عند الشیعة علی سائر الأخبار، ببُعدها غالبا عن محامل التقیّة الموجودة فی غیرها من أخبار الأئمّة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کثیر من الأخبار الآمرة بعرض سائر الأخبار الصادرة عن الأئمّة علیهم‌السلام علیها، کعرضها علی القرآن، و الأخذ بما یوافقها و طرح ما یخالفها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2295407_2035185390"/>
      <w:bookmarkStart w:id="372" w:name="_Toc133"/>
      <w:bookmarkEnd w:id="371"/>
      <w:r>
        <w:rPr>
          <w:rtl w:val="true"/>
        </w:rPr>
        <w:t>[</w:t>
      </w:r>
      <w:r>
        <w:rPr>
          <w:rtl w:val="true"/>
        </w:rPr>
        <w:t>الخبر المتواتر و الواحد</w:t>
      </w:r>
      <w:r>
        <w:rPr>
          <w:rtl w:val="true"/>
        </w:rPr>
        <w:t>]</w:t>
      </w:r>
      <w:bookmarkEnd w:id="3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المرویّة علی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منها متواتر، و هو خبر جماعة یفید بنفسه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عرّفوه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جماعة بلغوا فی الکثرة إلی حدّ یُؤمَن تواطؤهم علی الکذب و یحصل بإخبارهم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آحاد، و هی ما لم تبلغ حدّ التواتر؛ سواء کان المُخبِر واحدا أو متعدّدا، و سواء أفاد العلم أم لا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الخبر المتواتر فالعلم المستفاد منه ضروریّ</w:t>
      </w:r>
      <w:r>
        <w:rPr>
          <w:rStyle w:val="FootnoteAnchor"/>
          <w:rtl w:val="true"/>
        </w:rPr>
        <w:footnoteReference w:id="663"/>
      </w:r>
      <w:r>
        <w:rPr>
          <w:rFonts w:ascii="IRNazanin" w:hAnsi="IRNazanin" w:eastAsia="IRNazanin"/>
          <w:color w:val="111111"/>
          <w:sz w:val="28"/>
          <w:sz w:val="28"/>
          <w:szCs w:val="28"/>
          <w:rtl w:val="true"/>
          <w:lang w:bidi="fa-IR"/>
        </w:rPr>
        <w:t>و لکنّه قلیل، و بالخصوص المتواتر لفظا،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إیراد مثال للمتواتر اللفظیّ أعیاه طلبه</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یقال بالتواتر فیه هو من قبیل 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الخبر المتواتر</w:t>
      </w:r>
    </w:p>
    <w:p>
      <w:pPr>
        <w:pStyle w:val="BookText"/>
        <w:rPr/>
      </w:pPr>
      <w:r>
        <w:rPr>
          <w:rFonts w:ascii="IRNazanin" w:hAnsi="IRNazanin" w:eastAsia="IRNazanin"/>
          <w:color w:val="111111"/>
          <w:sz w:val="28"/>
          <w:sz w:val="28"/>
          <w:szCs w:val="28"/>
          <w:rtl w:val="true"/>
          <w:lang w:bidi="fa-IR"/>
        </w:rPr>
        <w:t>مهما وجد بشرائطه فهو حجّة شرعیّة یجب اتّباعه و العمل بمؤدّاه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الآحاد ففی جواز التعبّد بها عقلاً و وقوع التعبّد به فی الشرعیّات، خلاف</w:t>
      </w:r>
    </w:p>
    <w:p>
      <w:pPr>
        <w:pStyle w:val="BookText"/>
        <w:rPr/>
      </w:pPr>
      <w:r>
        <w:rPr>
          <w:rFonts w:ascii="IRNazanin" w:hAnsi="IRNazanin" w:eastAsia="IRNazanin"/>
          <w:color w:val="111111"/>
          <w:sz w:val="28"/>
          <w:sz w:val="28"/>
          <w:szCs w:val="28"/>
          <w:rtl w:val="true"/>
          <w:lang w:bidi="fa-IR"/>
        </w:rPr>
        <w:t>معروف بین الأصولیّین من الفریقین لا محلّ لبسط القول فیه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عنون أهل الأصول مسألة أخبار الآحاد، و تعرّضوا لما یجب التعرّض له من مباحثها بما لا مزید علیه</w:t>
      </w:r>
      <w:r>
        <w:rPr>
          <w:rStyle w:val="FootnoteAnchor"/>
          <w:rtl w:val="true"/>
        </w:rPr>
        <w:footnoteReference w:id="665"/>
      </w:r>
      <w:r>
        <w:rPr>
          <w:rFonts w:ascii="IRNazanin" w:hAnsi="IRNazanin" w:eastAsia="IRNazanin"/>
          <w:color w:val="111111"/>
          <w:sz w:val="28"/>
          <w:sz w:val="28"/>
          <w:szCs w:val="28"/>
          <w:rtl w:val="true"/>
          <w:lang w:bidi="fa-IR"/>
        </w:rPr>
        <w:t>، إلاّ أنّنا نری من اللازم أن نتعرّض لها من الناحیة التاریخیّة لکشف جلیّة الحال فی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کلّ باحث أنّ السنّة النبویّة المأثورة لم تکن مجتمعة عند شخص أو أشخاص معدودین، بل کانت متفرّقة فی الصحابة، و فیهم المکّیّ و المدنیّ، و الحجازیّ و التِّهامیّ،</w:t>
      </w:r>
    </w:p>
    <w:p>
      <w:pPr>
        <w:pStyle w:val="BookText"/>
        <w:rPr/>
      </w:pPr>
      <w:r>
        <w:rPr>
          <w:rFonts w:ascii="Amiri" w:hAnsi="Amiri" w:eastAsia="Amiri" w:cs="Amiri"/>
          <w:color w:val="111111"/>
          <w:sz w:val="28"/>
          <w:sz w:val="28"/>
          <w:szCs w:val="28"/>
          <w:rtl w:val="true"/>
          <w:lang w:bidi="ar-SA"/>
        </w:rPr>
        <w:t>و البدویّ و الحَضَریّ و غیر هؤلاء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کان تَلقّی تلک السنّة الکریمة؛ فمنها ما یتلقّاه الجماعة الکثیرة من الحاضرین</w:t>
      </w:r>
      <w:r>
        <w:rPr>
          <w:rFonts w:eastAsia="IRNazanin" w:cs="IRNazanin"/>
          <w:color w:val="111111"/>
          <w:sz w:val="28"/>
          <w:szCs w:val="28"/>
          <w:rtl w:val="true"/>
          <w:lang w:bidi="fa-IR"/>
        </w:rPr>
        <w:t xml:space="preserve">. </w:t>
      </w:r>
      <w:bookmarkStart w:id="373" w:name="pg4793_55885"/>
    </w:p>
    <w:p>
      <w:pPr>
        <w:pStyle w:val="BookText"/>
        <w:rPr/>
      </w:pPr>
      <w:bookmarkEnd w:id="373"/>
      <w:r>
        <w:rPr>
          <w:rFonts w:ascii="IRNazanin" w:hAnsi="IRNazanin" w:eastAsia="IRNazanin"/>
          <w:color w:val="111111"/>
          <w:sz w:val="28"/>
          <w:sz w:val="28"/>
          <w:szCs w:val="28"/>
          <w:rtl w:val="true"/>
          <w:lang w:bidi="fa-IR"/>
        </w:rPr>
        <w:t>و من هذا القبیل أغلب أصول العبادات و کیفیّاتها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یختصّ بأشخاص اتّفقت لهم حوادث و قضایا سألوا رسول اللّه صلی‌الله‌علیه‌و‌آله عنها،</w:t>
      </w:r>
    </w:p>
    <w:p>
      <w:pPr>
        <w:pStyle w:val="BookText"/>
        <w:rPr/>
      </w:pPr>
      <w:r>
        <w:rPr>
          <w:rFonts w:ascii="IRNazanin" w:hAnsi="IRNazanin" w:eastAsia="IRNazanin"/>
          <w:color w:val="111111"/>
          <w:sz w:val="28"/>
          <w:sz w:val="28"/>
          <w:szCs w:val="28"/>
          <w:rtl w:val="true"/>
          <w:lang w:bidi="fa-IR"/>
        </w:rPr>
        <w:t>و تعلّموا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یحضر بعض منهم عند مسألة یسأل عنها، أو حکم یحکم به، أو فعل یصدر منه أو أمر أو نهی، و یغیب عنه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یکونوا کلّهم یسألونه، و کانوا فی بعض الأحیان یحبّون أن یجیئ الأعرابیّ و الطارئ، فیسأل النبیَّ صلی‌الله‌علیه‌و‌آله عن شیء حتّی یسمعوا</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السنّة القولیّة من هذا القسم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انتشر الصحابة الحاملون لهذه الأحادیث بعد النبیّ صلی‌الله‌علیه‌و‌آله فی الأعصار بسبب الفتوحات الإسلامیّة، و جنّدوا بها الأجناد، و سکنوا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إلیهم کثیر من الناس</w:t>
      </w:r>
    </w:p>
    <w:p>
      <w:pPr>
        <w:pStyle w:val="BookText"/>
        <w:rPr/>
      </w:pPr>
      <w:r>
        <w:rPr>
          <w:rFonts w:ascii="IRNazanin" w:hAnsi="IRNazanin" w:eastAsia="IRNazanin"/>
          <w:color w:val="111111"/>
          <w:sz w:val="28"/>
          <w:sz w:val="28"/>
          <w:szCs w:val="28"/>
          <w:rtl w:val="true"/>
          <w:lang w:bidi="fa-IR"/>
        </w:rPr>
        <w:t>یأخذون عنهم و یتعلّمون منهم الأحکام و یتحمّلون عنهم السنن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خلّفهم التابعون الآخذون علومهم عمّن لَقَوهم من أصحاب رسول اللّه صلی‌الله‌علیه‌و‌آله، فصاروا المرجع بعد الصحابة یأخذ الناس عنهم ما رووه عن الصحابة و یتعلّمون منهم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فشت فاشیة الکذب فی الحدیث من لَدُن عصر الصحابة، بل عُهِد الکذب فی ذلک علی رسول اللّه صلی‌الله‌علیه‌و‌آله فی زمانه، حتّی قام خطیبا فی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قد کَثُرَت</w:t>
      </w:r>
    </w:p>
    <w:p>
      <w:pPr>
        <w:pStyle w:val="BookText"/>
        <w:rPr/>
      </w:pPr>
      <w:r>
        <w:rPr>
          <w:rFonts w:ascii="Amiri" w:hAnsi="Amiri" w:eastAsia="Amiri" w:cs="Amiri"/>
          <w:color w:val="111111"/>
          <w:sz w:val="28"/>
          <w:sz w:val="28"/>
          <w:szCs w:val="28"/>
          <w:rtl w:val="true"/>
          <w:lang w:bidi="ar-SA"/>
        </w:rPr>
        <w:t>الکذّابة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کذب علَیّ متعمّدا فلیتبوّأ مقعده من النار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295409_2035185390"/>
      <w:bookmarkStart w:id="375" w:name="_Toc134"/>
      <w:bookmarkEnd w:id="374"/>
      <w:r>
        <w:rPr>
          <w:rtl w:val="true"/>
        </w:rPr>
        <w:t>[</w:t>
      </w:r>
      <w:r>
        <w:rPr>
          <w:rtl w:val="true"/>
        </w:rPr>
        <w:t>أسباب الوضع و التدلیس، و ضرورة نقد الحدیث</w:t>
      </w:r>
      <w:r>
        <w:rPr>
          <w:rtl w:val="true"/>
        </w:rPr>
        <w:t>]</w:t>
      </w:r>
      <w:bookmarkEnd w:id="375"/>
    </w:p>
    <w:p>
      <w:pPr>
        <w:pStyle w:val="BookText"/>
        <w:rPr/>
      </w:pPr>
      <w:r>
        <w:rPr>
          <w:rFonts w:ascii="IRNazanin" w:hAnsi="IRNazanin" w:eastAsia="IRNazanin"/>
          <w:color w:val="111111"/>
          <w:sz w:val="28"/>
          <w:sz w:val="28"/>
          <w:szCs w:val="28"/>
          <w:rtl w:val="true"/>
          <w:lang w:bidi="fa-IR"/>
        </w:rPr>
        <w:t>و عمّت البلوی فی ذلک بعد ذاک الزمان، و تطرّقت ید الوضع و الدسّ و التحریف إلی الأحادیث المرویّة، لأسباب متنوّعة قد تعرّض العلماء و نقّاد الآثار للکشف عنها و بیان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عللها التی لأجلها تجاسَرَ الکذّابة و الوضّاعون علی ذلک، بأمثال هذه الأغراض المتنوّعة </w:t>
      </w:r>
    </w:p>
    <w:p>
      <w:pPr>
        <w:pStyle w:val="BookText"/>
        <w:rPr/>
      </w:pPr>
      <w:r>
        <w:rPr>
          <w:rFonts w:ascii="IRNazanin" w:hAnsi="IRNazanin" w:eastAsia="IRNazanin"/>
          <w:color w:val="111111"/>
          <w:sz w:val="28"/>
          <w:sz w:val="28"/>
          <w:szCs w:val="28"/>
          <w:rtl w:val="true"/>
          <w:lang w:bidi="fa-IR"/>
        </w:rPr>
        <w:t>من ترویج نحلة، أو دعوة إلی بدعة، أو احتجاج لطریقة، أو ترغیب فی طاعة أو ترهیب عن معصیة، أو احتساب لأجر و ثواب</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طرق أولئک الأشخاص المختلفین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 الصادق و الکاذب، و الواهم و الناسی و المحرّف و الضابط و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معظم تلک الآثار النبویّة إلی المحدّثین مدوّنیها، و إلی أهل الأخبار الذین دأبهم جمع</w:t>
      </w:r>
    </w:p>
    <w:p>
      <w:pPr>
        <w:pStyle w:val="BookText"/>
        <w:rPr/>
      </w:pPr>
      <w:r>
        <w:rPr>
          <w:rFonts w:ascii="IRNazanin" w:hAnsi="IRNazanin" w:eastAsia="IRNazanin"/>
          <w:color w:val="111111"/>
          <w:sz w:val="28"/>
          <w:sz w:val="28"/>
          <w:szCs w:val="28"/>
          <w:rtl w:val="true"/>
          <w:lang w:bidi="fa-IR"/>
        </w:rPr>
        <w:t>الأخبار و تدوینها فی مختلف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الفریقین لا همّ لهم إلاّ کثرة الأخذ و الروایة و الوقوف علی ما لم یکن عند غیره، مع عدم الاعتناء و قلّة المبالاة بحال مَن یؤخذ عنه، حتّی أنّ مِن هؤلاء مَن کان</w:t>
      </w:r>
    </w:p>
    <w:p>
      <w:pPr>
        <w:pStyle w:val="BookText"/>
        <w:rPr/>
      </w:pPr>
      <w:r>
        <w:rPr>
          <w:rFonts w:ascii="IRNazanin" w:hAnsi="IRNazanin" w:eastAsia="IRNazanin"/>
          <w:color w:val="111111"/>
          <w:sz w:val="28"/>
          <w:sz w:val="28"/>
          <w:szCs w:val="28"/>
          <w:rtl w:val="true"/>
          <w:lang w:bidi="fa-IR"/>
        </w:rPr>
        <w:t xml:space="preserve">یحمل الأخبار عن الیهود و النصاری و یسمّیهم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الأوّل</w:t>
      </w:r>
      <w:r>
        <w:rPr>
          <w:rStyle w:val="FootnoteAnchor"/>
          <w:rtl w:val="true"/>
        </w:rPr>
        <w:footnoteReference w:id="670"/>
      </w:r>
      <w:r>
        <w:rPr>
          <w:rFonts w:ascii="IRNazanin" w:hAnsi="IRNazanin" w:eastAsia="IRNazanin"/>
          <w:color w:val="111111"/>
          <w:sz w:val="28"/>
          <w:sz w:val="28"/>
          <w:szCs w:val="28"/>
          <w:rtl w:val="true"/>
          <w:lang w:bidi="fa-IR"/>
        </w:rPr>
        <w:t>، فتفاقم الأمر فی باب الروایات و أشکل تمییز صحیحها من فاسدها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عموم البلاء بذلک و مقاومة ذاک التیّار الجارف من الموضوعات هو الذی نبّه نقّاد الآثار إلی وضع قواعد للروایة، و تحمّل الأحادیث، و الاهتمام بأمر أسانیدها، و عِلل متونها و غیر ذلک، حتّی نشأت من ذلک علوم الحدیث بأصنافها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الشیعة فقد کان اجتمع عندهم کتب و أصول کثیرة فی الحدیث ممّا روتها أسلافهم عن الأئمّة علیهم‌السلام و انتشرت بانتشارهم فی الأکناف و الأصقاع و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تسلم مرویّاتهم من بلاء التحریف و الوضع و وجود الأخبار المکذوبة بینها</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w:t>
      </w:r>
    </w:p>
    <w:p>
      <w:pPr>
        <w:pStyle w:val="BookText"/>
        <w:rPr/>
      </w:pPr>
      <w:r>
        <w:rPr>
          <w:rFonts w:ascii="IRNazanin" w:hAnsi="IRNazanin" w:eastAsia="IRNazanin"/>
          <w:color w:val="111111"/>
          <w:sz w:val="28"/>
          <w:sz w:val="28"/>
          <w:szCs w:val="28"/>
          <w:rtl w:val="true"/>
          <w:lang w:bidi="fa-IR"/>
        </w:rPr>
        <w:t>سابقا أنّه کان هناک جمع من الکذّابین دَسُّوا أنفسهم بین الشیعة یضعون الأحادیث و یدسّونها بین روایات الشیعة و کُتُبهم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أسباب و علل أخری للخلل الواقع فی أحادیث الشیعة لامجال للتعرّض لها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تصدّی جمع من العلماء و محدّثی الشیعة لتهذیب الأحادیث المرویّة عن هذا</w:t>
      </w:r>
    </w:p>
    <w:p>
      <w:pPr>
        <w:pStyle w:val="BookText"/>
        <w:rPr/>
      </w:pPr>
      <w:r>
        <w:rPr>
          <w:rFonts w:ascii="IRNazanin" w:hAnsi="IRNazanin" w:eastAsia="IRNazanin"/>
          <w:color w:val="111111"/>
          <w:sz w:val="28"/>
          <w:sz w:val="28"/>
          <w:szCs w:val="28"/>
          <w:rtl w:val="true"/>
          <w:lang w:bidi="fa-IR"/>
        </w:rPr>
        <w:t>القبیل من الأخبار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فالذی علیه نظّارهم و محقّقوهم، أنّه لایجوز الرکون فی الأصول الاعتقادیّة علی أخبار الآحاد، و أنّه لایجوز العمل بمقتضاها فی الفروع أیضا إلاّ بشروط</w:t>
      </w:r>
    </w:p>
    <w:p>
      <w:pPr>
        <w:pStyle w:val="BookText"/>
        <w:rPr/>
      </w:pPr>
      <w:r>
        <w:rPr>
          <w:rFonts w:ascii="IRNazanin" w:hAnsi="IRNazanin" w:eastAsia="IRNazanin"/>
          <w:color w:val="111111"/>
          <w:sz w:val="28"/>
          <w:sz w:val="28"/>
          <w:szCs w:val="28"/>
          <w:rtl w:val="true"/>
          <w:lang w:bidi="fa-IR"/>
        </w:rPr>
        <w:t>و بانضمام قرائن توجب العلم بمفادها، و تورث الوثوق و الاطمئنان بصدقها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بناء أهل البصیرة و النقد علی العمل بکلّ ما فی الکتب من الأحادیث المرویّة، و إنّما کان یذهب إلی ذلک جمع من غَفَلة أهل الحدیث ممّن یعوّلون علی التقلید و التسلیم و العمل</w:t>
      </w:r>
    </w:p>
    <w:p>
      <w:pPr>
        <w:pStyle w:val="BookText"/>
        <w:rPr/>
      </w:pPr>
      <w:r>
        <w:rPr>
          <w:rFonts w:ascii="IRNazanin" w:hAnsi="IRNazanin" w:eastAsia="IRNazanin"/>
          <w:color w:val="111111"/>
          <w:sz w:val="28"/>
          <w:sz w:val="28"/>
          <w:szCs w:val="28"/>
          <w:rtl w:val="true"/>
          <w:lang w:bidi="fa-IR"/>
        </w:rPr>
        <w:t>بظواهر ما ورد من الأحادیث، کما کانوا موجودین بین رواة الجمهور أیضا، و یطلق علیهم اسم الحشویّة و الظاهریّة و أهل الأخبار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قدح الأجلاّء من علماء الشیعة بهؤلاء الأشخاص و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شنّع الشیخ المفید علی أصحاب الحدیث هؤلاء الذین لایهتمّون بحال ما یأخذونه من تلک الأحادیث و لایقتصرون فی النقل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بأصحاب نظر و لا تفتیش و لا فکر فیما یروونه، فأخبارهم مختلطة لایتمیّز منها الصحیح من السقیم إلاّ</w:t>
      </w:r>
    </w:p>
    <w:p>
      <w:pPr>
        <w:pStyle w:val="BookText"/>
        <w:rPr/>
      </w:pPr>
      <w:r>
        <w:rPr>
          <w:rFonts w:ascii="IRNazanin" w:hAnsi="IRNazanin" w:eastAsia="IRNazanin"/>
          <w:color w:val="111111"/>
          <w:sz w:val="28"/>
          <w:sz w:val="28"/>
          <w:szCs w:val="28"/>
          <w:rtl w:val="true"/>
          <w:lang w:bidi="fa-IR"/>
        </w:rPr>
        <w:t>بنظر فی الأصول و اعتماد علی النظر الذی یوصل إلی العلم بصحّة المنقول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إنّا نورد فی هذا المقام کلاما جامعا أورده الشریف المرتضی فی أجوبة بعض مسائله فی نظیر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لایجب الإقرار بما تضمّنته الروایات ؛ فإنّ الحدیث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فی کتب الشیعة و کتب جمیع مخالفینا یتضمّن ضروب الخطأ و صنوف الباطل، </w:t>
      </w:r>
    </w:p>
    <w:p>
      <w:pPr>
        <w:pStyle w:val="BookText"/>
        <w:rPr/>
      </w:pPr>
      <w:r>
        <w:rPr>
          <w:rFonts w:ascii="IRNazanin" w:hAnsi="IRNazanin" w:eastAsia="IRNazanin"/>
          <w:color w:val="111111"/>
          <w:sz w:val="28"/>
          <w:sz w:val="28"/>
          <w:szCs w:val="28"/>
          <w:rtl w:val="true"/>
          <w:lang w:bidi="fa-IR"/>
        </w:rPr>
        <w:t>من محال لایجوز و لایتصوّر، و من باطل قد دلّ الدلیل علی بطلانه و فساده، کالتشبیه و الجبر و الرؤیة، و القول بالصفات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الذی یحصی ما فی الأحادیث من</w:t>
      </w:r>
    </w:p>
    <w:p>
      <w:pPr>
        <w:pStyle w:val="BookText"/>
        <w:rPr/>
      </w:pPr>
      <w:r>
        <w:rPr>
          <w:rFonts w:ascii="IRNazanin" w:hAnsi="IRNazanin" w:eastAsia="IRNazanin"/>
          <w:color w:val="111111"/>
          <w:sz w:val="28"/>
          <w:sz w:val="28"/>
          <w:szCs w:val="28"/>
          <w:rtl w:val="true"/>
          <w:lang w:bidi="fa-IR"/>
        </w:rPr>
        <w:t>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وجب نقد الحدیث بعرضه علی العقول، فإذا سلم علیها عُرض علی الأدلّة الصحیحة کالقرآن و 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علیها جوّز أن یکون حقّا و المخبر به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خبر جاز أن یکون حقّا و کان واردا من طریق الآحاد، نقطع علی أنّ المخبر به</w:t>
      </w:r>
    </w:p>
    <w:p>
      <w:pPr>
        <w:pStyle w:val="BookText"/>
        <w:rPr/>
      </w:pPr>
      <w:r>
        <w:rPr>
          <w:rFonts w:ascii="IRNazanin" w:hAnsi="IRNazanin" w:eastAsia="IRNazanin"/>
          <w:color w:val="111111"/>
          <w:sz w:val="28"/>
          <w:sz w:val="28"/>
          <w:szCs w:val="28"/>
          <w:rtl w:val="true"/>
          <w:lang w:bidi="fa-IR"/>
        </w:rPr>
        <w:t>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کان ظاهره من الأخبار مخالفا للحقّ و مجانبا للصحیح،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یمکن فیه تأویل، و له مخرج قریب لایخرج بشدید التعسّف و بعید التکلّف، فیجوز فی هذا الضرب أن یکون صدقا، و المراد به التأویل الذی خرّجناه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لامخرج له و لا تأویل إلاّ بتعسّف و تکلّف یخرجان عن حدّ الفصاحة بل عن حدّ السداد، فإنّا نقطع علی کونه کذبا، لاسیّما إذا کان عن نبیّ أو إمام مقطوع فیهما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غایة السداد و الحکمة و البعد عن الألغاز و التعمیة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376" w:name="pg4793_55893"/>
    </w:p>
    <w:p>
      <w:pPr>
        <w:pStyle w:val="Heading4"/>
        <w:numPr>
          <w:ilvl w:val="3"/>
          <w:numId w:val="1"/>
        </w:numPr>
        <w:rPr/>
      </w:pPr>
      <w:bookmarkStart w:id="377" w:name="__RefHeading___Toc2295411_2035185390"/>
      <w:bookmarkStart w:id="378" w:name="_Toc135"/>
      <w:bookmarkEnd w:id="376"/>
      <w:bookmarkEnd w:id="377"/>
      <w:r>
        <w:rPr>
          <w:rtl w:val="true"/>
        </w:rPr>
        <w:t>الإجماع</w:t>
      </w:r>
      <w:bookmarkEnd w:id="378"/>
    </w:p>
    <w:p>
      <w:pPr>
        <w:pStyle w:val="BookText"/>
        <w:rPr/>
      </w:pPr>
      <w:r>
        <w:rPr>
          <w:rFonts w:ascii="IRNazanin" w:hAnsi="IRNazanin" w:eastAsia="IRNazanin"/>
          <w:color w:val="111111"/>
          <w:sz w:val="28"/>
          <w:sz w:val="28"/>
          <w:szCs w:val="28"/>
          <w:rtl w:val="true"/>
          <w:lang w:bidi="fa-IR"/>
        </w:rPr>
        <w:t>و هو اتّفاق من یُعتبر قوله فی الفتاوی الشرعیّة علی شیء من الأمور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حجّیّته ثابتة بدلالة العقل و النقل</w:t>
      </w:r>
      <w:r>
        <w:rPr>
          <w:rStyle w:val="FootnoteAnchor"/>
          <w:rtl w:val="true"/>
        </w:rPr>
        <w:footnoteReference w:id="678"/>
      </w:r>
      <w:r>
        <w:rPr>
          <w:rFonts w:ascii="IRNazanin" w:hAnsi="IRNazanin" w:eastAsia="IRNazanin"/>
          <w:color w:val="111111"/>
          <w:sz w:val="28"/>
          <w:sz w:val="28"/>
          <w:szCs w:val="28"/>
          <w:rtl w:val="true"/>
          <w:lang w:bidi="fa-IR"/>
        </w:rPr>
        <w:t>، و اتّفق علیها جمهور علماء الأمّة و إن اختلفوا فی مدرکه و وجه حجّیّته؛ فالعامّة استندوا فی حجّیّته إلی النقل و الأدلّة السمعیّة المشعرة</w:t>
      </w:r>
    </w:p>
    <w:p>
      <w:pPr>
        <w:pStyle w:val="BookText"/>
        <w:rPr/>
      </w:pPr>
      <w:r>
        <w:rPr>
          <w:rFonts w:ascii="IRNazanin" w:hAnsi="IRNazanin" w:eastAsia="IRNazanin"/>
          <w:color w:val="111111"/>
          <w:sz w:val="28"/>
          <w:sz w:val="28"/>
          <w:szCs w:val="28"/>
          <w:rtl w:val="true"/>
          <w:lang w:bidi="fa-IR"/>
        </w:rPr>
        <w:t>بعصمة الأمّة الإسلامیّة عن الخطأ و الضلالة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بین آیات فیها مدح الأمّة و الثناء علیها و وصفها بأنّها خیر أمّة أُخرِجَت للناس</w:t>
      </w:r>
    </w:p>
    <w:p>
      <w:pPr>
        <w:pStyle w:val="BookText"/>
        <w:rPr/>
      </w:pPr>
      <w:r>
        <w:rPr>
          <w:rFonts w:ascii="IRNazanin" w:hAnsi="IRNazanin" w:eastAsia="IRNazanin"/>
          <w:color w:val="111111"/>
          <w:sz w:val="28"/>
          <w:sz w:val="28"/>
          <w:szCs w:val="28"/>
          <w:rtl w:val="true"/>
          <w:lang w:bidi="fa-IR"/>
        </w:rPr>
        <w:t>یأمرون بالمعروف و یَنهَون عن المنکر</w:t>
      </w:r>
      <w:r>
        <w:rPr>
          <w:rStyle w:val="FootnoteAnchor"/>
          <w:rtl w:val="true"/>
        </w:rPr>
        <w:footnoteReference w:id="680"/>
      </w:r>
      <w:r>
        <w:rPr>
          <w:rFonts w:ascii="Amiri" w:hAnsi="Amiri" w:eastAsia="Amiri" w:cs="Amiri"/>
          <w:color w:val="111111"/>
          <w:sz w:val="28"/>
          <w:sz w:val="28"/>
          <w:szCs w:val="28"/>
          <w:rtl w:val="true"/>
          <w:lang w:bidi="ar-SA"/>
        </w:rPr>
        <w:t>، و أنّهم جُعلوا أمّةً وَسَطا لیکونوا شُهدآءَ علی الناس</w:t>
      </w:r>
      <w:r>
        <w:rPr>
          <w:rStyle w:val="FootnoteAnchor"/>
          <w:rtl w:val="true"/>
        </w:rPr>
        <w:footnoteReference w:id="681"/>
      </w:r>
      <w:r>
        <w:rPr>
          <w:rFonts w:ascii="IRNazanin" w:hAnsi="IRNazanin" w:eastAsia="IRNazanin"/>
          <w:color w:val="111111"/>
          <w:sz w:val="28"/>
          <w:sz w:val="28"/>
          <w:szCs w:val="28"/>
          <w:rtl w:val="true"/>
          <w:lang w:bidi="fa-IR"/>
        </w:rPr>
        <w:t>، و الأمر بإطاعة اللّه و رسوله و أُولی الأمر منهم</w:t>
      </w:r>
      <w:r>
        <w:rPr>
          <w:rStyle w:val="FootnoteAnchor"/>
          <w:rtl w:val="true"/>
        </w:rPr>
        <w:footnoteReference w:id="682"/>
      </w:r>
      <w:r>
        <w:rPr>
          <w:rFonts w:ascii="IRNazanin" w:hAnsi="IRNazanin" w:eastAsia="IRNazanin"/>
          <w:color w:val="111111"/>
          <w:sz w:val="28"/>
          <w:sz w:val="28"/>
          <w:szCs w:val="28"/>
          <w:rtl w:val="true"/>
          <w:lang w:bidi="fa-IR"/>
        </w:rPr>
        <w:t>، و الأمر بالاعتصام بحبل اللّه</w:t>
      </w:r>
    </w:p>
    <w:p>
      <w:pPr>
        <w:pStyle w:val="BookText"/>
        <w:rPr/>
      </w:pPr>
      <w:r>
        <w:rPr>
          <w:rFonts w:ascii="IRNazanin" w:hAnsi="IRNazanin" w:eastAsia="IRNazanin"/>
          <w:color w:val="111111"/>
          <w:sz w:val="28"/>
          <w:sz w:val="28"/>
          <w:szCs w:val="28"/>
          <w:rtl w:val="true"/>
          <w:lang w:bidi="fa-IR"/>
        </w:rPr>
        <w:t>جمیعا و النهی عن التفرّق</w:t>
      </w:r>
      <w:r>
        <w:rPr>
          <w:rStyle w:val="FootnoteAnchor"/>
          <w:rtl w:val="true"/>
        </w:rPr>
        <w:footnoteReference w:id="683"/>
      </w:r>
      <w:r>
        <w:rPr>
          <w:rFonts w:ascii="IRNazanin" w:hAnsi="IRNazanin" w:eastAsia="IRNazanin"/>
          <w:color w:val="111111"/>
          <w:sz w:val="28"/>
          <w:sz w:val="28"/>
          <w:szCs w:val="28"/>
          <w:rtl w:val="true"/>
          <w:lang w:bidi="fa-IR"/>
        </w:rPr>
        <w:t>، و الذمّ للذین فرّقوا دینهم شیعا</w:t>
      </w:r>
      <w:r>
        <w:rPr>
          <w:rStyle w:val="FootnoteAnchor"/>
          <w:rtl w:val="true"/>
        </w:rPr>
        <w:footnoteReference w:id="684"/>
      </w:r>
      <w:r>
        <w:rPr>
          <w:rFonts w:ascii="IRNazanin" w:hAnsi="IRNazanin" w:eastAsia="IRNazanin"/>
          <w:color w:val="111111"/>
          <w:sz w:val="28"/>
          <w:sz w:val="28"/>
          <w:szCs w:val="28"/>
          <w:rtl w:val="true"/>
          <w:lang w:bidi="fa-IR"/>
        </w:rPr>
        <w:t>، و المبالغة فی الوعید لمن اتّبع غیر سبیل المؤمنین</w:t>
      </w:r>
      <w:r>
        <w:rPr>
          <w:rStyle w:val="FootnoteAnchor"/>
          <w:rtl w:val="true"/>
        </w:rPr>
        <w:footnoteReference w:id="68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مرویّة بألفاظ مختلفة و تعبیرات متعدّدة یستفاد من مضامینها عصمة الأمّة من الخطأ و الضلالة، و أنّه لاتزال طائفة منهم علی الحقّ</w:t>
      </w:r>
      <w:r>
        <w:rPr>
          <w:rStyle w:val="FootnoteAnchor"/>
          <w:rtl w:val="true"/>
        </w:rPr>
        <w:footnoteReference w:id="686"/>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تکلّم العلماء و الأصولیّون من الفریقین فی وجه دلالة هذه الآیات و الروایات، </w:t>
      </w:r>
      <w:bookmarkStart w:id="379" w:name="pg4793_55894"/>
    </w:p>
    <w:p>
      <w:pPr>
        <w:pStyle w:val="BookText"/>
        <w:rPr/>
      </w:pPr>
      <w:bookmarkEnd w:id="379"/>
      <w:r>
        <w:rPr>
          <w:rFonts w:ascii="IRNazanin" w:hAnsi="IRNazanin" w:eastAsia="IRNazanin"/>
          <w:color w:val="111111"/>
          <w:sz w:val="28"/>
          <w:sz w:val="28"/>
          <w:szCs w:val="28"/>
          <w:rtl w:val="true"/>
          <w:lang w:bidi="fa-IR"/>
        </w:rPr>
        <w:t>و ما یصحّ التمسّک به منها و ما لایصحّ، بما لامزید علیه فی محلّه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295413_2035185390"/>
      <w:bookmarkStart w:id="381" w:name="_Toc136"/>
      <w:bookmarkEnd w:id="380"/>
      <w:r>
        <w:rPr>
          <w:rtl w:val="true"/>
        </w:rPr>
        <w:t>[</w:t>
      </w:r>
      <w:r>
        <w:rPr>
          <w:rtl w:val="true"/>
        </w:rPr>
        <w:t>حجّیّة الإجماع عند الشیعة</w:t>
      </w:r>
      <w:r>
        <w:rPr>
          <w:rtl w:val="true"/>
        </w:rPr>
        <w:t>]</w:t>
      </w:r>
      <w:bookmarkEnd w:id="381"/>
    </w:p>
    <w:p>
      <w:pPr>
        <w:pStyle w:val="BookText"/>
        <w:rPr/>
      </w:pPr>
      <w:r>
        <w:rPr>
          <w:rFonts w:ascii="IRNazanin" w:hAnsi="IRNazanin" w:eastAsia="IRNazanin"/>
          <w:color w:val="111111"/>
          <w:sz w:val="28"/>
          <w:sz w:val="28"/>
          <w:szCs w:val="28"/>
          <w:rtl w:val="true"/>
          <w:lang w:bidi="fa-IR"/>
        </w:rPr>
        <w:t>و الشیعة بَنَوا حجّیّته علی أنّ زمان التکلیف لایخلو من إمام معصوم عالِم بالأحکام الدینیّة، حافظ للشرع و قواعده، و أنّ له ما للنبیّ صلی‌الله‌علیه‌و‌آله من وجوب الطاعة و الرجوع إلیه فی</w:t>
      </w:r>
    </w:p>
    <w:p>
      <w:pPr>
        <w:pStyle w:val="BookText"/>
        <w:rPr/>
      </w:pPr>
      <w:r>
        <w:rPr>
          <w:rFonts w:ascii="IRNazanin" w:hAnsi="IRNazanin" w:eastAsia="IRNazanin"/>
          <w:color w:val="111111"/>
          <w:sz w:val="28"/>
          <w:sz w:val="28"/>
          <w:szCs w:val="28"/>
          <w:rtl w:val="true"/>
          <w:lang w:bidi="fa-IR"/>
        </w:rPr>
        <w:t>معرفة الأحکام الشرعیّة و أخذ المعالم الدینیّة ، و أنّ الشواهد و البیّنات و براهین العقل و النقل قد دلّت علی تعیینه فی کلّ عصر و أوان، و إن کان قد لاتصل الأیدی إلیه، و لایُعلَم</w:t>
      </w:r>
    </w:p>
    <w:p>
      <w:pPr>
        <w:pStyle w:val="BookText"/>
        <w:rPr/>
      </w:pPr>
      <w:r>
        <w:rPr>
          <w:rFonts w:ascii="IRNazanin" w:hAnsi="IRNazanin" w:eastAsia="IRNazanin"/>
          <w:color w:val="111111"/>
          <w:sz w:val="28"/>
          <w:sz w:val="28"/>
          <w:szCs w:val="28"/>
          <w:rtl w:val="true"/>
          <w:lang w:bidi="fa-IR"/>
        </w:rPr>
        <w:t xml:space="preserve">بشخصه فی بعض الأزمان و الأعصار؛ فمتی اجتمعت الأمّة علی شیء من أمور الدین فلا بدّ أن یکون 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رئیس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الأقوال، و إلاّ لم‌یکن إجماعا، فحجّیّته</w:t>
      </w:r>
    </w:p>
    <w:p>
      <w:pPr>
        <w:pStyle w:val="BookText"/>
        <w:rPr/>
      </w:pPr>
      <w:r>
        <w:rPr>
          <w:rFonts w:ascii="IRNazanin" w:hAnsi="IRNazanin" w:eastAsia="IRNazanin"/>
          <w:color w:val="111111"/>
          <w:sz w:val="28"/>
          <w:sz w:val="28"/>
          <w:szCs w:val="28"/>
          <w:rtl w:val="true"/>
          <w:lang w:bidi="fa-IR"/>
        </w:rPr>
        <w:t>بالحقیقة لأجل وجود قوله الذی یجب اتّباعه بین أقوال المُجمِعین، فالحجّیّة دائرة حین</w:t>
      </w:r>
    </w:p>
    <w:p>
      <w:pPr>
        <w:pStyle w:val="BookText"/>
        <w:rPr/>
      </w:pPr>
      <w:r>
        <w:rPr>
          <w:rFonts w:ascii="IRNazanin" w:hAnsi="IRNazanin" w:eastAsia="IRNazanin"/>
          <w:color w:val="111111"/>
          <w:sz w:val="28"/>
          <w:sz w:val="28"/>
          <w:szCs w:val="28"/>
          <w:rtl w:val="true"/>
          <w:lang w:bidi="fa-IR"/>
        </w:rPr>
        <w:t xml:space="preserve">ذاک علی قول الإمام و وجوده بینها؛ فلو فُرض خلّو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لم‌یکن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 وجود قوله بین أقوال جماعة و إن قلّوا کان حجّة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اعتبروا إجماع علماء الإمامیّة، إذا حصل العلم بوجود قول الإمام بین أقوالهم و فتاویهم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 استکشاف قول الإمام طرق مذکورة فی محلّها من کتبهم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الإمامیّة لم یتمسّکوا بالإجماع بادئ بدء، و لم یتّخذوه کأصل من المدارک الشرعیّة، و إنّما وافقوا الجمهور فی التمسّک به، لمّا رأوا مناط الحجّیّة موجودا فیه علی أصولهم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یرجع أصل التمسّک بالإجماع و منشأ الاعتماد علیه إلی الصدر الأوّل، حیث إنّ الخلفاء الأوّلین کانوا إذا احتاجوا إلی تعرّف حکم واقعة، أو عرض لهم شیء من الحوادث </w:t>
      </w:r>
    </w:p>
    <w:p>
      <w:pPr>
        <w:pStyle w:val="BookText"/>
        <w:rPr/>
      </w:pPr>
      <w:r>
        <w:rPr>
          <w:rFonts w:ascii="IRNazanin" w:hAnsi="IRNazanin" w:eastAsia="IRNazanin"/>
          <w:color w:val="111111"/>
          <w:sz w:val="28"/>
          <w:sz w:val="28"/>
          <w:szCs w:val="28"/>
          <w:rtl w:val="true"/>
          <w:lang w:bidi="fa-IR"/>
        </w:rPr>
        <w:t>و القضایا و لم یجدوا حکمه فی صریح القرآن و ظاهر آیاته، و لا فیما وصل إلیهم من سنّة</w:t>
      </w:r>
    </w:p>
    <w:p>
      <w:pPr>
        <w:pStyle w:val="BookText"/>
        <w:rPr/>
      </w:pPr>
      <w:r>
        <w:rPr>
          <w:rFonts w:ascii="IRNazanin" w:hAnsi="IRNazanin" w:eastAsia="IRNazanin"/>
          <w:color w:val="111111"/>
          <w:sz w:val="28"/>
          <w:sz w:val="28"/>
          <w:szCs w:val="28"/>
          <w:rtl w:val="true"/>
          <w:lang w:bidi="fa-IR"/>
        </w:rPr>
        <w:t>رسول اللّه صلی‌الله‌علیه‌و‌آلهالمحکیّة، جمعوا رؤوس الناس و خیارهم و أهل العلم و الفقه منهم،</w:t>
      </w:r>
    </w:p>
    <w:p>
      <w:pPr>
        <w:pStyle w:val="BookText"/>
        <w:rPr/>
      </w:pPr>
      <w:r>
        <w:rPr>
          <w:rFonts w:ascii="IRNazanin" w:hAnsi="IRNazanin" w:eastAsia="IRNazanin"/>
          <w:color w:val="111111"/>
          <w:sz w:val="28"/>
          <w:sz w:val="28"/>
          <w:szCs w:val="28"/>
          <w:rtl w:val="true"/>
          <w:lang w:bidi="fa-IR"/>
        </w:rPr>
        <w:t>و استشاروهم فیما یحکمون فیه و یقضون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أجمع الرأی منهم علی شیء أو فتوی اتّخذوه حجّة و عملوا به أو قضوا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استمرّت السیرة علیه بعد ذلک من زمن</w:t>
      </w:r>
    </w:p>
    <w:p>
      <w:pPr>
        <w:pStyle w:val="BookText"/>
        <w:rPr/>
      </w:pPr>
      <w:r>
        <w:rPr>
          <w:rFonts w:ascii="IRNazanin" w:hAnsi="IRNazanin" w:eastAsia="IRNazanin"/>
          <w:color w:val="111111"/>
          <w:sz w:val="28"/>
          <w:sz w:val="28"/>
          <w:szCs w:val="28"/>
          <w:rtl w:val="true"/>
          <w:lang w:bidi="fa-IR"/>
        </w:rPr>
        <w:t>التابعین و تابعیهم إلی الأعصار المتأخّرة زمن الفقهاء المعروفین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تحصیل الاتّفاق علی هذا الوجه سهلاً و متیسّرا فی الصدر الأوّل، إذ أهل العلم و أرباب الحلّ و العقد من الصحابة محصورون و مجتمعون فی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تعسّر</w:t>
      </w:r>
    </w:p>
    <w:p>
      <w:pPr>
        <w:pStyle w:val="BookText"/>
        <w:rPr/>
      </w:pPr>
      <w:r>
        <w:rPr>
          <w:rFonts w:ascii="IRNazanin" w:hAnsi="IRNazanin" w:eastAsia="IRNazanin"/>
          <w:color w:val="111111"/>
          <w:sz w:val="28"/>
          <w:sz w:val="28"/>
          <w:szCs w:val="28"/>
          <w:rtl w:val="true"/>
          <w:lang w:bidi="fa-IR"/>
        </w:rPr>
        <w:t>الأمر و تعذّر تحصیل الاتّفاق علی هذا النحو بکثرة المسلمین و انتشارهم و انتشار العلماء فی الأعصار المختلفة، فاحتاجوا إلی تتبّع الآراء و تفحّص الأقوال ممّا یتعذّر</w:t>
      </w:r>
    </w:p>
    <w:p>
      <w:pPr>
        <w:pStyle w:val="BookText"/>
        <w:rPr/>
      </w:pP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لصعوبة ذلک و تعذّره أحال بعضهم العلم به إلاّ فی زمن الصحابة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منه محصّل و هو ما ثبت و عُلِم بلا واسطة النقل و إن استند إلیه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و هو ما طریق ثبوته واقعا هو النقل بنفسه؛ إمّا بلفظ الإجماع أو بما هو فی معناه أو فی حکمه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حجّیّة المحصّل منه، فإذا حصل بطریق یقطع به یجب العمل علی مقتضاه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المنقول فقد وقع الخلاف فی حجّیّته بین الأصولیّین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یراه حجّة من الخاصّة فهو عنده بمنزلة خبر صحیح عالی السند، یحکی مضمونه و مدلوله عن الإمام </w:t>
      </w:r>
      <w:bookmarkStart w:id="382" w:name="pg4793_55898"/>
    </w:p>
    <w:p>
      <w:pPr>
        <w:pStyle w:val="BookText"/>
        <w:rPr/>
      </w:pPr>
      <w:bookmarkEnd w:id="382"/>
      <w:r>
        <w:rPr>
          <w:rFonts w:ascii="IRNazanin" w:hAnsi="IRNazanin" w:eastAsia="IRNazanin"/>
          <w:color w:val="111111"/>
          <w:sz w:val="28"/>
          <w:sz w:val="28"/>
          <w:szCs w:val="28"/>
          <w:rtl w:val="true"/>
          <w:lang w:bidi="fa-IR"/>
        </w:rPr>
        <w:t>و یرویه عنه بلا واسطة</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الإجماع و مسائله مستقصاة فی کتب أصول</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2295415_2035185390"/>
      <w:bookmarkStart w:id="384" w:name="_Toc137"/>
      <w:bookmarkEnd w:id="383"/>
      <w:r>
        <w:rPr>
          <w:rtl w:val="true"/>
        </w:rPr>
        <w:t>دلیل العقل</w:t>
      </w:r>
      <w:bookmarkEnd w:id="384"/>
    </w:p>
    <w:p>
      <w:pPr>
        <w:pStyle w:val="BookText"/>
        <w:rPr/>
      </w:pPr>
      <w:r>
        <w:rPr>
          <w:rFonts w:ascii="IRNazanin" w:hAnsi="IRNazanin" w:eastAsia="IRNazanin"/>
          <w:color w:val="111111"/>
          <w:sz w:val="28"/>
          <w:sz w:val="28"/>
          <w:szCs w:val="28"/>
          <w:rtl w:val="true"/>
          <w:lang w:bidi="fa-IR"/>
        </w:rPr>
        <w:t>دلیل العقل</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عن الحسن و القبح العقلیّین لَمِن أهمّ مسائل علم الکلام، و یبتنی علی نفیهما و إثباتهما أمور، فلهذا بحث عن هذه المسألة کلّ من صنّف فی الکلام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فی المغنی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التعدیل و التجویر؛ و الرازیّ و الطوسیّ فی المحصّل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و تلخیص المحصّل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کانت المعتزلة تعتمد علی العقل فی المسائل الکلامیّة مقدّمین له علی الأدلّة الشرعیّة، بینما نری المحدّثین لایرون للعقل مجالاً فی المسائل الشرعیّة، لا فی العقائد و لا فی الفروع، بل یکتفون بظواهر النصوص الشرعیّة و إن خالفت صریح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المجال صرّح أبو الحسن الأشعریّ فی لمعه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لایقبح من اللّه تعالی تعذیب المؤمنین و إنعام الکافرین، و استدلّ علیه بأنّه تعالی مالک غیر مملوک و لا محدود، فله أن یفعل ما یشاء و لایقبح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منّا جواب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القبح قد یراد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 النقص، أو ملاءمة الطبع و منافرته، أو تناسب الأعضاء و عدمه، کما یطلقان أیضا علی الموافقة للغرض و مخالفته، و الاشتمال علی المصلحة و المفسدة، و کون الشیء متعلّقا للمدح و الذمّ أو مستحقّا للثواب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الأخیر محطّ الإثبات و النفی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بعض محقّقی العامّة من المعتزلة و غیرهم خالفوا الأشعریّ فی إنکاره الحسن و 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تفصیل هذه المسألة فی موسوعة طبقات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کلّ حکم عقلیّ یمکن التوصّل به إلی حکم شرعیّ، و ینقسم إلی قسمین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یستقلّ بحکمه العقل، و هو ما یرجع إلی قاعدة الحسن و القبح العقلیّین؛ فإنّ الحکم الشرعیّ یثبت بها بحکم العقل و بدون حاجة إلی توسّط خطاب شرعیّ یدلّ علیه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أوجب العقل شیئا أو حرّمه؛ کحکمه بوجوب شکر المنعم و حرمة کفرانه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شرعیّ أیضا لما بین الحکمین من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لایستقلّ العقل بإثباته کأبواب الملازمات؛ فإنّ العقل إنّما یحکم فیها بواسطة الدلیل الشرعیّ، و ذلک کحکمه باستلزام تعلیق شیء علی شیء، انتفاءه عند انتفائه فی الجملة، و أنّ الأمر بالشیء لایجامع النهی عنه مع وحدة الجهة لکونه تکلیفا محالاً، و کحکمه بمطلوبیّة المقدّمة عند قیام الدلیل بمطلوبیّة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المفاهیم ؛ لابتنائها علی ما یقتضیه من الخطاب الشرعیّ، و یدلّ علیه إمّا بطریق</w:t>
      </w:r>
    </w:p>
    <w:p>
      <w:pPr>
        <w:pStyle w:val="BookText"/>
        <w:rPr/>
      </w:pPr>
      <w:r>
        <w:rPr>
          <w:rFonts w:ascii="Amiri" w:hAnsi="Amiri" w:eastAsia="Amiri" w:cs="Amiri"/>
          <w:color w:val="111111"/>
          <w:sz w:val="28"/>
          <w:sz w:val="28"/>
          <w:szCs w:val="28"/>
          <w:rtl w:val="true"/>
          <w:lang w:bidi="ar-SA"/>
        </w:rPr>
        <w:t>الموافقة أو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یعدّ فی المدارک الشرعیّة فی الاصطلاح غالبا و یرجع إلیه فی مقام الاستنباط، هو القسم الثانی من دلیل العقل الذی یحکم به بملاحظة خطاب الشرع علی 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یحکم به العقل بدون توقّف فی حکمه علی ملاحظة خطاب الشرع؛ لاستقلاله بإدراک حسنها و 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المسائل الکلامیّة، و علیه یبتنی</w:t>
      </w:r>
    </w:p>
    <w:p>
      <w:pPr>
        <w:pStyle w:val="BookText"/>
        <w:rPr/>
      </w:pPr>
      <w:r>
        <w:rPr>
          <w:rFonts w:ascii="IRNazanin" w:hAnsi="IRNazanin" w:eastAsia="IRNazanin"/>
          <w:color w:val="111111"/>
          <w:sz w:val="28"/>
          <w:sz w:val="28"/>
          <w:szCs w:val="28"/>
          <w:rtl w:val="true"/>
          <w:lang w:bidi="fa-IR"/>
        </w:rPr>
        <w:t>غالب مسائل الخلاف بین العدلیّة من الشیعة و المعتزلة و بین الأشعریّة و موافقیهم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له ارتباط ببعض مسائل الأصول، کخطاب المعدوم، و الخطاب بما لایراد ظاهره و أمثالها، بحث عنه بعض أهل الفنّ فیه فی المبادئ الأحکامیّة، و بحثوا عن الملازمة بین</w:t>
      </w:r>
    </w:p>
    <w:p>
      <w:pPr>
        <w:pStyle w:val="BookText"/>
        <w:rPr/>
      </w:pPr>
      <w:r>
        <w:rPr>
          <w:rFonts w:ascii="IRNazanin" w:hAnsi="IRNazanin" w:eastAsia="IRNazanin"/>
          <w:color w:val="111111"/>
          <w:sz w:val="28"/>
          <w:sz w:val="28"/>
          <w:szCs w:val="28"/>
          <w:rtl w:val="true"/>
          <w:lang w:bidi="fa-IR"/>
        </w:rPr>
        <w:t>حکم العقل و الشرع</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به قطع العقل بحسن شیء أو قبحه، و الحکم الشرعیّ بوجوبه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ریب أنّ اللّه تعالی ممّا یحسّن الحسن و یقبّح القبیح، و متی حسّنه أوجبه و حکم بوجوبه، و متی قبّحه حرّمه و حکم بحظره، و أن کان یمکن عدّ هذا القسم أیضا من المدارک للأحکام عند مَن یقول بثبوت الملازمة، و أنّ الاستغناء عنه بما عداه من الأدلّة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الشرعیّة لا یقتضی إسقاطها من بین الأدلّة الشرعیّة، بل یدور علیه تکالیف کثیر من </w:t>
      </w:r>
    </w:p>
    <w:p>
      <w:pPr>
        <w:pStyle w:val="BookText"/>
        <w:rPr/>
      </w:pPr>
      <w:r>
        <w:rPr>
          <w:rFonts w:ascii="IRNazanin" w:hAnsi="IRNazanin" w:eastAsia="IRNazanin"/>
          <w:color w:val="111111"/>
          <w:sz w:val="28"/>
          <w:sz w:val="28"/>
          <w:szCs w:val="28"/>
          <w:rtl w:val="true"/>
          <w:lang w:bidi="fa-IR"/>
        </w:rPr>
        <w:t>الناس، کأهل الفترة</w:t>
      </w:r>
      <w:r>
        <w:rPr>
          <w:rStyle w:val="FootnoteAnchor"/>
          <w:rtl w:val="true"/>
        </w:rPr>
        <w:footnoteReference w:id="697"/>
      </w:r>
      <w:r>
        <w:rPr>
          <w:rFonts w:ascii="IRNazanin" w:hAnsi="IRNazanin" w:eastAsia="IRNazanin"/>
          <w:color w:val="111111"/>
          <w:sz w:val="28"/>
          <w:sz w:val="28"/>
          <w:szCs w:val="28"/>
          <w:rtl w:val="true"/>
          <w:lang w:bidi="fa-IR"/>
        </w:rPr>
        <w:t>و مَن بمکانتهم، بل المجتهد نفسه إذا لم یَسَعه الرجوع إلی الأدلّة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رجع و تعارضت علیه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85" w:name="pg4793_55904"/>
    </w:p>
    <w:p>
      <w:pPr>
        <w:pStyle w:val="Heading3"/>
        <w:numPr>
          <w:ilvl w:val="2"/>
          <w:numId w:val="1"/>
        </w:numPr>
        <w:rPr/>
      </w:pPr>
      <w:bookmarkStart w:id="386" w:name="__RefHeading___Toc2295417_2035185390"/>
      <w:bookmarkStart w:id="387" w:name="_Toc138"/>
      <w:bookmarkEnd w:id="385"/>
      <w:bookmarkEnd w:id="386"/>
      <w:r>
        <w:rPr>
          <w:rtl w:val="true"/>
        </w:rPr>
        <w:t>الفصل الثالث</w:t>
      </w:r>
      <w:r>
        <w:rPr>
          <w:rtl w:val="true"/>
        </w:rPr>
        <w:t xml:space="preserve">: </w:t>
      </w:r>
      <w:r>
        <w:rPr>
          <w:rtl w:val="true"/>
        </w:rPr>
        <w:t>أدلّة غیر معتبرة عند الشیعة</w:t>
      </w:r>
      <w:bookmarkEnd w:id="387"/>
    </w:p>
    <w:p>
      <w:pPr>
        <w:pStyle w:val="Heading4"/>
        <w:numPr>
          <w:ilvl w:val="3"/>
          <w:numId w:val="1"/>
        </w:numPr>
        <w:rPr/>
      </w:pPr>
      <w:bookmarkStart w:id="388" w:name="__RefHeading___Toc2295419_2035185390"/>
      <w:bookmarkStart w:id="389" w:name="_Toc139"/>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هناک أمارات یُعوِّل علیها الجمهور من مخالفی الشیعة و یعتمدون علی مؤدّیاتها، و یجعلونها أصلاً یُرجَع إلیه فی الفرعیّات و مدرکا من مدارکها الشرعیّة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الإمامیّة لایرون العمل بها و لایعتمدون علی مقتضیاتها، إذ لم یَقُم لدیهم دلیل معتبر من الکتاب الکریم و من السنّة المطهّرة علی جواز الأخذ بها و صحّة الرجوع إلیها</w:t>
      </w:r>
    </w:p>
    <w:p>
      <w:pPr>
        <w:pStyle w:val="BookText"/>
        <w:rPr/>
      </w:pPr>
      <w:r>
        <w:rPr>
          <w:rFonts w:ascii="IRNazanin" w:hAnsi="IRNazanin" w:eastAsia="IRNazanin"/>
          <w:color w:val="111111"/>
          <w:sz w:val="28"/>
          <w:sz w:val="28"/>
          <w:szCs w:val="28"/>
          <w:rtl w:val="true"/>
          <w:lang w:bidi="fa-IR"/>
        </w:rPr>
        <w:t>فی مقام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معوّلهم فی هذا علی ما ثبت حجّیّته و اعتباره منهما، أو ما یرجع</w:t>
      </w:r>
    </w:p>
    <w:p>
      <w:pPr>
        <w:pStyle w:val="BookText"/>
        <w:rPr/>
      </w:pPr>
      <w:r>
        <w:rPr>
          <w:rFonts w:ascii="IRNazanin" w:hAnsi="IRNazanin" w:eastAsia="IRNazanin"/>
          <w:color w:val="111111"/>
          <w:sz w:val="28"/>
          <w:sz w:val="28"/>
          <w:szCs w:val="28"/>
          <w:rtl w:val="true"/>
          <w:lang w:bidi="fa-IR"/>
        </w:rPr>
        <w:t>بالأخرة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الأمارات أمور معروفة، من القیاس و الاستحسان و المصالح المرسلة و غیرها کما سنشیر إلیها بالإجمال، ممّا لایفید إلاّ غلبة الظنّ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الإمامیّة ینفون حجّیّتها و یبطلون التعلّق بها فی الشرعیّات،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مجال له فی الأحکام و لایصحّ الاعتماد علی ما یغلب فی الظنّ تحریم شیء منها أو تحلیله؛ لأنّ الشرع مبنیّ علی ما یعلمه اللّه تعالی من مصالح العباد التی لاعلم لهم بها؛ فإنّا نری أنّه جمع بین أمور مختلفة و جعل لها حکما واحدا، و فرّق بین أخَر مؤتلفات و جعل أحکام بعضها علی خلاف حکم البعض، و حرّم شیئا و أباح مثله و ما هو من جنسه، و أباح شیئا و حظر مثله و ما صفاته کصفاته</w:t>
      </w:r>
      <w:r>
        <w:rPr>
          <w:rStyle w:val="FootnoteAnchor"/>
          <w:rtl w:val="true"/>
        </w:rPr>
        <w:footnoteReference w:id="701"/>
      </w:r>
      <w:r>
        <w:rPr>
          <w:rFonts w:ascii="IRNazanin" w:hAnsi="IRNazanin" w:eastAsia="IRNazanin"/>
          <w:color w:val="111111"/>
          <w:sz w:val="28"/>
          <w:sz w:val="28"/>
          <w:szCs w:val="28"/>
          <w:rtl w:val="true"/>
          <w:lang w:bidi="fa-IR"/>
        </w:rPr>
        <w:t xml:space="preserve">، فلایجوز فیما هذا سبیله الرجوع إلی </w:t>
      </w:r>
    </w:p>
    <w:p>
      <w:pPr>
        <w:pStyle w:val="BookText"/>
        <w:rPr/>
      </w:pPr>
      <w:r>
        <w:rPr>
          <w:rFonts w:ascii="IRNazanin" w:hAnsi="IRNazanin" w:eastAsia="IRNazanin"/>
          <w:color w:val="111111"/>
          <w:sz w:val="28"/>
          <w:sz w:val="28"/>
          <w:szCs w:val="28"/>
          <w:rtl w:val="true"/>
          <w:lang w:bidi="fa-IR"/>
        </w:rPr>
        <w:t>الظنّ الذی لایغنی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الرجوع إلی أمثال هذه الأمور یسمّی اجتهادا فی الرأی فی عرف مخالفیهم، فهم ینفون الاجتهاد بهذا المعنی، و إن کانوا یثبتون الاجتهاد بمعنی آخر ستطّلع علیه فی مقام آخر، و یعملون بموجبه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اللازم الإشارة إلی ما دعا هؤلاء العاملین بالآراء الظنّیّة الاجتهادیّة إلی اتّخاذها أصلاً و مدرکا من مدارک الاستنباط فی مقابلة الأدلّة القطعیّة، حتّی یظهر جلیّة</w:t>
      </w:r>
    </w:p>
    <w:p>
      <w:pPr>
        <w:pStyle w:val="BookText"/>
        <w:rPr/>
      </w:pPr>
      <w:r>
        <w:rPr>
          <w:rFonts w:ascii="IRNazanin" w:hAnsi="IRNazanin" w:eastAsia="IRNazanin"/>
          <w:color w:val="111111"/>
          <w:sz w:val="28"/>
          <w:sz w:val="28"/>
          <w:szCs w:val="28"/>
          <w:rtl w:val="true"/>
          <w:lang w:bidi="fa-IR"/>
        </w:rPr>
        <w:t>الحال و یتّضح موقفهم مِن موقف مَن یخالفهم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الإسلام فی جزیرة العرب و کان یقطنها مختلف قبائل عربیّة هم علی جانب کبیر من بساطة العیش و سذاجة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ما کانوا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بینهم و تقاطع و تنازع و تناکر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عادات و قوانین فی أمور معایشهم و معاملاتهم و فصل خصوماتهم أوجدتها لهم البیئة و المناخ</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لدیهم عبر الأحقاب حتّی وصلت إلی عهد الرسالة، کما سیتّضح فی الهامش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فصارت لهم مألوفا و 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منهم من أقرّ بالخالق و أثبت حدوث العالم و أقرّ بالبعث و الإعادة و أنکر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أقرّ بالخالق و کذّب بالرسل و البعث و مال إلی قول أهل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مال إلی الیهودیّة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راجع أیضاً شرح نهج البلاغة لابن أبی الحدید </w:t>
      </w:r>
      <w:r>
        <w:rPr>
          <w:rFonts w:eastAsia="IRNazanin" w:cs="IRNazanin"/>
          <w:color w:val="111111"/>
          <w:sz w:val="28"/>
          <w:szCs w:val="28"/>
          <w:lang w:bidi="fa-IR"/>
        </w:rPr>
        <w:t>2/117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 النحل للشهرستانیّ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علت کلمة الدیانة و دخل الناس فی دین اللّه أفواجا، و أصبحت الأقوام و القبائل المتفرّقة التی لاتجمعهم جامعة دین و لا رابطة اجتماع، مجتمعةً تحت جامعة الإسلام و دانوا بآدابه، فبَدَّل المحیطَ العربیّ و قَلَبه من حال إلی حال، فکان له أثر کبیر فی تهذیب </w:t>
      </w:r>
    </w:p>
    <w:p>
      <w:pPr>
        <w:pStyle w:val="BookText"/>
        <w:rPr/>
      </w:pPr>
      <w:r>
        <w:rPr>
          <w:rFonts w:ascii="IRNazanin" w:hAnsi="IRNazanin" w:eastAsia="IRNazanin"/>
          <w:color w:val="111111"/>
          <w:sz w:val="28"/>
          <w:sz w:val="28"/>
          <w:szCs w:val="28"/>
          <w:rtl w:val="true"/>
          <w:lang w:bidi="fa-IR"/>
        </w:rPr>
        <w:t>أخلاقهم و تقویم نفوسهم، و تطهیرها من الأوهام و الخرافات، و إخراجهم من ظلمات</w:t>
      </w:r>
    </w:p>
    <w:p>
      <w:pPr>
        <w:pStyle w:val="BookText"/>
        <w:rPr/>
      </w:pPr>
      <w:r>
        <w:rPr>
          <w:rFonts w:ascii="IRNazanin" w:hAnsi="IRNazanin" w:eastAsia="IRNazanin"/>
          <w:color w:val="111111"/>
          <w:sz w:val="28"/>
          <w:sz w:val="28"/>
          <w:szCs w:val="28"/>
          <w:rtl w:val="true"/>
          <w:lang w:bidi="fa-IR"/>
        </w:rPr>
        <w:t>الجهالة إلی النور</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کانوا طولَ أیّام حیاة رسول اللّه صلی‌الله‌علیه‌و‌آله هو مرجعهم فیما یتّفق لهم من القضایا و الأحکام، فیأتیهم من ذلک بالقول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صلی‌الله‌علیه‌و‌آله و انقطع الوحی، و المرجع للمسلمین هو کتاب اللّه عزّ و جلّ و السنّة النبویّة المأثورة، علی تفصیل أُشیر إلیه فی غیر هذا الموضع</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ازداد انتشار الإسلام و اتّسعت رقعته بامتداد الفتوح و تواصل الغزوات فی بلاد الروم و الفرس و مصر و غیرها من الممالک و الأقالیم التی دخلت فی سیطرة المسلمین، و کانت بالغةً درجةً من التمدّن و الرقیّ بحسب مقتضیات تلک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انساحت أفانین</w:t>
      </w:r>
    </w:p>
    <w:p>
      <w:pPr>
        <w:pStyle w:val="BookText"/>
        <w:rPr/>
      </w:pPr>
      <w:r>
        <w:rPr>
          <w:rFonts w:ascii="IRNazanin" w:hAnsi="IRNazanin" w:eastAsia="IRNazanin"/>
          <w:color w:val="111111"/>
          <w:sz w:val="28"/>
          <w:sz w:val="28"/>
          <w:szCs w:val="28"/>
          <w:rtl w:val="true"/>
          <w:lang w:bidi="fa-IR"/>
        </w:rPr>
        <w:t>العرب فی مختلف بلادها و أقطارها المترامیة، و دخلت الأمم الکثیرة من ساکنیها فی الدیانة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هؤلاء نظمه و قوانینه و عاداته، و امتزجت الأمم المغلوبة</w:t>
      </w:r>
    </w:p>
    <w:p>
      <w:pPr>
        <w:pStyle w:val="BookText"/>
        <w:rPr/>
      </w:pPr>
      <w:r>
        <w:rPr>
          <w:rFonts w:ascii="IRNazanin" w:hAnsi="IRNazanin" w:eastAsia="IRNazanin"/>
          <w:color w:val="111111"/>
          <w:sz w:val="28"/>
          <w:sz w:val="28"/>
          <w:szCs w:val="28"/>
          <w:rtl w:val="true"/>
          <w:lang w:bidi="fa-IR"/>
        </w:rPr>
        <w:t>بالأُمّة الفاتحة، و تأثّرت حالاتها و نفسیّاتها بحالاتهم و نفسیّاتهم، و تغیّرت الأحوال</w:t>
      </w:r>
    </w:p>
    <w:p>
      <w:pPr>
        <w:pStyle w:val="BookText"/>
        <w:rPr/>
      </w:pPr>
      <w:r>
        <w:rPr>
          <w:rFonts w:ascii="IRNazanin" w:hAnsi="IRNazanin" w:eastAsia="IRNazanin"/>
          <w:color w:val="111111"/>
          <w:sz w:val="28"/>
          <w:sz w:val="28"/>
          <w:szCs w:val="28"/>
          <w:rtl w:val="true"/>
          <w:lang w:bidi="fa-IR"/>
        </w:rPr>
        <w:t>و الأخلاق و الآداب تبعا لذلک التغیّر و الانقلاب الاجتماعیّ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 المسلمون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حیال أمور کثیرة و إزاء وقائع و حوادث فی کلّ شأن من شؤون الحیاة و کلّ ناحیة من ضروریّات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إلی تعرّف أحکامها و ما یلزمهم العمل بها عند حدوثها و وقوعها، و کیفیّة التقاضی و فصل الخصومات فیها، و غیر</w:t>
      </w:r>
    </w:p>
    <w:p>
      <w:pPr>
        <w:pStyle w:val="BookText"/>
        <w:rPr/>
      </w:pPr>
      <w:r>
        <w:rPr>
          <w:rFonts w:ascii="IRNazanin" w:hAnsi="IRNazanin" w:eastAsia="IRNazanin"/>
          <w:color w:val="111111"/>
          <w:sz w:val="28"/>
          <w:sz w:val="28"/>
          <w:szCs w:val="28"/>
          <w:rtl w:val="true"/>
          <w:lang w:bidi="fa-IR"/>
        </w:rPr>
        <w:t>ذلک من الحوادث التی لم یکن لهم بها عهد، و هم علی تلک الحیاة البسیطة فی جزیرتهم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لم یعثروا من نصوص القرآن و ظواهره، و لا من مأثور السنّة ما یرشدهم إلی </w:t>
      </w:r>
    </w:p>
    <w:p>
      <w:pPr>
        <w:pStyle w:val="BookText"/>
        <w:rPr/>
      </w:pPr>
      <w:r>
        <w:rPr>
          <w:rFonts w:ascii="IRNazanin" w:hAnsi="IRNazanin" w:eastAsia="IRNazanin"/>
          <w:color w:val="111111"/>
          <w:sz w:val="28"/>
          <w:sz w:val="28"/>
          <w:szCs w:val="28"/>
          <w:rtl w:val="true"/>
          <w:lang w:bidi="fa-IR"/>
        </w:rPr>
        <w:t>أحکامها و یوضح لهم ما یجب العمل به عند حدوثها، فزع کثیر ممّن یُرجَع إلیهم فی أمثال</w:t>
      </w:r>
    </w:p>
    <w:p>
      <w:pPr>
        <w:pStyle w:val="BookText"/>
        <w:rPr/>
      </w:pPr>
      <w:r>
        <w:rPr>
          <w:rFonts w:ascii="IRNazanin" w:hAnsi="IRNazanin" w:eastAsia="IRNazanin"/>
          <w:color w:val="111111"/>
          <w:sz w:val="28"/>
          <w:sz w:val="28"/>
          <w:szCs w:val="28"/>
          <w:rtl w:val="true"/>
          <w:lang w:bidi="fa-IR"/>
        </w:rPr>
        <w:t>ذلک إلی استعمال الأقیسة و اجتهاد آرائهم فی استخراج أحکامها عن أشباهها و أمثالها</w:t>
      </w:r>
    </w:p>
    <w:p>
      <w:pPr>
        <w:pStyle w:val="BookText"/>
        <w:rPr/>
      </w:pPr>
      <w:r>
        <w:rPr>
          <w:rFonts w:ascii="IRNazanin" w:hAnsi="IRNazanin" w:eastAsia="IRNazanin"/>
          <w:color w:val="111111"/>
          <w:sz w:val="28"/>
          <w:sz w:val="28"/>
          <w:szCs w:val="28"/>
          <w:rtl w:val="true"/>
          <w:lang w:bidi="fa-IR"/>
        </w:rPr>
        <w:t>ممّا لها أصول من الشرع و مدارکه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یعبّر عنه بالقول بالرأی أو اجتهاد الرأی،</w:t>
      </w:r>
    </w:p>
    <w:p>
      <w:pPr>
        <w:pStyle w:val="BookText"/>
        <w:rPr/>
      </w:pPr>
      <w:r>
        <w:rPr>
          <w:rFonts w:ascii="IRNazanin" w:hAnsi="IRNazanin" w:eastAsia="IRNazanin"/>
          <w:color w:val="111111"/>
          <w:sz w:val="28"/>
          <w:sz w:val="28"/>
          <w:szCs w:val="28"/>
          <w:rtl w:val="true"/>
          <w:lang w:bidi="fa-IR"/>
        </w:rPr>
        <w:t>علی اختلاف طرقه و مسالکه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بتتبّع ما وصل إلینا من الآثار و التدبّر فی الموارد التی رجعوا فیها إلی الآراء، یمکن</w:t>
      </w:r>
    </w:p>
    <w:p>
      <w:pPr>
        <w:pStyle w:val="BookText"/>
        <w:rPr/>
      </w:pPr>
      <w:r>
        <w:rPr>
          <w:rFonts w:ascii="IRNazanin" w:hAnsi="IRNazanin" w:eastAsia="IRNazanin"/>
          <w:color w:val="111111"/>
          <w:sz w:val="28"/>
          <w:sz w:val="28"/>
          <w:szCs w:val="28"/>
          <w:rtl w:val="true"/>
          <w:lang w:bidi="fa-IR"/>
        </w:rPr>
        <w:t>أن یتوصّل إلی التعبیر فی التعریف عن ذلک المعنی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التفکّر و إجالة النظر</w:t>
      </w:r>
    </w:p>
    <w:p>
      <w:pPr>
        <w:pStyle w:val="BookText"/>
        <w:rPr/>
      </w:pPr>
      <w:r>
        <w:rPr>
          <w:rFonts w:ascii="IRNazanin" w:hAnsi="IRNazanin" w:eastAsia="IRNazanin"/>
          <w:color w:val="111111"/>
          <w:sz w:val="28"/>
          <w:sz w:val="28"/>
          <w:szCs w:val="28"/>
          <w:rtl w:val="true"/>
          <w:lang w:bidi="fa-IR"/>
        </w:rPr>
        <w:t>فیما یجب أن یُعمَل علیه و یُجری علی طبقه فی تلک الحالة، و التحرّی لمعرفة الحقّ و الصواب، أخذا عن أصول من الشرع عامّة أو خاصّة</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ربّما جعلوه مرادفا للرأی و القیاس و الاستحسان بجعلها أسماء لمعنی واحد کما صرّح به مصطفی عبد الرزّاق عند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فالرأی الذی نتحدّث عنه هو الاعتماد علی الفکر فی استنباط الأحکام الشرعیّة، و هو مرادنا بالاجتهاد و القیاس، و هو أیضا مرادف للاستحسان و الاستنباط تمهید لتاریخ الفلسفة الإسلامیّة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ید العصبیّة و السیاسة الحاکمة تلاعبت بلفظة الاجتهاد، فحینما أرادوا تبریر فعل خالد بن الولید فی قتله مالک بن نویرة و دخوله بامرأته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أرادوا تبریر الخارجین علی علیّ علیه‌السلام و الباغین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مصیبة حینما یعدّ ابن ملجم مجتهدا معذورا و مأجورا فی قتل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لعلیّ بن أحمد ابن حزم الأندلسیّ </w:t>
      </w:r>
      <w:r>
        <w:rPr>
          <w:rFonts w:eastAsia="IRNazanin" w:cs="IRNazanin"/>
          <w:color w:val="111111"/>
          <w:sz w:val="28"/>
          <w:szCs w:val="28"/>
          <w:lang w:bidi="fa-IR"/>
        </w:rPr>
        <w:t>10/484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 یزید بن معاویة مجتهدا مخطأ معذورا فی قتله حسینا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الاجتهاد عند الإمامیّة فهو استفراغ الوسع فی النظر فیما وقع إلیهم من المسائل الفرعیّة علی وجه لا زیادة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لایصحّ ذلک فی حقّ النبیّ صلی‌الله‌علیه‌و‌آله لأنّه تلقّی الأحکام من الوحی 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لایجوز لأحد من الأئمّة علیهم‌السلام لأنّهم معصومون أخذوا الأحکام بتعلیم الرسول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أجبتُک فیه لشیء فهو عن رسول اللّه، لسنا نقول برأینا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العلماء فیجوز لهم الاجتهاد باستنباط الأحکام من العمومات فی القرآن و السنّة و بترجیح الأدلّة المتعارضة حسب القواعد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بأخذ الحکم من القیاس و الاستحسان فلا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4793_55912"/>
    </w:p>
    <w:p>
      <w:pPr>
        <w:pStyle w:val="Heading4"/>
        <w:numPr>
          <w:ilvl w:val="3"/>
          <w:numId w:val="1"/>
        </w:numPr>
        <w:rPr/>
      </w:pPr>
      <w:bookmarkStart w:id="391" w:name="__RefHeading___Toc2295421_2035185390"/>
      <w:bookmarkStart w:id="392" w:name="_Toc140"/>
      <w:bookmarkEnd w:id="390"/>
      <w:bookmarkEnd w:id="391"/>
      <w:r>
        <w:rPr>
          <w:rtl w:val="true"/>
        </w:rPr>
        <w:t>[</w:t>
      </w:r>
      <w:r>
        <w:rPr>
          <w:rtl w:val="true"/>
        </w:rPr>
        <w:t>العمل بالرأی عند الصحابة</w:t>
      </w:r>
      <w:r>
        <w:rPr>
          <w:rtl w:val="true"/>
        </w:rPr>
        <w:t>]</w:t>
      </w:r>
      <w:bookmarkEnd w:id="392"/>
    </w:p>
    <w:p>
      <w:pPr>
        <w:pStyle w:val="BookText"/>
        <w:rPr/>
      </w:pPr>
      <w:r>
        <w:rPr>
          <w:rFonts w:ascii="IRNazanin" w:hAnsi="IRNazanin" w:eastAsia="IRNazanin"/>
          <w:color w:val="111111"/>
          <w:sz w:val="28"/>
          <w:sz w:val="28"/>
          <w:szCs w:val="28"/>
          <w:rtl w:val="true"/>
          <w:lang w:bidi="fa-IR"/>
        </w:rPr>
        <w:t>و علی کلّ حال، وجد العمل بالرأی، و أثر عنهم قضایا أفتَوا فیها بآرائهم و ظنونهم فیما لا نصّ فیه من کتاب و سنّة، کما یطّلع علیها المراجع فی مظانّ ذکرها</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مَن یوجد فیهم مَن یکون مِن أهل النظر و لم یَقُل بالرأی و استعماله فی الأحکام</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ذلک عن جماعة من کبار الصحابة؛ حتّی أنّه یظهر أنّهم استعملوا ذلک فی موارد وجود النصّ أیضا</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النظّام المعتزلیّ القولَ بالفتوی و ترک المنصوص علیه إلی جماعة، منهم أمیر المؤمنین علیه‌السلام، و زید، و معاذ، و أبو الدرداء، و عمر، و عثمان، و أبو موسی الأشعریّ، و ناس آخرون من أحداث الصحابة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عن عمر شی‌ء کثیر فی هذا الباب؛ إذ اتّفق فی زمانه قضایا کثیرة أحوَجَته إلی تعرّف أحکامها و بیانها، فاستعمل الرأی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أُثر عنه قضایا مختلفة حتّی</w:t>
      </w:r>
    </w:p>
    <w:p>
      <w:pPr>
        <w:pStyle w:val="BookText"/>
        <w:rPr/>
      </w:pPr>
      <w:r>
        <w:rPr>
          <w:rFonts w:ascii="IRNazanin" w:hAnsi="IRNazanin" w:eastAsia="IRNazanin"/>
          <w:color w:val="111111"/>
          <w:sz w:val="28"/>
          <w:sz w:val="28"/>
          <w:szCs w:val="28"/>
          <w:rtl w:val="true"/>
          <w:lang w:bidi="fa-IR"/>
        </w:rPr>
        <w:t>فی موضوع واحد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النظّام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عنه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أجرؤکم علی الجَدّ أجرؤکم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مع ذلک القول قضی فی الجَدّ بقضایا مختلفة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هشام بن حسّان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عبیدة السلمانیّ عن شیء من أمر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لأحفظ عن عمر مائة قضیّة فی الجَدّ کلّها ینقض بعضها بعضا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ملاحظة بعض تلک الآثار تکشف أنّ هؤلاء کثیرا ما کانوا یرجعون عن رأی رأوه فی واقعة إلی رأی آخر؛ سأل عمرُ عبدَ اللّه بن مسعود عن شیء من الصَّرْف</w:t>
      </w:r>
      <w:r>
        <w:rPr>
          <w:rStyle w:val="FootnoteAnchor"/>
          <w:rtl w:val="true"/>
        </w:rPr>
        <w:footnoteReference w:id="71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أیضا قد کرهتُه إذ کرهتَه</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أنّهم لم یکونوا فی أنفسهم علی جزم و ثبات فی آرائهم؛ روی عن الشعبیّ أنّ قوما</w:t>
      </w:r>
    </w:p>
    <w:p>
      <w:pPr>
        <w:pStyle w:val="BookText"/>
        <w:rPr/>
      </w:pPr>
      <w:r>
        <w:rPr>
          <w:rFonts w:ascii="IRNazanin" w:hAnsi="IRNazanin" w:eastAsia="IRNazanin"/>
          <w:color w:val="111111"/>
          <w:sz w:val="28"/>
          <w:sz w:val="28"/>
          <w:szCs w:val="28"/>
          <w:rtl w:val="true"/>
          <w:lang w:bidi="fa-IR"/>
        </w:rPr>
        <w:t>سألوا زید بن ثابت عن شیء فأفتاهم فکتبوه،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یُدریکم، لعلّی قد أخطأت و إنّما اجتهدت لکم رأیی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أنها کم عن أشیاء لعلّها لیس بها بأس، و آمرکم بأشیاء لعلّ بها بأسا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ابن مسعود فی حدیث بردع بنت و 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 فإن کان خطأ فمنّی، و إن کان صوابا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ذهبنا إلی نقل الآثار المرویّة فی أمثال ذلک لأدّی إلی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أُثِر عن هؤلاء القول بالرأی، فقد نقل ذمّه و التحذیر منه أیضا عن کثیر من الصحابة و التابعین؛ فعن أبی بکر، و عمر، و ابن مسعود، و عبد اللّه بن العبّاس، و ابن عمر و غیرهم آثار کثیرة فی المنع عن العمل بالرأی و ذمّه</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فی هذا المقام بصدد سرد</w:t>
      </w:r>
    </w:p>
    <w:p>
      <w:pPr>
        <w:pStyle w:val="BookText"/>
        <w:rPr/>
      </w:pPr>
      <w:r>
        <w:rPr>
          <w:rFonts w:ascii="IRNazanin" w:hAnsi="IRNazanin" w:eastAsia="IRNazanin"/>
          <w:color w:val="111111"/>
          <w:sz w:val="28"/>
          <w:sz w:val="28"/>
          <w:szCs w:val="28"/>
          <w:rtl w:val="true"/>
          <w:lang w:bidi="fa-IR"/>
        </w:rPr>
        <w:t>تاریخ العمل بالرأی و الظنون، و إنّما جَرّنا إلی البحث فیه ما له من علاقة بما یراه الشیعة من خطر العمل بها فی أحکام الدین، و نَفْی أن یکون مثل ذلک من المدارک و الأصول التی</w:t>
      </w:r>
    </w:p>
    <w:p>
      <w:pPr>
        <w:pStyle w:val="BookText"/>
        <w:rPr/>
      </w:pPr>
      <w:r>
        <w:rPr>
          <w:rFonts w:ascii="IRNazanin" w:hAnsi="IRNazanin" w:eastAsia="IRNazanin"/>
          <w:color w:val="111111"/>
          <w:sz w:val="28"/>
          <w:sz w:val="28"/>
          <w:szCs w:val="28"/>
          <w:rtl w:val="true"/>
          <w:lang w:bidi="fa-IR"/>
        </w:rPr>
        <w:t>یرجع إلیها فیما یجب أخذه من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ذلک النفی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لم‌یقبض نبیّه صلی‌الله‌علیه‌و‌آله حتّی أکمل الدین و بیّن له جمیع ما تحتاج الأمّة إلیه من أحکام و فرائض، إذ جعل شریعته خاتمة الشرائع،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دینه آخر الأدیان، و جعل حلاله و حرامه ثابتا لایتغیّر و دائما لایتبدّل</w:t>
      </w:r>
      <w:r>
        <w:rPr>
          <w:rStyle w:val="FootnoteAnchor"/>
          <w:rtl w:val="true"/>
        </w:rPr>
        <w:footnoteReference w:id="720"/>
      </w:r>
      <w:r>
        <w:rPr>
          <w:rFonts w:ascii="Amiri" w:hAnsi="Amiri" w:eastAsia="Amiri" w:cs="Amiri"/>
          <w:color w:val="111111"/>
          <w:sz w:val="28"/>
          <w:sz w:val="28"/>
          <w:szCs w:val="28"/>
          <w:rtl w:val="true"/>
          <w:lang w:bidi="ar-SA"/>
        </w:rPr>
        <w:t xml:space="preserve">، و أنّ </w:t>
      </w:r>
    </w:p>
    <w:p>
      <w:pPr>
        <w:pStyle w:val="BookText"/>
        <w:rPr/>
      </w:pPr>
      <w:r>
        <w:rPr>
          <w:rFonts w:ascii="IRNazanin" w:hAnsi="IRNazanin" w:eastAsia="IRNazanin"/>
          <w:color w:val="111111"/>
          <w:sz w:val="28"/>
          <w:sz w:val="28"/>
          <w:szCs w:val="28"/>
          <w:rtl w:val="true"/>
          <w:lang w:bidi="fa-IR"/>
        </w:rPr>
        <w:t>النبیّ صلی‌الله‌علیه‌و‌آله قد بیّن من ذلک ما وسعه بیانه و اقتضت الحکمة تبلیغه، و أنّه أودع علم جمیع</w:t>
      </w:r>
    </w:p>
    <w:p>
      <w:pPr>
        <w:pStyle w:val="BookText"/>
        <w:rPr/>
      </w:pPr>
      <w:r>
        <w:rPr>
          <w:rFonts w:ascii="IRNazanin" w:hAnsi="IRNazanin" w:eastAsia="IRNazanin"/>
          <w:color w:val="111111"/>
          <w:sz w:val="28"/>
          <w:sz w:val="28"/>
          <w:szCs w:val="28"/>
          <w:rtl w:val="true"/>
          <w:lang w:bidi="fa-IR"/>
        </w:rPr>
        <w:t>الأحکام ممّا یحتاج إلیه الناس عند وصیّه و خلیفته، و أمرهم بالرجوع إلیه</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علیه‌السلام أیضا لم یفارق الدنیا حتّی أقام حجّةً مِن بعدِه، عنده معرفة شرائع الإسلام و علم الحلال</w:t>
      </w:r>
    </w:p>
    <w:p>
      <w:pPr>
        <w:pStyle w:val="BookText"/>
        <w:rPr/>
      </w:pPr>
      <w:r>
        <w:rPr>
          <w:rFonts w:ascii="Amiri" w:hAnsi="Amiri" w:eastAsia="Amiri" w:cs="Amiri"/>
          <w:color w:val="111111"/>
          <w:sz w:val="28"/>
          <w:sz w:val="28"/>
          <w:szCs w:val="28"/>
          <w:rtl w:val="true"/>
          <w:lang w:bidi="ar-SA"/>
        </w:rPr>
        <w:t>و الحرام، و تَوارَثَه الأوصیاء مِن بعده حجّةً بعد حجّة و إماما بعد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تعالی شأنه، فی کلّ واقعة یحتاج إلیها المکلّفون، حکم ثابت معیّن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 معرفته هو الرجوع إلی صاحب الشرع فی زمانه، و إلی أوصیائه القائمین مقامه فی حفظ الدین و بیان أحکامه بسؤالهم أو بالرجوع إلی ما یوصل إلی أقوالهم و فتاویهم من الطرق الثابتة من أدلّة الشرع و العقل، و أنّ ما سوی ذلک ممّا یفزع إلیه</w:t>
      </w:r>
    </w:p>
    <w:p>
      <w:pPr>
        <w:pStyle w:val="BookText"/>
        <w:rPr/>
      </w:pPr>
      <w:r>
        <w:rPr>
          <w:rFonts w:ascii="IRNazanin" w:hAnsi="IRNazanin" w:eastAsia="IRNazanin"/>
          <w:color w:val="111111"/>
          <w:sz w:val="28"/>
          <w:sz w:val="28"/>
          <w:szCs w:val="28"/>
          <w:rtl w:val="true"/>
          <w:lang w:bidi="fa-IR"/>
        </w:rPr>
        <w:t>غیرهم من الظنون المبنیّة علی المقاییس و الآراء و المعانی، باطل لم یثبت اعتباره، محظورة العمل بمقتضیاته؛ إذ هو مظنّة الخطأ و مثار التخبّط 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عمل جماعة من سلف علماء الشیعة کُتبا فی نقض الاجتهاد و المنع عنه و النکیر علی الأخذ به، و کلّها ناظر إلی هذا المعنی الذی ذکرناه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قد حُکی العمل بالرأی و القیاس و الاجتهاد بهذا المعنی عن جماعة من أوائل الإمامیّة، کزرارة بن أعین، و جمیل بن درّاج، و عبد اللّه بن بکیر،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الأواخر عن یونس بن عبد الرحمن، و الفضل بن شاذان،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ذلک استفادة من ظواهر کلمات و لوازم تعبیرات منقولة عنهم، إذ لم نعثر لهم بعبارات صریحة فی ذلک تؤیّد ما نقل عنهم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اشتهر عن أبی علیّ محمّد بن أحمد بن الجُنید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المتأخّرین عن عصر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بالرأی و القیاس، حتّی حکی أنّه نسب القول بذلک إلی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و أنّه کتب فی ذلک رسالة سمّاها بالمسائل المصریّة، جعل الأخبار فیها أبوابا، </w:t>
      </w:r>
      <w:bookmarkStart w:id="393" w:name="pg4793_55918"/>
    </w:p>
    <w:p>
      <w:pPr>
        <w:pStyle w:val="BookText"/>
        <w:rPr/>
      </w:pPr>
      <w:bookmarkEnd w:id="393"/>
      <w:r>
        <w:rPr>
          <w:rFonts w:ascii="IRNazanin" w:hAnsi="IRNazanin" w:eastAsia="IRNazanin"/>
          <w:color w:val="111111"/>
          <w:sz w:val="28"/>
          <w:sz w:val="28"/>
          <w:szCs w:val="28"/>
          <w:rtl w:val="true"/>
          <w:lang w:bidi="fa-IR"/>
        </w:rPr>
        <w:t>و ظنّ أنّها مختلفة فی معانیها، و نسب علّة اختلافها إلی قول الأئمّة علیهم‌السلام فیها بالرأی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قد استقرّ مذهب الشیعة علی خلاف ذلک و علی أنّ الأحکام الشرعیّة کلّها منصوصة؛ إمّا مجملاً أو علی سبیل التفصیل، و أنّ علمها عند أهله و یجب</w:t>
      </w:r>
    </w:p>
    <w:p>
      <w:pPr>
        <w:pStyle w:val="BookText"/>
        <w:rPr/>
      </w:pPr>
      <w:r>
        <w:rPr>
          <w:rFonts w:ascii="IRNazanin" w:hAnsi="IRNazanin" w:eastAsia="IRNazanin"/>
          <w:color w:val="111111"/>
          <w:sz w:val="28"/>
          <w:sz w:val="28"/>
          <w:szCs w:val="28"/>
          <w:rtl w:val="true"/>
          <w:lang w:bidi="fa-IR"/>
        </w:rPr>
        <w:t>أخذها عمّن یُقطَع فی حقّهم بعدم الخطأ و الزلل فیها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للظنون و الآراء الظنّیّة التابعة للأهواء المختلفة فی شیء من أحکام الدیانة علی 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نشیر إلی شیء من هذه الأمور التی لایعوّل علیها الشیعة الإمامیّة باختصار</w:t>
      </w:r>
      <w:r>
        <w:rPr>
          <w:rFonts w:eastAsia="IRNazanin" w:cs="IRNazanin"/>
          <w:color w:val="111111"/>
          <w:sz w:val="28"/>
          <w:szCs w:val="28"/>
          <w:rtl w:val="true"/>
          <w:lang w:bidi="fa-IR"/>
        </w:rPr>
        <w:t>.</w:t>
      </w:r>
    </w:p>
    <w:p>
      <w:pPr>
        <w:pStyle w:val="Heading4"/>
        <w:numPr>
          <w:ilvl w:val="3"/>
          <w:numId w:val="1"/>
        </w:numPr>
        <w:rPr/>
      </w:pPr>
      <w:bookmarkStart w:id="394" w:name="__RefHeading___Toc2295423_2035185390"/>
      <w:bookmarkStart w:id="395" w:name="_Toc141"/>
      <w:bookmarkEnd w:id="394"/>
      <w:r>
        <w:rPr>
          <w:rtl w:val="true"/>
        </w:rPr>
        <w:t>منها القیاس</w:t>
      </w:r>
      <w:bookmarkEnd w:id="395"/>
    </w:p>
    <w:p>
      <w:pPr>
        <w:pStyle w:val="BookText"/>
        <w:rPr/>
      </w:pPr>
      <w:r>
        <w:rPr>
          <w:rFonts w:ascii="IRNazanin" w:hAnsi="IRNazanin" w:eastAsia="IRNazanin"/>
          <w:color w:val="111111"/>
          <w:sz w:val="28"/>
          <w:sz w:val="28"/>
          <w:szCs w:val="28"/>
          <w:rtl w:val="true"/>
          <w:lang w:bidi="fa-IR"/>
        </w:rPr>
        <w:t>و البحث عن تعریفه و ماهیّته و ما یصحّ الاستناد إلیه و ما لایصحّ من وظیفة فنّ أصول الفقه، و قد استقصی أهلُه الکلام فیها بما لامزید علیه</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حال الصدر الأوّل و التشریع الإسلامیّ فیه، و أنّ رسول اللّه صلی‌الله‌علیه‌و‌آله کان هو المرجع للمسلمین فیما یتّفق</w:t>
      </w:r>
    </w:p>
    <w:p>
      <w:pPr>
        <w:pStyle w:val="BookText"/>
        <w:rPr/>
      </w:pPr>
      <w:r>
        <w:rPr>
          <w:rFonts w:ascii="IRNazanin" w:hAnsi="IRNazanin" w:eastAsia="IRNazanin"/>
          <w:color w:val="111111"/>
          <w:sz w:val="28"/>
          <w:sz w:val="28"/>
          <w:szCs w:val="28"/>
          <w:rtl w:val="true"/>
          <w:lang w:bidi="fa-IR"/>
        </w:rPr>
        <w:t>لهم من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الصحابة الحاضرون یرون أفعاله و یسمعون أقواله، و یطّلعون علی ما یقضی به فی الحوادث الواقعة من قضاء و ما ینزل علیه من وحی 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أیّام حیاته صلی‌الله‌علیه‌و‌آله کان مرجعهم فی أحکام الدین إلی الکتاب الکریم، فإن عرفوا منه نصّا أو ظاهرا فی معناه أخذوا به، و أجرَوا حکم الحادثة علی ما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یکونوا</w:t>
      </w:r>
    </w:p>
    <w:p>
      <w:pPr>
        <w:pStyle w:val="BookText"/>
        <w:rPr/>
      </w:pPr>
      <w:r>
        <w:rPr>
          <w:rFonts w:ascii="IRNazanin" w:hAnsi="IRNazanin" w:eastAsia="IRNazanin"/>
          <w:color w:val="111111"/>
          <w:sz w:val="28"/>
          <w:sz w:val="28"/>
          <w:szCs w:val="28"/>
          <w:rtl w:val="true"/>
          <w:lang w:bidi="fa-IR"/>
        </w:rPr>
        <w:t>فی فهم ظواهر الآیات القرآنیّة علی کثیر کلفة و مشقّة، إذ کانت نازلةً بلغتهم و متعارف</w:t>
      </w:r>
    </w:p>
    <w:p>
      <w:pPr>
        <w:pStyle w:val="BookText"/>
        <w:rPr/>
      </w:pPr>
      <w:r>
        <w:rPr>
          <w:rFonts w:ascii="IRNazanin" w:hAnsi="IRNazanin" w:eastAsia="IRNazanin"/>
          <w:color w:val="111111"/>
          <w:sz w:val="28"/>
          <w:sz w:val="28"/>
          <w:szCs w:val="28"/>
          <w:rtl w:val="true"/>
          <w:lang w:bidi="fa-IR"/>
        </w:rPr>
        <w:t>محاوراتهم، مع قرب العهد منهم بعصر الرسالة و معرفتهم غالبا بأسباب نزول الآیات و علل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السنّة النبویّة الکریمة التی هی مجموع ما کان صدر عنه صلی‌الله‌علیه‌و‌آله من قول أو فعل أو تقریر، علی ما سبقت الإشارة إلیه</w:t>
      </w:r>
      <w:r>
        <w:rPr>
          <w:rFonts w:eastAsia="IRNazanin" w:cs="IRNazanin"/>
          <w:color w:val="111111"/>
          <w:sz w:val="28"/>
          <w:szCs w:val="28"/>
          <w:rtl w:val="true"/>
          <w:lang w:bidi="fa-IR"/>
        </w:rPr>
        <w:t xml:space="preserve">. </w:t>
      </w:r>
      <w:bookmarkStart w:id="396" w:name="pg4793_55920"/>
    </w:p>
    <w:p>
      <w:pPr>
        <w:pStyle w:val="BookText"/>
        <w:rPr/>
      </w:pPr>
      <w:bookmarkEnd w:id="396"/>
      <w:r>
        <w:rPr>
          <w:rFonts w:ascii="IRNazanin" w:hAnsi="IRNazanin" w:eastAsia="IRNazanin"/>
          <w:color w:val="111111"/>
          <w:sz w:val="28"/>
          <w:sz w:val="28"/>
          <w:szCs w:val="28"/>
          <w:rtl w:val="true"/>
          <w:lang w:bidi="fa-IR"/>
        </w:rPr>
        <w:t>و کانوا إذا لم یعثروا فی کتاب اللّه تعالی علی نصّ فی الحوادث الواقعة لهم، أو فی السنّة المحکیّة علی أثر یوضح حکمها، یفزعون إلی الرأی و القیاس و استخراج حکمها</w:t>
      </w:r>
    </w:p>
    <w:p>
      <w:pPr>
        <w:pStyle w:val="BookText"/>
        <w:rPr/>
      </w:pPr>
      <w:r>
        <w:rPr>
          <w:rFonts w:ascii="IRNazanin" w:hAnsi="IRNazanin" w:eastAsia="IRNazanin"/>
          <w:color w:val="111111"/>
          <w:sz w:val="28"/>
          <w:sz w:val="28"/>
          <w:szCs w:val="28"/>
          <w:rtl w:val="true"/>
          <w:lang w:bidi="fa-IR"/>
        </w:rPr>
        <w:t>من أشباهها و نظائرها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295425_2035185390"/>
      <w:bookmarkStart w:id="398" w:name="_Toc142"/>
      <w:bookmarkEnd w:id="397"/>
      <w:r>
        <w:rPr>
          <w:rtl w:val="true"/>
        </w:rPr>
        <w:t>[</w:t>
      </w:r>
      <w:r>
        <w:rPr>
          <w:rtl w:val="true"/>
        </w:rPr>
        <w:t>القیاس عند أئمّة الشیعة</w:t>
      </w:r>
      <w:r>
        <w:rPr>
          <w:rtl w:val="true"/>
        </w:rPr>
        <w:t>]</w:t>
      </w:r>
      <w:bookmarkEnd w:id="398"/>
    </w:p>
    <w:p>
      <w:pPr>
        <w:pStyle w:val="BookText"/>
        <w:rPr/>
      </w:pPr>
      <w:r>
        <w:rPr>
          <w:rFonts w:ascii="IRNazanin" w:hAnsi="IRNazanin" w:eastAsia="IRNazanin"/>
          <w:color w:val="111111"/>
          <w:sz w:val="28"/>
          <w:sz w:val="28"/>
          <w:szCs w:val="28"/>
          <w:rtl w:val="true"/>
          <w:lang w:bidi="fa-IR"/>
        </w:rPr>
        <w:t>و هذا هو أصل القیاس الفقهیّ، یعمل به الجمهور و یمنعه الشیعة و یحظرون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 دائرة ذلک کانت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العاملین به فی الصحابة و من 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صار</w:t>
      </w:r>
    </w:p>
    <w:p>
      <w:pPr>
        <w:pStyle w:val="BookText"/>
        <w:rPr/>
      </w:pPr>
      <w:r>
        <w:rPr>
          <w:rFonts w:ascii="IRNazanin" w:hAnsi="IRNazanin" w:eastAsia="IRNazanin"/>
          <w:color w:val="111111"/>
          <w:sz w:val="28"/>
          <w:sz w:val="28"/>
          <w:szCs w:val="28"/>
          <w:rtl w:val="true"/>
          <w:lang w:bidi="fa-IR"/>
        </w:rPr>
        <w:t>علیه الاصطلاح بعد ذلک فی العرف المتأخّر، فکان یشمل المصالح و الاستحسان و غیرهما</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ألجأتهم الضرورة فی انتشار الآراء المختلفة الکثیرة، و استناد کلّ منهم إلی رأی رآه و استحسانِه له إلی تضییقها؛ إذ لم یکن من المیسور لواحد الإحاطة بکلّ ما</w:t>
      </w:r>
    </w:p>
    <w:p>
      <w:pPr>
        <w:pStyle w:val="BookText"/>
        <w:rPr/>
      </w:pPr>
      <w:r>
        <w:rPr>
          <w:rFonts w:ascii="IRNazanin" w:hAnsi="IRNazanin" w:eastAsia="IRNazanin"/>
          <w:color w:val="111111"/>
          <w:sz w:val="28"/>
          <w:sz w:val="28"/>
          <w:szCs w:val="28"/>
          <w:rtl w:val="true"/>
          <w:lang w:bidi="fa-IR"/>
        </w:rPr>
        <w:t>عند المتفرّقین فی الأمصار من السنّة، فلا یؤمن أن یحصل لواحد من جهة التوسّع فی الرأی و الظنون الحاصلة، مخالفة لسنّة محفوظة عند غیره، غیر واصلة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للخطر</w:t>
      </w:r>
    </w:p>
    <w:p>
      <w:pPr>
        <w:pStyle w:val="BookText"/>
        <w:rPr/>
      </w:pPr>
      <w:r>
        <w:rPr>
          <w:rFonts w:ascii="IRNazanin" w:hAnsi="IRNazanin" w:eastAsia="IRNazanin"/>
          <w:color w:val="111111"/>
          <w:sz w:val="28"/>
          <w:sz w:val="28"/>
          <w:szCs w:val="28"/>
          <w:rtl w:val="true"/>
          <w:lang w:bidi="fa-IR"/>
        </w:rPr>
        <w:t>الحاصل من هذه الجهة اضطرّوا إلی إطلاق القیاس علی ما کان له أصل موجود من الشرع من کتاب أو سنّة</w:t>
      </w:r>
      <w:r>
        <w:rPr>
          <w:rStyle w:val="FootnoteAnchor"/>
          <w:rtl w:val="true"/>
        </w:rPr>
        <w:footnoteReference w:id="728"/>
      </w:r>
    </w:p>
    <w:p>
      <w:pPr>
        <w:pStyle w:val="BookText"/>
        <w:rPr/>
      </w:pP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الإحکام فی أصول الأحکام </w:t>
      </w: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من مذهب الإمامیّة أنّ الأحکام الشرعیّة کلّها ثابتة بالنصوص، و أنّ کل حادثة لها حکم معیّن، و أنّ شرائع الدین أجلّ و أرفع من أن تُنال بعقول الناس و تتلاعب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الأهواء المختلفة، فلأجل ذلک منعوا عن العمل بالقیاس و عن غیره من مقتضیات الظنون، و عن اتّخاذه مدرکا لأحکام الدین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وردت الآثار الکثیرة عن الأئمّة علیهم‌السلام فی النهی عنه و عدم جواز العمل به فی</w:t>
      </w:r>
    </w:p>
    <w:p>
      <w:pPr>
        <w:pStyle w:val="BookText"/>
        <w:rPr/>
      </w:pPr>
      <w:r>
        <w:rPr>
          <w:rFonts w:ascii="IRNazanin" w:hAnsi="IRNazanin" w:eastAsia="IRNazanin"/>
          <w:color w:val="111111"/>
          <w:sz w:val="28"/>
          <w:sz w:val="28"/>
          <w:szCs w:val="28"/>
          <w:rtl w:val="true"/>
          <w:lang w:bidi="fa-IR"/>
        </w:rPr>
        <w:t>الأحکام الشرعیّة إلاّ فی موارد مخصوصة و رد النصّ بجواز ذلک فیها؛ نحو قِیَم المتلفات، و أُروش الجنایات، و جزاء الصید، و القِبلة و ما جری هذا المجری</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محق الدین، و أنّ ما یفسده أکثر ممّا یصلحه، و أنّ دین اللّه لا</w:t>
      </w:r>
    </w:p>
    <w:p>
      <w:pPr>
        <w:pStyle w:val="BookText"/>
        <w:rPr/>
      </w:pPr>
      <w:r>
        <w:rPr>
          <w:rFonts w:ascii="IRNazanin" w:hAnsi="IRNazanin" w:eastAsia="IRNazanin"/>
          <w:color w:val="111111"/>
          <w:sz w:val="28"/>
          <w:sz w:val="28"/>
          <w:szCs w:val="28"/>
          <w:rtl w:val="true"/>
          <w:lang w:bidi="fa-IR"/>
        </w:rPr>
        <w:t>یُصاب بالمقاییس</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ادّعی تواتره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کانوا علی معرفة کاملة بمناهج الأقیسة، و مُتقنین لطُرُقها علی أحسن وجوهها، کما یتّضح ذلک من مراجعة ما اتّفق لهم من المکالمات مع کبار القائسین و أئمّة</w:t>
      </w:r>
    </w:p>
    <w:p>
      <w:pPr>
        <w:pStyle w:val="BookText"/>
        <w:rPr/>
      </w:pPr>
      <w:r>
        <w:rPr>
          <w:rFonts w:ascii="IRNazanin" w:hAnsi="IRNazanin" w:eastAsia="IRNazanin"/>
          <w:color w:val="111111"/>
          <w:sz w:val="28"/>
          <w:sz w:val="28"/>
          <w:szCs w:val="28"/>
          <w:rtl w:val="true"/>
          <w:lang w:bidi="fa-IR"/>
        </w:rPr>
        <w:t>الرأی، و مقایستهم إیّاهم بالطرق التی ینهجونها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کثیرا ما یعلّمون نظّار الشیعة</w:t>
      </w:r>
    </w:p>
    <w:p>
      <w:pPr>
        <w:pStyle w:val="BookText"/>
        <w:rPr/>
      </w:pPr>
      <w:r>
        <w:rPr>
          <w:rFonts w:ascii="IRNazanin" w:hAnsi="IRNazanin" w:eastAsia="IRNazanin"/>
          <w:color w:val="111111"/>
          <w:sz w:val="28"/>
          <w:sz w:val="28"/>
          <w:szCs w:val="28"/>
          <w:rtl w:val="true"/>
          <w:lang w:bidi="fa-IR"/>
        </w:rPr>
        <w:t>و فقهاء أصحابهم ما یحتاجون إلیه من ذلک فی إلزام الخصوم و قهر مناظریهم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الذی</w:t>
      </w:r>
    </w:p>
    <w:p>
      <w:pPr>
        <w:pStyle w:val="BookText"/>
        <w:rPr/>
      </w:pPr>
      <w:r>
        <w:rPr>
          <w:rFonts w:ascii="IRNazanin" w:hAnsi="IRNazanin" w:eastAsia="IRNazanin"/>
          <w:color w:val="111111"/>
          <w:sz w:val="28"/>
          <w:sz w:val="28"/>
          <w:szCs w:val="28"/>
          <w:rtl w:val="true"/>
          <w:lang w:bidi="fa-IR"/>
        </w:rPr>
        <w:t>منعوا منه هو اتّخاذه أصلاً متّبعا فی مقابل الکتاب و السنّة، یُفزع إلیه و یعوّل عند الحوادث علیه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یُؤثَر عن فقهاء الشیعة المشهورین تعویلٌ علی القیاس و الرأی و عمل به إلاّ ما أسلفناه من جنوح أبی علیّ بن الجُنید الإسکافیّ إلیه ؛ فإنّه عمل بالأقیسة، و اختار فی </w:t>
      </w:r>
      <w:bookmarkStart w:id="399" w:name="pg4793_55924"/>
    </w:p>
    <w:p>
      <w:pPr>
        <w:pStyle w:val="BookText"/>
        <w:rPr/>
      </w:pPr>
      <w:bookmarkEnd w:id="399"/>
      <w:r>
        <w:rPr>
          <w:rFonts w:ascii="IRNazanin" w:hAnsi="IRNazanin" w:eastAsia="IRNazanin"/>
          <w:color w:val="111111"/>
          <w:sz w:val="28"/>
          <w:sz w:val="28"/>
          <w:szCs w:val="28"/>
          <w:rtl w:val="true"/>
          <w:lang w:bidi="fa-IR"/>
        </w:rPr>
        <w:t>الفقه لذلک جملة مذاهب و آراء وافق فیها أبا حنیفة و غیره من أصحاب الرأی فیما لم‌یأتِ</w:t>
      </w:r>
    </w:p>
    <w:p>
      <w:pPr>
        <w:pStyle w:val="BookText"/>
        <w:rPr/>
      </w:pPr>
      <w:r>
        <w:rPr>
          <w:rFonts w:ascii="IRNazanin" w:hAnsi="IRNazanin" w:eastAsia="IRNazanin"/>
          <w:color w:val="111111"/>
          <w:sz w:val="28"/>
          <w:sz w:val="28"/>
          <w:szCs w:val="28"/>
          <w:rtl w:val="true"/>
          <w:lang w:bidi="fa-IR"/>
        </w:rPr>
        <w:t>به أثر، فأنکر سائرُ الإمامیّة ذلک علیه غایة الإنکار، و أهملوا أقواله و طرحوها، حتّی أنّه لأجل ذلک صارت مصنّفاته مع کثرتها وجودة ترتیبها و تفریعها، متروکةً مهملة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عمدة ما دعا القومَ إلی العمل بالقیاس و الرأی هو وفور الحوادث التی لا یُوجد فیها نصّ صریح من ظواهر الکتاب و الحدیث، و التی لایجوز ترکها و إهمالها؛ فالإمامیّة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کان من هذا القبیل ممّا فزعوا فیه إلی القیاس و تکلّفوا فیه بالعمل بالرأی، ففیه عندهم نصّ إمّا مجمل و إمّا مفصّل</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أشار الشیخ أبو جعفر الطوسیّ إلی ذلک ؛ فإنّه بعد ما نقل طعن فقهاء الجمهور علی الشیعة من هذه الجهة و استحقارهم لفقه الإمامیّة، و استنزارهم إیّاه،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p>
    <w:p>
      <w:pPr>
        <w:pStyle w:val="BookText"/>
        <w:rPr/>
      </w:pPr>
      <w:r>
        <w:rPr>
          <w:rFonts w:ascii="IRNazanin" w:hAnsi="IRNazanin" w:eastAsia="IRNazanin"/>
          <w:color w:val="111111"/>
          <w:sz w:val="28"/>
          <w:sz w:val="28"/>
          <w:szCs w:val="28"/>
          <w:rtl w:val="true"/>
          <w:lang w:bidi="fa-IR"/>
        </w:rPr>
        <w:t>أهل حشو و مناقضة؛ لأنّ من ینفی القیاس و الاجتهاد لا طریق له إلی کثرة المسائل و لا</w:t>
      </w:r>
    </w:p>
    <w:p>
      <w:pPr>
        <w:pStyle w:val="BookText"/>
        <w:rPr/>
      </w:pPr>
      <w:r>
        <w:rPr>
          <w:rFonts w:ascii="IRNazanin" w:hAnsi="IRNazanin" w:eastAsia="IRNazanin"/>
          <w:color w:val="111111"/>
          <w:sz w:val="28"/>
          <w:sz w:val="28"/>
          <w:szCs w:val="28"/>
          <w:rtl w:val="true"/>
          <w:lang w:bidi="fa-IR"/>
        </w:rPr>
        <w:t>التفریع علی الأصول، لأنّ جلّ ذلک مأخوذ عن هذین الطریقَین،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جهل منهم</w:t>
      </w:r>
    </w:p>
    <w:p>
      <w:pPr>
        <w:pStyle w:val="BookText"/>
        <w:rPr/>
      </w:pPr>
      <w:r>
        <w:rPr>
          <w:rFonts w:ascii="IRNazanin" w:hAnsi="IRNazanin" w:eastAsia="IRNazanin"/>
          <w:color w:val="111111"/>
          <w:sz w:val="28"/>
          <w:sz w:val="28"/>
          <w:szCs w:val="28"/>
          <w:rtl w:val="true"/>
          <w:lang w:bidi="fa-IR"/>
        </w:rPr>
        <w:t>بمذاهب الشیعة و قلّة تأمّل لأصولهم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نظروا فی أخبارهم و فقههم لعلموا أنّ جلّ ما ذکروه من المسائل موجودة فی أخبارنا، و منصوص علیه عن أئمّة الدِّین الذین قولُهم</w:t>
      </w:r>
    </w:p>
    <w:p>
      <w:pPr>
        <w:pStyle w:val="BookText"/>
        <w:rPr/>
      </w:pPr>
      <w:r>
        <w:rPr>
          <w:rFonts w:ascii="IRNazanin" w:hAnsi="IRNazanin" w:eastAsia="IRNazanin"/>
          <w:color w:val="111111"/>
          <w:sz w:val="28"/>
          <w:sz w:val="28"/>
          <w:szCs w:val="28"/>
          <w:rtl w:val="true"/>
          <w:lang w:bidi="fa-IR"/>
        </w:rPr>
        <w:t>فی الحجّة یجری مجری قول النبیّ صلی‌الله‌علیه‌و‌آله، إمّا خصوصا أو عموما أو تصریحا أو تلویحا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295427_2035185390"/>
      <w:bookmarkStart w:id="401" w:name="_Toc143"/>
      <w:bookmarkEnd w:id="400"/>
      <w:r>
        <w:rPr>
          <w:rtl w:val="true"/>
        </w:rPr>
        <w:t>[</w:t>
      </w:r>
      <w:r>
        <w:rPr>
          <w:rtl w:val="true"/>
        </w:rPr>
        <w:t>القیاس عند أئمّة أهل السنّة</w:t>
      </w:r>
      <w:r>
        <w:rPr>
          <w:rtl w:val="true"/>
        </w:rPr>
        <w:t>]</w:t>
      </w:r>
      <w:bookmarkEnd w:id="40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رفضت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داود بن علیّ الإصبهانیّ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رفضا باتّا،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عمومات الکتاب و السنّة ما یفی بکلّ شیء، و إنّ القیاس أمر خارج عن مضامین </w:t>
      </w:r>
    </w:p>
    <w:p>
      <w:pPr>
        <w:pStyle w:val="BookText"/>
        <w:rPr/>
      </w:pPr>
      <w:r>
        <w:rPr>
          <w:rFonts w:ascii="IRNazanin" w:hAnsi="IRNazanin" w:eastAsia="IRNazanin"/>
          <w:color w:val="111111"/>
          <w:sz w:val="28"/>
          <w:sz w:val="28"/>
          <w:szCs w:val="28"/>
          <w:rtl w:val="true"/>
          <w:lang w:bidi="fa-IR"/>
        </w:rPr>
        <w:t>الکتاب و السنّة فلایجوز التعویل علیه</w:t>
      </w:r>
      <w:r>
        <w:rPr>
          <w:rStyle w:val="FootnoteAnchor"/>
          <w:rtl w:val="true"/>
        </w:rPr>
        <w:footnoteReference w:id="737"/>
      </w:r>
      <w:r>
        <w:rPr>
          <w:rFonts w:ascii="IRNazanin" w:hAnsi="IRNazanin" w:eastAsia="IRNazanin"/>
          <w:color w:val="111111"/>
          <w:sz w:val="28"/>
          <w:sz w:val="28"/>
          <w:szCs w:val="28"/>
          <w:rtl w:val="true"/>
          <w:lang w:bidi="fa-IR"/>
        </w:rPr>
        <w:t>، لأنّ اللّه تعالی أمر بالردّ عند التنازع إلی کتابه و إلی رسوله صلی‌الله‌علیه‌و‌آله</w:t>
      </w:r>
      <w:r>
        <w:rPr>
          <w:rStyle w:val="FootnoteAnchor"/>
          <w:rtl w:val="true"/>
        </w:rPr>
        <w:footnoteReference w:id="738"/>
      </w:r>
      <w:r>
        <w:rPr>
          <w:rFonts w:ascii="IRNazanin" w:hAnsi="IRNazanin" w:eastAsia="IRNazanin"/>
          <w:color w:val="111111"/>
          <w:sz w:val="28"/>
          <w:sz w:val="28"/>
          <w:szCs w:val="28"/>
          <w:rtl w:val="true"/>
          <w:lang w:bidi="fa-IR"/>
        </w:rPr>
        <w:t>، و مورد القیاس عند عدم وجود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 القرآن بأنّ اللّه لم یفرّط فی الکتاب شیئا</w:t>
      </w:r>
      <w:r>
        <w:rPr>
          <w:rStyle w:val="FootnoteAnchor"/>
          <w:rtl w:val="true"/>
        </w:rPr>
        <w:footnoteReference w:id="739"/>
      </w:r>
      <w:r>
        <w:rPr>
          <w:rFonts w:ascii="IRNazanin" w:hAnsi="IRNazanin" w:eastAsia="IRNazanin"/>
          <w:color w:val="111111"/>
          <w:sz w:val="28"/>
          <w:sz w:val="28"/>
          <w:szCs w:val="28"/>
          <w:rtl w:val="true"/>
          <w:lang w:bidi="fa-IR"/>
        </w:rPr>
        <w:t>، و أنّ الدین قد أکمل</w:t>
      </w:r>
      <w:r>
        <w:rPr>
          <w:rStyle w:val="FootnoteAnchor"/>
          <w:rtl w:val="true"/>
        </w:rPr>
        <w:footnoteReference w:id="740"/>
      </w:r>
      <w:r>
        <w:rPr>
          <w:rFonts w:ascii="IRNazanin" w:hAnsi="IRNazanin" w:eastAsia="IRNazanin"/>
          <w:color w:val="111111"/>
          <w:sz w:val="28"/>
          <w:sz w:val="28"/>
          <w:szCs w:val="28"/>
          <w:rtl w:val="true"/>
          <w:lang w:bidi="fa-IR"/>
        </w:rPr>
        <w:t>، و أنّ رسول اللّه صلی‌الله‌علیه‌و‌آلهقد بیّن للناس</w:t>
      </w:r>
    </w:p>
    <w:p>
      <w:pPr>
        <w:pStyle w:val="BookText"/>
        <w:rPr/>
      </w:pPr>
      <w:r>
        <w:rPr>
          <w:rFonts w:ascii="IRNazanin" w:hAnsi="IRNazanin" w:eastAsia="IRNazanin"/>
          <w:color w:val="111111"/>
          <w:sz w:val="28"/>
          <w:sz w:val="28"/>
          <w:szCs w:val="28"/>
          <w:rtl w:val="true"/>
          <w:lang w:bidi="fa-IR"/>
        </w:rPr>
        <w:t>کلّ ما نزل، فلا حاجة بأحد إلی قیاس و لا إلی رأی</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یوافقون الإمامیّة فی هذا</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الفرق فأشدّهم فیه توغّلاً و أرسخهم قَدَما، هم أتباع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المأثور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هذا رأی، و هو أحسن ما قَدَرنا علیه، فمَن قدر علی أحسن من</w:t>
      </w:r>
    </w:p>
    <w:p>
      <w:pPr>
        <w:pStyle w:val="BookText"/>
        <w:rPr/>
      </w:pPr>
      <w:r>
        <w:rPr>
          <w:rFonts w:ascii="IRNazanin" w:hAnsi="IRNazanin" w:eastAsia="IRNazanin"/>
          <w:color w:val="111111"/>
          <w:sz w:val="28"/>
          <w:sz w:val="28"/>
          <w:szCs w:val="28"/>
          <w:rtl w:val="true"/>
          <w:lang w:bidi="fa-IR"/>
        </w:rPr>
        <w:t>ذلک فله ما رأی</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عنه 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یوسف و الحسن بن زیاد اللؤلؤیّ، و هما من أجلّ الراوین عنه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الغزالیّ بعدم اکتراثه بمخالفة أبی حنیفة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أقطع بخطئه فی تسعة أعشار مذهبه التی خالف فیها خصومه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دونه فی ذلک الشافعیّ و أتباعه، فهم لایرجعون إلی القیاس إذا وجدوا خبرا موثوقا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وجدتم لی مذهبا و وجدتم علی خلاف مذهبی خبرا فاعلموا أنّ مذهبی ذلک الخبر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مالک بن أنس و تابعوه فهم أهل حدیث، یکرهون غالبا إعمال الرأی و القیاس، </w:t>
      </w:r>
      <w:bookmarkStart w:id="402" w:name="pg4793_55928"/>
    </w:p>
    <w:p>
      <w:pPr>
        <w:pStyle w:val="BookText"/>
        <w:rPr/>
      </w:pPr>
      <w:bookmarkEnd w:id="402"/>
      <w:r>
        <w:rPr>
          <w:rFonts w:ascii="IRNazanin" w:hAnsi="IRNazanin" w:eastAsia="IRNazanin"/>
          <w:color w:val="111111"/>
          <w:sz w:val="28"/>
          <w:sz w:val="28"/>
          <w:szCs w:val="28"/>
          <w:rtl w:val="true"/>
          <w:lang w:bidi="fa-IR"/>
        </w:rPr>
        <w:t>و یعیبون علی أهل الرأی من هذه الجهة</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الجدل من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أحمد بن حنبل و من تبعه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2295429_2035185390"/>
      <w:bookmarkStart w:id="404" w:name="_Toc144"/>
      <w:bookmarkEnd w:id="403"/>
      <w:r>
        <w:rPr>
          <w:rtl w:val="true"/>
        </w:rPr>
        <w:t>الاستحسان</w:t>
      </w:r>
      <w:bookmarkEnd w:id="404"/>
    </w:p>
    <w:p>
      <w:pPr>
        <w:pStyle w:val="BookText"/>
        <w:rPr/>
      </w:pPr>
      <w:r>
        <w:rPr>
          <w:rFonts w:ascii="IRNazanin" w:hAnsi="IRNazanin" w:eastAsia="IRNazanin"/>
          <w:color w:val="111111"/>
          <w:sz w:val="28"/>
          <w:sz w:val="28"/>
          <w:szCs w:val="28"/>
          <w:rtl w:val="true"/>
          <w:lang w:bidi="fa-IR"/>
        </w:rPr>
        <w:t>قد قال به أبو حنیفة و أتباعه و أنکره الباقون، حتّی نقل عن الشافعیّ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أقوالهم فی بیان حقیقته؛ فعرّفه بعض بأنّه مذهبٌ لا دلیل علیه، و آخرون بأنّه معنی ینقدح فی نفس المجتهد لایقدر علی إظهاره ؛ لعدم مساعدة العبارة علیه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الأوّل کفر مِن قائله و ممّن یجوّز التمسّک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الثانی هَوَس ؛ لأنّ معانی الشرع إذا لاحت فی العقول انطلقت الألسن بالتعبیر عنها، فما لاعبارة عنه لایُعقَل</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الاستحسان لا اعتداد به عند الشیعة،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التی هی علل الأحکام خفیّة علی العقول، و ربّما کان الشیء مصلحة فی الواقع و یخفی وجه المصلحة فیه، کعدد الرکعات، و مقادیر الحدود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فیها بغیر دلیل من الشرع حکم بغیر</w:t>
      </w:r>
    </w:p>
    <w:p>
      <w:pPr>
        <w:pStyle w:val="BookText"/>
        <w:rPr/>
      </w:pPr>
      <w:r>
        <w:rPr>
          <w:rFonts w:ascii="IRNazanin" w:hAnsi="IRNazanin" w:eastAsia="IRNazanin"/>
          <w:color w:val="111111"/>
          <w:sz w:val="28"/>
          <w:sz w:val="28"/>
          <w:szCs w:val="28"/>
          <w:rtl w:val="true"/>
          <w:lang w:bidi="fa-IR"/>
        </w:rPr>
        <w:t>ما أنزل اللّه، و تقدیم بین یدی اللّه و رسوله، و قد نهی اللّه تعالی فی کتابه العزیز عنهما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 فی رسالته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الاستحسان تلذّذ، و حلال اللّه و حرامه أولی بأن </w:t>
      </w:r>
      <w:bookmarkStart w:id="405" w:name="pg4793_55930"/>
    </w:p>
    <w:p>
      <w:pPr>
        <w:pStyle w:val="BookText"/>
        <w:rPr/>
      </w:pPr>
      <w:bookmarkEnd w:id="405"/>
      <w:r>
        <w:rPr>
          <w:rFonts w:ascii="IRNazanin" w:hAnsi="IRNazanin" w:eastAsia="IRNazanin"/>
          <w:color w:val="111111"/>
          <w:sz w:val="28"/>
          <w:sz w:val="28"/>
          <w:szCs w:val="28"/>
          <w:rtl w:val="true"/>
          <w:lang w:bidi="fa-IR"/>
        </w:rPr>
        <w:t>لایقال فیه بالتعسّف و الاستحسان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2295431_2035185390"/>
      <w:bookmarkStart w:id="407" w:name="_Toc145"/>
      <w:bookmarkEnd w:id="406"/>
      <w:r>
        <w:rPr>
          <w:rtl w:val="true"/>
        </w:rPr>
        <w:t>المصالح المرسلة</w:t>
      </w:r>
      <w:bookmarkEnd w:id="407"/>
    </w:p>
    <w:p>
      <w:pPr>
        <w:pStyle w:val="BookText"/>
        <w:rPr/>
      </w:pPr>
      <w:r>
        <w:rPr>
          <w:rFonts w:ascii="IRNazanin" w:hAnsi="IRNazanin" w:eastAsia="IRNazanin"/>
          <w:color w:val="111111"/>
          <w:sz w:val="28"/>
          <w:sz w:val="28"/>
          <w:szCs w:val="28"/>
          <w:rtl w:val="true"/>
          <w:lang w:bidi="fa-IR"/>
        </w:rPr>
        <w:t>المصلحة هی ما یوافق الإنسان فی مقاصده لدنیاه أو لآخر ته، أو 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تحصیل منفعة أو دفع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تنقسم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شرعا، کتحریم القتل، و تشریع القصاص، و فرض الجهاد، و إقامة الحدود لحفظ النفس و الدین و الأنساب و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ملغاة، کما إذا عیّن فی کفّارة إفطار شهر رمضان عمدا صوم شهرین تحتّما؛ لکون ذلک أزجَر عن المعاودة، لکنّ الشرع أسقط هذه المصلحة عن درجة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 و هی ما عدا هذین القسمین، و قد نُسب القول بها إلی مالک مع إنکار أصحابه ذلک علیه</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الغزالیّ فیه لذلک،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مالک فقد استرسل علی المصالح استرسالاً حتّی رأی قتل ثُلث الأمّة لاستصلاح ثُلثیها، و القتل فی التعزیر،</w:t>
      </w:r>
    </w:p>
    <w:p>
      <w:pPr>
        <w:pStyle w:val="BookText"/>
        <w:rPr/>
      </w:pPr>
      <w:r>
        <w:rPr>
          <w:rFonts w:ascii="Amiri" w:hAnsi="Amiri" w:eastAsia="Amiri" w:cs="Amiri"/>
          <w:color w:val="111111"/>
          <w:sz w:val="28"/>
          <w:sz w:val="28"/>
          <w:szCs w:val="28"/>
          <w:rtl w:val="true"/>
          <w:lang w:bidi="ar-SA"/>
        </w:rPr>
        <w:t>و الضرب بمجرّد التُّهم</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ممّن روی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یحلّ لمالک أن 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الشافعیّ کان أعلم الخلیقة بالأصول دون غیره،</w:t>
      </w:r>
    </w:p>
    <w:p>
      <w:pPr>
        <w:pStyle w:val="BookText"/>
        <w:rPr/>
      </w:pPr>
      <w:r>
        <w:rPr>
          <w:rFonts w:ascii="IRNazanin" w:hAnsi="IRNazanin" w:eastAsia="IRNazanin"/>
          <w:color w:val="111111"/>
          <w:sz w:val="28"/>
          <w:sz w:val="28"/>
          <w:szCs w:val="28"/>
          <w:rtl w:val="true"/>
          <w:lang w:bidi="fa-IR"/>
        </w:rPr>
        <w:t>و لذا نفی اجتهاد أبی حنیفة، بل طعن فی مالک أیضا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فهو من الأدلّة الغیر المعتبرة عند الإمامیّة و عند کثیر من العامّة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408" w:name="pg4793_55932"/>
    </w:p>
    <w:p>
      <w:pPr>
        <w:pStyle w:val="Heading4"/>
        <w:numPr>
          <w:ilvl w:val="3"/>
          <w:numId w:val="1"/>
        </w:numPr>
        <w:rPr/>
      </w:pPr>
      <w:bookmarkStart w:id="409" w:name="__RefHeading___Toc2295433_2035185390"/>
      <w:bookmarkStart w:id="410" w:name="_Toc146"/>
      <w:bookmarkEnd w:id="408"/>
      <w:bookmarkEnd w:id="409"/>
      <w:r>
        <w:rPr>
          <w:rtl w:val="true"/>
        </w:rPr>
        <w:t>مذهب الصحابیّ</w:t>
      </w:r>
      <w:bookmarkEnd w:id="410"/>
    </w:p>
    <w:p>
      <w:pPr>
        <w:pStyle w:val="BookText"/>
        <w:rPr/>
      </w:pPr>
      <w:r>
        <w:rPr>
          <w:rFonts w:ascii="IRNazanin" w:hAnsi="IRNazanin" w:eastAsia="IRNazanin"/>
          <w:color w:val="111111"/>
          <w:sz w:val="28"/>
          <w:sz w:val="28"/>
          <w:szCs w:val="28"/>
          <w:rtl w:val="true"/>
          <w:lang w:bidi="fa-IR"/>
        </w:rPr>
        <w:t>اتّفق الکلّ علی أنّ مذهب أحد من الصحابة ذوی الرأی و الفتوی فی مسائل الاجتهاد لایکون حجّة علی غیره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علی حجّیّته علی من أتی</w:t>
      </w:r>
    </w:p>
    <w:p>
      <w:pPr>
        <w:pStyle w:val="BookText"/>
        <w:rPr/>
      </w:pPr>
      <w:r>
        <w:rPr>
          <w:rFonts w:ascii="IRNazanin" w:hAnsi="IRNazanin" w:eastAsia="IRNazanin"/>
          <w:color w:val="111111"/>
          <w:sz w:val="28"/>
          <w:sz w:val="28"/>
          <w:szCs w:val="28"/>
          <w:rtl w:val="true"/>
          <w:lang w:bidi="fa-IR"/>
        </w:rPr>
        <w:t>بعدهم من التابعین و تابعیهم، و قدّمه مالک علی القیاس</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الآمدیّ عن قومٍ أنّهم قالوا بحجّیّة قول أبی بکر و عمر خاصّة دون غیرهما</w:t>
      </w:r>
      <w:r>
        <w:rPr>
          <w:rStyle w:val="FootnoteAnchor"/>
          <w:rtl w:val="true"/>
        </w:rPr>
        <w:footnoteReference w:id="757"/>
      </w:r>
      <w:r>
        <w:rPr>
          <w:rFonts w:ascii="IRNazanin" w:hAnsi="IRNazanin" w:eastAsia="IRNazanin"/>
          <w:color w:val="111111"/>
          <w:sz w:val="28"/>
          <w:sz w:val="28"/>
          <w:szCs w:val="28"/>
          <w:rtl w:val="true"/>
          <w:lang w:bidi="fa-IR"/>
        </w:rPr>
        <w:t>، مع أنّ الغزالیّ صرّح بأنّه لو قلّد الیوم أحد أبا بکر لم یجوّزه أحد من العلماء</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 فقد منع من حجّیّته أکثر العامّة أیضا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الإمامیّة متّفقون علی عدم اعتبار قول الصحابیّ من حیث عنوان الصحبة؛ إذ لا دلیل علیه من عقل و شرع، إلاّ أن یدلّ الدلیل القاطع علی حجّیّة قوله؛ لأجل کونه معصوما، و إلاّ فمجرّد کونه صحابیّا لا أثر له فی وجوب اتّباعه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الصحابة اختلفوا فی مسائل کثیرة معروفة، و طعن بعضهم فی بعض، و ردّ بعضهم علی بعض، و ردّ التابعون علیهم و اعترضوا علی أقاویلهم و قدحوا فیهم، فکیف یمکن مع هذه الحالة، المصیر إلی حجّیّة قول واحد منهم علی آخرین بدون دلیل </w:t>
      </w:r>
    </w:p>
    <w:p>
      <w:pPr>
        <w:pStyle w:val="BookText"/>
        <w:rPr/>
      </w:pPr>
      <w:r>
        <w:rPr>
          <w:rFonts w:ascii="IRNazanin" w:hAnsi="IRNazanin" w:eastAsia="IRNazanin"/>
          <w:color w:val="111111"/>
          <w:sz w:val="28"/>
          <w:sz w:val="28"/>
          <w:szCs w:val="28"/>
          <w:rtl w:val="true"/>
          <w:lang w:bidi="fa-IR"/>
        </w:rPr>
        <w:t>قاطع</w:t>
      </w:r>
      <w:r>
        <w:rPr>
          <w:rStyle w:val="FootnoteAnchor"/>
          <w:rtl w:val="true"/>
        </w:rPr>
        <w:footnoteReference w:id="7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أبو حامد الغزالیّ بأنّه لو قلّد الیوم أحد أبا بکر لم یجوّزه أحد من العلماء</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وضوح الأمر فی بطلان هذا القول یغنینا عن الإطالة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عداد الأدلّة الظنّیّة أشیاء و أمور من قبیل الاستقراء، و حجّیّة أحکام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الشرائع السالفة و أمثال ذلک، أعرضنا عن ذکرها مخافة التطویل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411" w:name="pg4793_55936"/>
    </w:p>
    <w:p>
      <w:pPr>
        <w:pStyle w:val="Heading3"/>
        <w:numPr>
          <w:ilvl w:val="2"/>
          <w:numId w:val="1"/>
        </w:numPr>
        <w:rPr/>
      </w:pPr>
      <w:bookmarkStart w:id="412" w:name="__RefHeading___Toc2295435_2035185390"/>
      <w:bookmarkStart w:id="413" w:name="_Toc147"/>
      <w:bookmarkEnd w:id="411"/>
      <w:bookmarkEnd w:id="412"/>
      <w:r>
        <w:rPr>
          <w:rtl w:val="true"/>
        </w:rPr>
        <w:t>الفصل الرابع</w:t>
      </w:r>
      <w:r>
        <w:rPr>
          <w:rtl w:val="true"/>
        </w:rPr>
        <w:t xml:space="preserve">: </w:t>
      </w:r>
      <w:r>
        <w:rPr>
          <w:rtl w:val="true"/>
        </w:rPr>
        <w:t>طریقة الإمامیّة فی العمل بالأحکام الشرعیّة</w:t>
      </w:r>
      <w:bookmarkEnd w:id="413"/>
    </w:p>
    <w:p>
      <w:pPr>
        <w:pStyle w:val="Heading4"/>
        <w:numPr>
          <w:ilvl w:val="3"/>
          <w:numId w:val="1"/>
        </w:numPr>
        <w:rPr/>
      </w:pPr>
      <w:bookmarkStart w:id="414" w:name="__RefHeading___Toc2295437_2035185390"/>
      <w:bookmarkStart w:id="415" w:name="_Toc148"/>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الشیعة الإمامیّة، کما عرفت، لایرجعون فی باب الأحکام الشرعیّة إلاّ إلی ما قامت الأدلّة القطعیّة علی حجّیّته و اعتباره، فهم لذلک لا یتعدّون الکتاب و السنّة و ما دلاّ علی اعتباره و صحّة الرجوع إلیه فی استنباط أحکام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یعمّمون موضوع السنّة التی یجب اتّباعها، و یُدخلون فیها أقوال الأئمّة و أفعالهم و تقریراتهم،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مجری قول النبیّ صلی‌الله‌علیه‌و‌آله و فعله و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الاتّباع لأجل ما دلّ علی ذلک من البراهین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فی 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وصل إلی الناس من أحکام الشرع و آدابه بأدلّة قطعیّة کآیات الکتاب العزیز المتکفّلة ببیان ذلک، فهم مکلّفون بالرجوع إلیها و العمل</w:t>
      </w:r>
    </w:p>
    <w:p>
      <w:pPr>
        <w:pStyle w:val="BookText"/>
        <w:rPr/>
      </w:pPr>
      <w:r>
        <w:rPr>
          <w:rFonts w:ascii="IRNazanin" w:hAnsi="IRNazanin" w:eastAsia="IRNazanin"/>
          <w:color w:val="111111"/>
          <w:sz w:val="28"/>
          <w:sz w:val="28"/>
          <w:szCs w:val="28"/>
          <w:rtl w:val="true"/>
          <w:lang w:bidi="fa-IR"/>
        </w:rPr>
        <w:t>بمدالیلها، و کذلک أیضا ما نُقل عن النبیّ صلی‌الله‌علیه‌و‌آله نقلاً قاطعا للعذر، و أُثر عنه من سنّة ثابتة</w:t>
      </w:r>
    </w:p>
    <w:p>
      <w:pPr>
        <w:pStyle w:val="BookText"/>
        <w:rPr/>
      </w:pP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یرد فیه نصّ ظاهر أو أثر مقطوع الصدور، فالتعویل فیه علی الأئمّة القائمین مقامه ؛ فیجب الرجوع فی ذلک إلیهم، أو إلی ما یوصل إلی أقوالهم و فتاویهم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کانت بیئة الشیعة فی الصدر الأوّل، منذ زمن أمیر المؤمنین علیه‌السلام إلی أوائل القرن</w:t>
      </w:r>
    </w:p>
    <w:p>
      <w:pPr>
        <w:pStyle w:val="BookText"/>
        <w:rPr/>
      </w:pPr>
      <w:r>
        <w:rPr>
          <w:rFonts w:ascii="IRNazanin" w:hAnsi="IRNazanin" w:eastAsia="IRNazanin"/>
          <w:color w:val="111111"/>
          <w:sz w:val="28"/>
          <w:sz w:val="28"/>
          <w:szCs w:val="28"/>
          <w:rtl w:val="true"/>
          <w:lang w:bidi="fa-IR"/>
        </w:rPr>
        <w:t>الثانی، منحصرة فی الحجاز و العراق و ضواحیهما إلاّ شذّاذا منهم تفرّقوا فی أمصار أخری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یسهل علی غالبهم لقاءُ الأئمّة علیهم‌السلام و الرجوع إلیهم لأجل ما یحتاجون إلیه من </w:t>
      </w:r>
    </w:p>
    <w:p>
      <w:pPr>
        <w:pStyle w:val="BookText"/>
        <w:rPr/>
      </w:pPr>
      <w:r>
        <w:rPr>
          <w:rFonts w:ascii="IRNazanin" w:hAnsi="IRNazanin" w:eastAsia="IRNazanin"/>
          <w:color w:val="111111"/>
          <w:sz w:val="28"/>
          <w:sz w:val="28"/>
          <w:szCs w:val="28"/>
          <w:rtl w:val="true"/>
          <w:lang w:bidi="fa-IR"/>
        </w:rPr>
        <w:t>أحکام الدین، و معرفة ما یعسر علیهم منها، لا سیّما فی أیّام الحجّ و موافاة الموسم الذی کان یمثّل الجمهور الأعظم من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حصل انسیاح الشیعة فی الأرض و انتشارها فی معظم الأقالیم الإسلامیّة فی زمان الصادقین علیهماالسلام</w:t>
      </w:r>
      <w:r>
        <w:rPr>
          <w:rStyle w:val="FootnoteAnchor"/>
          <w:rtl w:val="true"/>
        </w:rPr>
        <w:footnoteReference w:id="764"/>
      </w:r>
      <w:r>
        <w:rPr>
          <w:rFonts w:ascii="IRNazanin" w:hAnsi="IRNazanin" w:eastAsia="IRNazanin"/>
          <w:color w:val="111111"/>
          <w:sz w:val="28"/>
          <w:sz w:val="28"/>
          <w:szCs w:val="28"/>
          <w:rtl w:val="true"/>
          <w:lang w:bidi="fa-IR"/>
        </w:rPr>
        <w:t>، و بعد ذلک الانقلاب السیاسیّ العظیم، و تحوّل الملک من الأمویّین إلی العبّاسیّین، فظهرت الدعوة الشیعیّة فی الأقطار، و دخل فی التشیّع من</w:t>
      </w:r>
    </w:p>
    <w:p>
      <w:pPr>
        <w:pStyle w:val="BookText"/>
        <w:rPr/>
      </w:pPr>
      <w:r>
        <w:rPr>
          <w:rFonts w:ascii="IRNazanin" w:hAnsi="IRNazanin" w:eastAsia="IRNazanin"/>
          <w:color w:val="111111"/>
          <w:sz w:val="28"/>
          <w:sz w:val="28"/>
          <w:szCs w:val="28"/>
          <w:rtl w:val="true"/>
          <w:lang w:bidi="fa-IR"/>
        </w:rPr>
        <w:t>مختلف الأمم ما لایحصی کثرة، بل أُسّست بلاد علی مبدأ التشیّع رأسا، کقمّ و غیرها</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انظر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لغتنامه دهخدا </w:t>
      </w:r>
      <w:r>
        <w:rPr>
          <w:rFonts w:eastAsia="IRNazanin" w:cs="IRNazanin"/>
          <w:color w:val="111111"/>
          <w:sz w:val="28"/>
          <w:szCs w:val="28"/>
          <w:lang w:bidi="fa-IR"/>
        </w:rPr>
        <w:t>20/218</w:t>
      </w:r>
      <w:r>
        <w:rPr>
          <w:rFonts w:ascii="IRNazanin" w:hAnsi="IRNazanin" w:eastAsia="IRNazanin"/>
          <w:color w:val="111111"/>
          <w:sz w:val="28"/>
          <w:sz w:val="28"/>
          <w:szCs w:val="28"/>
          <w:rtl w:val="true"/>
          <w:lang w:bidi="fa-IR"/>
        </w:rPr>
        <w:t xml:space="preserve">؛ حیات فکری و سیاسی إمامان شیعة للشیخ رسول جعفریان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الجواد و الإمام الهادی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فکانت الشیعة یرجعون إلی أئمّتهم فی مسائل دیانتهم، و یطّلعون علی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یتعذّر علیه ذلک و لم یکن فی مقدوره لقاؤهم و مشافهتهم، کان میسورا له الرجوع إلی الثقاة من شیعتهم العارفین بالأحکام والآخذین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 جماعة برزوا فی الفقه و العلم، سمعوا الأحادیث عن الأئمّة و تحمّلوا عنهم العلوم و الآثار، لا سیّما زمان الإمام أبی جعفر محمّد بن علیّ و ابنه الصادق علیهم‌السلام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ذکروا أنّ أصحاب الحدیث قد جمعوا أسماء الرواة عن جعفر بن محمّد علیه‌السلامعلی اختلافهم فی الآراء و المقالات، فکانوا أربعة آلاف رجل</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روایات کثیرة واردة عن الأئمّة علیهم‌السلامفی إرجاع الشیعة إلی أمثال هؤلاء الأجلاّء من فقهاء أصحابهم و العدول </w:t>
      </w:r>
      <w:bookmarkStart w:id="416" w:name="pg4793_55939"/>
    </w:p>
    <w:p>
      <w:pPr>
        <w:pStyle w:val="BookText"/>
        <w:rPr/>
      </w:pPr>
      <w:bookmarkEnd w:id="416"/>
      <w:r>
        <w:rPr>
          <w:rFonts w:ascii="IRNazanin" w:hAnsi="IRNazanin" w:eastAsia="IRNazanin"/>
          <w:color w:val="111111"/>
          <w:sz w:val="28"/>
          <w:sz w:val="28"/>
          <w:szCs w:val="28"/>
          <w:rtl w:val="true"/>
          <w:lang w:bidi="fa-IR"/>
        </w:rPr>
        <w:t>الثقاة العارفین بمسائل الحلال و الحرام، کأمثال أبان بن تغلب، و زکریّا بن آدم، و زرارة،</w:t>
      </w:r>
    </w:p>
    <w:p>
      <w:pPr>
        <w:pStyle w:val="BookText"/>
        <w:rPr/>
      </w:pPr>
      <w:r>
        <w:rPr>
          <w:rFonts w:ascii="IRNazanin" w:hAnsi="IRNazanin" w:eastAsia="IRNazanin"/>
          <w:color w:val="111111"/>
          <w:sz w:val="28"/>
          <w:sz w:val="28"/>
          <w:szCs w:val="28"/>
          <w:rtl w:val="true"/>
          <w:lang w:bidi="fa-IR"/>
        </w:rPr>
        <w:t>و أبی بصیر، و محمّد بن مسلم، و بُرید بن معاویة، و یونس بن عبد الرحمن، و غیرهم ممّن</w:t>
      </w:r>
    </w:p>
    <w:p>
      <w:pPr>
        <w:pStyle w:val="BookText"/>
        <w:rPr/>
      </w:pPr>
      <w:r>
        <w:rPr>
          <w:rFonts w:ascii="IRNazanin" w:hAnsi="IRNazanin" w:eastAsia="IRNazanin"/>
          <w:color w:val="111111"/>
          <w:sz w:val="28"/>
          <w:sz w:val="28"/>
          <w:szCs w:val="28"/>
          <w:rtl w:val="true"/>
          <w:lang w:bidi="fa-IR"/>
        </w:rPr>
        <w:t>یطّلع علیه المراجع لکتب الرجال و فهارس أسماء الرواة من الشیعة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وقعت الغَیبة و حُرِمت الشیعة من لقاء الأئمّة و مشاهدتهم، کانت هذه الأخبار و الآثار المرویّة عن الأئمّة مرجع الشیعة فی أبواب الحلال و الحرام فی غیر ما دلّت الأدلّة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یرجعون إلیها و إلی الثقاة الأمناء العارفین بالأحکام من رواتها و حَمَلتها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2295439_2035185390"/>
      <w:bookmarkStart w:id="418" w:name="_Toc149"/>
      <w:bookmarkEnd w:id="417"/>
      <w:r>
        <w:rPr>
          <w:rtl w:val="true"/>
        </w:rPr>
        <w:t>[</w:t>
      </w:r>
      <w:r>
        <w:rPr>
          <w:rtl w:val="true"/>
        </w:rPr>
        <w:t>الحاجة إلی علوم الحدیث و علم أصول الفقه</w:t>
      </w:r>
      <w:r>
        <w:rPr>
          <w:rtl w:val="true"/>
        </w:rPr>
        <w:t>]</w:t>
      </w:r>
      <w:bookmarkEnd w:id="418"/>
    </w:p>
    <w:p>
      <w:pPr>
        <w:pStyle w:val="BookText"/>
        <w:rPr/>
      </w:pPr>
      <w:r>
        <w:rPr>
          <w:rFonts w:ascii="IRNazanin" w:hAnsi="IRNazanin" w:eastAsia="IRNazanin"/>
          <w:color w:val="111111"/>
          <w:sz w:val="28"/>
          <w:sz w:val="28"/>
          <w:szCs w:val="28"/>
          <w:rtl w:val="true"/>
          <w:lang w:bidi="fa-IR"/>
        </w:rPr>
        <w:t>انکشف لک من مطاوی ما أسلفنا ما وقع فی تلک الأخبار، بل مطلق السنّة المحکیّة، من طوارئ الاختلال بأصنافها و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فاضطرّوا بسبب ذلک إلی البحث و التدقیق و ملاحظة أسناد الروایات، و تمییز الصحیح من السقیم، و المدسوس و الموضوع منها عن غیره، و معرفة ما صدر منها لمحض بیان الحکم الواقعیّ و ما صدر فی معرض التقیّة، إلی</w:t>
      </w:r>
    </w:p>
    <w:p>
      <w:pPr>
        <w:pStyle w:val="BookText"/>
        <w:rPr/>
      </w:pPr>
      <w:r>
        <w:rPr>
          <w:rFonts w:ascii="IRNazanin" w:hAnsi="IRNazanin" w:eastAsia="IRNazanin"/>
          <w:color w:val="111111"/>
          <w:sz w:val="28"/>
          <w:sz w:val="28"/>
          <w:szCs w:val="28"/>
          <w:rtl w:val="true"/>
          <w:lang w:bidi="fa-IR"/>
        </w:rPr>
        <w:t>ما سوی ذلک من علل الحدیث المثبتة فی محلّها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أنّهم احتاجوا، بعد الامتزاج و الاختلاط الواقع بین العرب و سائر الأمم الأعجمیّة و فساد مَلَکة اللسان العربیّ الخالص، إلی النظر فی ظواهر الکتاب و السنّة التی وقع فیها بسبب ذلک ما یوجب اختلال الفهم، من الإجمال و التشابه، و التخصیص و التقیید، والتجوّز و غیر ذلک، و بذل الجهد فی رفع ذلک، و علاج ما تعارض منها علی </w:t>
      </w:r>
    </w:p>
    <w:p>
      <w:pPr>
        <w:pStyle w:val="BookText"/>
        <w:rPr/>
      </w:pPr>
      <w:r>
        <w:rPr>
          <w:rFonts w:ascii="IRNazanin" w:hAnsi="IRNazanin" w:eastAsia="IRNazanin"/>
          <w:color w:val="111111"/>
          <w:sz w:val="28"/>
          <w:sz w:val="28"/>
          <w:szCs w:val="28"/>
          <w:rtl w:val="true"/>
          <w:lang w:bidi="fa-IR"/>
        </w:rPr>
        <w:t>الطرق المقرّرة فی محلّها، إلی ما سوی ذلک من المباحث التی ألجأتهم إلی النظر فیها</w:t>
      </w:r>
    </w:p>
    <w:p>
      <w:pPr>
        <w:pStyle w:val="BookText"/>
        <w:rPr/>
      </w:pPr>
      <w:r>
        <w:rPr>
          <w:rFonts w:ascii="IRNazanin" w:hAnsi="IRNazanin" w:eastAsia="IRNazanin"/>
          <w:color w:val="111111"/>
          <w:sz w:val="28"/>
          <w:sz w:val="28"/>
          <w:szCs w:val="28"/>
          <w:rtl w:val="true"/>
          <w:lang w:bidi="fa-IR"/>
        </w:rPr>
        <w:t>ضرورةُ الحال فی استفادة الأحکام من المدارک وتحصیل العلم بها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فنشأت من ذلک أصناف العلوم المحتاج إلیها فی الاستنباط، کعلوم الحدیث ،والدرایة ،والجرح والتعدیل ،وعلل الحدیث، و معرفة أقوال الفقهاء، لاسیّما أصول الفقه</w:t>
      </w:r>
    </w:p>
    <w:p>
      <w:pPr>
        <w:pStyle w:val="BookText"/>
        <w:rPr/>
      </w:pPr>
      <w:r>
        <w:rPr>
          <w:rFonts w:ascii="IRNazanin" w:hAnsi="IRNazanin" w:eastAsia="IRNazanin"/>
          <w:color w:val="111111"/>
          <w:sz w:val="28"/>
          <w:sz w:val="28"/>
          <w:szCs w:val="28"/>
          <w:rtl w:val="true"/>
          <w:lang w:bidi="fa-IR"/>
        </w:rPr>
        <w:t>الذی لیس یقاس بسائر ما ذکرناه ممّا یکفی القدر المحتاج إلیه منها؛ فإنّ إعمال الأدّلة</w:t>
      </w:r>
    </w:p>
    <w:p>
      <w:pPr>
        <w:pStyle w:val="BookText"/>
        <w:rPr/>
      </w:pPr>
      <w:r>
        <w:rPr>
          <w:rFonts w:ascii="IRNazanin" w:hAnsi="IRNazanin" w:eastAsia="IRNazanin"/>
          <w:color w:val="111111"/>
          <w:sz w:val="28"/>
          <w:sz w:val="28"/>
          <w:szCs w:val="28"/>
          <w:rtl w:val="true"/>
          <w:lang w:bidi="fa-IR"/>
        </w:rPr>
        <w:t>و استثمارها لایمکن بدون الإحاطة التامّة بأکثر مباحثها، و لایتمّ العلم بشیء من الأحکام الفرعیّة من دون إحکام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أصولها فإنّما سبیله الحکایة و التقلید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الفقه علی علّو قدره، فی حکم الفرع المنشعب عن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لامطمع فی الإحاطة بالفرع و الاطّلاع علی حقیقته إلاّ بعد تمهید الأصل و إتقانه؛ إذ مثار التخبّط فی الفروع، الذهول عن تنقیح الأصول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قدماء المحدّثین و السلف من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 عهدهم من زمان الأئمّة و وجود أصول کتب و أمّهات المصنّفات بین أیدیهم، و احتفافها بالقرائن التی کانوا لأجلها متمکّنین من تمییز الصحیح من السقیم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استغناء فی الغالب عن الرجوع إلی هذه القواعد الأصولّیة الممهّدة، و کانوا یتمکّنون عن تحصیل العلم بها بالرجوع إلی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هذه الأعصار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تغیّر الحال و ذهاب قرائن الأحوال، لأجل تقطیع الأخبار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یکد یمکن الاستنباط و الاجتهاد إلاّ بإتقان القواعد</w:t>
      </w:r>
    </w:p>
    <w:p>
      <w:pPr>
        <w:pStyle w:val="BookText"/>
        <w:rPr/>
      </w:pPr>
      <w:r>
        <w:rPr>
          <w:rFonts w:ascii="IRNazanin" w:hAnsi="IRNazanin" w:eastAsia="IRNazanin"/>
          <w:color w:val="111111"/>
          <w:sz w:val="28"/>
          <w:sz w:val="28"/>
          <w:szCs w:val="28"/>
          <w:rtl w:val="true"/>
          <w:lang w:bidi="fa-IR"/>
        </w:rPr>
        <w:t>الأصولیّة و الرجوع إلیها، و الممارسة الکثیرة فیها، حتّی تصیر ملکة یُستَقوی بها علی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عند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لامحیص لمن یرید الاستنباط و استخراج حکم مسألة من المسائل </w:t>
      </w:r>
      <w:bookmarkStart w:id="419" w:name="pg4793_55943"/>
    </w:p>
    <w:p>
      <w:pPr>
        <w:pStyle w:val="BookText"/>
        <w:rPr/>
      </w:pPr>
      <w:bookmarkEnd w:id="419"/>
      <w:r>
        <w:rPr>
          <w:rFonts w:ascii="IRNazanin" w:hAnsi="IRNazanin" w:eastAsia="IRNazanin"/>
          <w:color w:val="111111"/>
          <w:sz w:val="28"/>
          <w:sz w:val="28"/>
          <w:szCs w:val="28"/>
          <w:rtl w:val="true"/>
          <w:lang w:bidi="fa-IR"/>
        </w:rPr>
        <w:t>الفرعیّة إلاّ أن یرجع إلی ما بُنی علیه فی المسائل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بدونه لایکاد یتمکّن من</w:t>
      </w:r>
    </w:p>
    <w:p>
      <w:pPr>
        <w:pStyle w:val="BookText"/>
        <w:rPr/>
      </w:pPr>
      <w:r>
        <w:rPr>
          <w:rFonts w:ascii="IRNazanin" w:hAnsi="IRNazanin" w:eastAsia="IRNazanin"/>
          <w:color w:val="111111"/>
          <w:sz w:val="28"/>
          <w:sz w:val="28"/>
          <w:szCs w:val="28"/>
          <w:rtl w:val="true"/>
          <w:lang w:bidi="fa-IR"/>
        </w:rPr>
        <w:t>اجتهاد و استنباط</w:t>
      </w:r>
      <w:r>
        <w:rPr>
          <w:rFonts w:eastAsia="IRNazanin" w:cs="IRNazanin"/>
          <w:color w:val="111111"/>
          <w:sz w:val="28"/>
          <w:szCs w:val="28"/>
          <w:rtl w:val="true"/>
          <w:lang w:bidi="fa-IR"/>
        </w:rPr>
        <w:t>.</w:t>
      </w:r>
    </w:p>
    <w:p>
      <w:pPr>
        <w:pStyle w:val="Heading4"/>
        <w:numPr>
          <w:ilvl w:val="3"/>
          <w:numId w:val="1"/>
        </w:numPr>
        <w:rPr/>
      </w:pPr>
      <w:bookmarkStart w:id="420" w:name="__RefHeading___Toc2295441_2035185390"/>
      <w:bookmarkStart w:id="421" w:name="_Toc150"/>
      <w:bookmarkEnd w:id="420"/>
      <w:r>
        <w:rPr>
          <w:rtl w:val="true"/>
        </w:rPr>
        <w:t>[</w:t>
      </w:r>
      <w:r>
        <w:rPr>
          <w:rtl w:val="true"/>
        </w:rPr>
        <w:t>الاجتهاد المطلق و المتجزّئ</w:t>
      </w:r>
      <w:r>
        <w:rPr>
          <w:rtl w:val="true"/>
        </w:rPr>
        <w:t>]</w:t>
      </w:r>
      <w:bookmarkEnd w:id="421"/>
    </w:p>
    <w:p>
      <w:pPr>
        <w:pStyle w:val="BookText"/>
        <w:rPr/>
      </w:pPr>
      <w:r>
        <w:rPr>
          <w:rFonts w:ascii="IRNazanin" w:hAnsi="IRNazanin" w:eastAsia="IRNazanin"/>
          <w:color w:val="111111"/>
          <w:sz w:val="28"/>
          <w:sz w:val="28"/>
          <w:szCs w:val="28"/>
          <w:rtl w:val="true"/>
          <w:lang w:bidi="fa-IR"/>
        </w:rPr>
        <w:t>و الإمامیّة فی العمل بتلک الأحکام الشرعیّة بین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المجتهد فقد عرفت أنّه من یقدر علی استخراج أحکام الحوادث و المسائل من مدارکها الشرعیّة، و یتمکّن من ردّ الفروع إلی أصولها المقرّرة بالموازین الصناعیّة و القواعد الممهّدة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الاجتهاد بحسب ذلک إلی اجتهاد مطلق و تجزّؤ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 هو ما یقتدر معه صاحبه علی استنباط أحکام المسائل الشرعیّة کلاًّ، عن مدارکها قوّة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التجزّؤ هو الاقتدار علی ذلک فی بعض المسائل و عدم التمکّن منه فی طائفة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إمکانه، و حجیّة ما یؤدّی إلیه ظنّ من یتّصف به، و جواز رجوع غیر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المتّصف به إلیه، خلاف معروف مذکور فی محلّه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422" w:name="pg4793_55945"/>
    </w:p>
    <w:p>
      <w:pPr>
        <w:pStyle w:val="Heading2"/>
        <w:numPr>
          <w:ilvl w:val="1"/>
          <w:numId w:val="1"/>
        </w:numPr>
        <w:rPr/>
      </w:pPr>
      <w:bookmarkStart w:id="423" w:name="__RefHeading___Toc2295443_2035185390"/>
      <w:bookmarkStart w:id="424" w:name="_Toc151"/>
      <w:bookmarkEnd w:id="422"/>
      <w:bookmarkEnd w:id="423"/>
      <w:r>
        <w:rPr>
          <w:rtl w:val="true"/>
        </w:rPr>
        <w:t>فهارس</w:t>
      </w:r>
      <w:bookmarkEnd w:id="424"/>
    </w:p>
    <w:p>
      <w:pPr>
        <w:pStyle w:val="Heading3"/>
        <w:numPr>
          <w:ilvl w:val="2"/>
          <w:numId w:val="1"/>
        </w:numPr>
        <w:rPr/>
      </w:pPr>
      <w:bookmarkStart w:id="425" w:name="__RefHeading___Toc2295445_2035185390"/>
      <w:bookmarkStart w:id="426" w:name="_Toc152"/>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ascii="IRNazanin" w:hAnsi="IRNazanin" w:eastAsia="IRNazanin"/>
          <w:color w:val="111111"/>
          <w:sz w:val="28"/>
          <w:sz w:val="28"/>
          <w:szCs w:val="28"/>
          <w:rtl w:val="true"/>
          <w:lang w:bidi="fa-IR"/>
        </w:rPr>
        <w:t>المصطلحات</w:t>
      </w:r>
    </w:p>
    <w:p>
      <w:pPr>
        <w:pStyle w:val="BookText"/>
        <w:rPr/>
      </w:pPr>
      <w:r>
        <w:rPr>
          <w:rFonts w:ascii="IRNazanin" w:hAnsi="IRNazanin" w:eastAsia="IRNazanin"/>
          <w:color w:val="111111"/>
          <w:sz w:val="28"/>
          <w:sz w:val="28"/>
          <w:szCs w:val="28"/>
          <w:rtl w:val="true"/>
          <w:lang w:bidi="fa-IR"/>
        </w:rPr>
        <w:t>فهرس الفرق و المذاهب و الأقوام</w:t>
      </w:r>
    </w:p>
    <w:p>
      <w:pPr>
        <w:pStyle w:val="BookText"/>
        <w:rPr/>
      </w:pPr>
      <w:r>
        <w:rPr>
          <w:rFonts w:ascii="IRNazanin" w:hAnsi="IRNazanin" w:eastAsia="IRNazanin"/>
          <w:color w:val="111111"/>
          <w:sz w:val="28"/>
          <w:sz w:val="28"/>
          <w:szCs w:val="28"/>
          <w:rtl w:val="true"/>
          <w:lang w:bidi="fa-IR"/>
        </w:rPr>
        <w:t>الکتب المذکورة فی الکتاب</w:t>
      </w:r>
    </w:p>
    <w:p>
      <w:pPr>
        <w:pStyle w:val="BookText"/>
        <w:rPr/>
      </w:pPr>
      <w:r>
        <w:rPr>
          <w:rFonts w:ascii="IRNazanin" w:hAnsi="IRNazanin" w:eastAsia="IRNazanin"/>
          <w:color w:val="111111"/>
          <w:sz w:val="28"/>
          <w:sz w:val="28"/>
          <w:szCs w:val="28"/>
          <w:rtl w:val="true"/>
          <w:lang w:bidi="fa-IR"/>
        </w:rPr>
        <w:t>فهرس الأعلام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التحقیق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4793_55949"/>
      <w:bookmarkStart w:id="428" w:name="pg4793_55949"/>
      <w:bookmarkEnd w:id="428"/>
    </w:p>
    <w:p>
      <w:pPr>
        <w:pStyle w:val="Heading3"/>
        <w:numPr>
          <w:ilvl w:val="2"/>
          <w:numId w:val="1"/>
        </w:numPr>
        <w:rPr/>
      </w:pPr>
      <w:bookmarkStart w:id="429" w:name="pg4793_55949"/>
      <w:bookmarkStart w:id="430" w:name="__RefHeading___Toc2295447_2035185390"/>
      <w:bookmarkStart w:id="431" w:name="_Toc153"/>
      <w:bookmarkEnd w:id="429"/>
      <w:bookmarkEnd w:id="430"/>
      <w:r>
        <w:rPr>
          <w:rtl w:val="true"/>
        </w:rPr>
        <w:t>فهرس الآیات</w:t>
      </w:r>
      <w:bookmarkEnd w:id="431"/>
    </w:p>
    <w:p>
      <w:pPr>
        <w:pStyle w:val="BookText"/>
        <w:rPr/>
      </w:pPr>
      <w:r>
        <w:rPr>
          <w:rFonts w:ascii="Amiri" w:hAnsi="Amiri" w:eastAsia="Amiri" w:cs="Amiri"/>
          <w:color w:val="111111"/>
          <w:sz w:val="28"/>
          <w:sz w:val="28"/>
          <w:szCs w:val="28"/>
          <w:rtl w:val="true"/>
          <w:lang w:bidi="ar-SA"/>
        </w:rPr>
        <w:t xml:space="preserve">وَ کَذلِکَ جَعَلْنَاکُمْ اُمَّةً وَسَطا لِتَکُونُوا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کُنْتُمْ عَلی شَفَا حُفْرَةٍ مِنَ النَّارِ فَأَنْقَذَکُمْ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کُنْتُمْ خَیْرَ اُمَّةٍ اُخْرِجَتْ لِلنَّاسِ تَاْمُرُونَ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اَفَئِنْ مَاتَ اَوْ قُتِلَ انْقَلَبْتُمْ عَلی اَعْقابِکُمْ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یُریدُ اللّه‌ُ اَنْ یُخَفِّفَ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یآ ءَیُّهَا الّذینَ امَنُوا اَطیعُوا اللّهَ وَ أطیعُوا الرَّسُولَ وَ اُولِی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فی شَیْ‌ءٍ فَرُدُّوهُ اِلَی اللّهِ 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اَفَلاَ یَتَدَبَّرُونَ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 مَنْ لَمْ یَحْکُمْ بِمَا اَنْزَلَ اللّهُ فَاُولئِکَ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فیهِ هُدیً وَ نُورٌ وَ مُصَدِّقا لِمَا بَیْنَ یَدَیْهِ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 قَالَتِ الیَهُودُ یَدُ اللّه‌ِ مَغْلُولَةٌ غُلَّتْ اَیْدیهِمْ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اِنَّ الَّذینَ فَرَّقُوا دینَهُمْ وَ کَانُوا شِیَعا لَسْتَ مِنْهُمْ فی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 لَوْ اَنَّ اَهْلَ الْقُری آمَنُوا وَاتَّقَوْا لَفَتَحْنَا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 أَطیعُوا اللّه‌َ وَ رَسُولَهُ وَ لاَ تَنَازَعُوا فَتَفْشَلُوا و تَذْهَبَ ریحُکُمْ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اِنَّا اَنْزَلْنَاهُ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 لاَ تَعْجَلْ بِالْقُرانِ مِنْ قَبْلِ اَنْ یُقْضی اِلَیْکَ وَحْیُهُ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هَلْ اُنَبِّئُکُمْ عَلی مَنْ تَنَزَّلُ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فَاسْتَغَاثَهُ الَّذی مِنْ شیعَتِهِ عَلَی الَّذی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مَا یُعَمَّرُ مِنْ مُعَمَّرٍ وَ لاَ یُنْقَصُ مِنْ عُمُرِهِ اِلاَّ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 اِنَّ مِنْ شیعَتِهِ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مَنْ أَحْسَنُ قَوْلاً مِمَّنْ دَعَا إلَی اللّه‌ِ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 اِنَّهُ لَکِتَابٌ عَزیزٌ لاَیَأْتیهِ الْبَاطِلُ مِنْ بَیْنِ یَدَیْهِ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یَا ءَیُّهَا الَّذینَ امَنُوا لاَتُقَدِّمُوا بَیْنَ یَدَیِ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 اِنْ یَرَوْا کِسْفا مِنَ السَّمَاءِ سَاقِطا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فی اَیِّ صُورَةٍ مَا شَاءَ رَکَّبَکَ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432" w:name="pg4793_55953"/>
    </w:p>
    <w:p>
      <w:pPr>
        <w:pStyle w:val="Heading3"/>
        <w:numPr>
          <w:ilvl w:val="2"/>
          <w:numId w:val="1"/>
        </w:numPr>
        <w:rPr/>
      </w:pPr>
      <w:bookmarkStart w:id="433" w:name="__RefHeading___Toc2295449_2035185390"/>
      <w:bookmarkStart w:id="434" w:name="_Toc154"/>
      <w:bookmarkEnd w:id="432"/>
      <w:bookmarkEnd w:id="433"/>
      <w:r>
        <w:rPr>
          <w:rtl w:val="true"/>
        </w:rPr>
        <w:t>فهرس الأحادیث</w:t>
      </w:r>
      <w:bookmarkEnd w:id="434"/>
    </w:p>
    <w:p>
      <w:pPr>
        <w:pStyle w:val="BookText"/>
        <w:rPr/>
      </w:pPr>
      <w:r>
        <w:rPr>
          <w:rFonts w:ascii="IRNazanin" w:hAnsi="IRNazanin" w:eastAsia="IRNazanin"/>
          <w:color w:val="111111"/>
          <w:sz w:val="28"/>
          <w:sz w:val="28"/>
          <w:szCs w:val="28"/>
          <w:rtl w:val="true"/>
          <w:lang w:bidi="fa-IR"/>
        </w:rPr>
        <w:t xml:space="preserve">آلیت ألاّ آخذ علیّ ردائی إلاّ لصلاة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ائتونی بکتاب أکتب لکم کتاباً لا تضلّوا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إبنای هذان إمامان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إذا کنتم فی أئمّة جور فاقضوا فی أحکامهم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إرجع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افترقت الیهود علی إحدی و سبعین 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الأرواح جنود مجنّدة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إنّ دین اللّه لا یصاب بالعقول الناقصة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اُنَبِّئُکُمْ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إنّ لبنی أمیّة مروداً یجرون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إنّ للّه تعالی فی کلّ واقعة حکماً معیّناً،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إنّما علینا أن نلقی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إنّ هذا خیر لنا و أبقی لنا 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إنّه لیس شیء إلاّ و قد جاء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إنّ هؤلاء یقولون إنّ قَتَلَتَنا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تارک فیکم الثقلین کتاب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أیّها الناس فأنا فقأت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أمّا بعد فإنّا 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علیّ 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أنا خالفت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أنا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أنا فعلت ذلک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الأوّل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أنا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أیّها الناس قد کثرت علیّ الکذابة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بادروا أولادکم بالحدیث قبل أن یسبقهم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حلال محمّد حلال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دعونی و التمسوا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ذاک الی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ذلک من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سبحان اللّه أوصی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سلّموا علیه بإمرة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ضعیف الحدیث خیر من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العمریّ و ابنه 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فأکلت معه و أنا أعلم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فأمسکت یدی حتّی رأیت راجعة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قومو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کان رأیی و رأی عمر أن لا یُبعن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 برجل داخل ابتدأ الحدیث،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لعن اللّه القدریّة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لن تنقضی الأیّام و اللیالی حتّی یبعث اللّه رجلاً من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سکت الجاهل ما اختلف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شیء من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ما بدا للّه فی شیء کما بدا له فی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ما بعث اللّه نبیّاً قطّ إلاّ بتحریم الخمر و أن یقرّ للّه بالبداء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عُبِداللّه بشیء مثل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لقی أحد من الناس ما 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منّا إلاّ و هو قائم بأمر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من عرف أنّا لا نقول إلاّ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 کذب علیّ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مهما أجبتک فیه لشیء فهو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واللّه ما کانت لی فی الخلافة رغبة و لا فی الولایة إربة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 أمّا الحوادث الواقعة فارجعوا فیها رواة أحادیثنا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الإمام‌المهدیّ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 أنا لکم وزیراً خیر لکم منّی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بسطتم یدی فکففتها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طفقت أرتئی بین أن أصول بیدٍ جذّاء أو أصبر علی طخیة عمیاء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لعن اللّه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 لعن اللّه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ویلکم أنا عبد من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هذا خلیفتی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هو شیء بخلاف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احمل هذا الصندوق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35" w:name="pg4793_55958"/>
    </w:p>
    <w:p>
      <w:pPr>
        <w:pStyle w:val="Heading3"/>
        <w:numPr>
          <w:ilvl w:val="2"/>
          <w:numId w:val="1"/>
        </w:numPr>
        <w:rPr/>
      </w:pPr>
      <w:bookmarkStart w:id="436" w:name="__RefHeading___Toc2295451_2035185390"/>
      <w:bookmarkStart w:id="437" w:name="_Toc155"/>
      <w:bookmarkEnd w:id="435"/>
      <w:bookmarkEnd w:id="436"/>
      <w:r>
        <w:rPr>
          <w:rtl w:val="true"/>
        </w:rPr>
        <w:t>المصطلحات</w:t>
      </w:r>
      <w:bookmarkEnd w:id="437"/>
    </w:p>
    <w:p>
      <w:pPr>
        <w:pStyle w:val="BookText"/>
        <w:rPr/>
      </w:pPr>
      <w:r>
        <w:rPr>
          <w:rFonts w:ascii="IRNazanin" w:hAnsi="IRNazanin" w:eastAsia="IRNazanin"/>
          <w:color w:val="111111"/>
          <w:sz w:val="28"/>
          <w:sz w:val="28"/>
          <w:szCs w:val="28"/>
          <w:rtl w:val="true"/>
          <w:lang w:bidi="fa-IR"/>
        </w:rPr>
        <w:t xml:space="preserve">آیة الإنذار،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إرادته تعالی،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الإباحات،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الأبدان الأولیّة،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الأبدان العنصریّة،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الأبدان المثالیّة،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الأبدیّ،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الإبطال،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الاتّحاد،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الآجال،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الاجتهاد المتجزّئ،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الاجتهاد المطلق،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الأجسام،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الآحاد،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الإحداث،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أخبار الآحاد،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الأدلّة الشرعیّة،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الآراء،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الآراء الظنّیّة،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الارتفاع،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الإرجاء،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الأرزاق،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الأرواح،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الأزلیّ،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الأساطیر،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الاستدراج،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الاستصلاح،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الاستنباط،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الأشباح،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الأشباح،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الأصلح،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الأصول الاعتقادیّة،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الأصولان،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الأصول الخمسة،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الأظلّة،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الاعتزال،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الاعتزال السیاسیّ،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الاعتزال الفکریّ،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الإعدام،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الأفکار،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الأفکار،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الأقطار،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الأقیسة،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الإکفار،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الإلحاد،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الألطاف،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الألوهیّة،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الألوهیّة،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الإلهام،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الإلهیّة،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الإمام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الإمام المستودع،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الأنظار،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أسماء اللّه،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أنوار قدیمة،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أوّل الأصول،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البابیّة،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البدع،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بقاء النفس،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البلایا،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البیعة،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بیعة الغدیر،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تأصّل المهیّات،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تأصّل الوجود،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التبکیت،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التبلیغ،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التجسیم،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التحریف،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تحریف القرآن،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التحکیم،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التخلیط،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التدلیس،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التسبّب،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التشیّع،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التصدیق،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التصویب،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التعطیل،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التفضیل،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التفکّر،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التفویض،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التقصیر،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التکفیر،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تکلیف ما لایطاق،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التکلیف المحال،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التلمود،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التناسخ،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التناسخ،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التنزیه،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التواتر اللفظیّ،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التواتر المعنویّ،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الجاهلیّة الأولی،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الحادث،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الحاسّة السادسة،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الحجّیّه،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و التعطیل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الحدوث الذاتیّ،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الحدوث الزمانیّ،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حدوث صفات اللّه،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الحسن العقلیّ،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الحلول،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حلول الإلهیّة،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خلق الأعمال،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خلق القرآن،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خلق القرآن،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الدور الأوّل،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الدیانة،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الربوبیّة،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الرسخ،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الرفض،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رفع الشریعة،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الریاضیّات،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الرؤیة،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الزندیق،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السنّة القولیّة،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السنّة النبویّة،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السیاسة،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السِّیرة،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الشیئیّة،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lang w:bidi="fa-IR"/>
        </w:rPr>
        <w:t>132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الصفات الزائدة،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صفات الکمال،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صفات النقص،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الصفات الوجودیّة،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ضرورة الدین،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الطبائع،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الطیّارة،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الظواهر،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العقل الأوّل،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العقلیّة،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العقیدة،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علم الفقه،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علم الکلام،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عالم الأمر،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عالم الباطن،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العالم بعلم،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عالم المجرّدات،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الغَیبة،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الفتوی،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الفرقة الناجیة،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فروع الدین،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الفریقان،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القبح،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القبیح،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قدرة اللّه،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القِدم الزمانیّ،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قِدم صفات الباری،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قِدم الکلام،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القدیم،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القول بالصفات،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قول الصحابیّ،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القیاس المنصوص،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الکبیرة،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کلام اللّه،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المبصَرات،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المجتهد،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المجتهد،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محلّ للحوادث،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المحنة،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المدرکات،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مذهب الصحابیّ،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المرئیّ،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المرئیّات،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مرتکب الکبیرة،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المرکّب،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المسخ،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المسموعات،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المصالح،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المصلحة المعتبرة،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المصلحة الملغاة،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المصنوع،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مظهر النفس،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المعجز،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معرفة الأئمّة،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المعصیة،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المفضول،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المقائیس،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المکروه،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الملازمات العقلیّة،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المنافق،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المنایا،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المنزلة بین المنزلتین،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المنصوص،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المنقول،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المنکَر، </w:t>
      </w:r>
      <w:r>
        <w:rPr>
          <w:rFonts w:eastAsia="Amiri" w:cs="Amiri" w:ascii="Amiri" w:hAnsi="Amiri"/>
          <w:color w:val="111111"/>
          <w:sz w:val="28"/>
          <w:szCs w:val="28"/>
          <w:lang w:bidi="ar-SA"/>
        </w:rPr>
        <w:t>116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و نکیر،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النشور،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النصّ الجلیّ،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النصّ الخفیّ،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نصّ الغدیر،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نصّ المنزلة،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نصّ المواخاة،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نصّ الوراثة،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نصّ الوصیّة،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نصّ یوم الدار،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النفس الکلّیّ،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النفوس،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نفی الصفات،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نفی المعانی،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النهی عن المنکر،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النیابة،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الواجبات العقلیّة،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الواحد البسیط الحقیقة،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وجوب الإمامة،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وجوب نصب الإمام،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الوجود الذهنیّ،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الوصیّ،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الوعد،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الوعید،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الوکالة،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الهیاکل،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ید اللّه،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38" w:name="pg4793_55979"/>
    </w:p>
    <w:p>
      <w:pPr>
        <w:pStyle w:val="Heading3"/>
        <w:numPr>
          <w:ilvl w:val="2"/>
          <w:numId w:val="1"/>
        </w:numPr>
        <w:rPr/>
      </w:pPr>
      <w:bookmarkStart w:id="439" w:name="__RefHeading___Toc2295453_2035185390"/>
      <w:bookmarkStart w:id="440" w:name="_Toc156"/>
      <w:bookmarkEnd w:id="438"/>
      <w:bookmarkEnd w:id="439"/>
      <w:r>
        <w:rPr>
          <w:rtl w:val="true"/>
        </w:rPr>
        <w:t>فهرس الفرق و المذاهب و الأقوام</w:t>
      </w:r>
      <w:bookmarkEnd w:id="440"/>
    </w:p>
    <w:p>
      <w:pPr>
        <w:pStyle w:val="BookText"/>
        <w:rPr/>
      </w:pPr>
      <w:r>
        <w:rPr>
          <w:rFonts w:ascii="IRNazanin" w:hAnsi="IRNazanin" w:eastAsia="IRNazanin"/>
          <w:color w:val="111111"/>
          <w:sz w:val="28"/>
          <w:sz w:val="28"/>
          <w:szCs w:val="28"/>
          <w:rtl w:val="true"/>
          <w:lang w:bidi="fa-IR"/>
        </w:rPr>
        <w:t xml:space="preserve">آل أبی طالب،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آل علیّ الزنجانیّون،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آل یقطین،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الأثریّة،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الاثنا عشریّة،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الأخباریّون،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الإسلامیّون،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الإسماعیلیّة الخالصة،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الأشعریّة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الأصولیّون،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الأفطحیّة،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الأکاسرة، </w:t>
      </w:r>
      <w:r>
        <w:rPr>
          <w:rFonts w:eastAsia="IRNazanin" w:cs="IRNazanin"/>
          <w:color w:val="111111"/>
          <w:sz w:val="28"/>
          <w:szCs w:val="28"/>
          <w:lang w:bidi="fa-IR"/>
        </w:rPr>
        <w:t>143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أولوالأمر،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أهل الحدیث المحدّثون</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البابکیّة،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الباطنیّة،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البتریّة،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البکریّة،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بنو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بسطام،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بنو ساعدة،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البیانیّة،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التعلیمیّة،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تَغلِب،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التناسخیّة،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التوّابّون،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الثنویّة،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الجارودیّة،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الجبریّة،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الجدلیّون،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الجعفریّة،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الجوالیقیّة،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الجَهمیّة،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الحارثیّة،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الحَروریّة،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الحسینیّة،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الحشویّة،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الحصینیّة،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الحلولیّة،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الحنبلیّة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الحُنَفاء،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الخُرّمیّة،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الخطّابیّة،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الدهریّة،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الدیصانیّة،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الزرادشتیّة،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الزُّراریّة،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السبأیّة،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السَّبْعیّة،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السفراء،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السلیمانیّة،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السمطیّة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السمیطیّة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السواد الأعظم،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الشمیطیّة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189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الصالحیّة،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الصوفیّة،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الضِّراریّة،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الطالبیّون،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الظاهریّة،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العبّاسیّة،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العثمانیّون،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العدلیّة،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العلویّون،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الغنوصیّة،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الفیثاغورثیّة،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القاسمیّة،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القمّیّون،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القیاصرة،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الکرخیّون،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الکَسْفیّة،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الکُلاّبیّة،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الکُهّان،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الکیسانیّة،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المانویّة،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المبطلة،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المجوسیّة،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المحدّثون،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المحمّدیّة،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المُحمّرة،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المخترعة،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المستشرقیون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المطرفیّة،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المغیریّة،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الموحّدون،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الموالی، </w:t>
      </w:r>
      <w:r>
        <w:rPr>
          <w:rFonts w:eastAsia="IRNazanin" w:cs="IRNazanin"/>
          <w:color w:val="111111"/>
          <w:sz w:val="28"/>
          <w:szCs w:val="28"/>
          <w:lang w:bidi="fa-IR"/>
        </w:rPr>
        <w:t>185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الناصریّة،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الناکثون،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الناووسیّة،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النصرانیّة،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الواقفیّة،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الوعیدیّة،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الیعفوریّة،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الیونانیّون، </w:t>
      </w:r>
      <w:r>
        <w:rPr>
          <w:rFonts w:eastAsia="IRNazanin" w:cs="IRNazanin"/>
          <w:color w:val="111111"/>
          <w:sz w:val="28"/>
          <w:szCs w:val="28"/>
          <w:lang w:bidi="fa-IR"/>
        </w:rPr>
        <w:t>171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441" w:name="pg4793_55991"/>
    </w:p>
    <w:p>
      <w:pPr>
        <w:pStyle w:val="Heading3"/>
        <w:numPr>
          <w:ilvl w:val="2"/>
          <w:numId w:val="1"/>
        </w:numPr>
        <w:rPr/>
      </w:pPr>
      <w:bookmarkStart w:id="442" w:name="__RefHeading___Toc2295455_2035185390"/>
      <w:bookmarkStart w:id="443" w:name="_Toc157"/>
      <w:bookmarkEnd w:id="441"/>
      <w:bookmarkEnd w:id="442"/>
      <w:r>
        <w:rPr>
          <w:rtl w:val="true"/>
        </w:rPr>
        <w:t>الکتب المذکورة فی الکتاب</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الإمامیّة للصدوق،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القرآن للرافعیّ،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للأشعریّ،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أصول الأحکام للآمدیّ،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الأشباح و الأظلّة لمحمّد بن سنان،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الإفصاح فی الإمامة للشیخ المفید،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للبغدادیّ،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للشیخ المفید،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للیمنیّ،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البغدادیّ،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لابن قتیبة الدینوریّ،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للشیخ الطوسیّ،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إبلیس لابن الجوزیّ،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التنفیذ للشافعیّ،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للطوسیّ،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لحُمید الشهید، </w:t>
      </w:r>
      <w:r>
        <w:rPr>
          <w:rFonts w:eastAsia="IRNazanin" w:cs="IRNazanin"/>
          <w:color w:val="111111"/>
          <w:sz w:val="28"/>
          <w:szCs w:val="28"/>
          <w:lang w:bidi="fa-IR"/>
        </w:rPr>
        <w:t>73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لأبی خلیفة التمیمیّ،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فی علم الکلام للشریف المرتضی،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فضل بنی هاشم للجاحظ،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فی الأصول للشافعیّ،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الموصلیّات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لیحیی بن حمزة،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للشیخ الطوسیّ،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الشامخ للمقبلیّ،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و المحاسن للشیخ المفید،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للبغدادیّ،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للنوبختیّ،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الأهواء و الملل و النحل لابن حزم الأندلسیّ،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للشریف المرتضی،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للمالکیّ،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للکلینیّ،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لابن الأثیر،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إفعل لاتفعل لأبی جعفر الطاقیّ،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الاحتجاج لأبی جعفر الطاقیّ،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الأحداث للمدائنیّ، </w:t>
      </w:r>
      <w:r>
        <w:rPr>
          <w:rFonts w:eastAsia="IRNazanin" w:cs="IRNazanin"/>
          <w:color w:val="111111"/>
          <w:sz w:val="28"/>
          <w:szCs w:val="28"/>
          <w:lang w:bidi="fa-IR"/>
        </w:rPr>
        <w:t>184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التنفیذ للغزالیّ،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الردّ علی علیّ بن إبراهیم للأشعریّ القمیّ،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الطعن علی یونس لیعقوب الأنباریّ،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الغریب المشرقیّ للورّاق،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للشیخ الطوسیّ،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نصرة الواقفة لعلیّ بن أحمد الموسویّ،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 بین الهشامین لأبی جعفر الحمیریّ،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مثالب رواة الحدیث للأشعریّ القمّیّ،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مثالب هشام و یونس للأشعریّ القمّیّ،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المجالس لأبی جعفر الطاقیّ،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المناهج للتستریّ،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للإربلیّ،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للتستریّ،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للکراجیکیّ،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للطوسیّ،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للرازیّ،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لابن حزم الأندلسیّ،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الخمسین لفخر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السرویّة للشیخ المفید،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الصاغانیّة للشیخ المفید،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الطرابلسیّات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العکبریّة للشیخ المفید،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المصریّة لابن جُنید الإسکافیّ،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لیاقوت الحمویّ، </w:t>
      </w:r>
      <w:r>
        <w:rPr>
          <w:rFonts w:eastAsia="IRNazanin" w:cs="IRNazanin"/>
          <w:color w:val="111111"/>
          <w:sz w:val="28"/>
          <w:szCs w:val="28"/>
          <w:lang w:bidi="fa-IR"/>
        </w:rPr>
        <w:t>96</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لأبی الفرج الإصبهانیّ،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الإسلامییّن لأبی الحسن الأشعریّ،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لأبی القاسم البلخیّ،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للأشعریّ القمّیّ،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آلی أبی طالب لابن شهر آشوب،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الأصولیّة للشیخ أسد اللّه التستریّ،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المنخول من تعلیقات الأصول للغزالیّ،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لابن تیمیّة،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للیمنیّ،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لابن طاووس،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لهشام بن الحکم،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لنصیر الدین الطوسیّ، </w:t>
      </w:r>
      <w:r>
        <w:rPr>
          <w:rFonts w:eastAsia="IRNazanin" w:cs="IRNazanin"/>
          <w:color w:val="111111"/>
          <w:sz w:val="28"/>
          <w:szCs w:val="28"/>
          <w:lang w:bidi="fa-IR"/>
        </w:rPr>
        <w:t>78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444" w:name="pg4793_55999"/>
    </w:p>
    <w:p>
      <w:pPr>
        <w:pStyle w:val="Heading3"/>
        <w:numPr>
          <w:ilvl w:val="2"/>
          <w:numId w:val="1"/>
        </w:numPr>
        <w:rPr/>
      </w:pPr>
      <w:bookmarkStart w:id="445" w:name="__RefHeading___Toc2295457_2035185390"/>
      <w:bookmarkStart w:id="446" w:name="_Toc158"/>
      <w:bookmarkEnd w:id="444"/>
      <w:bookmarkEnd w:id="445"/>
      <w:r>
        <w:rPr>
          <w:rtl w:val="true"/>
        </w:rPr>
        <w:t>فهرس الأعلام</w:t>
      </w:r>
      <w:bookmarkEnd w:id="446"/>
    </w:p>
    <w:p>
      <w:pPr>
        <w:pStyle w:val="BookText"/>
        <w:rPr/>
      </w:pPr>
      <w:r>
        <w:rPr>
          <w:rFonts w:ascii="IRNazanin" w:hAnsi="IRNazanin" w:eastAsia="IRNazanin"/>
          <w:color w:val="111111"/>
          <w:sz w:val="28"/>
          <w:sz w:val="28"/>
          <w:szCs w:val="28"/>
          <w:rtl w:val="true"/>
          <w:lang w:bidi="fa-IR"/>
        </w:rPr>
        <w:t xml:space="preserve">آغا بزرگ الطهرانیّ،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آغا علیّ النوریّ،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آقا صادق ضیائیّ،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إبراهیم بن عبد اللّه بن الحسن،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إبراهیم بن المهدیّ العبّاسیّ،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إبراهیم الفلکیّ،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إبراهیم القزوینیّ،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أبی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ابن أبی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ابن أبی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 أبی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ابن الجوزیّ عبدالرحمن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ابن الصبّاغ المالکیّ،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ابن الطقطقیّ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ابن عبد البرّ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العریف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ابن عیّاش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کَرب الضریر،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مخدوم الحسینیّ،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المفضّل،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ابن مُقلة الوزیر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إسماعیل بن جعفر،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اعتماد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الإربلّیّ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الأزهریّ اللغویّ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الأسترابادیّ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میرزا محمّد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الأسود العنسیّ،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الأشعریّ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الإمام أمیرالمؤمنین علیّ علیه‌السلام،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الإمام علیّ،</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الإمام الجواد علیه‌السلام،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الإمام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الإمام الصادق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الإمام العسکریّ علیه‌السلام،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الإمام الکاظم علیه‌السلام،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الإمام المجتبی علیه‌السلام،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المهدیّ علیه‌السلام،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الإمام الهادی علیه‌السلام،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الأمینیّ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أبو أیّوب،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أبو بکر بن أبی قحافة،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أبو جریر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زکریّا بن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أبو جعفر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أبو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حاتم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أبو حامد الغزالیّ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أبو الحسن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أبو الحسن جلوة،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أبو الحسین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أبو الحسین الهارونیّ،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أبو خلیفة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عویمر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أبو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أبو رشید النیشابوریّ،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ریاح،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ریحان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أبو سعید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أبو سلت السمّان، </w:t>
      </w:r>
      <w:r>
        <w:rPr>
          <w:rFonts w:eastAsia="IRNazanin" w:cs="IRNazanin"/>
          <w:color w:val="111111"/>
          <w:sz w:val="28"/>
          <w:szCs w:val="28"/>
          <w:lang w:bidi="fa-IR"/>
        </w:rPr>
        <w:t>28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سهل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شاکر الدیصانیّ،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بن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طالب بن عبدالمطّلب،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أبو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عیسی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أبو قحافة،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أبو محمّد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أبو مسلم بن معاذ،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أبو مسلم الخراسانیّ،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أبو منصور العجلیّ،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أبو نعیم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أبو 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إبراهیم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أُبیّ بن کعب،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أحمد أمین المصریّ،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أحمد بن أبی الحسین بن بشیر،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أحمد بن عبداللّه بن محمد،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أحمد بن عبد ربّه،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أحمد بن عبید اللّه الثقفیّ،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أحمدُ بن محمّد بن عیسی،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أحمد بن موسی بن جعفر،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أحمد بن هلال الکرخیّ،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أسد حیدر،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أیّوب السختیانیّ،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الباقلاّنیّ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میثم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برنارد لویس،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بشّار الشعیریّ،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بشیر بن زید،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بطرس البستانیّ،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البلخیّ الکعبیّ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بنان بن سمعان النهدیّ،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بهاء الدین، العاملیّ،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الآغا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أسداللّه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التستریّ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التستریّ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تمیم الداریّ،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ثابت بن قُطنة،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الجبّائی أبو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الجبّائیّ أبو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الجرجانیّ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جعفر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جعفر مرتضی العاملیّ،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الچرندابیّ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حامد بن العبّاس،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حبیب اللّه مجد ضیائیّ، </w:t>
      </w:r>
      <w:r>
        <w:rPr>
          <w:rFonts w:eastAsia="Amiri" w:cs="Amiri" w:ascii="Amiri" w:hAnsi="Amiri"/>
          <w:color w:val="111111"/>
          <w:sz w:val="28"/>
          <w:szCs w:val="28"/>
          <w:lang w:bidi="ar-SA"/>
        </w:rPr>
        <w:t>54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الحجّاج بن یوسف،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حجر بن عدیّ،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حرز الدین محمّد،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الحرّ العاملیّ محمّد بن الحسن،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حسن إبراهیم حسن،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الحسن بن بلال بن حارث المزنیّ،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الحسن بن زیاد اللؤلؤیّ،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الحسن بن علیّ الطبریّ،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الحسن بن محمّد بن الحنفیّة،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الحسن بن الوشّاء،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عبید اللّه القمیّ،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الحسینُ بن القاسم الوزیر،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حفص بن سلیمان،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الحلّیّ 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حمّاد بن موسی،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حمزة بن بزیع،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حمزة بن حبیب،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حمزة بن عمارة،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خارجة بن زید،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الخاقانیّ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خالد بن عبد اللّه القسریّ،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الخلیل بن أحمد الفراهیدیّ،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خلیل بن غازی القزوینیّ،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الخوارزمیّ أبو بکر محمّد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الدیاربکریّ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دَیصان،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ذو الثدیّة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الذهبیّ محمّد بن أحمد شمس الدین،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الراغب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محمّد العبّاسیّ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رُشید الهَجَریّ،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رفاعة بن موسی،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زکریّا بن آدم القمیّ،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الزنجانیّ عبد الرحیم،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الزنجانیّ عبد المجید،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الزنجانیّ لطف اللّه،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الزنجانیّ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زید بن علیّ بن الحسین علیه‌السلام،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السرخسیّ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سلیمان الأقطع،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سالم بن مکرّم الجمّال، </w:t>
      </w:r>
      <w:r>
        <w:rPr>
          <w:rFonts w:eastAsia="Amiri" w:cs="Amiri" w:ascii="Amiri" w:hAnsi="Amiri"/>
          <w:color w:val="111111"/>
          <w:sz w:val="28"/>
          <w:szCs w:val="28"/>
          <w:lang w:bidi="ar-SA"/>
        </w:rPr>
        <w:t>107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سمیع بن محمّد،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سهل بن زیاد الآدمیّ،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السیوطیّ جلال الدّین،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شبلیّ نعمان،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شرف‌الدین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شُریح القاضی،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الشریعیّ أبو محمّد،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الشلمغانیّ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الشهید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شیخ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شیخ الشریعة الإصفهانیّ،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الشیرازیّ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شیطان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صاحب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صاعد بن أحمد الأندلسیّ،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الصافیّ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صبحی الصالح،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صالح بن وصیف،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صدرالدین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ضیاءالدین العراقیّ،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الطبرسیّ 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طلحة بن خویلد،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طُلیحة بن خُویلد المتنبّئ،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عبّاس إقبال،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العبّاس بن عبدالمطّلب،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عبداللّه بن أبی یعفور،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عبداللّه بن بکیر،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عبداللّه بن جعفر الصادق علیه‌السلام،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عبداللّه بن الحسن المجتبی علیه‌السلام،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عبداللّه بن الزبیر،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عبداللّه بن العبّاس،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عبداللّه بن عروة بن الزبیر،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عبداللّه بن عطاء المکّیّ،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عبداللّه بن عمر بن حرب،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عبداللّه بن محمّد بن الحنفیّة،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عبداللّه بن ناووس،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عبداللّه بن یحیی الحضرمیّ،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عبدالجبّار بن أحمد القاضی،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بدویّ،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بن أبی بکرة،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عبدالرحمن بن الحجّاج،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عبدالرحمن بن محمّد بن الأشعث،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عبدالعظیم الحسنیّ،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عبد علیّ الحویزیّ،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عبداللّه بن الحارث،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عبداللّه بن حمدان،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عبداللّه بن سلیمان،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عبداللّه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عبدالمطّلب بن هاشم،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عبدالملک بن هشام الخیّاط،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عبدالواحد الأنصاریّ،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عبدالوهّاب خلاف،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عبیدة السلمانیّ،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عثمان بن عیسی الرواسیّ،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عثمان عفّان،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عریب بن سعد،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عکرمة بن أبی جهل،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العلیاریّ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علیّ بن إبراهیم القمّیّ،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بن أحمد أبو القاسم الکوفیّ،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علیّ بن أحمد الموسویّ الواقفیّ،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علیّ بن حسام الدین الهندیّ،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علیّ بن عبد اللّه بن العبّاس،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علیّ بن محمّد النوفلیّ،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علیّ سامی النشّار،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علیّ عبد الفتّاح،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علیّ هاشم،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عمّار بن موسی الساباطیّ،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عمر بن أمیّة،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عمر بن الحارث،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عمرو بن الحمق الخزاعیّ،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عمرو بن شبیب، </w:t>
      </w:r>
      <w:r>
        <w:rPr>
          <w:rFonts w:eastAsia="IRNazanin" w:cs="IRNazanin"/>
          <w:color w:val="111111"/>
          <w:sz w:val="28"/>
          <w:szCs w:val="28"/>
          <w:lang w:bidi="fa-IR"/>
        </w:rPr>
        <w:t>19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عُبید المعتزلیّ،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عیسی بن موسی العبّاسیّ،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عیسی المسیح علیه‌السلام،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الغزالیّ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غیلان الدمشقیّ،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فارس بن حاتم القزوینیّ،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الفاضل المقداد،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فاطمة الزهراء علیه‌السلام،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فاطمة المعصومة،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فتح‌اللّه خلیف،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فخرالدین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القاسم بن إبراهیم الرّسیّ،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القاسم بن علیّ الکرخیّ،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القاضی عیاض بن موسی،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القرمطیّ،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قرّة بن شریک،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الجلیل بن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قوام الدین القزوینیّ،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کارلایل،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الکراجکیّ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الکسف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الکُمیت الأسدیّ، </w:t>
      </w:r>
      <w:r>
        <w:rPr>
          <w:rFonts w:eastAsia="Amiri" w:cs="Amiri" w:ascii="Amiri" w:hAnsi="Amiri"/>
          <w:color w:val="111111"/>
          <w:sz w:val="28"/>
          <w:szCs w:val="28"/>
          <w:lang w:bidi="ar-SA"/>
        </w:rPr>
        <w:t>42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اللاّهیجیّ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لتستریّ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مارتن مکدرموت،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هارون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المعتصم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المتوکّل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المحسّن بن الفرات،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محمّد اسماعیل بن جعفر الصادق علیه‌السلام،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محمّد بن إسماعیل بن جعفر علیه‌السلام،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محمّد بن أبی عُمَیر،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بن سلیمان الوالی،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عبداللّه بن‌الحسن،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عثمان العمرویّ،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محمّد بن علیّ أبو السفّاح العبّاسیّ،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محمّد بن عیسی الیقطینیّ،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الفرات،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القاسم الطالقانیّ،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محمّد بن نصیر النمیریّ،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محمّد خلیل الزین،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محمّد طاهر القمّیّ،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محمّد کرد علیّ،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محمود الآلوسیّ،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المختار بن أبی عبید،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المدائنیّ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مرتضی بن الداعی،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مرتضی العسکریّ،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مُزدک،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المستعلی بن المستنصر،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المستنصر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المستنیر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مصطفی صادق الرافعیّ،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مصطفی عبد الرزّاق،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مطرف بن المغیرة،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معبد الجهنیّ،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المتوکّل العبّاسیّ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المغیرة بن سعید العجلیّ،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المقامقانیّ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المعتضد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المقدّسیّ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بن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مالک الأشتر،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مالک بن نویرة،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الملطیّ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العبّاسیّ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موسی بن الفرات،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المهتدی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العبّاسیّ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المهدیّ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الإسماعیلیّ، </w:t>
      </w:r>
      <w:r>
        <w:rPr>
          <w:rFonts w:eastAsia="IRNazanin" w:cs="IRNazanin"/>
          <w:color w:val="111111"/>
          <w:sz w:val="28"/>
          <w:szCs w:val="28"/>
          <w:lang w:bidi="fa-IR"/>
        </w:rPr>
        <w:t>89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الناصر الأُطروش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ناصر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الناصر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نزار بن المستنصر،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نصر بن سیّار،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نصر الخثعمیّ،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النفس الزکیّة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النواویّ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النوبختیّ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نوح النبیّ علیه‌السلام،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الولید بن عبد الملک،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الولید بن یزید،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هاشم المِرقال،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هاشم الموسویّ،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هشام بن حسّان،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یحیی الأمین،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یحیی بن أبی السمط،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یحیی بن حمزة الزیدیّ،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یحیی بن خالد البرمکیّ،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یحیی بن سعید المحدّث،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یحیی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یحیی بن هَرثَمة،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الیزدیّ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یزید بن المهلّب،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یعقوب آژند،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یوسف بن عمر الثقفیّ،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47" w:name="pg4793_56031"/>
    </w:p>
    <w:p>
      <w:pPr>
        <w:pStyle w:val="Heading3"/>
        <w:numPr>
          <w:ilvl w:val="2"/>
          <w:numId w:val="1"/>
        </w:numPr>
        <w:rPr/>
      </w:pPr>
      <w:bookmarkStart w:id="448" w:name="__RefHeading___Toc2295459_2035185390"/>
      <w:bookmarkStart w:id="449" w:name="_Toc159"/>
      <w:bookmarkEnd w:id="447"/>
      <w:bookmarkEnd w:id="448"/>
      <w:r>
        <w:rPr>
          <w:rtl w:val="true"/>
        </w:rPr>
        <w:t>مصادر التحقیق</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اللّه التستریّ </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 آیة اللّه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الطالبین الی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جمالالدین السیوریّ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آیة 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إسماعیلیان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المؤلّفین،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انتشارات مولی،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أبوجعفر الشیخ الصدوق </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عبدالسیّد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فرق المسلمین و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الدین الرازیّ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سامی النشّار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مکتبة النهضة المصریّة،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صادق الرافعیّ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أبو جعفر الشیخ الصدوق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الإبانة عن أصول الدیانة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أبو الحسن الأشعریّ </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الدکتورة فوقیّة حسین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الأنصار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الآثار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أبوالریحان البیرونیّ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منصور الطبرسیّ </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السیّد محمّد</w:t>
      </w:r>
    </w:p>
    <w:p>
      <w:pPr>
        <w:pStyle w:val="BookText"/>
        <w:rPr/>
      </w:pPr>
      <w:r>
        <w:rPr>
          <w:rFonts w:ascii="IRNazanin" w:hAnsi="IRNazanin" w:eastAsia="IRNazanin"/>
          <w:color w:val="111111"/>
          <w:sz w:val="28"/>
          <w:sz w:val="28"/>
          <w:szCs w:val="28"/>
          <w:rtl w:val="true"/>
          <w:lang w:bidi="fa-IR"/>
        </w:rPr>
        <w:t>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نشر المرتضی،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الإحکام فی 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سیف الدین الآمدیّ </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الشیخ المفید</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 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 حقیق السیّد حسن الموسویّ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الإصفهانیّ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صلاح یوسف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دارالفکر للجمیع،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الإفصاح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الهادی الی طریق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الخیّام،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الألفین فی إمامة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دارالهجرة،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و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حیدر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دارالکتاب</w:t>
      </w:r>
    </w:p>
    <w:p>
      <w:pPr>
        <w:pStyle w:val="BookText"/>
        <w:rPr/>
      </w:pPr>
      <w:r>
        <w:rPr>
          <w:rFonts w:ascii="IRNazanin" w:hAnsi="IRNazanin" w:eastAsia="IRNazanin"/>
          <w:color w:val="111111"/>
          <w:sz w:val="28"/>
          <w:sz w:val="28"/>
          <w:szCs w:val="28"/>
          <w:rtl w:val="true"/>
          <w:lang w:bidi="fa-IR"/>
        </w:rPr>
        <w:t xml:space="preserve">العربیّ،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ابن قتیبة الدینوریّ </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مطبعة مصطفی البابیّ الحلبیّ و أولاده،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الاسلامیّة، مشهد،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محمّد ، أبوالحسین الخیّاط </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p>
    <w:p>
      <w:pPr>
        <w:pStyle w:val="BookText"/>
        <w:rPr/>
      </w:pPr>
      <w:r>
        <w:rPr>
          <w:rFonts w:ascii="IRNazanin" w:hAnsi="IRNazanin" w:eastAsia="IRNazanin"/>
          <w:color w:val="111111"/>
          <w:sz w:val="28"/>
          <w:sz w:val="28"/>
          <w:szCs w:val="28"/>
          <w:rtl w:val="true"/>
          <w:lang w:bidi="fa-IR"/>
        </w:rPr>
        <w:t>البیرنصری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المطبعة الکاتولیکیّة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الساطعة فی المائة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آغا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التقاسیم فی معرفة الأقالیم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شمس‌الدین المقدسیّ </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أوفست عن طبعة لیدن،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عماد الدین الطبریّ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w:t>
      </w:r>
    </w:p>
    <w:p>
      <w:pPr>
        <w:pStyle w:val="BookText"/>
        <w:rPr/>
      </w:pPr>
      <w:r>
        <w:rPr>
          <w:rFonts w:ascii="IRNazanin" w:hAnsi="IRNazanin" w:eastAsia="IRNazanin"/>
          <w:color w:val="111111"/>
          <w:sz w:val="28"/>
          <w:sz w:val="28"/>
          <w:szCs w:val="28"/>
          <w:rtl w:val="true"/>
          <w:lang w:bidi="fa-IR"/>
        </w:rPr>
        <w:t>الکلام فی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الشیعة و 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کاشف الغطاء </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الإمام علیّ علیه‌السلام،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الحدیث و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طاهر، أبومنصور البغدادیّ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إستانبول،</w:t>
      </w:r>
    </w:p>
    <w:p>
      <w:pPr>
        <w:pStyle w:val="BookText"/>
        <w:rPr/>
      </w:pPr>
      <w:r>
        <w:rPr>
          <w:rFonts w:ascii="Amiri" w:hAnsi="Amiri" w:eastAsia="Amiri" w:cs="Amiri"/>
          <w:color w:val="111111"/>
          <w:sz w:val="28"/>
          <w:sz w:val="28"/>
          <w:szCs w:val="28"/>
          <w:rtl w:val="true"/>
          <w:lang w:bidi="ar-SA"/>
        </w:rPr>
        <w:t xml:space="preserve">مطبعة الدولة،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المطبعة الحیدریّة،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أبوریّة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مؤسّسة الأعلمیّ للمطبوعات، الطبعة الخامسة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الموقّعین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أبیبکر، ابن قیّم الجوزیّة </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p>
    <w:p>
      <w:pPr>
        <w:pStyle w:val="BookText"/>
        <w:rPr/>
      </w:pPr>
      <w:r>
        <w:rPr>
          <w:rFonts w:ascii="IRNazanin" w:hAnsi="IRNazanin" w:eastAsia="IRNazanin"/>
          <w:color w:val="111111"/>
          <w:sz w:val="28"/>
          <w:sz w:val="28"/>
          <w:szCs w:val="28"/>
          <w:rtl w:val="true"/>
          <w:lang w:bidi="fa-IR"/>
        </w:rPr>
        <w:t>عبدالرؤوف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الجیل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الملکوت فی 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p>
    <w:p>
      <w:pPr>
        <w:pStyle w:val="BookText"/>
        <w:rPr/>
      </w:pPr>
      <w:r>
        <w:rPr>
          <w:rFonts w:ascii="IRNazanin" w:hAnsi="IRNazanin" w:eastAsia="IRNazanin"/>
          <w:color w:val="111111"/>
          <w:sz w:val="28"/>
          <w:sz w:val="28"/>
          <w:szCs w:val="28"/>
          <w:rtl w:val="true"/>
          <w:lang w:bidi="fa-IR"/>
        </w:rPr>
        <w:t>إبراهیم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العلاّمة المجلسیّ </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 الزخّار الجامع لمذاهب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ابن المرتضی الیمانیّ </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دارالحکمة الیمانیّة،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لجنة إدارة الحوزة العلمیّة،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ابن کثیر الدمشقیّ </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المعارف، الطبعة الأولی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علیّ العلیاریّ التبریزیّ </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بیناد فرهنگی کوشانپور،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الحسینیّ، أبوالمعالی العلویّ،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رسالة</w:t>
      </w:r>
    </w:p>
    <w:p>
      <w:pPr>
        <w:pStyle w:val="BookText"/>
        <w:rPr/>
      </w:pPr>
      <w:r>
        <w:rPr>
          <w:rFonts w:ascii="IRNazanin" w:hAnsi="IRNazanin" w:eastAsia="IRNazanin"/>
          <w:color w:val="111111"/>
          <w:sz w:val="28"/>
          <w:sz w:val="28"/>
          <w:szCs w:val="28"/>
          <w:rtl w:val="true"/>
          <w:lang w:bidi="fa-IR"/>
        </w:rPr>
        <w:t xml:space="preserve">معرفة المذاهب، طهران، انتشارات ابن سینا،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أبوالقاسم الخوئیّ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مطبعة</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إبراهیم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شمس‌الدین الذهبیّ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p>
    <w:p>
      <w:pPr>
        <w:pStyle w:val="BookText"/>
        <w:rPr/>
      </w:pPr>
      <w:r>
        <w:rPr>
          <w:rFonts w:ascii="IRNazanin" w:hAnsi="IRNazanin" w:eastAsia="IRNazanin"/>
          <w:color w:val="111111"/>
          <w:sz w:val="28"/>
          <w:sz w:val="28"/>
          <w:szCs w:val="28"/>
          <w:rtl w:val="true"/>
          <w:lang w:bidi="fa-IR"/>
        </w:rPr>
        <w:t>عمر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الکتاب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أبوبکر الخطیب البغدادیّ </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مکتبة</w:t>
      </w:r>
    </w:p>
    <w:p>
      <w:pPr>
        <w:pStyle w:val="BookText"/>
        <w:rPr/>
      </w:pP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أبیبکر، جلال الدین السیوطیّ </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الشماعیّ و محمّد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القلم،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الدیار بکریّ </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إبراهیم الموسویّ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المظفّر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دارالزهراء،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نعمان الهندیّ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مطبعة رنگین،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فضل‌اللّه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الکلام فی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الزین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مؤسّسة</w:t>
      </w:r>
    </w:p>
    <w:p>
      <w:pPr>
        <w:pStyle w:val="BookText"/>
        <w:rPr/>
      </w:pPr>
      <w:r>
        <w:rPr>
          <w:rFonts w:ascii="IRNazanin" w:hAnsi="IRNazanin" w:eastAsia="IRNazanin"/>
          <w:color w:val="111111"/>
          <w:sz w:val="28"/>
          <w:sz w:val="28"/>
          <w:szCs w:val="28"/>
          <w:rtl w:val="true"/>
          <w:lang w:bidi="fa-IR"/>
        </w:rPr>
        <w:t xml:space="preserve">الأعلمیّ للمطبوعات،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أبوزهرة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دارالفکر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منتظم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صنیع‌الدولة </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إسماعیل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دنیای کتاب،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أبییعقوب، ابن الواضح الیعقوبیّ </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أوفست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لعلوم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الصدر الکاظمیّ </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الرائد العربیّ،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ابن قتیبة الدینوریّ </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دارالجیل،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مقالات الأنام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بن الداعی الحسنیّ الرازیّ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انتشارات أساطیر،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آغابزرگ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المطبعة العلمیّة،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کذب المفتری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ابن عساکر الدمشقیّ </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 xml:space="preserve">دارالفکر، 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شمس‌الدین الذهبیّ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آل‌البیت،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المدارک و تقریب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الیحصبیّ </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أحمد بکیر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الحیاة،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التشیّع نشأته و معالمه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الغدیر للدراسات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w:t>
      </w:r>
    </w:p>
    <w:p>
      <w:pPr>
        <w:pStyle w:val="BookText"/>
        <w:rPr/>
      </w:pPr>
      <w:r>
        <w:rPr>
          <w:rFonts w:ascii="IRNazanin" w:hAnsi="IRNazanin" w:eastAsia="IRNazanin"/>
          <w:color w:val="111111"/>
          <w:sz w:val="28"/>
          <w:sz w:val="28"/>
          <w:szCs w:val="28"/>
          <w:rtl w:val="true"/>
          <w:lang w:bidi="fa-IR"/>
        </w:rPr>
        <w:t xml:space="preserve">العالمیّ لألفیّة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الأرمویّ المحدّث، </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انتشارات</w:t>
      </w:r>
    </w:p>
    <w:p>
      <w:pPr>
        <w:pStyle w:val="BookText"/>
        <w:rPr/>
      </w:pP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أبوالصلاح الحلبیّ </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ابن‌حزم،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علیّ، أبوالفرج ابن الجوزیّ </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p>
    <w:p>
      <w:pPr>
        <w:pStyle w:val="BookText"/>
        <w:rPr/>
      </w:pPr>
      <w:r>
        <w:rPr>
          <w:rFonts w:ascii="IRNazanin" w:hAnsi="IRNazanin" w:eastAsia="IRNazanin"/>
          <w:color w:val="111111"/>
          <w:sz w:val="28"/>
          <w:sz w:val="28"/>
          <w:szCs w:val="28"/>
          <w:rtl w:val="true"/>
          <w:lang w:bidi="fa-IR"/>
        </w:rPr>
        <w:t>حسین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أوفست دارالکتب الاسلامیّة،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نصیرالدین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باهتمام عبداللّه النورانیّ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مؤسّسة مطالعات إسلامی،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لتاریخ الفلسفة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الحسن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المکتبة المرتضویّة،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أبومنصور الأزهریّ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الدارالمصریّة للتالیف و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بن عبدالبرّ الأندلسیّ القرطبیّ </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عن تأویل آی القرآن، المعروف بتفسیر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یوسف بن أحمد البحرانیّ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الوردیّة فی مناقب 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الشهید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p>
    <w:p>
      <w:pPr>
        <w:pStyle w:val="BookText"/>
        <w:rPr/>
      </w:pPr>
      <w:r>
        <w:rPr>
          <w:rFonts w:ascii="IRNazanin" w:hAnsi="IRNazanin" w:eastAsia="IRNazanin"/>
          <w:color w:val="111111"/>
          <w:sz w:val="28"/>
          <w:sz w:val="28"/>
          <w:szCs w:val="28"/>
          <w:rtl w:val="true"/>
          <w:lang w:bidi="fa-IR"/>
        </w:rPr>
        <w:t>مرتضی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بدر العلمیّ، صنعاء،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أبونعیم الإصبهانیّ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دارالکتاب العربیّ، الطبعة الخامسة،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بن نشوان الحمیریّ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المکتبة العربیّة</w:t>
      </w:r>
    </w:p>
    <w:p>
      <w:pPr>
        <w:pStyle w:val="BookText"/>
        <w:rPr/>
      </w:pPr>
      <w:r>
        <w:rPr>
          <w:rFonts w:ascii="Amiri" w:hAnsi="Amiri" w:eastAsia="Amiri" w:cs="Amiri"/>
          <w:color w:val="111111"/>
          <w:sz w:val="28"/>
          <w:sz w:val="28"/>
          <w:szCs w:val="28"/>
          <w:rtl w:val="true"/>
          <w:lang w:bidi="ar-SA"/>
        </w:rPr>
        <w:t xml:space="preserve">المصریّة،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فکری و سیاسی امامان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سازمان تبلیغات اسلامی، الطبعة الثانیة،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إقبال الآشتیانی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مکتبة </w:t>
      </w:r>
    </w:p>
    <w:p>
      <w:pPr>
        <w:pStyle w:val="BookText"/>
        <w:rPr/>
      </w:pPr>
      <w:r>
        <w:rPr>
          <w:rFonts w:ascii="IRNazanin" w:hAnsi="IRNazanin" w:eastAsia="IRNazanin"/>
          <w:color w:val="111111"/>
          <w:sz w:val="28"/>
          <w:sz w:val="28"/>
          <w:szCs w:val="28"/>
          <w:rtl w:val="true"/>
          <w:lang w:bidi="fa-IR"/>
        </w:rPr>
        <w:t xml:space="preserve">الطهوریّ، الطبعة الثالثة،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کردعلیّ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الخطط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المقریزیّ </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w:t>
      </w:r>
    </w:p>
    <w:p>
      <w:pPr>
        <w:pStyle w:val="BookText"/>
        <w:rPr/>
      </w:pPr>
      <w:r>
        <w:rPr>
          <w:rFonts w:ascii="IRNazanin" w:hAnsi="IRNazanin" w:eastAsia="IRNazanin"/>
          <w:color w:val="111111"/>
          <w:sz w:val="28"/>
          <w:sz w:val="28"/>
          <w:szCs w:val="28"/>
          <w:rtl w:val="true"/>
          <w:lang w:bidi="fa-IR"/>
        </w:rPr>
        <w:t>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مَدبولی،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المطهّر، العلاّمة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صادق 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الخیّام،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الإسلامیّة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السیّد کاظم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القرن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بن مصطفی وجدی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دارالمعرفة،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فی الفرق و العقائد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عرفان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مطبعة أسعد،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نشر محمّد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أبوخلیفة التمیمیّ </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إمیل بدیع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الذخیرة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الشریف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الآغابزرگ الطهرانیّ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الأضواء،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داود الحلّیّ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محمّد </w:t>
      </w:r>
    </w:p>
    <w:p>
      <w:pPr>
        <w:pStyle w:val="BookText"/>
        <w:rPr/>
      </w:pPr>
      <w:r>
        <w:rPr>
          <w:rFonts w:ascii="IRNazanin" w:hAnsi="IRNazanin" w:eastAsia="IRNazanin"/>
          <w:color w:val="111111"/>
          <w:sz w:val="28"/>
          <w:sz w:val="28"/>
          <w:szCs w:val="28"/>
          <w:rtl w:val="true"/>
          <w:lang w:bidi="fa-IR"/>
        </w:rPr>
        <w:t>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المطبعة الحیدریّة،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شیخ الطائفة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باهتمام محمّد کاظم</w:t>
      </w:r>
    </w:p>
    <w:p>
      <w:pPr>
        <w:pStyle w:val="BookText"/>
        <w:rPr/>
      </w:pPr>
      <w:r>
        <w:rPr>
          <w:rFonts w:ascii="IRNazanin" w:hAnsi="IRNazanin" w:eastAsia="IRNazanin"/>
          <w:color w:val="111111"/>
          <w:sz w:val="28"/>
          <w:sz w:val="28"/>
          <w:szCs w:val="28"/>
          <w:rtl w:val="true"/>
          <w:lang w:bidi="fa-IR"/>
        </w:rPr>
        <w:t>الکتبیّ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المکتبة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الجهمیّة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ضمن عقائد السلف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سامی النشار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الإسکندریّة، منشأة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الشریف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نصیرالدین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تلخیص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مؤسّسه مطالعات إسلامی،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أبو بکر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تعلیقات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ملی طهران،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المسائل الجارودیّة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المسائل العکبریّة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النصّ علی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الرعایة فی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الجبعیّ العاملیّ، الشهید الثانی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آیه‌اللّه المرعشیّ،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الجبعیّ، الشهید الثانی</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دارالهادی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المدرّس </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مطبعة شفق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البیان فی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المقدّس الأردبیلیّ </w:t>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 xml:space="preserve">مؤتمر المقدّس الأردبیلیّ،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الطالقانیّ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الدار العربیّة للموسوعات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w:t>
      </w:r>
    </w:p>
    <w:p>
      <w:pPr>
        <w:pStyle w:val="BookText"/>
        <w:rPr/>
      </w:pPr>
      <w:r>
        <w:rPr>
          <w:rFonts w:ascii="Amiri" w:hAnsi="Amiri" w:eastAsia="Amiri" w:cs="Amiri"/>
          <w:color w:val="111111"/>
          <w:sz w:val="28"/>
          <w:sz w:val="28"/>
          <w:szCs w:val="28"/>
          <w:rtl w:val="true"/>
          <w:lang w:bidi="ar-SA"/>
        </w:rPr>
        <w:t xml:space="preserve">العربیّ،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عبدالرحمن الدارمیّ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w:t>
      </w:r>
    </w:p>
    <w:p>
      <w:pPr>
        <w:pStyle w:val="BookText"/>
        <w:rPr/>
      </w:pP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الحمیریّ </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السقّاء، و إبراهیم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الشریف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بإشراف السیّد فاضل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مؤسّسة الصادق للطباعة و 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الأصول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بن أحمد القاضی المعتزلیّ </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مطبعة الاستقلال، 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المصطلحات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قسم الکلام و الفلسفة فی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مؤسّسة الطبع و النشر فی الآستانة الرضویّة،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للإیجیّ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الشریف الجرجانیّ </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بدرالدین النعسانیّ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هبه‌اللّه، ابن أبیالحدید المعتزلیّ </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الکتب العربیّة،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أوفست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الشواهد الربوبیّة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صدر الدین الشیرازیّ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جلال‌الدین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الجامعة، الطبعة الثانیة،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أحمد العلاّمة الأمینیّ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محمّد رضا الحکیمیّ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الطباطبائیّ، الطبعة الثانیة،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و 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الصدر الکاظمیّ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 سلیمان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مطبوعات النجاح،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المرتضی، الفیض القاشانیّ </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المکتبة الإسلامیّة،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أبوعبداللّه البخاریّ </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عن طبعة استانبول، بیروت، دارالفکر للطباعة و النشر،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القشیریّ النیسابوریّ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مکتبة</w:t>
      </w:r>
    </w:p>
    <w:p>
      <w:pPr>
        <w:pStyle w:val="BookText"/>
        <w:rPr/>
      </w:pPr>
      <w:r>
        <w:rPr>
          <w:rFonts w:ascii="IRNazanin" w:hAnsi="IRNazanin" w:eastAsia="IRNazanin"/>
          <w:color w:val="111111"/>
          <w:sz w:val="28"/>
          <w:sz w:val="28"/>
          <w:szCs w:val="28"/>
          <w:rtl w:val="true"/>
          <w:lang w:bidi="fa-IR"/>
        </w:rPr>
        <w:t>محمّد علی صبیح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دارالهادی،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بن سعد القرطبی، المطبوع فی خاتمة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بیروت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مکتبة القاهرة،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یعلی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المرتضی الیمانیّ </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المطبعة الکاثولیکیّة،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سبأ و أسطورته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الفهریّ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Amiri" w:hAnsi="Amiri" w:eastAsia="Amiri" w:cs="Amiri"/>
          <w:color w:val="111111"/>
          <w:sz w:val="28"/>
          <w:sz w:val="28"/>
          <w:szCs w:val="28"/>
          <w:rtl w:val="true"/>
          <w:lang w:bidi="ar-SA"/>
        </w:rPr>
        <w:t>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عقائد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علیّ سامی النشّار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القاهرة،</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عبد ربّه الأندلسیّ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عبدالحلیم، ابن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محمّد علیّ، بیروت، عالم الکتب،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الشامخ فی إیثار الحقّ علی الآباء و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مهدیّ بن علیّ المقبلیّ</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الحدیث و مصطلحه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صبحی إبراهیم الصالح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العلم للملایین، الطبعة السادسة،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طه حسین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مجلّة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 جعفر الشیخ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أبو جعفر بن أحمد، سیف‌الدین الآمدیّ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 عبداللطیف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لجنة إحیاء التراث الإسلامیّ،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أحمد الأمینیّ </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غوالی اللآلی العزیزیّة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أبیجمهور الأحسائیّ</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سیّدالشهداء،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 فی الآداب السلطانیّة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طباطبا ابن الطقطقیّ </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دار صادر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طاهر البغدادیّ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دارالآفاق</w:t>
      </w:r>
    </w:p>
    <w:p>
      <w:pPr>
        <w:pStyle w:val="BookText"/>
        <w:rPr/>
      </w:pPr>
      <w:r>
        <w:rPr>
          <w:rFonts w:ascii="IRNazanin" w:hAnsi="IRNazanin" w:eastAsia="IRNazanin"/>
          <w:color w:val="111111"/>
          <w:sz w:val="28"/>
          <w:sz w:val="28"/>
          <w:szCs w:val="28"/>
          <w:rtl w:val="true"/>
          <w:lang w:bidi="fa-IR"/>
        </w:rPr>
        <w:t xml:space="preserve">الجدیدة،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المرتضویّة،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الکلامیّة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عبدالفتّاح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مکتبة وهبة،</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فی الأهواء و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ابن حزم الأندلسیّ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 علیق أحمد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الشریف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فی معرفة أحوال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ابن صبّاغ المالکی </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بن محمّد</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هبه‌اللّه الراوندیّ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لمشاهیر علماء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موسی الزنجانیّ، علّق علیه حسین الجعفریّ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انتشارات آل‌عبا،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ابن الندیم </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قادتنا کیف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هادی المیلانیّ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التستریّ </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الفیروزآبادیّ </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دارالجیل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تلخیص المحصّل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نصیرالدین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باهتمام عبداللّه النورانیّ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مؤسّسة مطالعات إسلامی،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المرام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میثم البحرانیّ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مهر،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دار الکتب الإسلامیّة،</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أبیالکرم محمّد، 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 جعفر الشیخ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مقدّمة الآغابزرگ</w:t>
      </w:r>
    </w:p>
    <w:p>
      <w:pPr>
        <w:pStyle w:val="BookText"/>
        <w:rPr/>
      </w:pP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مکتبة نینوی الحدیثة،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أعلی بن علیّ التهانویّ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طهران، مطبعة الخیّام و شرکائه،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جاراللّه الزمخشریّ </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أسرار الباطنیّة و أخبار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مالک الحمادیّ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التبصیر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مکتبة المثنّی،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أبوالحسن الإربلّیّ </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 أدب الحوزة،</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القناع عن وجوه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أسداللّه بن إسماعیل التستریّ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أوفست عن الطبعة الحجریّة،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مکتبة المصطفویّ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 فی فضائل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الدرگاهیّ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الطباعة و النشر، وزارة الإرشاد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المقداد بن عبداللّه السیوریّ </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أبوالفتح الکراجکیّ </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أبیبکر جلال‌الدین السیوطیّ </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ابن منظور الإفریقیّ</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دهخدا </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انتشارات الجامعة،</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 الأدلّة فی قواعد عقائد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عبداللّه أبوالمعالی</w:t>
      </w:r>
    </w:p>
    <w:p>
      <w:pPr>
        <w:pStyle w:val="BookText"/>
        <w:rPr/>
      </w:pPr>
      <w:r>
        <w:rPr>
          <w:rFonts w:ascii="IRNazanin" w:hAnsi="IRNazanin" w:eastAsia="IRNazanin"/>
          <w:color w:val="111111"/>
          <w:sz w:val="28"/>
          <w:sz w:val="28"/>
          <w:szCs w:val="28"/>
          <w:rtl w:val="true"/>
          <w:lang w:bidi="fa-IR"/>
        </w:rPr>
        <w:t xml:space="preserve">الجوینیّ </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الدکتورة فوقیّة حسین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المؤسّسة المصریّة العامّة،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الشیخ الطوسیّ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المطبعة الحیدریّة،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الطریحیّ </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مکتبة المرتضویّ،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الحسن أمین الإسلام الطبرسیّ </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آیة اللّه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جلال‌الدین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الکتب الإسلامیّة،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محصّل أفکار المتقدّمین و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فخرالدین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عبدالرؤوف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ابن حزم الأندلسیّ </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دارالآفاق</w:t>
      </w:r>
    </w:p>
    <w:p>
      <w:pPr>
        <w:pStyle w:val="BookText"/>
        <w:rPr/>
      </w:pP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بطرس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لبنان،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ابن منظور،</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دارالفکر،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مذاهب ابتدعتها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للمطبوعات، الطبعة الأولی،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مذاهب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دارالعلم للملایین، الطبعة الأولی،</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شرف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الهجرة،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بذیله التلخیص للذهبیّ، بإشراف یوسف عبدالرحمن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العاملیّ، الشهید الثانی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بصیرتیّ، الطبعة الحجریّة،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التشریع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أبی شیبة </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w:t>
      </w:r>
    </w:p>
    <w:p>
      <w:pPr>
        <w:pStyle w:val="BookText"/>
        <w:rPr/>
      </w:pPr>
      <w:r>
        <w:rPr>
          <w:rFonts w:ascii="IRNazanin" w:hAnsi="IRNazanin" w:eastAsia="IRNazanin"/>
          <w:color w:val="111111"/>
          <w:sz w:val="28"/>
          <w:sz w:val="28"/>
          <w:szCs w:val="28"/>
          <w:rtl w:val="true"/>
          <w:lang w:bidi="fa-IR"/>
        </w:rPr>
        <w:t>علیه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فی تراجم العلماء و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حرز الدین،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آیه‌اللّه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ابن قتیبة الدینوریّ </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دارالمعارف،</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نجم الدین، المحقّق الحلّیّ </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سیّد الشهداء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الطیّب، أبوالحسین البصریّ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المعهد العلمیّ الفرنسیّ للدراسات</w:t>
      </w:r>
    </w:p>
    <w:p>
      <w:pPr>
        <w:pStyle w:val="BookText"/>
        <w:rPr/>
      </w:pPr>
      <w:r>
        <w:rPr>
          <w:rFonts w:ascii="Amiri" w:hAnsi="Amiri" w:eastAsia="Amiri" w:cs="Amiri"/>
          <w:color w:val="111111"/>
          <w:sz w:val="28"/>
          <w:sz w:val="28"/>
          <w:szCs w:val="28"/>
          <w:rtl w:val="true"/>
          <w:lang w:bidi="ar-SA"/>
        </w:rPr>
        <w:t xml:space="preserve">العربیّة،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أعلام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البعلبکیّ، إعداد الدکتور رمزیّ البعلبکیّ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دارالعلم</w:t>
      </w:r>
    </w:p>
    <w:p>
      <w:pPr>
        <w:pStyle w:val="BookText"/>
        <w:rPr/>
      </w:pPr>
      <w:r>
        <w:rPr>
          <w:rFonts w:ascii="IRNazanin" w:hAnsi="IRNazanin" w:eastAsia="IRNazanin"/>
          <w:color w:val="111111"/>
          <w:sz w:val="28"/>
          <w:sz w:val="28"/>
          <w:szCs w:val="28"/>
          <w:rtl w:val="true"/>
          <w:lang w:bidi="fa-IR"/>
        </w:rPr>
        <w:t>للملائین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عبداللّه الحمویّ </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الفکر و الأدب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الأضواء،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ما استعجم من أسماء البلاد و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العزیز البکریّ الأندلسیّ</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محمّد علیّ بیضون،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المثنّی،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الدین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فی أبواب التوحید 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بن أحمد القاضی المعتزلیّ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محمود و سلیمان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الدار المصریّة للتالیف و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فخر الدین الرازیّ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بن مخدوم الحسینیّ العربشاهیّ </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مهدیّ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مؤسّسة الطبع و النشر للآستانة الرضویّة،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الراغب الإصفهانیّ </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دفتر نشر الکتاب،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أبوالفرج الاصبهانیّ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نشر 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الأشعریّ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الأشعریّ القمّیّ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انتشارات وزارة المعارف،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ابن خلدون المغربیّ </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 الغیبة و الزیادة المکملة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الشریف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عبدالکریم الشهرستانیّ </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منشورات</w:t>
      </w:r>
    </w:p>
    <w:p>
      <w:pPr>
        <w:pStyle w:val="BookText"/>
        <w:rPr/>
      </w:pPr>
      <w:r>
        <w:rPr>
          <w:rFonts w:ascii="Amiri" w:hAnsi="Amiri" w:eastAsia="Amiri" w:cs="Amiri"/>
          <w:color w:val="111111"/>
          <w:sz w:val="28"/>
          <w:sz w:val="28"/>
          <w:szCs w:val="28"/>
          <w:rtl w:val="true"/>
          <w:lang w:bidi="ar-SA"/>
        </w:rPr>
        <w:t xml:space="preserve">الرضیّ،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مناظرات فخر الدین الرازیّ فی بلاد ماوراء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الدکتور فتح اللّه خلیف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دارالمشرق،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البقاعیّ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الیقین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یاران،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فی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لطف اللّه الصافی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مکتبة الصدر،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مسند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حسام الدین المتقی الهندیّ </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المنخول من تعلیقات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أبوحامد الغزالیّ </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حسن هیتو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دارالفکر،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 جعفر الشیخ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حبیب اللّه الخوئیّ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تصحیح إبراهیم المیانجیّ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السنّة فی نقض کلام الشیعة 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عبدالحلیم، ابن تیمیّة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بن علیّ الاسترابادیّ </w:t>
      </w:r>
      <w:r>
        <w:rPr>
          <w:rFonts w:eastAsia="IRNazanin" w:cs="IRNazanin"/>
          <w:color w:val="111111"/>
          <w:sz w:val="28"/>
          <w:szCs w:val="28"/>
          <w:rtl w:val="true"/>
          <w:lang w:bidi="fa-IR"/>
        </w:rPr>
        <w:t xml:space="preserve">( -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 الآغا محمّد باقر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مطبعة محمد حسین الطهرانیّ،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الأحمدیّ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الإمام الصادق علیه‌السلام،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جواد مشکور، تقدیم الأستاد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مجمع البحوث الإسلامیّة،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الحمیریّ </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إحیاء الکتب العربیّة،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ابن طاووس الحسنیّ الحسینیّ </w:t>
      </w:r>
    </w:p>
    <w:p>
      <w:pPr>
        <w:pStyle w:val="BookText"/>
        <w:rPr/>
      </w:pPr>
      <w:r>
        <w:rPr>
          <w:rFonts w:ascii="Amiri" w:hAnsi="Amiri" w:eastAsia="Amiri" w:cs="Amiri"/>
          <w:color w:val="111111"/>
          <w:sz w:val="28"/>
          <w:sz w:val="28"/>
          <w:szCs w:val="28"/>
          <w:rtl w:val="true"/>
          <w:lang w:bidi="ar-SA"/>
        </w:rPr>
        <w:t>مؤسّسة الأعلمیّ،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مؤلفین کتب چاپی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خانبابا مشار،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رنگین، طهران،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نشأة الفکر الفلسفیّ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سامی النشّار، القاهرة، دارالمعارف،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عبدالحسین شرف‌الدین العاملیّ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مقدّمة السیّد الشهید 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البعثة،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نظریّات علم الکلام عند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مارتن مکدرموت، تعریب علی هاشم، مراجعة الدکتور محمود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مجمع البحوث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محمّدمحسن، الآغابزرگ الطهرانیّ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السیّدعبدالعزیز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دارالمرتضی،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بن نصیرالدین القروینیّ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منشورات</w:t>
      </w:r>
    </w:p>
    <w:p>
      <w:pPr>
        <w:pStyle w:val="BookText"/>
        <w:rPr/>
      </w:pPr>
      <w:r>
        <w:rPr>
          <w:rFonts w:ascii="IRNazanin" w:hAnsi="IRNazanin" w:eastAsia="IRNazanin"/>
          <w:color w:val="111111"/>
          <w:sz w:val="28"/>
          <w:sz w:val="28"/>
          <w:szCs w:val="28"/>
          <w:rtl w:val="true"/>
          <w:lang w:bidi="fa-IR"/>
        </w:rPr>
        <w:t xml:space="preserve">أنجمن آثار ملّی ایران،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رضا المختاریّ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المؤتمر العالمیّ لألفیّة الشیخ المفید،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الحویزیّ العروسیّ </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p>
    <w:p>
      <w:pPr>
        <w:pStyle w:val="BookText"/>
        <w:rPr/>
      </w:pPr>
      <w:r>
        <w:rPr>
          <w:rFonts w:ascii="IRNazanin" w:hAnsi="IRNazanin" w:eastAsia="IRNazanin"/>
          <w:color w:val="111111"/>
          <w:sz w:val="28"/>
          <w:sz w:val="28"/>
          <w:szCs w:val="28"/>
          <w:rtl w:val="true"/>
          <w:lang w:bidi="fa-IR"/>
        </w:rPr>
        <w:t>الرسولیّ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الحکمة،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مجدالدین 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إسماعیلیان،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الوصول الی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برقم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الآستانة الرضویّة بمدینة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للإمام أمیرالمؤمنین علیه‌السلام، شرح الشیخ محمّد 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المعرفة للطباعة و النشر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الی تحصیل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الإسلامیّة، الطبعة الثالثة،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ابن خلّکان </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منشورات الرضیّ،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الیاقوت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نوبخت، أبوإسحاق النوبختیّ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آیه‌اللّه‌المرعشیّ،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لعماد الدین الحسن بن علیّ الطبریّ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محمّد بن یزید القزوینیّ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للحسین بن محمّد الدیاربکریّ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کاد أن یکون حدیث إخبار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بافتراق أمّته بعده، ممّا أجمع الفریقان علیه، فیبدو کونه متواتراً بالمعنی و إن تختلف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ینبغی البحث عنه هو جوابه صلوات اللّه علیه و آله فی ذیل الحدیث حینما سئل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هی الفرقة الناجیة ؟ فربّما یُدَّعی أ نّه قال فی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علیه و أصحابی، أو قال هی الجماعة أو الجماعات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النیسابوریّ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بین الفرق للبغدادیّ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روی من طرق الإمامیّة أ 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أیضاً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المتمسّک بما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شیعتک و أصحابک،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علیه الیوم و أهل بیتی،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اتّبعت وصیّ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التفصیل فی أمالی الشیخ المفید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لابن شاذان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فی الاعتقاد للشیخ الطوسیّ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افتراق الأمّة بعد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ثلاث و سبعین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إحقاق الحقّ للتستریّ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الشافی للشیخ الطوسیّ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 أصولها لمحمّد حسین کاشف الغطاء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لعلیّ بن إسماعیل الأشعریّ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الکتاب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لأبی جعفر محمّد بن جریر الطبریّ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لحسن إبراهیم حسن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للقاضی عبد الجبّار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مقدّمة ابن خلدون عبد الرحمن بن محمّد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لابن الأثیر الجزریّ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کذب المفتری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لأبی ریحان البیرونیّ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لجلال الدین السیوطیّ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لجلال الدین السیوطیّ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الصافی فی تفسیر القرآن للفیض الکاشانیّ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السادسة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الدین السیوطیّ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علم الحدیث لابن تیمیّة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لمحمّد بن أحمد شمس الدین الذهبیّ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لعلیّ بن حسام الدین الهندیّ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لمحمود أبی ریّة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بلفظه و معناه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أبی جعفر محمّد بن جریر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أحمد بن أبی یعقوب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بعد روایة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قد خرّجه الشیخان فی صحیحیهما، و اتّفق المحدّثون کافّة علی روایته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لمحمّد بن أحمد شمس الدین الذهبیّ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المسلمین و المشرکین لمحمّد بن عمر فخر الدین الرازیّ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یقرب منه ما فی الملل و النحل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لأبی سعید الحِمیریّ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التقاسیم للمقدسیّ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لجمال الدین بن منظور المصریّ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لمحمّد بن یعقوب الفیروزآبادیّ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و نظائره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الشافعیّ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لجعفر السبحانیّ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للقاضی عبد الجبّار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للشیخ المفید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الأهواء و النحل لابن حزم الأندلسیّ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خالف طلحة و الزبیر علی علیّ علیه‌السلام و أبَیا إلاّ الطلب بدم عثمان، فقَصَدهما لیقاتلهما حتّی یفیئا إلی أمر اللّه جلّ اسمه، سمّی علیّ مَن اتّبعه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شیعتی، و سمّاهم طبقة الأصفیاء، و طبقة الأولیاء، و طبقة شرطة الخمیس، و طبقة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 الأثر لابن الأثیر الجزریّ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لعماد الدین الطبریّ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للحسن بن موسی النوبختیّ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للسبحانیّ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للفضل بن الحسن الطبرسیّ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لعبد علیّ الحویزیّ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لمحمّد کرد علیّ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العلاّمة أسد حیدر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لمحمّد أبی زهرة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لکنّک عرفتَ آنفاً أنّ الشیعة کانوا متجاهرین بولائهم و تشیّعهم زمن النبیّ صلی‌الله‌علیه‌و‌آله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فرق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الفرق الإسلامیّة لمحمّد خلیل الزین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أنّ بذور هذه الفکرة التی جمعت حولها السواد الأعظم تکوّنتو ظهرت مقارنة لحرکة الخوارج أو قبیلها، کما یظهر علی من راجع النصوص التاریخیّة، و سنذکر شیئاً منها فیما یلی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لأبی الحسین الخیّاط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الإسلام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لمحمّد بن یعقوب الکلینیّ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للسبحانیّ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أحمد بن علیّ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الإسلامیّة لمحمّد جواد مشکور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لإسماعیل بن عمر بن کثیر الدمشقیّ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تعزیر عمر من ادّعی أنّ سرقته کانت بقضاء اللّه، فأمر به فقطعت یده و ضرب أسواطاً، فقیل له فی ذلک،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للسرقة و الجَلد لما کذب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ما یدلّ علی ذلک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الکلام للمؤلّف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بحار الأنوار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لمحمود بن عمر الزمخشریّ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الفرق الإسلامیّة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لشمس الدین الذهبیّ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الفرق الإسلامیّة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و التنبیه علی أهل الأهواء و البدع للملَطیّ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الکلام للقاضی شبلیّ نعمان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عن مقدّمة شرح الأصول الخمسة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الإسلامیّین لعبد الرحمن بدویّ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یَدَاهُ مَبْسُوطَتَانِ المائدة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للدکتور صبحی الصالح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ضحی الإسلام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الشیعة و أصولها مقدّمة التحقیق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بین المعتزلة و الأشاعرة فی تلک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لنصیر الدین الطوسیّ؛ ضمیمة تلخیص المحصّل لنفس المؤلّف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لعلیّ بن عیسی الإربلّیّ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هذا کلّه یبدو فی کثیر من موارد الاختلاف أنّ الذی یحدث الاختلاف أو یتعقّبه هو الجاهل لأجل جهله بالموضوع، فیناسب المقام ذکر کلام لأفلاطون،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لم یُصبه الناس فی کلّ وجوهه، و لا أخطأوه فی کلّ وجوهه، بل أصاب کلّ إنسان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ذلک عمیان انطلقوا إلی فیل و أخذ کلّ منهم جارحة منه، فمسّها بیده و مثّلها فی نفسه، فأخبر الذی مسّ الرِّجل أنّ خلقة الفیل طویلة مستدیرة شبیهة بأصل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الذی مسّ الظهر أنّ خلقة الفیل تشبه الهضبة العالیة و الرابیة 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الذی مسّ أُذُنه أ نّه منبسط دقیق یطویه و ینشره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واحد منهم قد أدّی بعض ما أدرک، و کلّ یکذّب صاحبه و یدّعی علیه الخطأ و الجهلَ فیما یصفه من خلقة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إلی الصدق کیف جمعهم، و انظر إلی الکذب و الخطأ کیف دخل علیهم حتّی فرقّهم ؟ تاریخ المذاهب الإسلامیّة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کذب المفتری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خطط المقریزیّ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ظهور للخلاف بین المسلمین حول القضاء و القدر کان فی مدینة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یسأل الإمام علیّا علیه‌السلام و هو علی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مسیرنا إلی صفّین أکان بقضاء اللّه و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لشبلیّ نعمان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أحمد بن علیّ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مقدّمة مروج الذهب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الفرق الإسلامیّة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الفرق الإسلامیّة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نجد کلام ابن هشام فی السیرة النبویّة، فاکتفینا بالحکایة عنه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لمحمّد رضا المظفّر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نهج البلاغة لابن أبی الحدید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الصدر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لعبد الحسین بن أحمد العلاّمة الأمینیّ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فیه سائر الأقوال فی هذا العدد قلّة و کثرة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لأحمد بن حجر الهیثمیّ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الجهاد و السیر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طَفِقتُ أرتَئِی بَینَ أن أصولَ بِیَدٍ جَذّاء أو أصبرَ علی طَخیةٍ عمیاء ، یَهرمُ فیها الکَبیرُ و یَشیبُ فیها الصغیرُ، و یَکدح فیها مُؤمنٌ حتّی یَلقی رَبَّهُ، فرأیتُ أنَّ الصبرَ علی هاتا أحجی ؛ فصَبرتُ و فی العَینِ قَذی و فی الحَلقِ 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بالشقشقیّة، شرح محمّد عبده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للحرّ العاملیّ </w:t>
      </w:r>
      <w:r>
        <w:rPr>
          <w:rFonts w:eastAsia="IRNazanin" w:cs="IRNazanin"/>
          <w:b w:val="false"/>
          <w:bCs w:val="false"/>
          <w:i w:val="false"/>
          <w:iCs w:val="false"/>
          <w:color w:val="333333"/>
          <w:sz w:val="20"/>
          <w:szCs w:val="20"/>
        </w:rPr>
        <w:t>19/338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مع علیّ یوم صفّین من أهل بدر سبعون رجلاً، و ممّن بایع تحت الشجرة سبع مائة رجل، و من سائر المهاجرین و الأنصار أربع مائة رجل، و لم یکن مع معاویة من الأنصار إلاّ النعمان بن بشیر و مسلمة بن مخلّد تاریخ الیعقوبیّ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قریب منه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الصلح بتمامه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للسیّد محسن الأمین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التشیّع نشأته و معالمه للسیّد هاشم الموسویّ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للعلاّمة أسد حیدر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الأصول و الفروع للکلینیّ، و من لا یحضره الفقیه للشیخ الصدوق، و الاستبصار و تهذیب الأحکام لشیخ الطائفة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فی عدد أصحابه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المحقّق القولَ فی هذه المرحلة التی کانت عصر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کثیرة فی شأن علیّ و شیعته، حکینا بعضها عن السیوطیّ و ابن حجر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أبی الخطّاب، و المغیرة بن سعید، و محمّد بن بشیر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لمحمّد بن عمر الکشّیّ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 أبا الحسن الأشعریّ یرید أن یشیر إلی تلک الحقیقة فی تسمیة کتابه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المسلمین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للشریف المرتضی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شأن السبأیّة و زعیمها المختَلق 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المعاصر السیّد مرتضی العسکریّ،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ابتدعتها السیاسة لعبد الواحد الأنصاریّ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للعلاّمة الحلّیّ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اختلاف الناس فی الأئمّة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الأهواء و النحل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کلّها فی نفس المصدر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الإسلامیّین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فخر الدین الرازیّ فی بلاد ما وراء النهر، إعداد فتح اللّه خلیف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لأحمد بن محمّد بن خلّکان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لمشاهیر علماء زنجان للشیخ موسی الزنجانیّ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زنجان للسیّد إبراهیم الزنجانیّ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للعلاّمة الأمینیّ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المنتظم الناصریّ لمحمّد حسن خان اعتماد السلطنة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الذریعة إلی تصانیف الشیعة لمحمّد محسن آغا بزرگ الطهرانیّ </w:t>
      </w:r>
      <w:r>
        <w:rPr>
          <w:rFonts w:eastAsia="IRNazanin" w:cs="IRNazanin"/>
          <w:b w:val="false"/>
          <w:bCs w:val="false"/>
          <w:i w:val="false"/>
          <w:iCs w:val="false"/>
          <w:color w:val="333333"/>
          <w:sz w:val="20"/>
          <w:szCs w:val="20"/>
        </w:rPr>
        <w:t>24/199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لعمر رضا کحّالة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لمحمّد حرز الدین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لمشاهیر علماء زنجان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الأدب فی النجف لمحمّد هادی الأمینیّ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معجم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بهذه الواقعة سماحة آیة اللّه عزّ الدین الزنجانیّ، و قد کان سماحته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خال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فی ذاک المجلس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لمشاهیر علماء زنجان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مستدرکات أعیان الشیعة للسیّد حسن الأمین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الأدب فی النجف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لآغا بزرگ الطهرانیّ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یبدو أنّ المراد منها حواشٍ و تعلیقات علی أوائل المقالات للشیخ المفید رضوان اللّه علیه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الکتاب الذی بین یدی القارئ الکریم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کثیراً من ملامح سیرته و حیاته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مراجعة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سماحة الأستاذ آیة اللّه السیّد عزّ الدین الزنجانیّ عندما زرنا سماحته لتحصیل معلومات فی الموضوع، إذ هو ابن خال المؤلّف ؛، فنشکر الأستاذ دام ظلّه علی بذل هذه المعلومات و نرجو اللّه تعالی له دوام برکاته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الرجل من بیت فضل و شرف، و کان أحد القضاة فی وزارة العدل الإیرانیّة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لشیخ الإسلام المؤلّف ولد مثقّف اسمه الدکتور جواد شیخ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شطراً یسیراً عن حیاة والده الفقید، ورد فی مقدّمة کتاب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لمشاهیر و علماء زنجان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لمشاهیر و علماء زنجان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مستدرکات أعیان الشیعة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المؤلّف الجزء الأوّل منه فقط، و قد اشتغلتُ بتحقیقه و التعلیق علیه مع الزملاء فی قسم الکلام بمجمع البحوث الإسلامیّة فی المشهد الرضویّ، و طُبع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اتّحاده مع الرقم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عدّهما فی مؤلّفات المؤلّف، صاحب أعیان الشیعة </w:t>
      </w:r>
      <w:r>
        <w:rPr>
          <w:rFonts w:eastAsia="IRNazanin" w:cs="IRNazanin"/>
          <w:b w:val="false"/>
          <w:bCs w:val="false"/>
          <w:i w:val="false"/>
          <w:iCs w:val="false"/>
          <w:color w:val="333333"/>
          <w:sz w:val="20"/>
          <w:szCs w:val="20"/>
        </w:rPr>
        <w:t>8/407</w:t>
      </w:r>
      <w:r>
        <w:rPr>
          <w:rFonts w:ascii="IRNazanin" w:hAnsi="IRNazanin" w:eastAsia="IRNazanin"/>
          <w:b w:val="false"/>
          <w:b w:val="false"/>
          <w:bCs w:val="false"/>
          <w:i w:val="false"/>
          <w:i w:val="false"/>
          <w:iCs w:val="false"/>
          <w:color w:val="333333"/>
          <w:sz w:val="20"/>
          <w:sz w:val="20"/>
          <w:szCs w:val="20"/>
          <w:rtl w:val="true"/>
        </w:rPr>
        <w:t xml:space="preserve">؛ و مستدرکات الأعیان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لأوّل مرّة بتحقیق میرزا عبّاس قلی الچرندابیّ، و أخری بإصدار المؤتمر العالمیّ بمناسبة الذکری الألفیّة لوفاة الشیخ المفید بقمّ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فی تآلیف المؤلّف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لمشاهیر علماء زنجان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الأدب فی النجف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کتابهای چاپی و عربی خانبابا مشار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خاندان نوبختی 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 المقدّمة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 أصولها لمحمّد حسین کاشف الغطاء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تأکید علی أنّ أبا الأسود الدؤلیّ و أبا مسلم بن معاذ و الخلیل بن أحمد و أبا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مؤسّسون لعلم النحو، و الصرف، و اللّغة، و العروض، و علم الحدیث، کما أنّ ابن أبی رافع و أخاه کانا أوّل من کتب فی اللّغة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 فنون الإسلام للعلاّمة السیّد حسن الصدر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تفوّه به صاحب فجر الإسلام عند ذکر الشیعة، 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 أنّ التشیّع کان مأویً یلجأ إلیه کلّ من أراد هدم الإسلام لعداوة أو حقد، و من یرید إدخال تعالیم آبائه، من یهودیّة و نصرانیّة و زرادشتیّة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التشیّع ظهر القول بتناسخ الأرواح و تجسیم اللّه و الحلول، و نحو ذلک من الأقوال التی کانت معروفة عند البراهمة و الفلاسفة و المجوس قبل الإسلام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لمحمّد بن یعقوب الفیروز آبادیّ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لسان العرب لجمال الدین ابن منظور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لفضل بن الحسن الطبرسیّ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غلب هذا الاسم علی من یتوالی علیّا و أهل بیته رضوان اللّه علیهم أجمعین حتّی صار لهم اسما خاصّا، فإذا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أنّه منهم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لمحمّد بن محمّد بن النعمان الشیخ المفید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البحث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إلی الرئیس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التوقیف و التعیین علی شیء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الإظهار و الإبانة، و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اللفظ الذی لا یحتمل غیر ما فُهم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الطالبین إلی نهج المسترشدین للمقداد بن عبد اللّه السیوریّ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بعض النصوص علی إمامة علیّ علیه‌السلام بلا فصل بعد الرسول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لمحمّد بن إسماعیل البخاریّ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باب مناقب علیّ بن أبی طالب؛ مسند أحمد بن محمّد بن حنبل الشیبانیّ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الکافی فی الأصول و الفروع لمحمّد بن یعقوب الکلینیّ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رسالة النصّ علی علیّ علیه‌السلام لمحمّد بن محمّد الشیخ المفید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رسالة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الجارودیّة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فیها ما اتّفقت الجارودیّة فیه مع الإمامیّة و ما اختلفت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الفصول المختارة لعلیّ بن الحسین الشریف المرتضی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فی مصادیق النصّ الجلیّ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لعلیّ بن الحسین الشریف المرتضی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تلخیص الشافی لمحمّد بن الحسن الشیخ الطوسیّ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رسول اللّه صلی‌الله‌علیه‌و‌آله بالنصّ علی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إمامة أخیه من قبله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ابنای هذان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دلّت وصیّة الحسن علیه‌السلام إلیه علی إمامته، کما دلّت وصیّة أمیر المؤمنین إلی الحسن علی إمامته بحسب ما دلّت وصیّة رسول اللّه صلی‌الله‌علیه‌و‌آله إلی أمیر المؤمنین علیه‌السلام علی إمامته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 الفرق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مروج الذهب لعلیّ بن الحسین المسعودیّ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الملل و النحل لمحمّد بن عبد الکریم الشهرستانیّ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یشعر به تحیّر أبی جریر القمّیّ فی أمر الصادق علیه‌السلام، و سؤاله أبا الحسن الکاظم علیه‌السلامو حلف الإمام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مقالة الناووسیّة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المفید رحمه‌الله أکّد انقراض هذه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السمیطیّة، و الشمطیّة، و الشمیطیّة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لتقیّ الدین أحمد بن علیّ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الإسلامیّة لشریف یحیی الأمین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 انقراضهم المفید فی الفصول المختارة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النصّ علی إمامة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لا سیّما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الوقف بکلا معنییه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کتاب الغیبة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لأجلهاالمعجزات المشهودة عن الرضا علیه‌السلام رجع جماعة من القول بالوقف، مثل عبد الرحمن بن الحجّاج و رفاعة بن موسی و یونس بن یعقوب و جمیل و حمّاد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رجال الواقفة مَن لم یثبت رجوعهم عن الوقف و لیس لهم عناد، مثل زیاد بن مروان القندیّ و علیّ بن أبی حمزة البطائنیّ اللذَین کانا أوّل من أظهر هذا الاعتقادکتاب الغیبة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بقی علی الوقف معاندا و مات زندیقا، مثل حمزة بن بزیع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قائمة رجال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لتقیّ الدین الحسن بن علیّ الحلّیّ، القسم الثانی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بعض النصوص علیه و علی أبیه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أیضا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علی أبی الحسن الثالث و أبی محمّد علیهماالسلام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المقالتین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النصوص علیه من آبائه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لمحمّد بن علیّ الحسین الشیخ الصدوق، أبواب نصّ النبیّ و الأئمّة صلوات اللّه علیه و علیهم علی وقوع الغیبة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عزّ الدین عبد الحمید بن محمّد المعتزلیّ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لأبی جعفر محمّد بن جریر الطبریّ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الحسن علیّ بن محمّد أبی السیف المدائنیّ فی کتاب الأحداث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معاویة نسخة واحدة إلی عمّاله بعد عام الجماعة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الذمّة ممّن روی شیئا من فضل أبی تراب و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الخطباء فی کلّ کورة و علی کلّ منبر یلعنون علیّا و یبرأون منه، و یقعون فیه و فی آل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أشدّ الناس بلاءً حینئذٍ أهل الکوفة، لکثرة مَن بها مِن شیعة علیّ علیه‌السلام، فاستعمل علیهم زیاد بن سمیّة، و ضمّ إلیه البصرة، فکان یتتبع الشیعة و هو بهم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 تحت کلّ حجر و مدر، و أخافهم و قطع الأیدی و الأرجل و سَمَل العیون و صلبهم علی جذوع النخل، و طردهم و شرّدهم عن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بها معروف منهم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و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لعلیّ بن الحسین الإصفهانی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الأحداث التی انتهت بمقتل علیّ علیه‌السلاممُنازَعا عن خلافته الحقّة، و فشل جیش الحسن علیه‌السلام فی محاربة معاویة، إلی أن سُمّ بتدبیر من معاویة، و آل الأمر إلی وقعة الطفّ التی قال فیها الشاعر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الکامل فی التاریخ لعلیّ بن أبی الکرم محمّد، ابن الأثیر الجزریّ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وصیّة الصادق علیه‌السلام إلی خمسة، أحدهم أبو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التفصیل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لمحمّد باقر بن محمّد تقیّ، العلاّمة المجلسیّ </w:t>
      </w:r>
      <w:r>
        <w:rPr>
          <w:rFonts w:eastAsia="IRNazanin" w:cs="IRNazanin"/>
          <w:b w:val="false"/>
          <w:bCs w:val="false"/>
          <w:i w:val="false"/>
          <w:iCs w:val="false"/>
          <w:color w:val="333333"/>
          <w:sz w:val="20"/>
          <w:szCs w:val="20"/>
        </w:rPr>
        <w:t>47/262</w:t>
      </w:r>
      <w:r>
        <w:rPr>
          <w:rFonts w:ascii="IRNazanin" w:hAnsi="IRNazanin" w:eastAsia="IRNazanin"/>
          <w:b w:val="false"/>
          <w:b w:val="false"/>
          <w:bCs w:val="false"/>
          <w:i w:val="false"/>
          <w:i w:val="false"/>
          <w:iCs w:val="false"/>
          <w:color w:val="333333"/>
          <w:sz w:val="20"/>
          <w:sz w:val="20"/>
          <w:szCs w:val="20"/>
          <w:rtl w:val="true"/>
        </w:rPr>
        <w:t>، و فیه قصّة تحیّر بعض الشیعة بعد وفاة الصادق علیه‌السلام، فقد خرجوا من عند عبد اللّه الأفطح،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فقعدنا فی بعض أزقّة المدینة باکین حَیاری، فنحن کذلک إذ رأیت رجلاً شیخا لا أعرفه یؤمی إلیّ بیده، فخِفتُ أن یکون عینا من عیون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ذلک أنّه کان له بالمدینة جواسیس ینظرون علی من اتّفق شیعة جعفر علیه الصلاة و السلام فیضربون عنقه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باب الأمور التی توجب حجّة الإمام علیه‌السلام، و فیه سبعة أحادیث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أبواب الإشارة و النصّ علی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أبی محمّد و صاحب الدار علیهم‌السلام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ذلک من مراجعة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دلالات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عیون أخبار الرضا لمحمّد بن علیّ بن الحسین الشیخ الصدوق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کتاب الغیبة للطوسیّ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یونس بن عبدالرحمن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أبوالحسن علیه‌السلام، و لیس من قوّامه أحد إلاّ و عنده المال الکثیر، و کان سبب وقفهم و جحودهم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رأیت ذلک و تبیّن الحقّ و عرفت من أمر أبیالحسن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علیه‌السلامما علمت، تکلّمت و دعوت الناس إلیه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البغدادیّ للشیعة الإمامیّة خمس عشرة فرقة، کما أنّ صاحب الملل و النحل ادّعی أکثر من ثلاثین فرقة لهم، منشعبة من خمس فرقٍ کبار، أی الکیسانیّة و الزیدیّة و الغالیة و الإسماعیلیّة و الإمامیّة، و الحال أنّ أکثرها مختلق، أو لم یکن علی حدّ وصف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لعبد القاهر بن طاهر أبی منصور البغدادیّ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مذاهب ابتدعتها السیاسة لعبد الواحد الأنصاریّ، المقدّمة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 الفرق المنتسبة إلی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للحسن بن علیّ عماد الدین الطبریّ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بیان الأدیان لمحمّد بن عبد اللّه أبی المعالی العلویّ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بها الزیدیّة و الإمامیّة و الواقفیّة و الإسماعیلیّة الباقین إلی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رحمه‌الله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نقلاً عن فرق الشیعة للنوبختیّ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لعلیّ بن الحسین الشریف المرتضی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فی أسماء مؤلّفی الشیعة و مؤلّفاتهم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للسیّد محسن بن عبد الکریم الأمین العاملیّ فی أکثر من عشر مجلّدات؛ و الذریعة إلی تصانیف الشیعة لمحمّد محسن بن علیّ آغا بزرگ الطهرانیّ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لمحمّد بن الحسن نصیر الدین الطوسیّ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مناهج الیقین للحسن بن یوسف بن المطهّر العلاّمة الحلّیّ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الفِصَل فی الأهواء و النحل لعلیّ بن أحمد ابن حزم الأندلسیّ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مذاهب ابتدعتها السیاسة لعبد الواحد الأنصاریّ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اعلیّ و بنوه للدکتور طه حسین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الفکرة الإسماعیلیّة إبهامات من ناحیة أصلها و منشئها و عقائدها، و دعاتها و أئمّتها و فرقها؛ بحیث لم تتبیّن بعض تلک المسائل حتّی الیوم للمختصّین بتاریخ الإسماعیلیّة من المستشرقین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الفخریّ فی الآداب السلطانیّة لمحمّد بن علیّ بن طباطبا بن الطقطقیّ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فضل بنی هاشم للجاحظ، بنقل المؤلّف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نسخة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لمحمّد بن أحمد شمس الدین الذهبیّ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نشأة الفکر الفلسفیّ فی الإسلام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لأحمد بن أبی یعقوب بن واضح الکاتب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تلخیص المحصّل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حاله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فی الهامش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المحصّل لمحمّد بن عمر فخر الدین الرازیّ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الفصل فی الأهواء و النحل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قیامه إلی نهایة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الأغانی لأبی الفرج علیّ بن الحسین الإصبهانیّ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لأبی عبد اللّه یاقوت بن عبد اللّه الحمویّ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المقدّمة لعبد الرحمن بن محمّد ابن خلدون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المحصّل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مذاهب ابتدعتها السیاسة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واضحة فی الأصل، و الظاهر ما أثبتناه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حالاتهم و ترجمتهم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الفخریّ فی الآداب السلطانیّة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تفصیل مقالتهم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مقالات الإسلامیّین لعلیّ بن إسماعیل أبی الحسن الأشعریّ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تلخیص المحصّل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 فصل إبطال دعوة الکیسانیّة؛ فإنّ الشیخ المفید رحمه‌الله أورد بعض تلک الروایات التی روتها نقلة الآثار عن النبیّ صلی‌الله‌علیه‌و‌آله فی حقّ المهدیّ علیه‌السلام، و لکن زعمت هذه الطائفة أنّ محمّد بن الحنفیّة هو المهدیّ فی قوله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تنقضی الأیّام و اللیالی حتّی یبعث اللّه عزّ وجلّ رجلاً من أهل بیتی، اسمه اسمی و کنیته کنیتی و اسم أبیه اسم أبی، یملأ الأرض قسطا و عدلاً کما ملئت ظلما و جورا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ترجمة السیّد و فی 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الأدیان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تبصرة العوامّ للسیّد مرتضی بن الداعی الحسنیّ الرازیّ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النقض لعبد الجلیل بن نصیر الدین القزوینیّ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الفصل فی الأهواء و الملل، النحل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الزیدیّة، المنسوب للصاحب بن عبّاد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مقالات الإسلامیّین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تلخیص المحصّل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الزیدیّة، المنسوب للصاحب بن عبّاد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المحصّل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شرح المواقف لعلیّ بن محمّد الشریف الجرجانیّ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لأحمد بن یحیی بن المرتضی الیمانیّ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المغنی فی أبواب التوحید و العدل للقاضی عبد الجبّار الهمدانیّ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المؤلّف رحمه‌الله هذه الحکایة عن کتاب المنیة و الأمل للیمنیّ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بعض ما حکی عن البلخیّ؛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الأدیان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الإسلامیّة لمحمّد جواد مشکور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نقلاً عن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المثبت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أسرار الباطنیّة و أخبار القرامطة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فی مناقب أئمّة الزیدیة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الإسلامیّة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مسألة التصویب ربّما یبحث عنها عند المتکلّمین، فتصیر مسألة کلامیّة، من 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المعتقدین للشیء باعتقادات متنافیة لایجوز کونهم بأجمعهم مصیبین، کالمعتقدین أنّ اللّه سبحانه یُری فی بعض الحالات، و المعتقدین أنّه لا یُری بحال المعتمد فی أصول الفقه لمحمّد بن علیّ أبی الحسین البصریّ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للمقبلیّ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فی الأصول فیرون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المعتزلة حذو القذّة بالقذّة، و یعظّمون أئمّة الاعتزال أکثر من تعظیمهم أئمّة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الفکر الفلسفیّ فی الإسلام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السالف ذکرها،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تلبیس إبلیس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ترجمة عبد اللّه بن جعفر و منزلته عند أبیه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فی الغیبة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کلّهم قائمون بأمر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لمحمّد بن عمر الکشّیّ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48/266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 المؤلّفی الواقفیّة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لأحمد بن علیّ النجاشیّ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و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مَن طُعن فیهم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الردود علی الواقفیّة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تعریف الغلوّ و الغلاة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السبائیّة و ماهیّة زعیمها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لأحمد بن علیّ، ابن حجر العسقلانیّ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 و أسطورته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مرتضی العسکریّ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العراق أعدل أرض اللّه هواءً و أصحّها مزاجا و ماءً، فلذلک کان أهل العراق هم أهل العقول الصحیحة و الآراء الراجحة و الشهوات المحمودة و الشمائل الظریفة و البراعة فی کلّ صناعة، مع اعتدال الأعضاء و استواء الأخلاط و سمرة الألوان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ترجمتهم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خاندان نوبختی لعبّاس إقبال الآشتیانیّ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لغت نامه دهخدا، علی أکبر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موضع یقال له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مسکن ملوک العرب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سمّیت الحیرة لأنّ تُبّعا لمّا أقبل بجیوشه فبلغ موضع الحیرة ضلّ دلیله و تحیّر، فسمّیت 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مکانها من أطیب البلاد و أرقّه هواء و أخفّه ماء و أعذاه تربة و أصفاه 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لعبد اللّه بن عبد العزیز البکریّ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اسم لبلد بجنب الکوفة ینزلها نصاری العِباد، أو هی البلد القدیم بظهر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عبد اللّه بن مسلم الدینوریّ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مقالات الإسلامیّین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الحور العین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للنعمان بن محمّد، أبی خلیفة التمیمیّ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من المصدر، و هو بیاض فی الأصل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مقالات الإسلامیّین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الأهواء، و الملل و النحل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الأهواء و الملل و النحل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المصادر المصرّحة بقصّة قتله مع أصحابه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یُلاحظ تفصیل فِرَقها هناک، فی الهامش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الغیبة للطوسیّ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رحمه‌الله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یراجع فی تفصیل مذهبه إلی کتب الطوسیّ، و البغدادیّ، و ابن الأثیر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مزید الکلام فی الفصل التالی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للشیخ المفید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أشباح الخمسة أصحاب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رحمه‌الله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العکبریّة لمحمّد بن محمّد بن نعمان الشیخ المفید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للمخمّسة معنیً آخر مذکور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للمیرزا محمّد بن علیّ الإسترابادیّ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عند الغلاة لعنهم اللّه تعالی أنّ سلمان الفارسیّ و المقداد و عمّار و أبا ذرّ و عمر بن أمیّة الضمریّ هم الموکّلون بمصالح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الإسلامیّة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مؤدّاهما فی کشف المراد للحسن بن یوسف بن المطهّر العلاّمة الحلّیّ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ذلک من اتّصال الشلمغانیّ بالمحسّن بن الفرات عند وزارة أبیه، و اتّباع وزیر المقتدر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أنّه یخرج العلم و الفتاوی إلی الناس بواسطتهم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رحمه‌الله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ابن أبی العزاقر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المؤلّف رحمه‌الله عند ذکر المغیرة بن سعید العجلیّ أنّه کان ممّن یکذب علی الأئمّة علیهم‌السلام و یدسّ الکفر و الزندقة فی کتب الشیعة، ثمّ یردّها إلی أصحابه و یأمرهم أن یبثّوها بین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المؤلّف عند ذکر مقالات الغلاة؛ منها القول بالتناسخ و الحلول نقل کلام عن النوبختیّ مناسب للمقام،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الکیسانیّة و العبّاسیّة و الحارثیّة کان بدء الغلوّ فی القول بأنّ الأئمّة آلهة و أنّهم رسل و أنّهم 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تکلّموا بالأظلّة، و فی التناسخ فی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القول بالدّور فی هذه الدار و إبطال القیامة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أمر عبد اللّه بن الحارث مشتبها من 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اسم أبیه أهو الحارث أو عمر بن الحارث؟ و من ناحیة نسبه أهو مخزومیّ أم لا، و هل هو من أصحاب أمیر المؤمنین و کان أخا لمالک الأشتر أو من أصحاب الإمام الکاظم علیه‌السلام؟ و من ناحیة ثالثة غیر واضح أنّه کان من المذمومین أم لا؟ نعم، نقل کثیر من مصنّفی کتب الرجال روایةَ الکشّیّ عن برید العجلیّ عن أبی عبد اللّه علیه‌السلام أنّ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اُنَبِّئُکُمْ عَلی مَنْ تَنَزَّلُ 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سبعة هو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مزید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تنقیح المقال لعبد اللّه المقامقانیّ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خلاصة الرجال للحسن بن یوسف بن المطهّر العلاّمة الحلّیّ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خلاصة الأقوال فی علم الرجال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تعلیقات الآغا محمّد باقر البهبهانیّ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الطیّارة و من أهل الارتفاع، أنّه کان غالیاً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أحمد بن محمّد بن خالد، المقدّمة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لمحمّد بن علیّ بن الحسین الصدوق ابن بابویه القمّیّ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الإمامیّة لمحمّد بن محمّد بن النعمان الشیخ المفید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لعلیّ بن میثم البحرانیّ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الملکوت فی شرح الیاقوت للحسن بن یوسف بن المطهّر، العلاّمة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إرشاد الطالبین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تلخیص المحصّل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إرشاد الطالبین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لجمیع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تلخیص المحصّل، قواعد العقائد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الیاقوت فی علم الکلام لإبراهیم بن نوبخت أبی إسحاق النوبختیّ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رسالة الإمامة لنصیر الدین الطوسیّ، المطبوعة مع تلخیص المحصّل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و الإرشاد للمفید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الدلائل علی إمامة الأئمّة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الیاقوت فی علم الکلام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الإمامیّة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النکت الاعتقادیّة لمحمّد بن محمّد بن النعمان الشیخ المفید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النکت الاعتقادیّة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تعاریف الإمامة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الکلامیّة، إعداد قسم الکلام و الفلسفة فی مجمع البحوث الإسلامیّة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النصوص التی تمسّک بها الإمامیّة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یوم الدار، نصّ المنزلة، نصّ المواخاة، نصّ الوراثة، نصّ الوصیّة، نصّ الغدیر، نصّ سدّ الأبواب و نصوص أخر فی فضائل علیّ علیه‌السلام من القرآن و السنّة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لعبد اللّه بن مسلم بن قتیبة الدینوریّ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فضل الأنصار و دعواهم الخلافة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أنوار الملکوت فی شرح الیاقوت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لعلیّ بن الحسین الشریف المرتضی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الألفین للحسن بن یوسف بن المطهّر، العلاّمة الحلّیّ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الألفین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الشافی فی الإمامة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الذخیرة فی علم الکلام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تلک النصوص فی صحیح البخاریّ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معنی النصّ بقسمَیه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المصطلحات الکلامیّة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لأحمد بن عبد اللّه أبی نعیم الإصبهانیّ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 مصادره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إعلام الوری لفضل بن الحسن الطبرسیّ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انظر مؤدّاه فی مسند أحمد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المستدرک علی الصحیحین لمحمّد بن عبد اللّه الحاکم النیسابوریّ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و تلخیص الشافی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خلف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الفرق الشیعیّة، و هی فرقة علیّ بن أبی طالب علیه‌السلامالمسمَّون بشیعة علیّ فی زمان النبیّ صلی‌الله‌علیه‌و‌آلهو بعده، معروفون بانقطاعهم إلیه و القول بإمامته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خفیّ أنّ مشاهیر علماء المسلمین من محدّثین و مفسّرین و غیرهم یصرّحون بأنّ الشیعة هم أتباع علیّ علیه‌السلامو أهل البیت، و أنّ الرسول صلی‌الله‌علیه‌و‌آله هو الذی سمّی أتباع علیّ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 بأنّ التشیّع وُلِد بعد وفاته صلی‌الله‌علیه‌و‌آله یوم انعقاد السقیفة، حیث اجتمع عدد بارز من الصحابة فی بیت علیّ علیه‌السلامحوله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مقالات الإسلامیّین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إلاّ أحقاد بدریّة و خیبریّة و حنینیّة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 بعضها القرآن حینما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اَفَئِنْ مَاتَ اَوْ قُتِلَ انْقَلَبْتُمْ عَلی اَعْقابِکُمْ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و أشار إلی بعضها أمیر المؤمنین علیه‌السلام فی خطبته الشقشقیّة، و صرّح ببعضها عمر نفسه فی ما جری بینه و بین ابن عبّاس، و ناجَی المغیرة و أبا 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القصّتین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أخبار السقیفة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السقیفة؛ شرح نهج البلاغة لابن أبی الحدید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النقض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المقالات و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اتّفق لجماعة من الصحابة و علماء الشیعة مواقف و احتجاجات، و خاصّة مناشدات أمیر المؤمنین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الشیخ محمّد عبده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رسالة النصّ علی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هی صورة مناظرة دارت بین الشیخ المفید و الباقلاّنیّ، و 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لتقیّ الدین أبی الصلاح الحلبیّ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معاویة أمر الناس بالعراق و الشام و غیرهما بسبّ علیّ علیه‌السلام و البراءة منه، و خطب بذلک علی منابر الإسلام و صار ذلک سنّة فی أیّام بنی أمیّة، إلی أن قام عمر بن عبد العزیز، فأزاله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تلک النصوص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کشف الیقین للعلاّمة الحلّیّ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المراجعات لشرف الدین، و غیرها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أنوار الملکوت فی شرح الیاقوت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فی علم الکلام لعلیّ بن أحمد سیف الدین الآمدیّ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وجوب عصمة الإمام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الیاقوت فی علم الکلام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إرشاد الطالبین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إرشاد الطالبین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 اللّه عزّ و جلّ و رسوله علی الأئمّة واحدا فواحدا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إرشاد الطالبین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إحقاق الحقّ للقاضی نور اللّه التستریّ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قول بعض العامّة فی عدم ولادة المهدیّ علیه‌السلام و الردّ علیه‌السلام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Pr>
        <w:t>7/200</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للشیخ جعفر السبحانیّ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منتخب الأثر للشیخ لطف اللّه الصافیّ الگلپایگانیّ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 السیوطیّ فی تاریخ الخلفاء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نقل نصوص عن النبیّ صلی‌الله‌علیه‌و‌آلهبکون عدد الأئمّة أو الخلفاء بعده اثنی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ببیان ما هو المراد بالاثنی عشر خلیفة، فحکی عن القاضی عیاض أنّ المراد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اجتمعت الأمّة علیه و کونهم فی زمن عزّة الخلافة و قوّة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طبّقهم السیوطیّ علی الخلفاء الأربعة و معاویة عند صلح الحسن بن علیّ و یزید بن معاویة و عبد الملک و أولاده الأربعة، و الولید بن یزید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کشف المراد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علیّ بن الحسین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نصّ النبیّ صلی‌الله‌علیه‌و‌آله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أخبار المهدیّ لعبّاد بن یعقوب المتوفّی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أخبار المهدیّ للجلّودیّ المتوفّی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أخبار المهدیّ علیه‌السلام مذکورة أیضا فی صحیح البخاریّ و مسند أحمد المؤلَّفَین قبل ولادته علیه‌السلام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أنّه قال عبد العظیم الحسنیّ لمحمّد بن علیّ بن موسی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لأرجو أن تکون القائم من أهل بیت محمّد الذی یملأ الأرض قسطا و عدلاً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 ما منّا إلاّ و هو قائم بأمر اللّه عزّ و جلّ و هادٍ إلی دین اللّه، و لکنّ القائم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سمیّ رسول اللّه و 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أنّ المؤلّف رحمه‌الله ما وفّق لإعداد هذا القسم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وسائل الشیعة لمحمّد بن الحسن الحرّ العاملیّ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نفی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تصحیح اعتقاد الإمامیّة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 فی نفی التشبیه و التجسیم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إشارات إلی هذه التهمة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 خاصّة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لعبد الرحیم بن محمّد الخیّاط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عندنا أنّه تخرّصٌ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غلط ممّن قلّدهم فیه فحکاه بعض الشیعة 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لمحمّد بن علیّ بن الحسین الشیخ الصدوق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نفی الجبر و التفویض، و الرؤیة، الکافی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إبطال الرؤیة و الجبر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لمحمّد بن الحسن الشیخ الطوسیّ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اللآلئ المصنوعة فی الأحادیث الموضوعة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للخیّاط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نظریّات علم الکلام عند المفید لمارتن مکدرموت، تعریب علیّ هاشم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للحسین بن محمّد الراغب الإصبهانیّ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المسائل العکبریّة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لمحمود بن عمر الزمخشریّ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الصفة بغیر ما وصف به نفسه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للرازیّ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تلخیص المحصّل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یَدُ اللّه‌ِ مَغْلُولَةٌ غُلَّتْ اَیْدیهِمْ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للصدوق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رُوی عن أحدهما علیهماالسلام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اللّه بشیء 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نبیّا قطّ إلاّ بتحریم الخمر و أن یقرّ للّه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الانتصار للخیّاط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المحصّل للرازیّ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الإمامیّة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کتاب التوحید للصدوق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المسائل العکبریّة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الأهواء و الملل و النحل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إعجاز القرآن لمصطفی صادق الرافعیّ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للشیخ المفید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لمحمّد بن الحسن الشیخ الطوسیّ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البیان فی تفسیر القرآن للسیّد أبی القاسم الخوئیّ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لعبد الرحمن بن أبی بکر جلال الدین السیوطیّ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رسائل الشریف المرتضی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فرق الشیعة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ضحی الإسلام لأحمد أمین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ابن تیمیّة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معتزلیّ جهمیّ، و لیس کلّ جهمیّ معتزلیّا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الکلامیّةالإسلامیّة للدکتور علیّ عبد الفتّاح المغربیّ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منهاج السنّة لأحمد بن عبد الحلیم ابن تیمیّة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أحیاناً یلقّب المعتزلة بالجهمیّة، لأنّ المعتزلة وافقوا الجهمیّة فی نفی الصفات عن اللّه و فی خلق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کتاب الردّ علی الجهمیّة للإمام أحمد بن حنبل المطبوع فی ضمن عقائد السلف باهتمام علیّ سامی النشّار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فقهاء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العضّ بالأسنان فبالضاد، و إلاّ فبالظاء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بمعنی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المحیط لبطرس البستانیّ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حکایةً عن کتاب الآراء والدیانات؛ شرح نهج البلاغة لابن أبی الحدید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بالأثریّة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المتمسّکین بظواهر الخبر و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المؤلّف</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الدیانة لعلیّ بن إسماعیل الأشعریّ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للصدوق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لمحمّد بن علیّ الکراجکیّ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لأحمد بن علیّ الخطیب البغدادیّ </w:t>
      </w:r>
      <w:r>
        <w:rPr>
          <w:rFonts w:eastAsia="IRNazanin" w:cs="IRNazanin"/>
          <w:b w:val="false"/>
          <w:bCs w:val="false"/>
          <w:i w:val="false"/>
          <w:iCs w:val="false"/>
          <w:color w:val="333333"/>
          <w:sz w:val="20"/>
          <w:szCs w:val="20"/>
        </w:rPr>
        <w:t>13/409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خلاصة المقال فی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رجال الطوسیّ أبی جعفر محمّد بن الحسن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أبواب التوحید و العدل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الانتصار للخیّاط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خاندان نوبختی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الإمامة لمحمّد بن محمّد بن النعمان الشیخ المفید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2/281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للأشعریّ؛ الفرق بین الفرق للبغدادیّ؛ الملل و النحل للشهرستانیّ؛ اعتقادات الفرق المسلمین و المشرکین لفخر الدین الرازیّ؛ الفصل لابن حزم الأندلسیّ؛ المقالات و الفرق للأشعریّ القمّیّ؛ فرق الشیعة للنوبختیّ، فإنّها متفاوتة موضوعاً و أسلوباً و تحقیقاً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بین الکتابین فیما تعرّضا له من آراء النظّام و غیره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مثلاً عند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روافض الکوفة موصوفون بالغدر و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فخر الدین الرازیّ فی بلاد ما وراء النهر، إعداد فتح اللّه خلیف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الشهرستانیّ نقل مذاهب الفرق الإسلامیّة من ذلک الکتاب، فلهذا السبب وقع الخلل فی نقل هذه المذاهب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المؤلّف رحمه‌الله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تعرّضه لنفس المسألة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الشهرستانیّ</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خطبة الکتاب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حکینا عن الشهرستانیّ مناظرة هشام بن الحکم لأبی الهذیل و قوله إلزاما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جسم لا کالأجسام و صورة لا کالصورَ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 و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البدع و الرأی و المقائیس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حکایة طعن المخالفین علی شیوخ الإمامیّة و 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لمحمّد بن الحسن الشیخ الطوسیّ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فأمسکتُ یدی حتیّ رأیتُ راجعةَ الناس قد رجعت عن الإسلام، یدعون إلی محق دین محمّد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شارح نهج البلاغة فصلاً من کتابه بذکر مطاعن عمر؛ من قلّة علمه، و أمره برجم حامل و مجنونة، و تفضیله فی عطاء الأزواج، و تعطیله حدّ اللّه فی المغیرة، و تلوّنه فی القضاء و الأحکام، و نهیه عن المتعتَین، و قصّته فی الشوری، و إبداعه فی الدین ما لایجوز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من بدعه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التراویح، و عمله فی الخراج، و ترتیب الجزیة ممّا خالف نصّ الکتاب أو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التعرّض لکلّ واحد منها حکی جواب قاضی القضاة عنه، و جواب السیّد المرتضی عن الجوابات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الکلام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علیه‌السلام فی وصف بیعته بالخلافة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بَسَطتُم یَدی فکَفَفتُها، و مَدَدتُموها فقَبَضتُها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الشیخ محمّد عبده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من کلام له علیه‌السلام کلّم به طلحة و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کانت لی فی الخلافة رغبةٌ و لا فی الولایة إربَةٌ، و لکِنَّکم دعوتمونی إلیها و حَمَلتمونی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قسم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دَعُونی و التَمِسوا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قسم الخطب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لجعفر مرتضی العاملیّ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علیه‌السلاملم یستطع أن یعزل شریحاً، و قد أتی علیه أهل الکوفة، و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تعزله لأ نّه منصوب من قِبَل عمر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لمحمّد بن عثمان الذهبیّ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معالم المدرستین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أیُّها الناسُ، فأنا فَقأتُ عینَ الفتنة و لم یَکُن لیَجرأ علیها أَحدٌ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بشرح الشیخ محمّد عبده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قسم الخطب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علیّ علیه‌السلام إلی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فإنّا کنّا نحن و أنتم علی ما ذکرتَ من الألفة و الجماعة، ففرّق بیننا و بینکم أمسِ أنّا آمنّا و کفرتم، والیوم أنّا استقمنا و فُتِنتم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قسم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أحسن کلام أسد حیدر فی هذا المقام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ذنب علیّ علیه‌السلام إلاّ أنّه علی الحقّ و معاویة علی الباطل، فعداء معاویة لعلیّ عداوة جوهریّة یستحیل تحویلها؛ هی عداوة الشرّ للخیر و الخبیث للطیّب، و الباطل للحقّ و الکفر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أعثم الکوفیّ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کتاب الأحداث للمدائنیّ و المؤلّف رحمه‌الله بعد أن حکی کلامه هذا عن ابن أبی الحدید، قال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لخّصناه من کلامه، و من أراد المفصّل فلیراجع الشرح المذکور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 نّه لمّا حضرت علیَّ بن الحسین علیهماالسلام الوفاة أخرج صندوقا کان عنده، فقال لابنه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احمل هذا الصندوق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فی الصندوق سلاح رسول اللّه صلی‌الله‌علیه‌و‌آلهو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الإمام السجّاد علیه‌السلام بهذه الظاهرة و لم یفعل نظیرها الأئمّة السابقون و مَن جاء بعده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فی عمله هذا تهیئة الأجواء للإمام الباقر علیه‌السلام کی ینقل للناس ما ورثه عن رسول اللّه صلی‌الله‌علیه‌و‌آله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حدثت بعد ثورة الحسین علیه‌السلام ثورات شیعیّة مثل حرکة التوّابین و المختار، و غیر شیعیّة مثل ثورة عبد الرحمن بن محمّد الأشعث زمن عبد الملک، و انضمّ إلیها الشیعة و الخوارج و عدد من المسیحیّین، إلی أن بلغ عددهم مائة ألف مقاتل ضدّ الحجّاج، لکثرة ما عانَوه من جوره و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ثورة یزید بن المهلّب، الذی انضمّ إلیه الموالی و أعداد کبیرة من الشیعة، ضدّ الأمویّین و جلاّدیهم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و بعض ما حکی عن معاصریه فی هذا المعنی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المختصر من تاریخدمشق لمحمّد بن مکرّم بن منظور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لأسد اللّه بن إسماعیل التستریّ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 علّة ذلک منع نقل الحدیث و کتابته الذی أعلِن عن أبی بکر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تحدّثوا عن رسول اللّه صلی‌الله‌علیه‌و‌آله شیئا، فمن سألکم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بیننا و بینکم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أحکمه عمر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أقلّوا الروایة عن رسول اللّه، و أنا شریککم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 علیه معاویة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من الحدیث بما فی عهد عمر، فإنّه کان قد أخاف الناسَ فی الحدیث 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أنس بن مالک بدمشق أنّه قال باکیا علی جهالة الناس فی أمر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شیئا ممّا أدرکتُ إلاّ هذه الصلاة، و قد ضُیّعت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بیان العلم لیوسف بن عبد البرّ القرطبیّ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 علیکم أصحاب رسول اللّه صلی‌الله‌علیه‌و‌آله ما عرفوا منکم إلاّ قبلتکم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هذا حال عامّة الناس فالشیعة أولی، لأجل شدّة خوفهم من الحکّام و لزوم تقیّتهم فی الاختلاف إلی أئمّتهم علیهم‌السلام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ضحی الإسلام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الواقعة فی عهدَی الأمویّ و العبّاسیّ طول حیاة الإمام الصادق علیه‌السلام مسطورة فی محالّها من کتب التاریخ، و ذکرها بالإجمال أسد حیدر فی کتابه الإمام الصادق و المذاهب الأربعة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حال فقد لقی أبو عبد اللّه فی هذین العهدین کثیراً من المشاکل؛ فهو فی العهد الأمویّ عرضة لأخطار أولئک القوم الذین یکیدون آل 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العهد العبّاسیّ فهو قذی فی عیونهم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48/162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الفصول المهمّة للمالکیّ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کشف الغمّة للإربلّیّ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لمحمّد بن علیّ بن الحسین الشیخ الصدوق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 نقله المؤلّف رحمه اللّه فی الهامش عن رسالة القضاء و القدر المخطوطة للقاضی عبد الجبّار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التقیّة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ضحی الإسلام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طویلة للخوارزمیّ عند هذا المقام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النقض لجلال الدین المحدّث الأرمویّ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نبذة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کانت فی بنی أمیّة مخازٍ تُذکَر، و معایب تُؤثر؛ کان معاویة قاتل الصحابة و التابعین، و أمّه آکلة أکباد الشهداء الطاهرین، و ابنه یزید مُلاعب القرود و مُربّی الفهود و هادم الکعبة و مُنهب المدینة و قاتل العترة الطاهرة و صاحب یوم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الولید جبّار بنی أمیّة و ولّی الحجّاج علی المشرق و قرّة بن شریک علی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الولید بن یزید خلیع بنی مروان الکافر بالرحمن، الممزّق بالسهام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المثالب مع عظمها و کثرتها و مع قبحها و شنعتها صغیرة و قلیلة فی جنب مثالب بنی العبّاس الذین بنوا مدینة الجبّارین و فرّقوا فی الملاهی و المعاصی أموال المسلمین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 و المهتدی 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للسیّد ابن طاووس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 الفرق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للسبحانیّ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روایة الکتب و الحدیث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حکاه المجلسیّ فی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فیه کلام الإمام الصادق علیه‌السلام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إلی</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روی عن علیّ بن الحسین علیهماالسلام أ 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کنتم فی أئمّة جور فاقضوا فی أحکامهم و لا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له بالمدینة جواسیس ینظرون علی من اتّفق شیعة جعفر علیه‌السلام ، فیضربون عنقه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فی قصّة إفطار الصادق علیه‌السلامعند الخلیفة یوما من شهر رمضان، و قوله علیه‌السلام</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اللّفظ 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حکایة المجلسیّ عن العلاّمة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التقیّة تنقسم بانقسامالأحکام الخمسة؛ 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لمحمّد بن مکّیّ العاملیّ الشهید الأوّل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للرازیّ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حیث أفتی بحّلیّة التقیّة مع الکفّار الغالبین، و صرّح بأنّ مذهب الشافعیّ هو جواز التقیّة مع المسلمین إذا شاکلت الحالة بینهم مع الکافرین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التقیّة؛ عدّة الأصول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 لمّا سُئل عن اختلاف أصحابه فی المواقیت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خالفتُ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عن اختلاف أصحابنا،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فعلت ذلک بکم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الحدائق الناضرة للشیخ یوسف البحرانیّ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الموطّأ لمالک بن أنس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دعائم الإسلام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إلی بعضها فی أوّل هذا الفصل، و 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و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المسائل السرویّة للمفید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للمفید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اللآلئ المصنوعة فی الأحادیث الموضوعة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للدکتور صبحی الصالح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أبی العوجاء قبل أن تُضرب عنقه بأمر محمّد بن سلیمان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قتلتمونی لقد وضعتُ أربعة آلاف حدیث أحرّم فیها الحلال و أحلّل بها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لمحمّد بن أحمد أبی ریحان البیرونیّ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اللآلئ المصنوعة فی الأحادیث الموضوعة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و حکی نصر الخثعمیّ عن الصادق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أنّا لانقول إلاّ حقّا فلیکتف بما یعلم منّا، فإن سمع منّا خلاف ما یعلم فلیعلم أنّ ذلک دفاع منّا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أیضا عدّة الأصول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75/428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معناه بالعربیّة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و هو مجموعة من التعالیم التی قرّرها أحبار الیهود شرحا للتوراة و استنباطا من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مقسّم إلی کتابین من لدن القرن الحادی عشر، هما تلمود أُورشلیم و تلمود بابِل، و لکن طائفة الیهود القَرّائین لایخضعون لأحکام التلمود، و یودّون أن یکونوا أحرار الفکر فی شرح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العشرین لمحمّد فرید بن مصطفی وجدیّ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الأصول مخطوط ق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علم الکلام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منهم من ینقل الحدیث بالمعنی دون اللفظ، فیقع الغلط فیه من هذا الوجه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العلاّمة الحلّیّ تفصیل قول الخوارج هذا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الأصول المخطوط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الدین لعبد القاهر بن طاهر البغدادیّ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علل أخری لاختلاف الحدیث فی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دعوی انحصار مدارک الأحکام فی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الإحکام للآمدیّ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تذکرة الفقهاء للحسن بن یوسف بن المطهّر العلاّمة الحلّیّ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المقدّمة؛ الحدائق الناضرة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القوم مختلفون فی تعیین رابع الأربعة؛ فالبغدادیّ جعله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الحسین البصریّ بدّله بالعقل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الآمدیّ جمع بین الخمسة و قسّم الأدلّة بالمعتبرة شرعا، و هی الکتاب و السنّة و الإجماع و القیاس، و غیر المعتبرة شرعا مثل الاستحسان و المصالح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الشیخ الأنصاریّ إلی حجّیّة ظاهر الکتاب فی مواضع من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الأخبار المتمسّک بها لدی الأخباریّین علی عدم حجّیّة ظاهر الکتاب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لکنّ الشیخ الأنصاریّ أجاب عنها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المشار إلیها 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یَتَدَبَّرُونَ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هُدیً وَ نُورٌ وَ مُصَدِّقا لِمَا بَیْنَ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اَنْزَلْنَاهُ قُرْآنا عَرَبِیًّا لَعَلَّکُمْ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الدالّة علی وجوب التمسّک بالکتاب، و أنّ کلّ شیء مردود إلیه و علی عدم قبول ما لیس له شاهد من الکتاب، و لزوم عرض الأخبار علیه؛ کلّها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صفات القاضی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الأنصاریّ فی فرائد الأصول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تبلغ تلک الکتب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 علی ما أحصاه العلاّمة الفقید المرعشیّ قدس‌سره،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 لأحمد بن محمّد الأردبیلیّ؛ و فقه القرآن لسعید بن هبة اللّه الراوندیّ؛ و کنز العرفان للفاضل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لزین الدین بن علیّ العاملیّ الشهید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لمحمّد بن أحمد الأزهریّ </w:t>
      </w:r>
      <w:r>
        <w:rPr>
          <w:rFonts w:eastAsia="IRNazanin" w:cs="IRNazanin"/>
          <w:b w:val="false"/>
          <w:bCs w:val="false"/>
          <w:i w:val="false"/>
          <w:iCs w:val="false"/>
          <w:color w:val="333333"/>
          <w:sz w:val="20"/>
          <w:szCs w:val="20"/>
        </w:rPr>
        <w:t>12/298</w:t>
      </w:r>
      <w:r>
        <w:rPr>
          <w:rFonts w:ascii="IRNazanin" w:hAnsi="IRNazanin" w:eastAsia="IRNazanin"/>
          <w:b w:val="false"/>
          <w:b w:val="false"/>
          <w:bCs w:val="false"/>
          <w:i w:val="false"/>
          <w:i w:val="false"/>
          <w:iCs w:val="false"/>
          <w:color w:val="333333"/>
          <w:sz w:val="20"/>
          <w:sz w:val="20"/>
          <w:szCs w:val="20"/>
          <w:rtl w:val="true"/>
        </w:rPr>
        <w:t>، و المؤلّف رحمه‌الله نقل قولَ الأزهریّ عن الآمدیّ فی الإحکام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الأقوال فی المسألة،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الحدیث هو کلام یحکی عن قول المعصوم أو فعله أو تقریره، و الخبر عند بعضهم مرادف للحدیث، و عند بعض یعمّ الحدیث، إذ لایختصّ بما یحکی عن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قول بأنّهما متباینان؛ فإنّ الحدیث عندهم ما جاء عن النبیّ صلی‌الله‌علیه‌و‌آله، و الخبر هو ما جاء عن غیرهکشّاف اصطلاحات الفنون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أصول الحدیث و أحکامه للشیخ جعفر السبحانیّ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اختلاف الحدیث، الحدیث الأوّل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لزین الدین بن علیّ العاملیّ الشهید الثانیّ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علوم الحدیث و مصطلحه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أصول الدین للبغدادیّ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معالم الدین للشیخ حسن بن زین الدین العاملیّ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القول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یستظهر من کلمات الأکابر هنا أنّ المتواتر اللفظیّ مثل قول النبیّ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کذب علیّ متعمّدا فلیتبوّأ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بعض أیضا إنّ التواتر اللفظیّ فی مثل هذه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الحدیث و أحکامه للسبحانیّ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نقلاً عن التقریب و التیسیر للنواویّ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الحدیثو المؤلّف رحمه‌الله نسب الحدیث فی الهامش إلی صاحب کشف القناع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فیه أسماءُ کثیر من التابعین من أهل المدینة و مکّة والیمن و الشام و العراق الذین کانوا مرجعا للناس بعد الصحابة یروون للناس ما سمعوه من الصحابة، و یجتهدون بآرائهم فی ما عداه، أمثال سعید بن مسیّب و عروة بن الزبیر، و خارجة بن زید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اللآلئ المصنوعة فی الأحادیث الموضوعة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کعب الأحبار و تمیم الداریّ اللذین خصّص الخلیفتان الأوّل و الثانی لهما ساعة أو ساعتین لأن یتحدّثا فیها قبل صلاة الجمعة فی مسجد الرسول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علوم الحدیث و مصطلحه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فیه قصّة أحمد بن حنبل و یحیی بن معین مع رجل قاصّ أسند حدیثه المکذوب إلی أحمد و یحیی فی حضرتهما، و هما ینکرانه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أحادیث تأتینا من قِبَل المشرق ننکرها لا نعرفها ما کتبتُ حدیثا و لا أذنت فی کتابته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تصدّی لمعرفة علوم الحدیث هو الحاکم النیسابوریّ المتوفّی عام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علی ما قاله السید حسن الصدر فی تأسیس الشیعة لعلوم الإسلام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القدر المتیقّن ما قاله آغا بزرگ الطهرانیّ فی الأنوار الساطعة فی المائة الرابعة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أوّل مَن ألّف من أصحابنا فی علم الدرایة هو ابن طاووس المتوفّی عام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الذی کان أستاذا للعلاّمة و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ترجمة المغیرة بن سعید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خطبة الکتاب؛ الحدائق الناضرة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المسائل الطرابلسیّات الثالثة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المعتمد فی أصول الفقه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المعتمد فی أصول الفقه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اُمَّةٍ اُخْرِجَتْ لِلنَّاسِ تَاْمُرُونَ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جَعَلْنَاکُمْ اُمَّةً وَسَطا 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یآءَیُّهَا الّذینَ امَنُوا اَطیعُوا اللّهَ وَ أطیعُوا الرَّسُولَ وَ اُولِی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جَمیعا وَ لاَتَفَرَّقُوا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فَرَّقُوا دینَهُمْ وَ کَانُوا شِیَعا لَسْتَ مِنْهُمْ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یُشَاقِقِ الرَّسُولَ مِنْ بَعْدِ مَا تَبَیَّنَ لَهُ الهُدی وَ یَتَّبِعْ غَیْرَ سَبیلِ المُؤْمِنینَ نُوَلِّهِ مَا تَوَلّی وَ نُصْلِهِ جَهَنَّمَ وَ 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المعتمد فی أصول الفقه لأبی الحسین البصریّ؛ الشافی للسیّد المرتضیو رسائله؛ موسوعة طبقات الفقهاء المقدّمة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أصول الفقه لمحمّد رضا المظفّر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ممّا کتب عمر بن الخطّاب إلی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أتاک أمر فاقضِ فیه بما فی کتاب اللّه، فإن أتاک ما لیس فی کتاب اللّه فاقض بما سنّ فیه رسول اللّه، فإن أتاک ما لیس فی کتاب اللّه و لم یسنّ فیه رسول اللّه فاقض فیه بما أجمع علیه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أیضا ممّا روی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له منه قضاء فلیقضِ بما فی کتاب اللّه، ثمّ بما قضی به نبیّه صلی‌الله‌علیه‌و‌آله، فإن جاءه أمر لیس فی کتاب اللّه و لم یقض به نبیّه صلی‌الله‌علیه‌و‌آلهفلیقضِ بما قضی به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أصول الدین للبغدادیّ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السابع مع مَن یزعم مِن أهل الظاهر أن لاحجّة فی إجماع أهل عصر بعد الصحابة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أصول الفقه للمظفّر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عند حکایة کلام صاحب کشف القناع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 الإجماع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 حجّیّة خبر الثقة العدل بقول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أولی بالقبول و الاعتماد من أخبار الآحاد فی نفس الأحکام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معالم الدین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هنا بتقدیم أمور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کلّ نبیّین من الزمان، کفترة الجاهلیّة فإنّ أهلها منهم و ثنیّون و منهم نصاری و یهود، و بینهم فئة قلیلة تؤمن باللّه و الیوم الآخر، کان أفرادها أصحاب ورع و تحرّج یقومون بأعمالهم علی أساس حکم العقل بحسن العدل و الإحسان و قبح الظلم و الفحشاء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عند علماء الأصول أنّ المجتهد یرجع إلی الأصول العملیّة من البراءة و التخییر و غیرهما فی موارد عدم النصّ أو تعارض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ذکرها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رحمه‌الله فی الروضة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مبنی حکم البئر علی جمع المختلف و تفریق المؤتلف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اللمعة لزین الدین بن علیّ الشهید الثانیّ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ذلک مثل الجمع بین الشاة و الخنزیر فی الحکم بنزح أربعین دلواً لهما مع اختلافهما، و کالتفریق بین الخنزیر و الکلب مع اتّفاقهما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حکم دیة قطع الأصابع فی الرجل و المرأة، و حکم بول الإبل و غیرها فی جواز الشرب و حرمته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جملة من أعرافهم موروثة من الدیانة التوحیدیّة الإبراهیمیّة ملّة إبراهیم علیه‌السلام، و قد استقرّت</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إبن أبی الحدید فصلاً ممتعاً فی مذاهب العرب و عنونه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 فی مذاهب العرب و تخیّلاتها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إضرام النار فی أذناب البقر و سَوقهم إیّاه نحو المغرب فی جبل وَعِر للاستمطار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تعلیق الحلّیّ و الجلاجل علی اللدیغ للإفاقة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زعمهم أنّ من مات و لم یُبْلَ علیه حُشر ماشیا، و مَن کانت له بلیّة حشر راکباً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تُعقَل عند القبر حتّی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زعمهم أنّه لیس من میّت یموت و لا قتیل یُقتل إلاّ و یخرج من رأسه هامة تنادی 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أسقونی أسقونی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خرافات منسوبة إلیهم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الجزء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بعض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سنن ابن ماجة محمّد بن یزید القزوینیّ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جامع بیان العلم و فضله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المتکلّمین و الأصولیّین حول معنی الاجتهاد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فی الأصول للشافعیّ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ننقم علی أبی حنیفة أنّه رأی، کلّنا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ننقم علیه أنّه یجیؤه الحدیث عن النبیّ صلی‌الله‌علیه‌و‌آلهفیخالفه إلی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لعبد اللّه بن مسلم ابن قتیبة الدینوریّ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اجتهادات الصحابة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 لشرف الدین العاملیّ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منتخب کنزل العمّال بهامش مسند أحمد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عند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النقود بعضها ببعض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نفس‌المصدر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أبدا إلی یوم القیامة، و حرامه حرام أبدا إلی یوم القیامة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عزّ وجلّ لم یعلّم نبیّه علما إلاّ أمره أن یعلّمه أمیر المؤمنین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نقض اجتهاد الرأی علی الراوندیّ لإسماعیل النوبختیّ، و نقض اجتهاد الرأی علی ابن الجنید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لمحمّد تقیّ التستریّ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فی الأصول، المطلب الثامن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المعتمد فی أصول الفقه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الإحکام فی أصول الأحکام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اجتهاد الرأی علی الأصول عند عدم النصوص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الإمام الشافعیّ أنّه عندما تساءل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القیاس؟ أهو الاجتهاد أم هما مفترقان؟ أجاب بأنّهما اسمان لمعنی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النصّ و الاجتهاد للسیّد محمد تقیّ الحکیم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وجوه تعریف القیاس،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تحصیل حکم الأصل فی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فی أصول الفقه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المقائیس؛ وسائل الشیعة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الحکم بالرأی و الاجتهاد و المقائیس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الرأی و المقائیس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دین اللّه لایصاب بالعقول الناقصة و الآراء الباطلة، و المقائیس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فیه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لیس شیء إلاّ و قد جاء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یتّضح هذا المفهوم حینما ینضمّ إلی قول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علینا أن نلقی الأصول و علیکم أن تفرّعوا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تلک الموارد یُستظهر نوع قیاس من ناحیة الفقهاء ؛ ففی الأوّل قیاس قیمة یوم التلف بیوم العقد ثمّ الحکم بضمان النسبة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 أخذ قیمة المعیب یوم الجنایة و قیاسها علی الثمن و الحکم بضمان النسبة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أیضاً یحکمون بکفّارة الصید الفلانیّ فی موارد عدیدة بقیاس بعضها علی بعض من باب تسرّی الحکم إلی غیر المنصوص لأجل وجود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أیضاً یحکمون بثبوت القبلة لبلد من ناحیة وجود أمارة منصوصة لبلد آخر فیها لاتّحادهما فی الطول الجغرافیّ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فالحقّ أنّ تلک الموارد لیست من باب القیاس المحرّم، بل تدخل فی القیاس المنصوص العلّة کما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الخمر لإسکاره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فی القیاس الجلیّ،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لهما 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فی الأصول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عدم جواز الحکم بالرأی، و فیه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بحار الأنوار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الرأی و المقائیس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المؤلّف رحمه‌الله فی الهامش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للتستریّ و یشعر به ما ورد فی ذمّ أهل الکلام و ما ورد فی النهی عن الرأی و القیاسوسائل الشیعة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المؤلّف فی الهامش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إنکار المفید رحمه‌الله علی الإسکافیّ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أیضاً الشیخ الأنصاریّ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المؤلّف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 فیه إشارة إلی ذلک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لمحمّد بن الحسن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تَنَازَعْتُمْ فی شَیْ‌ءٍ فَرُدُّوهُ اِلَی اللّهِ وَ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هذا الکلام فی هامش الأصل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الأندلسیّ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و هو أحسن ما قدرنا علیه، فمن جاء لنا بأحسن منه قبلناه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تعلیقات الأصول لمحمّد بن محمّد الغزالیّ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ابن أبی شیبة فی آخر مصنَّفه فصلاً سمّاه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الردّ علی 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عدّ فیه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ممّا خالف أبوحنیفة فیها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اللّه بن محمّد ابن أبی شیبة العبسیّ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للقاضی عیاض الیحصبیّ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و کراهیته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تعلیقات الأصول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به أبوحنیفة و أحمد بن حنبل، و أنکره الباقون، حتّی نقل عن الشافعیّ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استحسن فقد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و فیه تعاریف أخر للاستحسان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تعلیقات الأصول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ءَیُّهَا الَّذینَ امَنُوا لاَتُقَدِّمُوا بَیْنَ یَدَیِ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یَحْکُمْ بِمَا اَنْزَلَ اللّهُ فَاُولئِکَ هُمُ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فی الأصول للشافعیّ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بجمع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سمّوها بالمرسلة بمعنی المطلقة عن کلا اعتبار الشارع و إلغائه، فتکون متّبعة فی الأوّل و مطرودة فی الثانی؛ فعلی هذا الأساس تکون المصالح المرسلة عبارة عن کلّ مصلحة لم یرد فیها نصّ یدعو إلی اعتبارها و لاعدم اعتبارها، ولکنّها صالحة لأن یبنی علیها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من الحنفیّة و الشافعیّة عدم الأخذ بها، حتّی روی عن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استصلح فقد شرّع، کما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استحسن فقد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مالک فقد اعتبرها بشروط مذکورة فی محلّها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تعلیقات الأصول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فی التعزیر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قطع اللسان فی الهذر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المؤلّف رحمه‌الله فی الهامش دعوی کون الشافعیّ أعلم الخلیفة، عن کتاب التنفیذ الغزالیّ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المصلحة التی لم یشهد لها الشرع بالاعتبار و لا بالإبطال، مقبولة إذا کانت ضروریّة قطعیّة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إن سمّیناها مصلحة مرسلة، لکنّها راجعة إلی الأصول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أقسام الاستصلاح أو المصالح المرسلة و نقل الخلاف فیها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بین أصحابنا المتقدّمین و المتأخّرین أنّ قول الواحد من الصحابة حجّة فی ما لا مدخل للقیاس فی معرفة الحکم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کان مبدأ قوله السماع عن الرسول دون رأیه، فیکون الأوّل حجّة دون الثانی، فإنّه حجّة لنفسه لا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الکلام هنا غیر منقّح عند من اعتبره من مصادر التشریع و من لم یعتبره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یظهر من بعضهم کونه أعمّ من القول و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الأقوال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تعلیقات الأصول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اتّبع الآن عامیّ مذهب أبی بکر، معرضاً عن سائر المذاهب لا یجوز له ذلک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المقدّمة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تلک المسائل و اختلاف الصحابة فیها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إعلام الموقّعین لمحمّد بن أبی بکر ابن قیّم الجوزیّة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 آنفا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مصادر التشریع الإسلامیّ لعبد الوهّاب خلاف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فی الأخیر بلغ عددها تسعة عشر موردا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 السنّة و أنّه لیس شیء من الحلال و الحرام إلاّ و قد جاء فیه کتاب أو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أیضا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رسول اللّه صلی‌الله‌علیه‌و‌آله و إلی الأئمّة علیهم‌السلامفی أمر الدین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العلاّمة محمّد حسین المظفّر فی تاریخ الشیعة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ما مرّت علی الشیعة فی عصر الإمام الصادق علیه‌السلام فی الفترة الّتی أمتزجت من أخریات دولة بنی مروان و أوّلیّات دولة بنی العبّاس فی اشتغال أولئک بقتل بعضهم لبعض و هؤلاء بالحرب مع المروانیّین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فانتهز الشیعة هذه 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والوقت فُرَص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للارتواء من مناهل علمه و عرفانه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الشیعة فی غصون هذه الفترة تنشر الحدیث و تجهر بولاء أهل البیت علیهم‌السلام، و رَبا عددهم فی مختلف الجهات علی مئات الألوف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البلاد التی أسّست علی مبدأ التشیّع، مثل قمّ و الریّ و قاشان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تصریح بأنّ أهل قاشان و قمّ کلّهم شیعة 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الریّ و إن أخبر یاقوت الحمویّ بأنّ فیها الحنفیّة و الشافعیّة، لکنّه صرّح بأنّ الشیعة فیها هم السواد الأعظم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المعتبر للمحقّق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علیه‌السلامما یقارب أربعة آلاف رجل، و کتب من أجوبة مسائله أربع مائة مصنّف سمّوها 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الحدائق الناضرة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إرجاعهم علیهم‌السلامإلی زرارة و أبی بصیر و محمّد بن مسلم و یونس بن عبد الرحمن و زکریّا بن آدم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أبو محمّد العسکریّ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و ابنه ثقتان فما أدّیا عنّی فعنّی یؤدّیان، و ما قالا لک فعنّی یقولان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التوقیع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إلی رواة حدیثنا ؛ فإنّهم حجّتی علیکم و أنا حجّة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و أسباب الاختلاف فیه،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المقدّمة؛ فرائد الاصول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علوم الحدیث و مصطلحه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المعالم فی آخر المقصد الأوّل 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لبعض العلوم تقدّما علی بعض، إمّا لتقدّم موضوعه أو لتقدّم غایته أو لاشتماله علی مبادئ العلوم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مرتبة هذا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متأخّرة عن غیره بالاعتبارات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شرع فی ذکر وجه تأخّره عن کلّ من علوم الکلام و المنطق و اللغة و النحو و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أشار إلی تأخّره عن علم الکتاب و السنّة لأجل کونهما من مبادئ علم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فی هامش الأصل عن کتاب المنخول الغزالیّ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لمؤلّفنا رحمه‌الله فی مقدّمة هذا الکتاب أنّه سیجعل القسم الثانی منه لتاریخ العقیدة الشیعیّة السیاسیّ، و الثالث لتاریخها العلمیّ و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لم یکتب فعلاً هذین القسمین، و لم یشتمل الکتاب إلاّ علی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للقارئ الکریم التعرّف علی المضمون العامّ للقسمین المذکورین فی عدد من المصادر،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لفنون الإسلام للسید حسن الصدر؛ و أصل الشیعة و أصولها للإمام کاشف الغطاء؛ و تاریخ الشیعة للمظفّر و غیرها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66301</Words>
  <Characters>274655</Characters>
  <CharactersWithSpaces>337322</CharactersWithSpaces>
  <Paragraphs>3914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2026-08-18T20:46:07Z</dcterms:created>
  <dc:creator>ghaemiyeh.com</dc:creator>
  <dc:description/>
  <dc:language>en-US</dc:language>
  <cp:lastModifiedBy/>
  <dcterms:modified xsi:type="dcterms:W3CDTF">2026-08-19T00:16:19Z</dcterms:modified>
  <cp:revision>1</cp:revision>
  <dc:subject/>
  <dc:title>تاریخ العقیده الشیعیه و فرقها</dc:title>
</cp:coreProperties>
</file>

<file path=docProps/custom.xml><?xml version="1.0" encoding="utf-8"?>
<Properties xmlns="http://schemas.openxmlformats.org/officeDocument/2006/custom-properties" xmlns:vt="http://schemas.openxmlformats.org/officeDocument/2006/docPropsVTypes"/>
</file>