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تبیین مباحثی از توحید در پرتو معارف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501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3501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35014_2281741623">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535016_2281741623">
            <w:r>
              <w:rPr>
                <w:webHidden/>
                <w:rStyle w:val="IndexLink"/>
                <w:rtl w:val="true"/>
              </w:rPr>
              <w:t>چکیده مقالات</w:t>
            </w:r>
            <w:r>
              <w:rPr>
                <w:rStyle w:val="IndexLink"/>
                <w:rtl w:val="true"/>
              </w:rPr>
              <w:tab/>
            </w:r>
            <w:r>
              <w:rPr>
                <w:rStyle w:val="IndexLink"/>
              </w:rPr>
              <w:t>5</w:t>
            </w:r>
          </w:hyperlink>
        </w:p>
        <w:p>
          <w:pPr>
            <w:pStyle w:val="Contents2"/>
            <w:tabs>
              <w:tab w:val="clear" w:pos="8743"/>
              <w:tab w:val="right" w:pos="9026" w:leader="dot"/>
            </w:tabs>
            <w:rPr/>
          </w:pPr>
          <w:hyperlink w:anchor="__RefHeading___Toc1535018_2281741623">
            <w:r>
              <w:rPr>
                <w:webHidden/>
                <w:rStyle w:val="IndexLink"/>
                <w:rtl w:val="true"/>
              </w:rPr>
              <w:t>نقد و بررسی ابعاد عقلی نظریّه</w:t>
            </w:r>
            <w:r>
              <w:rPr>
                <w:rStyle w:val="IndexLink"/>
                <w:rtl w:val="true"/>
              </w:rPr>
              <w:tab/>
            </w:r>
            <w:r>
              <w:rPr>
                <w:rStyle w:val="IndexLink"/>
              </w:rPr>
              <w:t>7</w:t>
            </w:r>
          </w:hyperlink>
        </w:p>
        <w:p>
          <w:pPr>
            <w:pStyle w:val="Contents2"/>
            <w:tabs>
              <w:tab w:val="clear" w:pos="8743"/>
              <w:tab w:val="right" w:pos="9026" w:leader="dot"/>
            </w:tabs>
            <w:rPr/>
          </w:pPr>
          <w:hyperlink w:anchor="__RefHeading___Toc1535020_2281741623">
            <w:r>
              <w:rPr>
                <w:webHidden/>
                <w:rStyle w:val="IndexLink"/>
              </w:rPr>
              <w:t>1</w:t>
            </w:r>
            <w:r>
              <w:rPr>
                <w:rStyle w:val="IndexLink"/>
                <w:rtl w:val="true"/>
              </w:rPr>
              <w:t xml:space="preserve">. </w:t>
            </w:r>
            <w:r>
              <w:rPr>
                <w:rStyle w:val="IndexLink"/>
                <w:rtl w:val="true"/>
              </w:rPr>
              <w:t>توجّه به جایگاه انحصاری عقل در مباحث</w:t>
            </w:r>
            <w:r>
              <w:rPr>
                <w:rStyle w:val="IndexLink"/>
                <w:rtl w:val="true"/>
              </w:rPr>
              <w:tab/>
            </w:r>
            <w:r>
              <w:rPr>
                <w:rStyle w:val="IndexLink"/>
              </w:rPr>
              <w:t>7</w:t>
            </w:r>
          </w:hyperlink>
        </w:p>
        <w:p>
          <w:pPr>
            <w:pStyle w:val="Contents2"/>
            <w:tabs>
              <w:tab w:val="clear" w:pos="8743"/>
              <w:tab w:val="right" w:pos="9026" w:leader="dot"/>
            </w:tabs>
            <w:rPr/>
          </w:pPr>
          <w:hyperlink w:anchor="__RefHeading___Toc1535022_2281741623">
            <w:r>
              <w:rPr>
                <w:webHidden/>
                <w:rStyle w:val="IndexLink"/>
              </w:rPr>
              <w:t>2</w:t>
            </w:r>
            <w:r>
              <w:rPr>
                <w:rStyle w:val="IndexLink"/>
                <w:rtl w:val="true"/>
              </w:rPr>
              <w:t xml:space="preserve">. </w:t>
            </w:r>
            <w:r>
              <w:rPr>
                <w:rStyle w:val="IndexLink"/>
                <w:rtl w:val="true"/>
              </w:rPr>
              <w:t>لزوم مقایسه بین نظریّه مورد بحث با دیدگاه فلاسفه</w:t>
            </w:r>
            <w:r>
              <w:rPr>
                <w:rStyle w:val="IndexLink"/>
                <w:rtl w:val="true"/>
              </w:rPr>
              <w:tab/>
            </w:r>
            <w:r>
              <w:rPr>
                <w:rStyle w:val="IndexLink"/>
              </w:rPr>
              <w:t>8</w:t>
            </w:r>
          </w:hyperlink>
        </w:p>
        <w:p>
          <w:pPr>
            <w:pStyle w:val="Contents2"/>
            <w:tabs>
              <w:tab w:val="clear" w:pos="8743"/>
              <w:tab w:val="right" w:pos="9026" w:leader="dot"/>
            </w:tabs>
            <w:rPr/>
          </w:pPr>
          <w:hyperlink w:anchor="__RefHeading___Toc1535024_2281741623">
            <w:r>
              <w:rPr>
                <w:webHidden/>
                <w:rStyle w:val="IndexLink"/>
              </w:rPr>
              <w:t>3</w:t>
            </w:r>
            <w:r>
              <w:rPr>
                <w:rStyle w:val="IndexLink"/>
                <w:rtl w:val="true"/>
              </w:rPr>
              <w:t xml:space="preserve">. </w:t>
            </w:r>
            <w:r>
              <w:rPr>
                <w:rStyle w:val="IndexLink"/>
                <w:rtl w:val="true"/>
              </w:rPr>
              <w:t>تعریف و تفسیر انحصاری فلاسفه از علم</w:t>
            </w:r>
            <w:r>
              <w:rPr>
                <w:rStyle w:val="IndexLink"/>
                <w:rtl w:val="true"/>
              </w:rPr>
              <w:tab/>
            </w:r>
            <w:r>
              <w:rPr>
                <w:rStyle w:val="IndexLink"/>
              </w:rPr>
              <w:t>8</w:t>
            </w:r>
          </w:hyperlink>
        </w:p>
        <w:p>
          <w:pPr>
            <w:pStyle w:val="Contents2"/>
            <w:tabs>
              <w:tab w:val="clear" w:pos="8743"/>
              <w:tab w:val="right" w:pos="9026" w:leader="dot"/>
            </w:tabs>
            <w:rPr/>
          </w:pPr>
          <w:hyperlink w:anchor="__RefHeading___Toc1535026_2281741623">
            <w:r>
              <w:rPr>
                <w:webHidden/>
                <w:rStyle w:val="IndexLink"/>
              </w:rPr>
              <w:t>4</w:t>
            </w:r>
            <w:r>
              <w:rPr>
                <w:rStyle w:val="IndexLink"/>
                <w:rtl w:val="true"/>
              </w:rPr>
              <w:t xml:space="preserve">. </w:t>
            </w:r>
            <w:r>
              <w:rPr>
                <w:rStyle w:val="IndexLink"/>
                <w:rtl w:val="true"/>
              </w:rPr>
              <w:t>بیان فلاسفه صدرایی در لزوم و چگونگی تصوّر خدا</w:t>
            </w:r>
            <w:r>
              <w:rPr>
                <w:rStyle w:val="IndexLink"/>
                <w:rtl w:val="true"/>
              </w:rPr>
              <w:tab/>
            </w:r>
            <w:r>
              <w:rPr>
                <w:rStyle w:val="IndexLink"/>
              </w:rPr>
              <w:t>9</w:t>
            </w:r>
          </w:hyperlink>
        </w:p>
        <w:p>
          <w:pPr>
            <w:pStyle w:val="Contents2"/>
            <w:tabs>
              <w:tab w:val="clear" w:pos="8743"/>
              <w:tab w:val="right" w:pos="9026" w:leader="dot"/>
            </w:tabs>
            <w:rPr/>
          </w:pPr>
          <w:hyperlink w:anchor="__RefHeading___Toc1535028_2281741623">
            <w:r>
              <w:rPr>
                <w:webHidden/>
                <w:rStyle w:val="IndexLink"/>
              </w:rPr>
              <w:t>5</w:t>
            </w:r>
            <w:r>
              <w:rPr>
                <w:rStyle w:val="IndexLink"/>
                <w:rtl w:val="true"/>
              </w:rPr>
              <w:t xml:space="preserve">. </w:t>
            </w:r>
            <w:r>
              <w:rPr>
                <w:rStyle w:val="IndexLink"/>
                <w:rtl w:val="true"/>
              </w:rPr>
              <w:t>قرابت راه خداشناسی در نظریّه مورد بحث با راه فلاسفه</w:t>
            </w:r>
            <w:r>
              <w:rPr>
                <w:rStyle w:val="IndexLink"/>
                <w:rtl w:val="true"/>
              </w:rPr>
              <w:tab/>
            </w:r>
            <w:r>
              <w:rPr>
                <w:rStyle w:val="IndexLink"/>
              </w:rPr>
              <w:t>10</w:t>
            </w:r>
          </w:hyperlink>
        </w:p>
        <w:p>
          <w:pPr>
            <w:pStyle w:val="Contents2"/>
            <w:tabs>
              <w:tab w:val="clear" w:pos="8743"/>
              <w:tab w:val="right" w:pos="9026" w:leader="dot"/>
            </w:tabs>
            <w:rPr/>
          </w:pPr>
          <w:hyperlink w:anchor="__RefHeading___Toc1535030_2281741623">
            <w:r>
              <w:rPr>
                <w:webHidden/>
                <w:rStyle w:val="IndexLink"/>
              </w:rPr>
              <w:t>6</w:t>
            </w:r>
            <w:r>
              <w:rPr>
                <w:rStyle w:val="IndexLink"/>
                <w:rtl w:val="true"/>
              </w:rPr>
              <w:t xml:space="preserve">. </w:t>
            </w:r>
            <w:r>
              <w:rPr>
                <w:rStyle w:val="IndexLink"/>
                <w:rtl w:val="true"/>
              </w:rPr>
              <w:t>لزوم تجرید اختصاص به اوصاف جسمانی ندارد</w:t>
            </w:r>
            <w:r>
              <w:rPr>
                <w:rStyle w:val="IndexLink"/>
                <w:rtl w:val="true"/>
              </w:rPr>
              <w:tab/>
            </w:r>
            <w:r>
              <w:rPr>
                <w:rStyle w:val="IndexLink"/>
              </w:rPr>
              <w:t>12</w:t>
            </w:r>
          </w:hyperlink>
        </w:p>
        <w:p>
          <w:pPr>
            <w:pStyle w:val="Contents2"/>
            <w:tabs>
              <w:tab w:val="clear" w:pos="8743"/>
              <w:tab w:val="right" w:pos="9026" w:leader="dot"/>
            </w:tabs>
            <w:rPr/>
          </w:pPr>
          <w:hyperlink w:anchor="__RefHeading___Toc1535032_2281741623">
            <w:r>
              <w:rPr>
                <w:webHidden/>
                <w:rStyle w:val="IndexLink"/>
              </w:rPr>
              <w:t>7</w:t>
            </w:r>
            <w:r>
              <w:rPr>
                <w:rStyle w:val="IndexLink"/>
                <w:rtl w:val="true"/>
              </w:rPr>
              <w:t xml:space="preserve">. </w:t>
            </w:r>
            <w:r>
              <w:rPr>
                <w:rStyle w:val="IndexLink"/>
                <w:rtl w:val="true"/>
              </w:rPr>
              <w:t>تصدیق بلاتصوّر ممکن است</w:t>
            </w:r>
            <w:r>
              <w:rPr>
                <w:rStyle w:val="IndexLink"/>
                <w:rtl w:val="true"/>
              </w:rPr>
              <w:tab/>
            </w:r>
            <w:r>
              <w:rPr>
                <w:rStyle w:val="IndexLink"/>
              </w:rPr>
              <w:t>13</w:t>
            </w:r>
          </w:hyperlink>
        </w:p>
        <w:p>
          <w:pPr>
            <w:pStyle w:val="Contents2"/>
            <w:tabs>
              <w:tab w:val="clear" w:pos="8743"/>
              <w:tab w:val="right" w:pos="9026" w:leader="dot"/>
            </w:tabs>
            <w:rPr/>
          </w:pPr>
          <w:hyperlink w:anchor="__RefHeading___Toc1535034_2281741623">
            <w:r>
              <w:rPr>
                <w:webHidden/>
                <w:rStyle w:val="IndexLink"/>
              </w:rPr>
              <w:t>8</w:t>
            </w:r>
            <w:r>
              <w:rPr>
                <w:rStyle w:val="IndexLink"/>
                <w:rtl w:val="true"/>
              </w:rPr>
              <w:t xml:space="preserve">. </w:t>
            </w:r>
            <w:r>
              <w:rPr>
                <w:rStyle w:val="IndexLink"/>
                <w:rtl w:val="true"/>
              </w:rPr>
              <w:t>تنزیه خداوند باید از همه اوصاف مخلوقی باشد نه فقط اوصاف اجسام</w:t>
            </w:r>
            <w:r>
              <w:rPr>
                <w:rStyle w:val="IndexLink"/>
                <w:rtl w:val="true"/>
              </w:rPr>
              <w:tab/>
            </w:r>
            <w:r>
              <w:rPr>
                <w:rStyle w:val="IndexLink"/>
              </w:rPr>
              <w:t>14</w:t>
            </w:r>
          </w:hyperlink>
        </w:p>
        <w:p>
          <w:pPr>
            <w:pStyle w:val="Contents2"/>
            <w:tabs>
              <w:tab w:val="clear" w:pos="8743"/>
              <w:tab w:val="right" w:pos="9026" w:leader="dot"/>
            </w:tabs>
            <w:rPr/>
          </w:pPr>
          <w:hyperlink w:anchor="__RefHeading___Toc1535036_2281741623">
            <w:r>
              <w:rPr>
                <w:webHidden/>
                <w:rStyle w:val="IndexLink"/>
              </w:rPr>
              <w:t>9</w:t>
            </w:r>
            <w:r>
              <w:rPr>
                <w:rStyle w:val="IndexLink"/>
                <w:rtl w:val="true"/>
              </w:rPr>
              <w:t xml:space="preserve">. </w:t>
            </w:r>
            <w:r>
              <w:rPr>
                <w:rStyle w:val="IndexLink"/>
                <w:rtl w:val="true"/>
              </w:rPr>
              <w:t>پاسخ به ایراد خلط مفهوم با مصداق</w:t>
            </w:r>
            <w:r>
              <w:rPr>
                <w:rStyle w:val="IndexLink"/>
                <w:rtl w:val="true"/>
              </w:rPr>
              <w:tab/>
            </w:r>
            <w:r>
              <w:rPr>
                <w:rStyle w:val="IndexLink"/>
              </w:rPr>
              <w:t>16</w:t>
            </w:r>
          </w:hyperlink>
        </w:p>
        <w:p>
          <w:pPr>
            <w:pStyle w:val="Contents2"/>
            <w:tabs>
              <w:tab w:val="clear" w:pos="8743"/>
              <w:tab w:val="right" w:pos="9026" w:leader="dot"/>
            </w:tabs>
            <w:rPr/>
          </w:pPr>
          <w:hyperlink w:anchor="__RefHeading___Toc1535038_2281741623">
            <w:r>
              <w:rPr>
                <w:webHidden/>
                <w:rStyle w:val="IndexLink"/>
              </w:rPr>
              <w:t>10</w:t>
            </w:r>
            <w:r>
              <w:rPr>
                <w:rStyle w:val="IndexLink"/>
                <w:rtl w:val="true"/>
              </w:rPr>
              <w:t xml:space="preserve">. </w:t>
            </w:r>
            <w:r>
              <w:rPr>
                <w:rStyle w:val="IndexLink"/>
                <w:rtl w:val="true"/>
              </w:rPr>
              <w:t>بحث اشتراک لفظی و معنوی</w:t>
            </w:r>
            <w:r>
              <w:rPr>
                <w:rStyle w:val="IndexLink"/>
                <w:rtl w:val="true"/>
              </w:rPr>
              <w:tab/>
            </w:r>
            <w:r>
              <w:rPr>
                <w:rStyle w:val="IndexLink"/>
              </w:rPr>
              <w:t>17</w:t>
            </w:r>
          </w:hyperlink>
        </w:p>
        <w:p>
          <w:pPr>
            <w:pStyle w:val="Contents2"/>
            <w:tabs>
              <w:tab w:val="clear" w:pos="8743"/>
              <w:tab w:val="right" w:pos="9026" w:leader="dot"/>
            </w:tabs>
            <w:rPr/>
          </w:pPr>
          <w:hyperlink w:anchor="__RefHeading___Toc1535040_2281741623">
            <w:r>
              <w:rPr>
                <w:webHidden/>
                <w:rStyle w:val="IndexLink"/>
                <w:rtl w:val="true"/>
              </w:rPr>
              <w:t>منابع</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53_24222"/>
      <w:bookmarkStart w:id="1" w:name="pg3853_24222"/>
      <w:bookmarkEnd w:id="1"/>
    </w:p>
    <w:p>
      <w:pPr>
        <w:pStyle w:val="Heading2"/>
        <w:numPr>
          <w:ilvl w:val="1"/>
          <w:numId w:val="1"/>
        </w:numPr>
        <w:rPr/>
      </w:pPr>
      <w:bookmarkStart w:id="2" w:name="pg3853_24222"/>
      <w:bookmarkStart w:id="3" w:name="__RefHeading___Toc153501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مباحثی از توحید در پرتو معارف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نبآ،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lang w:bidi="fa-IR"/>
        </w:rPr>
        <w:t>۵۶۸۰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۹۱۲</w:t>
      </w:r>
      <w:r>
        <w:rPr>
          <w:rFonts w:eastAsia="IRNazanin" w:cs="IRNazanin"/>
          <w:color w:val="111111"/>
          <w:sz w:val="28"/>
          <w:szCs w:val="28"/>
          <w:lang w:bidi="fa-IR"/>
        </w:rPr>
        <w:t>/</w:t>
      </w:r>
      <w:r>
        <w:rPr>
          <w:rFonts w:ascii="IRNazanin" w:hAnsi="IRNazanin" w:eastAsia="IRNazanin"/>
          <w:color w:val="111111"/>
          <w:sz w:val="28"/>
          <w:sz w:val="28"/>
          <w:szCs w:val="28"/>
          <w:lang w:bidi="fa-IR"/>
        </w:rPr>
        <w:t>۱۷۶۷۱</w:t>
      </w:r>
    </w:p>
    <w:p>
      <w:pPr>
        <w:pStyle w:val="Heading2"/>
        <w:numPr>
          <w:ilvl w:val="1"/>
          <w:numId w:val="1"/>
        </w:numPr>
        <w:rPr/>
      </w:pPr>
      <w:bookmarkStart w:id="5" w:name="__RefHeading___Toc153501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دکتر هادی صدر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معارف اهل بیت علیهم‌السلام ، معرفت خداوند، بین حد لاتعطیل و لاتشبیه دانسته شده و در روشهای بشری معرفت خدا فلاسفه به ورطه تشبیه و قائلان به اشتراک لفظی به ورطه تعطیل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مشابهت این است که ذات پروردگار برای ما ناشناخته می‌ماند، صفات و افعال خدا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مبرّابودن خداوند از هر نقصی قول به تعطیل را نفی می‌کند بدون آنکه تشبیهی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قطعی عقل در فهم و تفسیر او از نقلی، جایگاه منحصر به فرد و بی‌بدیل دارد که از این احکام به عنوان مستقلاّت عقلیّه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تفکّرات و پذیرفته شده‌های قبلی به عنوان احکام عقلی، حجابی برای برداشت از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علم به دو قسم حصولی و حضوری منحصر شده و خارج از آن جهل تلقّی می‌شود، این بعضی در معرفت بشر نسبت به خالق خویش نیز جاری است و تصوّر بوجه از ذات خداوند پایه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مفاهیمی که به مخلوقات نسبت داده می‌شود به شرط تجرید از لوازم و صفات جسمانی، بر خداوند قابل اطلاق‌اند، صاحب این نظریه تأکید می‌کند این تجرید صرفا از خصوصیّات جسمانی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جسمانی نشان از مخلوقیّت‌اند و چون عقلا بین خدا و خلق</w:t>
      </w:r>
      <w:bookmarkStart w:id="7" w:name="pg3853_24223"/>
    </w:p>
    <w:p>
      <w:pPr>
        <w:pStyle w:val="BookText"/>
        <w:rPr/>
      </w:pPr>
      <w:bookmarkEnd w:id="7"/>
      <w:r>
        <w:rPr>
          <w:rFonts w:ascii="IRNazanin" w:hAnsi="IRNazanin" w:eastAsia="IRNazanin"/>
          <w:color w:val="111111"/>
          <w:sz w:val="28"/>
          <w:sz w:val="28"/>
          <w:szCs w:val="28"/>
          <w:rtl w:val="true"/>
          <w:lang w:bidi="fa-IR"/>
        </w:rPr>
        <w:t>هیچ مشابهتی نیست پس نمی‌توان ویژگی مخلوقیّت را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تعطیل و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مصداق</w:t>
      </w:r>
      <w:r>
        <w:rPr>
          <w:rFonts w:eastAsia="IRNazanin" w:cs="IRNazanin"/>
          <w:color w:val="111111"/>
          <w:sz w:val="28"/>
          <w:szCs w:val="28"/>
          <w:rtl w:val="true"/>
          <w:lang w:bidi="fa-IR"/>
        </w:rPr>
        <w:t>.</w:t>
      </w:r>
    </w:p>
    <w:p>
      <w:pPr>
        <w:pStyle w:val="Heading2"/>
        <w:numPr>
          <w:ilvl w:val="1"/>
          <w:numId w:val="1"/>
        </w:numPr>
        <w:rPr/>
      </w:pPr>
      <w:bookmarkStart w:id="8" w:name="__RefHeading___Toc1535014_2281741623"/>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بحث توحید شریف‌ترین بحث در معارف الهی است که اهل بیت علیهم‌السلام به تفصیل، مباحث مختلفی از آن را تبیین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مکاتب بشری با همه تنوّع و تعدّد آرائی که در آنها وجود دارد، نظامهایی را سامان داده‌اند که با بررسی دقیق آنها روشن می‌شود که در بحث توحید نوعا یا به ورطه تعطیل، یا به ورطه تشبیه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تبیین معارف اهل بیت در این بحث، به گونه‌ای که مرزهای تعطیل و تشبیه حفظ شود، از اهمّیّت بسزایی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صدد روشن ساختن زوایایی از این بحث است و در قالب بررسی نظریّه‌ای درباره معرفت و توحید خدای متعال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صورت مقالاتی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آنجا که از انتشار این مقالات زمان نسبتا زیادی می‌گذرد، مناسب است ابتدا چکیده آن مقالات را در ضمن نکاتی چند یادآور شویم و سپس به بررسی چهارچوب کلّی آن بپردازیم</w:t>
      </w:r>
      <w:r>
        <w:rPr>
          <w:rFonts w:eastAsia="IRNazanin" w:cs="IRNazanin"/>
          <w:color w:val="111111"/>
          <w:sz w:val="28"/>
          <w:szCs w:val="28"/>
          <w:rtl w:val="true"/>
          <w:lang w:bidi="fa-IR"/>
        </w:rPr>
        <w:t>:</w:t>
      </w:r>
    </w:p>
    <w:p>
      <w:pPr>
        <w:pStyle w:val="Heading2"/>
        <w:numPr>
          <w:ilvl w:val="1"/>
          <w:numId w:val="1"/>
        </w:numPr>
        <w:rPr/>
      </w:pPr>
      <w:bookmarkStart w:id="10" w:name="__RefHeading___Toc1535016_2281741623"/>
      <w:bookmarkStart w:id="11" w:name="_Toc4"/>
      <w:bookmarkEnd w:id="10"/>
      <w:r>
        <w:rPr>
          <w:rtl w:val="true"/>
        </w:rPr>
        <w:t>چکیده مقالات</w:t>
      </w:r>
      <w:bookmarkEnd w:id="11"/>
    </w:p>
    <w:p>
      <w:pPr>
        <w:pStyle w:val="BookText"/>
        <w:rPr/>
      </w:pPr>
      <w:r>
        <w:rPr>
          <w:rFonts w:ascii="IRNazanin" w:hAnsi="IRNazanin" w:eastAsia="IRNazanin"/>
          <w:color w:val="111111"/>
          <w:sz w:val="28"/>
          <w:sz w:val="28"/>
          <w:szCs w:val="28"/>
          <w:rtl w:val="true"/>
          <w:lang w:bidi="fa-IR"/>
        </w:rPr>
        <w:t>پیش از ورود به بحث، چهارچوب کلّی مقالات یاد شده را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نظریّه</w:t>
      </w:r>
    </w:p>
    <w:p>
      <w:pPr>
        <w:pStyle w:val="BookText"/>
        <w:rPr/>
      </w:pPr>
      <w:r>
        <w:rPr>
          <w:rFonts w:ascii="IRNazanin" w:hAnsi="IRNazanin" w:eastAsia="IRNazanin"/>
          <w:color w:val="111111"/>
          <w:sz w:val="28"/>
          <w:sz w:val="28"/>
          <w:szCs w:val="28"/>
          <w:rtl w:val="true"/>
          <w:lang w:bidi="fa-IR"/>
        </w:rPr>
        <w:t>معرفت پروردگار را به پیروی از پیشوایان معصوم دین، بین دو حدّ تعطیل و تشبیه دانسته و آن‌گاه به معرّفی و ردّ دو گروه مخالف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فلاسفه‌ای که طرفدار سنخیّت بین خالق و مخلوق‌اند، فروافتادگان به ورطه تشبیه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هستی را یک حقیقت واحده ذومراتب دانسته و کمالاتی مانند علم و قدرت و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شئون همان حقیقت تلقّی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مشابهت بین خدا و خلق دیدگاه این گروه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مقالات این اصل ـ به لحاظ عقلی ـ فطری و ضروری دانسته شده و به صراحت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بناست خالقی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او غیرحکم مخلوقات و نسخ او غیر نسخ ممکنات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اصل فطری با مؤیّدات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اصل منتهای معرفت خدا، همان مغایرت خالق و مخلوق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تصریحات مقالات در این خصوص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معرفت ذهن به خدا صحیح است که بفهمد او مانند مخلوقات نیست و طورش طور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اصل،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حضرت امیرالمؤمنین و دیگر امامان از فرزندانش علیهم‌السلام چنین استفاده می‌شود که هیچ‌گونه مشابهت و مسانختی بین خدا و خلق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خلوٌ من خلقه و خلقه خلوٌ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متعال بیگانه و تهی از آفریدگان است و آفریدگانش بیگانه و</w:t>
      </w:r>
    </w:p>
    <w:p>
      <w:pPr>
        <w:pStyle w:val="BookText"/>
        <w:rPr/>
      </w:pPr>
      <w:r>
        <w:rPr>
          <w:rFonts w:ascii="IRNazanin" w:hAnsi="IRNazanin" w:eastAsia="IRNazanin"/>
          <w:color w:val="111111"/>
          <w:sz w:val="28"/>
          <w:sz w:val="28"/>
          <w:szCs w:val="28"/>
          <w:rtl w:val="true"/>
          <w:lang w:bidi="fa-IR"/>
        </w:rPr>
        <w:t>تهی از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در صدد بیان این معنی است که خدای متعال را نباید به سایر اشیاء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توصیفهایی که ما در مورد سایر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داریم، درباره او جاری نیست؛ باید در شناخت ذات اقدس او به ناشناخته بودن و نفی صفات جسمانی از او بسنده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بلافاصله تذکّر داده شده که نفی این صفات منجر نمی‌شود به اینکه ـ به اصطلاح پیروان فلسفه صدرایی ـ حقّ متعال را وجود نامتناهی و مطلق بینگاریم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تذکّر دهیم که سلب اوصاف محدودکننده از خدای متعال، به معنای نامحدود بودن و نامتناهی بودن ذات اقدس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مقالات از اصل عدم مشابهت اینست که ذات پروردگار برای ما ناشناخته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حق تعالی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از بحث در ذات او نهی اکید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إلی ربک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خصوص صفات حق متعال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بصیر بودن خدای تعالی بر ما معلوم نیست و به آفریدگان نتوان قیاس کرد و داخل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السدد المضروبة دون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دانسته می‌شود که کوششهایی که فلاسفه در بحث علم ذاتی حق تعالی کرده‌اند، همه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سایر فلاسفه که وجوه دیگری ارائه کرده‌اند، همه بیهوده، بلکه ممنوع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در سدد مضروبه دون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ناشناخته بودن مورد افعال حق تعالی هم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حق ـ جلّ جلاله ـ به افعال ما قیاس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نحوه صدور فعل از خدا نیز نمی‌توانیم بیندیشیم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نظریّه عرضه شده در این مقالات، خدای متعال در ذات، صفات و افعال خود ناشناخته است و باید چنین باشد و این نتیجه همان اصل عدم مشابهت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طرف دیگر مسئله، کسانی‌اند که به تعطیل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اینها همان قائلان به اشتراک لفظی معرّفی شده‌اند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الفاظی که بر خدا و خلق اطلاق می‌شود، نمی‌تواند به یک معنی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در خدا معنایی دارد غیر آن آن معنا که در خلق است؛ همچنین لفظ قادر و حیّ و حکیم و هر لفظ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صفات الهی معانی سلبی قائل‌اند نیز داخل در همین گروه اهل تعطیل‌اند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کسانی‌اند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 خدا عالم است، بدان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بجاهل؛ و وقتی می‌گوئیم قادر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بعاجز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مقالات، قول به اشتراک لفظی به ابوالحسن اشعری نسبت داده شده و بیان شده که این قول در قرن یازدهم توسط قاضی سعید قمی به تبع استادش مولی رجبعلی تبریزی دوباره زنده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بحث در مورد این گروه، با قاطعیّت حکم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میرزامهدی اصفهانی قدّس سرّه و تلامذه‌اش در این بحث، متأثّر از سخنان قاضی سعید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تأیید این نظر، عباراتی از مرحوم آقا میرزا مهدی اصفهانی نقل گردیده و در مقام قضاوت، حکم به وجود تهافت در آنها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مبرّا بودن از هر نقص به عنوان اصل دوم در بحث توحید، برای ردّ اهل تشبیه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قرآن که وصف کمال برای خدای عزّ و جلّ</w:t>
      </w:r>
      <w:bookmarkStart w:id="12" w:name="pg3853_24225"/>
    </w:p>
    <w:p>
      <w:pPr>
        <w:pStyle w:val="BookText"/>
        <w:rPr/>
      </w:pPr>
      <w:bookmarkEnd w:id="12"/>
      <w:r>
        <w:rPr>
          <w:rFonts w:ascii="IRNazanin" w:hAnsi="IRNazanin" w:eastAsia="IRNazanin"/>
          <w:color w:val="111111"/>
          <w:sz w:val="28"/>
          <w:sz w:val="28"/>
          <w:szCs w:val="28"/>
          <w:rtl w:val="true"/>
          <w:lang w:bidi="fa-IR"/>
        </w:rPr>
        <w:t>می‌کند، در همین راستا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مسئله بیشتر در مقاله دوم و سوم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مفاهیمی که در خلائق با لوازم جسمانی مقرون است، با تجرید، قابل نسبت دادن به حق تعالی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تجرید صرفا از اوصاف و کیفیّات جسمانی است و 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قرآن کریم برای خدای متعال ذکر می‌فرماید، او را مانند مخلوقات محدود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برای آن صفات در مورد خلائق، کیفیّات جسمانی و حدودی باشد، در مورد خدای تعالی آن کیفیّات و خصوصیّات، نفی می‌شود و مثلاً اگر او را به علیم بودن و قدیر بودن وصف کنیم، از داشتن اعصاب و عضلات تنزیه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دیدگاه در توضیح جملات امیرالمؤمنین علیه‌السلام در خطبه اوّل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صفاتی را که در مخلوقات دیده می‌شود یعنی صفات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رنگ و سایر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نفی می‌کند و به اوصافی که در قرآن کریم آمده ـ مانند علیم و قدیر ـ نظر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نتیجه‌گیری از این سخنان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اینکه در شناخت خدای متعال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تعبیرات مختّصه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مورد اشاره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این بحث، دفع دخل مقدّری صورت گرفته و توجّه داده شده که اطلاق صفاتی بر خدا که از طریق تجرید مورد نظر بدست می‌آید، به تشبیه او با خالق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ملاک مشابهت و مماثلث، اشتراک در اطلاق مفاهیم ماهوی است از مقولات ثانیه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نظریّه، از به کار بردن اصطلاحات فلسفی در بحث مورد قبول خود احتراز شده و توضیح داده شده در این خصوص، دقیقا منطبق بر اصطلاحی است که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از دیدگاه این مقالات، بر اساس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بودن از هر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تعطیل نفی می‌شود، بدون آنکه تشبیهی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ابتدای مباحث این نظریّه، در کنار دو اصل مزبور، اصل سومی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شرح و بررسی آن را به نوشتار دیگری موکول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براساس چکیده و عصاره‌ای که از چهارچوب کلّی نظریّه مطرح شد، به بررسی و نقد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ما را در بحث درباره اصل سوم مورد نظر این مقالات یاری خواهد کرد</w:t>
      </w:r>
      <w:r>
        <w:rPr>
          <w:rFonts w:eastAsia="IRNazanin" w:cs="IRNazanin"/>
          <w:color w:val="111111"/>
          <w:sz w:val="28"/>
          <w:szCs w:val="28"/>
          <w:rtl w:val="true"/>
          <w:lang w:bidi="fa-IR"/>
        </w:rPr>
        <w:t>.</w:t>
      </w:r>
    </w:p>
    <w:p>
      <w:pPr>
        <w:pStyle w:val="Heading2"/>
        <w:numPr>
          <w:ilvl w:val="1"/>
          <w:numId w:val="1"/>
        </w:numPr>
        <w:rPr/>
      </w:pPr>
      <w:bookmarkStart w:id="13" w:name="__RefHeading___Toc1535018_2281741623"/>
      <w:bookmarkStart w:id="14" w:name="_Toc5"/>
      <w:bookmarkEnd w:id="13"/>
      <w:r>
        <w:rPr>
          <w:rtl w:val="true"/>
        </w:rPr>
        <w:t>نقد و بررسی ابعاد عقلی نظریّه</w:t>
      </w:r>
      <w:bookmarkEnd w:id="14"/>
    </w:p>
    <w:p>
      <w:pPr>
        <w:pStyle w:val="Heading2"/>
        <w:numPr>
          <w:ilvl w:val="1"/>
          <w:numId w:val="1"/>
        </w:numPr>
        <w:rPr/>
      </w:pPr>
      <w:bookmarkStart w:id="15" w:name="__RefHeading___Toc1535020_2281741623"/>
      <w:bookmarkStart w:id="16" w:name="_Toc6"/>
      <w:bookmarkEnd w:id="15"/>
      <w:r>
        <w:rPr/>
        <w:t>1</w:t>
      </w:r>
      <w:r>
        <w:rPr>
          <w:rtl w:val="true"/>
        </w:rPr>
        <w:t xml:space="preserve">. </w:t>
      </w:r>
      <w:r>
        <w:rPr>
          <w:rtl w:val="true"/>
        </w:rPr>
        <w:t>توجّه به جایگاه انحصاری عقل در مباحث</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مقدّمه‌ای لازم برای ورود به بحث، باید به جایگاه منحصر به فرد عقل در مباحث اعتقادی، به خصوص مبحث توحید،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غرض توضیح روش اهل بیت علیهم‌السلام در مورد توحید و معرفت خداست، امّا در فهم و تفسیر این ادلّه نقلی، احکام قطعی عقل جایگاه بی‌بدیلی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عقل احکام بدیهی عقلی است که آنها را مستقلاّت عقلی می‌نامیم؛ نه تئوریها و فرضیه‌های فلسفی که صرفا خود فلاسفه ادّعای عقلی بودن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مباحث اعتقادی نقلی ـ و در رأس آنها توحید ـ به طور کامل، با اساس و پایه عقلی هماهنگی دارد و به همین دلیل، اگر بدون هیچ‌گونه پیش فرض و ذهنیّت قبلی، به قرآن کریم همراه با مجموعه احادیث اهل بیت علیهم‌السلام رجوع کنیم و چیزی را از خارج به آنها</w:t>
      </w:r>
      <w:bookmarkStart w:id="17" w:name="pg3853_24226"/>
    </w:p>
    <w:p>
      <w:pPr>
        <w:pStyle w:val="BookText"/>
        <w:rPr/>
      </w:pPr>
      <w:bookmarkEnd w:id="17"/>
      <w:r>
        <w:rPr>
          <w:rFonts w:ascii="IRNazanin" w:hAnsi="IRNazanin" w:eastAsia="IRNazanin"/>
          <w:color w:val="111111"/>
          <w:sz w:val="28"/>
          <w:sz w:val="28"/>
          <w:szCs w:val="28"/>
          <w:rtl w:val="true"/>
          <w:lang w:bidi="fa-IR"/>
        </w:rPr>
        <w:t>ضمیمه نکنیم، در تشخیص مستقلاّت عقلیّه اشتباه نخواهیم کرد و از خطا در شناخت احکام عقلی مصون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و نقل هر کدام به نحوی، در بهره بردن صحیح از دیگری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استنباط صحیح از کتاب خدا و سخنان اهل بیت علیهم‌السلام را مشکل ساخته، وجود یکسری پذیرفته‌شده‌های قبلی است که در بسیاری اوقات، نزد شخص، به عنوان احکام عقلی، مسلّم و قطعی تلقّی می‌شود و همین امر حجابی در بر داشت از آیات و روایات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رسیدن به یک نتیجه روشن و مقبول، و اِسناد آن به قرآن و احادیث، خوب است جنبه‌های عقلی بحث تا حدّ ممکن شکافته شود و از این طریق، موانع فهم صحیح از ادلّه نقلیّه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می‌کوشیم تا بررسی و نقد خود را بر محور یافته‌های عقل روشن و بدیهی که هر عاقلی آن را تصدیق می‌کند، عرضه کنیم و سپس به استنباط از آیات و روایات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نوشتار صرفا مباحث عقلی را طرح می‌کنیم و شواهد نقلی آن را به نوشتار بعدی ـ ان‌شاءاللّه ـ موکول می‌نماییم</w:t>
      </w:r>
      <w:r>
        <w:rPr>
          <w:rFonts w:eastAsia="IRNazanin" w:cs="IRNazanin"/>
          <w:color w:val="111111"/>
          <w:sz w:val="28"/>
          <w:szCs w:val="28"/>
          <w:rtl w:val="true"/>
          <w:lang w:bidi="fa-IR"/>
        </w:rPr>
        <w:t>.</w:t>
      </w:r>
    </w:p>
    <w:p>
      <w:pPr>
        <w:pStyle w:val="Heading2"/>
        <w:numPr>
          <w:ilvl w:val="1"/>
          <w:numId w:val="1"/>
        </w:numPr>
        <w:rPr/>
      </w:pPr>
      <w:bookmarkStart w:id="18" w:name="__RefHeading___Toc1535022_2281741623"/>
      <w:bookmarkStart w:id="19" w:name="_Toc7"/>
      <w:bookmarkEnd w:id="18"/>
      <w:r>
        <w:rPr/>
        <w:t>2</w:t>
      </w:r>
      <w:r>
        <w:rPr>
          <w:rtl w:val="true"/>
        </w:rPr>
        <w:t xml:space="preserve">. </w:t>
      </w:r>
      <w:r>
        <w:rPr>
          <w:rtl w:val="true"/>
        </w:rPr>
        <w:t>لزوم مقایسه بین نظریّه مورد بحث با دیدگاه فلاسفه</w:t>
      </w:r>
      <w:bookmarkEnd w:id="19"/>
    </w:p>
    <w:p>
      <w:pPr>
        <w:pStyle w:val="BookText"/>
        <w:rPr/>
      </w:pPr>
      <w:r>
        <w:rPr>
          <w:rFonts w:ascii="IRNazanin" w:hAnsi="IRNazanin" w:eastAsia="IRNazanin"/>
          <w:color w:val="111111"/>
          <w:sz w:val="28"/>
          <w:sz w:val="28"/>
          <w:szCs w:val="28"/>
          <w:rtl w:val="true"/>
          <w:lang w:bidi="fa-IR"/>
        </w:rPr>
        <w:t xml:space="preserve">اصل اوّلی و محوری بحث که مبنای مقالاتِ مورد نظر بوده،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نفی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معرفت خدا باید بین دو حدّ تعطیل و تشبیه باشد، هم از جهت عقلی و هم براساس ادلّه نقلیّه، متقن و غیرقابل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نقد و اشکال ماست این است که در این نظریّه به منظور پرهیز از سقوط در وادی تعطیل، مسیر نفی تشبیه به طور ناقص طی شده و به همین دلیل عملاً به تشبیه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در مقالات مذکور هرجا که عقیده فلاسفه نقد شده، مطلب با استفاده از اصطلاحات فلسفی بیان شده؛ امّا در مواردی که به گمان ما همان مضامین فلسفی مورد استفاده و تأیید قرار گرفته، اصطلاحات فلسفی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فی‌نفسه هیچ اشکال و ایرادی ندارد، ولی اگر در این دو فضا یکسان عمل می‌شد، خوانندگان مواضع اعتقادی نظریّه را در مقایسه با دیدگاههای فلسفی بهتر تشخیص می‌دادند و نقاط اشتراک و تفاوت آنها را خوب درمی‌یافتند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کسانی که با مباحث فلسفی ـ بخصوص فلسفه صدرایی ـ عمیقا آشنا هستند، می‌توانند این امر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دیدگاههای نظریّه با فلاسفه از این جهت لازم است که در فلسفه صدرایی اصول و پایه‌هایی مفروض و مقبول دانسته شده که التزام به آنها یکسری نتایج قهری و ضروری به دنبال می‌آورد و کسی که به یکی از آن اصول تن می‌دهد، باید به لوازم آن هم ملتزم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در این مقالات، با آنکه برخی از اصول فلسفی به صراحت رد شده، امّا بعضی از مبانی آنها به طور کامل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معنایی لوازم و نتایجی دارد که عقلاً از آن، لازم می‌آید و نمی‌توان مبنا را پذیرفت، ولی نتایج ضروری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خود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مبانی پذیرفته شده خود ملتزم شده‌اند، ولی این مقالات، در عین پذیرش عملی مبنا به برخی از لوازم آن ملتزم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روشن کردن برخی مبانی فلسفی مقالات مذکور مفید و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ما این نیست که هرچه در فلسفه مقبول تلقّی شده، صحیح نیست؛ امّا چون این نظریّه در کلّیّت خود موضع ضدّ فلسفی صریحی دارد، باید نقاط مشترک آن با فلاسفه کاملاً روشن شود تا نتایج نامطلوب آن مبنای فلسفی در این نظریّه هم آشکار گردد</w:t>
      </w:r>
      <w:r>
        <w:rPr>
          <w:rFonts w:eastAsia="IRNazanin" w:cs="IRNazanin"/>
          <w:color w:val="111111"/>
          <w:sz w:val="28"/>
          <w:szCs w:val="28"/>
          <w:rtl w:val="true"/>
          <w:lang w:bidi="fa-IR"/>
        </w:rPr>
        <w:t>.</w:t>
      </w:r>
    </w:p>
    <w:p>
      <w:pPr>
        <w:pStyle w:val="Heading2"/>
        <w:numPr>
          <w:ilvl w:val="1"/>
          <w:numId w:val="1"/>
        </w:numPr>
        <w:rPr/>
      </w:pPr>
      <w:bookmarkStart w:id="20" w:name="__RefHeading___Toc1535024_2281741623"/>
      <w:bookmarkStart w:id="21" w:name="_Toc8"/>
      <w:bookmarkEnd w:id="20"/>
      <w:r>
        <w:rPr/>
        <w:t>3</w:t>
      </w:r>
      <w:r>
        <w:rPr>
          <w:rtl w:val="true"/>
        </w:rPr>
        <w:t xml:space="preserve">. </w:t>
      </w:r>
      <w:r>
        <w:rPr>
          <w:rtl w:val="true"/>
        </w:rPr>
        <w:t>تعریف و تفسیر انحصاری فلاسفه از علم</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مبناهایی که در فلسفه صدرایی مفروض گرفته شده، تعریفی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و تقسیم‌بندی خاصّی است که در مورد آن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2" w:name="pg3853_24227"/>
    </w:p>
    <w:p>
      <w:pPr>
        <w:pStyle w:val="BookText"/>
        <w:rPr/>
      </w:pPr>
      <w:bookmarkEnd w:id="22"/>
      <w:r>
        <w:rPr>
          <w:rFonts w:ascii="IRNazanin" w:hAnsi="IRNazanin" w:eastAsia="IRNazanin"/>
          <w:color w:val="111111"/>
          <w:sz w:val="28"/>
          <w:sz w:val="28"/>
          <w:szCs w:val="28"/>
          <w:rtl w:val="true"/>
          <w:lang w:bidi="fa-IR"/>
        </w:rPr>
        <w:t>فلسفه، علم را به طور کلّی، به دو قسم حصولی و حضوری منحصر دانسته و خارج از این دو قسم را جهل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همان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الصورة الحاملة من شیئ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 و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جامع همه اقسام علم و معرفت می‌دانند و آن را شامل معرفت بشر نسبت به خالق خویش هم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تطبیق این دو نوع علم بر معرفت به خدا، دچار مشکل شده، مجبور می‌شوند که هریک از آن دو قسم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خداوند مطرح نمایند؛ امّا به هر حال، خارج از این دو گونه علم را جهل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فلاسفه شارح حکمت متعالیه که به روشنی،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فلاسفه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از اعاظم تلامذه آخوند ملاّعلی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 الإهیّة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علم به حصولی و حضوری، هرکدام از آنها را دو نوع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و بکنه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سخن ایشان در مورد علم حصولی این است که اگر صورت تمام ذات یا ذاتیات شی‌ء در ذهن مدرِک حاصل شود، علم حصولی بکنه خواهد بود؛ مانند صورت حیوان ناطق که تمام ذاتیّات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صورتِ صفتی و خاصّه‌ای از خواصّ شی‌ء در ذهن مدرک حاصل شود، علم نسبت او بوجه می‌شود؛ مانند حصول صورت ضاحک و کاتب از آن جهت که صفتی و خاصّه‌ای از خواص انسان‌اند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زنوزی،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اصطلاح، نسبت به هر چیزی دو گونه علم حصولی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ذاتیاتِ آن چیز را تصوّر کنیم، می‌گویند کُنه آن را شناخته‌ایم و علم ما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صورتی که تنها یکی از خواصّ و اوصاف آن را تصوّر کنیم، در واقع، وجهی از وجوه آن شی‌ء را شناخته‌ایم و شناخت وجه یک شی‌ء معادل با شناختِ آن شی‌ء بوجهٍ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کسی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معرفتش به انسان بالکنه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رسیدن به کُنه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صرفا ضاحک بودن انسان را بداند، در واقع، تنها وجهی از وجوه او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معرفت بوجهٍ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درباره تقسیم علم حضوری به بالکنه و بالوجه هم توضیحاتی آورده است که چون محلّ بحثِ ما نیست، از نقل و توضیح آن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علم حصولی ـ که توضیح داده شد ـ در بیانات عموم فلاسفه صدرایی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به این تعبیر تفوّه نکرده‌اند، مفهوم آن را در سخنان خود عینا به معنایی که ذکر شد، آورده‌اند</w:t>
      </w:r>
      <w:r>
        <w:rPr>
          <w:rFonts w:eastAsia="IRNazanin" w:cs="IRNazanin"/>
          <w:color w:val="111111"/>
          <w:sz w:val="28"/>
          <w:szCs w:val="28"/>
          <w:rtl w:val="true"/>
          <w:lang w:bidi="fa-IR"/>
        </w:rPr>
        <w:t>.</w:t>
      </w:r>
    </w:p>
    <w:p>
      <w:pPr>
        <w:pStyle w:val="Heading2"/>
        <w:numPr>
          <w:ilvl w:val="1"/>
          <w:numId w:val="1"/>
        </w:numPr>
        <w:rPr/>
      </w:pPr>
      <w:bookmarkStart w:id="23" w:name="__RefHeading___Toc1535026_2281741623"/>
      <w:bookmarkStart w:id="24" w:name="_Toc9"/>
      <w:bookmarkEnd w:id="23"/>
      <w:r>
        <w:rPr/>
        <w:t>4</w:t>
      </w:r>
      <w:r>
        <w:rPr>
          <w:rtl w:val="true"/>
        </w:rPr>
        <w:t xml:space="preserve">. </w:t>
      </w:r>
      <w:r>
        <w:rPr>
          <w:rtl w:val="true"/>
        </w:rPr>
        <w:t>بیان فلاسفه صدرایی در لزوم و چگونگی تصوّر خدا</w:t>
      </w:r>
      <w:bookmarkEnd w:id="24"/>
    </w:p>
    <w:p>
      <w:pPr>
        <w:pStyle w:val="BookText"/>
        <w:rPr/>
      </w:pPr>
      <w:r>
        <w:rPr>
          <w:rFonts w:ascii="IRNazanin" w:hAnsi="IRNazanin" w:eastAsia="IRNazanin"/>
          <w:color w:val="111111"/>
          <w:sz w:val="28"/>
          <w:sz w:val="28"/>
          <w:szCs w:val="28"/>
          <w:rtl w:val="true"/>
          <w:lang w:bidi="fa-IR"/>
        </w:rPr>
        <w:t>ملاّصدرا در بیان چگونگی معرفت خداوند، دقیقا همین معنا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اسفار، عبارت امیرالمؤمنین علیه‌السلام را در نخستین خطبه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إلی أنّ معرفة اللّه تعالی و لو بِوَجهٍ، ابتداءُ الإیمانِ و الیقینِ فإنّ ما لَمْ یُتَصوّر شیءٌ لایمکنُ التصدیقُ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مقدَّمٌ علی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کتقدّم البسیط علی المرکّب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شیرازی،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از نظر صاحب کتاب اسفار، مراد امیرالمؤمنین علیه‌السلام از معرفت خداوند ـ که پایه و اساس ایمان شمرده شده ـ تصوّر بِوَجهٍ از ذات اقدس باری تعالی است و دلیلی که او برای پایه بودن چنین تصوّری از خداوند می‌آورد، این است که اگر هیچ‌گونه تصوّری از یک شی‌ء نتوان داشت، وجود او را هم نمی‌توان تصدیق</w:t>
      </w:r>
      <w:bookmarkStart w:id="25" w:name="pg3853_24228"/>
    </w:p>
    <w:p>
      <w:pPr>
        <w:pStyle w:val="BookText"/>
        <w:rPr/>
      </w:pPr>
      <w:bookmarkEnd w:id="25"/>
      <w:r>
        <w:rPr>
          <w:rFonts w:ascii="IRNazanin" w:hAnsi="IRNazanin" w:eastAsia="IRNazanin"/>
          <w:color w:val="111111"/>
          <w:sz w:val="28"/>
          <w:sz w:val="28"/>
          <w:szCs w:val="28"/>
          <w:rtl w:val="true"/>
          <w:lang w:bidi="fa-IR"/>
        </w:rPr>
        <w:t xml:space="preserve">کرد؛ فلذا تنها راه تصحیح ایمان و اعتقاد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تصدیق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امکان تصوّر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فلسفه ملاّصدرا نیز در این بحث، دقیقا راه او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مرحوم علاّمه سیّد محمّد حسین طباطبایی در کتاب اصول فلسفه و روش رئالیسم فصلی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چگونه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کرده‌اند که در آن چگونگی تصوّر بِوَجهٍ را از خداوند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نیز در پاورقیهای همان قسمت که سخنان استاد را به طور کامل و روشن، شرح و بسط داده‌اند، بحث خود را در این خصوص چنین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می‌خواهد به خدا معتقد گردد و به او معرفت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پرسشی که به میان می‌آید، این است که آیا بشر قادر است خدا را تصوّر کند تا بدو معتقد گردد یا نه؟ زیرا اعتقاد تصدیق است و تصدیق فرع بر تصوّر است و اگر تصوّر خدا غیرممکن باشد، تصدیق و اعتقاد به او نیز غیرممکن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طبابایی،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پاورقیهای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از نظر مرحوم مطهّری عدم امکان تصوّر خدا منتهی به تعطیل و نفی‌اعتقاد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ائمّه اطهار و مخصوصا امام الموحّدین امیرالمؤمنین علی علیه‌السلام نیز جمله‌هایی دیده می‌شود که در ابتدا به نظر می‌رسد، طرفدار تعطیل و تعبّد در معارف الهی می‌باشند و هرگونه مداخله عقل را در ساحت معارف الهی ناروا می‌شمارند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این شواهد را ذکر کرده‌اند؛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اوّل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لایدرکه بُعد الهمم و لایناله 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آثار دینی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عن العقول کما احتجب عن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العقولَ علی تحدید صفته و لم یحجبها عن واجب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را اجازت نداده که حدود صفات او را مشخص کنند، امّا در عین حال، آنها را از مقدار لازم معرفت ممنوع نساخته است و پرده‌ای میان عقول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مرحوم مطهّری از مجموع بحث عقلی و نقلی در این خصوص،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عقلاً و نقلاً ممنوع دانسته شده، دسترسی عقل به کنه معرفت باری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امّا آنچه ممکن و بلکه لازم و واجب می‌باشد، تصوّر بوجه از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خداوند از نوع تصوّر ماهیّات نیست تا لازم آید ذهن قبلاً بر فرد و مصداق آن از راه حواس ظاهره یا باطنه رسیده باشد تا بتواند آن را تخیّل و سپس تعقّل نماید؛ بلکه این تصوّر از نوع تصوّر آن سلسله معانی و مفاهیم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نامیده می‌شود از قبیل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خداوند از ناحیه ترکیب چند مفهوم از این مفاهیم یا یکی از این مفاهیم با مفهومی از نوع ماهیّت صورت می‌گیرد؛ از قبیل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اختصاص به خداوند ندارد؛ تصوّر ما درباره ماده اوّلی جهان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تصوّری از ماهیّت و ذات و کنه مادّه اوّلی جهان نداریم؛ ولی او را به عنوان مادّه اوّلی که یک عنوان انتزاعی و ثانوی است تصوّر می‌کنیم و احیانا برهان بر وجودش اقامه و وجودش راتصدیق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 را هم تصوّر می‌کنیم و هم تصوّر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تحت یک عنوان عام انتزاعی ازقبیل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می‌کنیم، امّا کنه ذاتش را تصور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2"/>
        <w:numPr>
          <w:ilvl w:val="1"/>
          <w:numId w:val="1"/>
        </w:numPr>
        <w:rPr/>
      </w:pPr>
      <w:bookmarkStart w:id="26" w:name="__RefHeading___Toc1535028_2281741623"/>
      <w:bookmarkStart w:id="27" w:name="_Toc10"/>
      <w:bookmarkEnd w:id="26"/>
      <w:r>
        <w:rPr/>
        <w:t>5</w:t>
      </w:r>
      <w:r>
        <w:rPr>
          <w:rtl w:val="true"/>
        </w:rPr>
        <w:t xml:space="preserve">. </w:t>
      </w:r>
      <w:r>
        <w:rPr>
          <w:rtl w:val="true"/>
        </w:rPr>
        <w:t>قرابت راه خداشناسی در نظریّه مورد بحث با راه فلاسفه</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علی‌رغم موضع ضدّ فلسفی مقالات مورد بحث، طریقی که</w:t>
      </w:r>
    </w:p>
    <w:p>
      <w:pPr>
        <w:pStyle w:val="BookText"/>
        <w:rPr/>
      </w:pPr>
      <w:r>
        <w:rPr>
          <w:rFonts w:ascii="IRNazanin" w:hAnsi="IRNazanin" w:eastAsia="IRNazanin"/>
          <w:color w:val="111111"/>
          <w:sz w:val="28"/>
          <w:sz w:val="28"/>
          <w:szCs w:val="28"/>
          <w:rtl w:val="true"/>
          <w:lang w:bidi="fa-IR"/>
        </w:rPr>
        <w:t>در آنها طیّ شده، دقیقا راهی است که مرحوم مطهّری به تبع استاد خود علاّمه طباطبایی بر مبنای اصول فلسفه صدرایی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طریق، آنچه مسلّم انگاشته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هیچ‌گونه تصوّری از خداوند ممکن نباشد، معرفت و اعتقاد به او نیز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ایرادی که بر این نظریّه وارد می‌باشد، دقیقا در همین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چه دلیل عقلی یا نقلی بر این فرض وجود دارد؟ چگونه می‌توان ثابت کرد که معرفت یک شی‌ء صرفا از طریق تصوّر آن حاصل می‌شود؟ البتّه فلاسفه علم و معرفت را به حصولی و حضوری تقسیم کرده و برخی از آنان معرفت خداوند را به علم حضوری هم ممکن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این نظریّه، بحثی از علم حضوری نسبت به خداوند به میان نیامده است، ما سؤال خود را به علم حصولی اختصاص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حصر معرفت در صورت ذهنی داشتن از یک شی‌ء وجود دارد؟ ممکن است مطلب بدیهی تلقّی شده باشد، امّا با رجوع به وجدانهای افراد عاقل بطلان این تلقّی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دو گونه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علم و معرفت به طور کلّی و دوم در خصوص معرفت به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اوّل، معتقدیم که اصولاً هیچ علم و معرفتی از سنخ تصوّر و فکر نیست و این امر اختصاص به معرفت خدای سبحانه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بحث آن است که آنچه فلاسفه علم حصولی نامیده‌اند،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یکی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برای ایشان خلط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نوشتار وارد تشریح و توضیح این بحث نمی‌شویم و علاقمندان را به برخی از منابع موجود در این بحث ارجاع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بنی‌هاشمی، گوهر قدس معرفت؛ همو، کتاب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که آن را در اینجا ذکر می‌کنیم، این است که هرچند معرفت ما نسبت به اشیاء به تصوّر ذهنی داشتن از آنها نیست، امّا پس از تحقّق معرفت، امکان تصوّر برخی از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ـ عزّ و جلّ ـ چنین امکانی هم وجود ندارد؛ یعنی نه تنها معرفت پروردگار از طریق تصوّر ذهنی نسبت به ذات مقدّسش نمی‌باشد، بلکه اصولاً هیچ‌گونه تصور مطابق با واقعی از آن ذات قدّوس ـ حتّی پس از معرفت او ـ هم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در بحث اوّل ما ایراد و مناقشه‌ای داشته باشد و معرفت مخلوقات را به تصوّر ذهنی از آنها بداند، امّا در خصوص معرفت خدا نمی‌تواند به چنین چیزی قائل شود؛ چون اصولاً ذات مقدّس ربوبی قابل تصوّر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مطلب را هم عقلاً می‌توانیم اثبات کنیم و هم با استفاده از ادلّه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عقلی، می‌توان گفت که اگر کسی حقیقتا خداوند را شبیه به مخلوقات نداند و هرگونه مسانخت و مشابهت بین خدا و خلق را مُحال بشمارد، به‌سادگی، تصدیق می‌کند که امکان تصوّر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خواسته‌اند برای خدا صورت ذهنی درست کنند و آن تصوّر را معرفت بوجه خدا قرار دهند، در واقع، به‌نوعی تشبیه گرفتار آمده‌اند، بدون آنکه خود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بررسی آنچه فلاسفه‌ای نظیر مرحوم علاّمه طباطبایی و استاد مطهری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تصوّر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قابل اثبات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ورود به طرح و نقد مباحث فلاسفه، آنچه را نظریّه مورد بحث در چگونگی تصوّر خدا بیان کرده، مطرح می‌کنیم و پس از بررسی و نقد آن به بیان دیدگاه فلسفی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میان این نظریّه و دیدگاه فلاسفه روشن می‌شود که آنچه در این مقالات آمده است، بیان دیگری از آراء فلاسفه صدرایی می‌باشد و هر دو دیدگاه مبتلا به یک اشکال عقلی هستند و آن مشابهت میان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این مقالات، تصریح بر اصل عدم مشابهت</w:t>
      </w:r>
      <w:bookmarkStart w:id="28" w:name="pg3853_24230"/>
    </w:p>
    <w:p>
      <w:pPr>
        <w:pStyle w:val="BookText"/>
        <w:rPr/>
      </w:pPr>
      <w:bookmarkEnd w:id="28"/>
      <w:r>
        <w:rPr>
          <w:rFonts w:ascii="IRNazanin" w:hAnsi="IRNazanin" w:eastAsia="IRNazanin"/>
          <w:color w:val="111111"/>
          <w:sz w:val="28"/>
          <w:sz w:val="28"/>
          <w:szCs w:val="28"/>
          <w:rtl w:val="true"/>
          <w:lang w:bidi="fa-IR"/>
        </w:rPr>
        <w:t xml:space="preserve">شده است؛ بنابراین انتظار این بوده که بیان این نظریّه خالی از اشکال وارد به سخنان فلاسفه باشد؛ ولی برخلاف این انتظار، نوع طرح مسئله در آن، در مقایسه با آراء فلسفی اشکال‌پذیرتر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مدّعا پس از طرح آراء فلسفی و مقایسه آنها با دیدگاه نویسنده در مقالات بعدی روشن می‌گردد</w:t>
      </w:r>
      <w:r>
        <w:rPr>
          <w:rFonts w:eastAsia="IRNazanin" w:cs="IRNazanin"/>
          <w:color w:val="111111"/>
          <w:sz w:val="28"/>
          <w:szCs w:val="28"/>
          <w:rtl w:val="true"/>
          <w:lang w:bidi="fa-IR"/>
        </w:rPr>
        <w:t>).</w:t>
      </w:r>
    </w:p>
    <w:p>
      <w:pPr>
        <w:pStyle w:val="Heading2"/>
        <w:numPr>
          <w:ilvl w:val="1"/>
          <w:numId w:val="1"/>
        </w:numPr>
        <w:rPr/>
      </w:pPr>
      <w:bookmarkStart w:id="29" w:name="__RefHeading___Toc1535030_2281741623"/>
      <w:bookmarkStart w:id="30" w:name="_Toc11"/>
      <w:bookmarkEnd w:id="29"/>
      <w:r>
        <w:rPr/>
        <w:t>6</w:t>
      </w:r>
      <w:r>
        <w:rPr>
          <w:rtl w:val="true"/>
        </w:rPr>
        <w:t xml:space="preserve">. </w:t>
      </w:r>
      <w:r>
        <w:rPr>
          <w:rtl w:val="true"/>
        </w:rPr>
        <w:t>لزوم تجرید اختصاص به اوصاف جسمانی ندارد</w:t>
      </w:r>
      <w:bookmarkEnd w:id="30"/>
    </w:p>
    <w:p>
      <w:pPr>
        <w:pStyle w:val="BookText"/>
        <w:rPr/>
      </w:pPr>
      <w:r>
        <w:rPr>
          <w:rFonts w:ascii="IRNazanin" w:hAnsi="IRNazanin" w:eastAsia="IRNazanin"/>
          <w:color w:val="111111"/>
          <w:sz w:val="28"/>
          <w:sz w:val="28"/>
          <w:szCs w:val="28"/>
          <w:rtl w:val="true"/>
          <w:lang w:bidi="fa-IR"/>
        </w:rPr>
        <w:t>همان‌طور که در چکیده مقالات توضیح دادیم، صاحب این نظریّه معتقد است که مفاهیمی که به مخلوقات نسبت داده می‌شود، به شرط تجرید از لوازم و صفات جسمانی، بر خدای متعال قابل اطلاق‌اند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تصریح و تأکید شده که این تجرید صرفا از خصوصیّات جسمانی است؛ بنابراین وقتی می‌خواهیم صفاتی همچون سمیع و بصیر یا علیم و قدیر را ـ که در قرآن برای خداوند به کار رفته است ـ بر ذات خدای متعال اطلاق کنیم، کافی است کیفیّات و خصوصیّات جسمانی آنهارا که در عالم مخلوقات است، نفی کنیم و مثلاً در مورد سمیع و بصیر، جارحه و ابزار داشتن را نفی کنیم و در مورد علیم و قدیر، داشتن اعصاب و عضلات را نفی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بیش از این حدّ از تجرید، لازم دانسته نشده، پرهیز از فرو غلتیدن به ورطه تعطیل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صاحب این نظریّه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صفات مخلوقات از خصوصیّات جسمانی‌شان تجرید می‌کند و بدون این تجرید، اطلاق آنها بر خدای متعال جایز نمی‌شمارد؟ آیا جز این است که اوصاف جسمانی دالّ بر ویژگی مخلوقیّت‌اند و چون عقلاً بین خدا و خلق هیچ شباهتی نیست، پس نمی‌توان صفتی را که ویژگی مخلوقیّت دارد به خالق نسبت داد؟ حال سخن در این است که اگر چنین است ـ و باید باشد ـ پس هر وصف دیگری هم که ویژگی مخلوقیّت است، به همین دلیل باید از خدا نفی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ویژگی مخلوقیّت تنها اعصاب و عضلات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آیا خصوصیّتی در مخلوقات هست که ویژگی مخلوقیّت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آیا می‌توان در مخلوقات چیزی یافت که نشانِ مخلوقیّت بر آن نباشد؟</w:t>
      </w:r>
    </w:p>
    <w:p>
      <w:pPr>
        <w:pStyle w:val="BookText"/>
        <w:rPr/>
      </w:pPr>
      <w:r>
        <w:rPr>
          <w:rFonts w:ascii="IRNazanin" w:hAnsi="IRNazanin" w:eastAsia="IRNazanin"/>
          <w:color w:val="111111"/>
          <w:sz w:val="28"/>
          <w:sz w:val="28"/>
          <w:szCs w:val="28"/>
          <w:rtl w:val="true"/>
          <w:lang w:bidi="fa-IR"/>
        </w:rPr>
        <w:t>به عنوان مثال، همان علم و قدرتی را که مثال زده شده است،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قدرتی که ما در بشر سراغ داریم، چگونه است؟ صرف‌نظر از ابزار و جارحه داشتن، هر آنچه ما آن را مصداق علم خود می‌شماریم، دارای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همه علومی که در مخلوقات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حصولی و چه حضوری، چه کم و چه زیاد، چه آن را مجرّد بنامند و چه ننامند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مشترک دارد و آن عبارت است از ذاتی و مستقلّ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ما در خود سراغ داریم، می‌یابیم که از خودمان نیست؛ بلکه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آن را ذاتیِ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 یک از علمهای ما بالذات نمی‌باشد و ما در داشتن آن متّکی بر غیر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قدرت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هیچ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قدرتهای ما از ما ناشی نمی‌شود؛ بلکه آن را دیگری به ما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غیر بودن و ذاتی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روشن‌ترین نشانه‌های نقص و مخلوقیّت همه اوصافی است که در مخلوقات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ویژگی مخلوقیّت در مخلوقات بسیار فراتر از اعصاب و عضلات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جوارح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تأکید این نظریّه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هم این تصریح وجود دارد و اگر قرار است که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بودن از هر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خصوصیّتی را که دالّ بر نقصِ مخلوقات است، از خدای متعال نفی کنیم، پس نمی‌توانیم علم و قدرتی که در خود می‌یابیم صرفا با تجرید از خصوصیّات جسمانی مورد نظر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ابزار و جارحه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اطلاق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فقط عضلات و اعصاب داشتن نقص است؟ دقّت شود که روایات نیز در عین تنزیه خداوند از اوصاف</w:t>
      </w:r>
      <w:bookmarkStart w:id="31" w:name="pg3853_24231"/>
    </w:p>
    <w:p>
      <w:pPr>
        <w:pStyle w:val="BookText"/>
        <w:rPr/>
      </w:pPr>
      <w:bookmarkEnd w:id="31"/>
      <w:r>
        <w:rPr>
          <w:rFonts w:ascii="IRNazanin" w:hAnsi="IRNazanin" w:eastAsia="IRNazanin"/>
          <w:color w:val="111111"/>
          <w:sz w:val="28"/>
          <w:sz w:val="28"/>
          <w:szCs w:val="28"/>
          <w:rtl w:val="true"/>
          <w:lang w:bidi="fa-IR"/>
        </w:rPr>
        <w:t>جسمانیّت، او را از کلیّه اوصاف مخلوقی هم تنزیه و تجرید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ما در مخلوقاتی همچون انسان دو گونه صفت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صفات را صفات نقص و برخی دیگر را صفت کمال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داشتن و محدود به مکان بودن از قبیل گروه اوّل هستند و علم و قدرت داشتن از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 کمال بودنِ این دو دسته صفات برای انسان که یک مخلوق است، معنا پیدا می‌کند؛ ولی هر دو گروه در خصوصیّتی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تنزیه خداوند را صرفا از صفاتِ گروه اوّل لازم می‌داند، در حالی که به دلیل اصل عدم مشابهت که خود بر آن تأکید ورزیده، باید تنزیه را به صفات گروه دوم هم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معنایی از تنزیه که در حقّ خدای متعال روا و لازم شمرده شده، ناقص و ناکافی به نظر می‌رسد و همان‌طور که گفته شد، پرهیز از افتادن به ورطه تعطیل، علّت اصلی این امر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پرهیز نیز چیزی نیست جز حصر معرفت خداوند به علم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تصوّر ذهنی داشتن از ذات مقدّس باری تعالی است و نگرانی از اینکه اگر هیچ گونه تصوّری از خداوند نتوان داشت، به طور کلّی، باب معرفت مسدود می‌گردد</w:t>
      </w:r>
      <w:r>
        <w:rPr>
          <w:rFonts w:eastAsia="IRNazanin" w:cs="IRNazanin"/>
          <w:color w:val="111111"/>
          <w:sz w:val="28"/>
          <w:szCs w:val="28"/>
          <w:rtl w:val="true"/>
          <w:lang w:bidi="fa-IR"/>
        </w:rPr>
        <w:t>.</w:t>
      </w:r>
    </w:p>
    <w:p>
      <w:pPr>
        <w:pStyle w:val="Heading2"/>
        <w:numPr>
          <w:ilvl w:val="1"/>
          <w:numId w:val="1"/>
        </w:numPr>
        <w:rPr/>
      </w:pPr>
      <w:bookmarkStart w:id="32" w:name="__RefHeading___Toc1535032_2281741623"/>
      <w:bookmarkStart w:id="33" w:name="_Toc12"/>
      <w:bookmarkEnd w:id="32"/>
      <w:r>
        <w:rPr/>
        <w:t>7</w:t>
      </w:r>
      <w:r>
        <w:rPr>
          <w:rtl w:val="true"/>
        </w:rPr>
        <w:t xml:space="preserve">. </w:t>
      </w:r>
      <w:r>
        <w:rPr>
          <w:rtl w:val="true"/>
        </w:rPr>
        <w:t>تصدیق بلاتصوّر ممکن است</w:t>
      </w:r>
      <w:bookmarkEnd w:id="33"/>
    </w:p>
    <w:p>
      <w:pPr>
        <w:pStyle w:val="BookText"/>
        <w:rPr/>
      </w:pPr>
      <w:r>
        <w:rPr>
          <w:rFonts w:ascii="IRNazanin" w:hAnsi="IRNazanin" w:eastAsia="IRNazanin"/>
          <w:color w:val="111111"/>
          <w:sz w:val="28"/>
          <w:sz w:val="28"/>
          <w:szCs w:val="28"/>
          <w:rtl w:val="true"/>
          <w:lang w:bidi="fa-IR"/>
        </w:rPr>
        <w:t>به نظر می‌رسد که کلید حلّ معمّا در توجّه به یک واقعیّت وجدانی است و آن امکان داشتن باور و اذعان به یک امر بدون تصوّر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امر که بیان آن خواهد آمد، توجّه شود، تصدیق خواهد شد که هیچ مشکل و نقصی در بحث پیش نمی‌آید؛ بلکه برعکس، تنها با این نگرش جدید است که هر دو اصلِ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مشابهت و اصل مبرّا بودن از هر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رعایت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فرض تساوی معرفت با تصوّر از کجا و به چه دلیل آمده که چنین مسلّم و بدیهی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نظریّه این است که اگر تصوّر را در مورد خدای متعال نفی کند، به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بلا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می‌آید که در کلام شهید مطهّری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واقعا چنین است؟ هرکس برای چند لحظه در این خصوص تأمّل کند، به راحتی، خلاف آن را اذعان می‌کند؟ ما وجود بسیاری از امور را در خود اقرار و اذعان می‌کنیم، بدون آنکه تصوّری از آنها در ذهن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وقتی کسی درد می‌کشد، آیا در همان وقت وجود درد را اذعان و تصدیق نمی‌کند؟ دقّت شود که واقعیّت درد مورد نظر است نه فکر و صورت ذهنی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در حال درد کشیدن وجود آن را تصدیق کند، هیچ احتیاجی به تصوّر کردن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درباره همین واقعیّت خارجی فکر کنیم؛ یعنی آن را در ذهن خود مواجه هستیم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درد واقعیّت خارجی آن است که بدون هیچ‌گونه تصوّری و بی دخالت ذهن، وجودش را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فکر کنیم و آن‌گاه تفسیرهای ذهنی را که شامل موضوع و محمول و نسبت بیان آن دوست، تشکیل دهیم، در آن صورت تصدیق ما هم ذهنی می‌شود؛ ولی سخنِ ما در این فرض نیست، این وقتی است که ما یک گزارش فکری از واقعیّت خارجی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صرف‌نظر از گزارش فکری دادن، حقیقت این است که ما پیش از آنکه اموری وجدانی همچون درد را تصوّر کنیم، واقعیّت آنها بدون وساطت هیچ تصوّری برایمان مکشوف و معلوم شده است و تصدیق مورد بحث مربوط به همین واقعیّت وجدانی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از تصدیق، البتّه در اصطلاح منطقیّین و فلاسفه، تصدیق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تصدیق را در کنار تصوّر از اقسام علم حصولی می‌شمارند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إن کان إذعانا للنسبة فتصدیق و إلاّ فتصوّر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از علم که آن را مقسم تصوّر و تصدیق قرار داده‌اند، همان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الصورة الحاصلة من الشیء عند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مرادشان از عقل همان ذهن است که</w:t>
      </w:r>
      <w:bookmarkStart w:id="34" w:name="pg3853_24232"/>
    </w:p>
    <w:p>
      <w:pPr>
        <w:pStyle w:val="BookText"/>
        <w:rPr/>
      </w:pPr>
      <w:bookmarkEnd w:id="34"/>
      <w:r>
        <w:rPr>
          <w:rFonts w:ascii="IRNazanin" w:hAnsi="IRNazanin" w:eastAsia="IRNazanin"/>
          <w:color w:val="111111"/>
          <w:sz w:val="28"/>
          <w:sz w:val="28"/>
          <w:szCs w:val="28"/>
          <w:rtl w:val="true"/>
          <w:lang w:bidi="fa-IR"/>
        </w:rPr>
        <w:t>کارش صورت ذهنی دادن اشیاء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تصدیق مورد نظر فلاسفه خود نوعی صورت ذهنی است، در حالی که ما از تصدیقی سخن می‌گوییم که حقیقتِ آن، صورت واقع در ذهن نیست و این‌گونه تصدیق در همه انسانها به 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امور وجدانی از قبیل درد، محبّت، شوق،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تصدیقهایی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برخی از فلاسفه خواسته‌اند همین امور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تعریف و اصطلاح خاصّ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بگنجانند؛ امّا حقیقت این است که این‌گونه امور وجدانی نقض‌کننده قالبهای پیش‌ساخته فلسفی در معرفت است 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علم حضوریِ مورد ادّعای فلاسفه ندارد که این بحث در مجال مناسب خود طرح و بحث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رحیمیان، مسئله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چه علم حضوری مصطلحِ فلاسفه با وجدان تطبیق بکند و چه غیر از آن باشد، مهم این است که ما می‌توانیم به وجود واقعیّتهایی اذعان و اعتراف کنیم بدون آنکه آنها را تصوّر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تصدیقِ بلاتصوّر همین‌گونه از اقرار و اذعانهاست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در مورد تصدیق به وجود خدای متعال هم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نفی تصوّر از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نفی معرفت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تعطیل نخواهیم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جای مناسب خود بحث می‌شود که وقتی از وجدان خداوند سخن می‌گوییم، هیچ شباهتی بین آن و وجدان سایر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نیستیم؛ مثلاً هیچگاه وجدان خداوند را مانند وجدان درد نمی‌دانیم؛ امّا وجدان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تصوّر ذهنی از آنها ممکن و بلکه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وجه مشترک در این دو گونه وجدان، این است که هیچ کدام دارای صورت فکری و ذهنی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مشترک، چون در یک وجه سلبی است، مستلزم هیچ شباهتی بین خدا و خلق نیست و با تباین میان آنها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سعی کردیم تا روشن کنیم که اگر نظریّه مطرح شده در مقالات مورد نظر به اصل عقلی و بدیهی عدم مشابهت بین خدا و خلق ملتزم باشد، باید از قول به هرگونه صورت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تشبیه در آنچه از خدا نفی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 اوصاف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همچون علم و قدرت که در مخلوقاتی مانند انسان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 واضح شد که نفی تصوّر از خدای متعال به تعطیل معرفت نمی‌انجامد، بلکه تنها چیزی که نقض می‌شود، حصر معرفت در قالب علم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حصر نه تنها دلیل و منطقی ندارد، بلکه در تمامی امور وجدانی خلاف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تصدیق بلاتصوّر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منع عقلی ندارد و به این معنی است که آنچه را می‌یابم، باور دارم</w:t>
      </w:r>
      <w:r>
        <w:rPr>
          <w:rFonts w:eastAsia="IRNazanin" w:cs="IRNazanin"/>
          <w:color w:val="111111"/>
          <w:sz w:val="28"/>
          <w:szCs w:val="28"/>
          <w:rtl w:val="true"/>
          <w:lang w:bidi="fa-IR"/>
        </w:rPr>
        <w:t>.</w:t>
      </w:r>
    </w:p>
    <w:p>
      <w:pPr>
        <w:pStyle w:val="Heading2"/>
        <w:numPr>
          <w:ilvl w:val="1"/>
          <w:numId w:val="1"/>
        </w:numPr>
        <w:rPr/>
      </w:pPr>
      <w:bookmarkStart w:id="35" w:name="__RefHeading___Toc1535034_2281741623"/>
      <w:bookmarkStart w:id="36" w:name="_Toc13"/>
      <w:bookmarkEnd w:id="35"/>
      <w:r>
        <w:rPr/>
        <w:t>8</w:t>
      </w:r>
      <w:r>
        <w:rPr>
          <w:rtl w:val="true"/>
        </w:rPr>
        <w:t xml:space="preserve">. </w:t>
      </w:r>
      <w:r>
        <w:rPr>
          <w:rtl w:val="true"/>
        </w:rPr>
        <w:t>تنزیه خداوند باید از همه اوصاف مخلوقی باشد نه فقط اوصاف اجسام</w:t>
      </w:r>
      <w:bookmarkEnd w:id="36"/>
    </w:p>
    <w:p>
      <w:pPr>
        <w:pStyle w:val="BookText"/>
        <w:rPr/>
      </w:pPr>
      <w:r>
        <w:rPr>
          <w:rFonts w:ascii="IRNazanin" w:hAnsi="IRNazanin" w:eastAsia="IRNazanin"/>
          <w:color w:val="111111"/>
          <w:sz w:val="28"/>
          <w:sz w:val="28"/>
          <w:szCs w:val="28"/>
          <w:rtl w:val="true"/>
          <w:lang w:bidi="fa-IR"/>
        </w:rPr>
        <w:t>در اینجا پیش از ادامه بحث، لازم است به دو اعتراض مقدّر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ممکن است گفته شود که به این نظریّه، درست توجّه نشده و لذا گمان شده که تنزیه یا نفی تشبیه به صورت ناقص مطرح شده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اثبات این مطلب، شواهدی از عبارات مقالات شاهد آورده شود؛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گونه تشابه و تسانخی بین خدا و خلق نمی‌باشد و اساسا شناخت او بر مبنای مغایرت با مخلوقات است و الاّ آنچه مشابه مخلوقات فرض شده است،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ما در مورد خدای متعال، این است که او موجودی است مغایر همه اشیایی که ما می‌توانیم بشناسیم و احکام این اشیاء ـ که از جمله آنها فرض کثرت و تعدّد است ـ بر او جاری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هیچ‌گونه ثانی ولو تقریبی ندارد، چه آنکه او عالم بالذات است و همه خلائق جاهل بالذات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بالذات است و همه خلائق فقیر بالذات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عبارات، در هر سه مقاله به چشم می‌خورد که مطابق آنچه بیان کردیم، قابل تفسیر و توضیح‌اند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مطلق شباهت بین خدا و خلق محال دانسته شده و تصریح شده که ذات مقدّس ربوبی با همه اشیایی که ما می‌توانیم بشناسیم و با احکام آنها مغایراست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اینکه خداوند عالم بالذات و غنی بالذات است ولی خلائق جاهل و فقیر بالذات‌اند،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نفی تشبیه، مختصّ به اجسام و خصوصیّات جسمانی نیست؛ بلکه عامّ‌تر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در اینجا این است که اگر مراد نظریّه از تنزیه پروردگار نفی تشبیه از ذات اقدسش به همان گستردگی است که ما بیان نمودیم و ظاهر عبارات نقل شده هم گویای همان است،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اختلافی از این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برخی از عبارات دیگر در این مقالات به معنای صحیح مورد بحث قابل تفسیر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توضیح عبارات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صفاتی را که در مخلوقات دیده می‌شود، یعنی صفات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رنگ و سایر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نفی می‌کند و به اوصافی که در قرآن کریم آمده ـ مانند علیم و قدیر ـ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حقیقت، مثل علم و قدرت از عنوان وصف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مفاهیم، حدود اشیاء را تعیین نمی‌کند و متصوّر از وصف تعیین 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صرف‌نظر از عبارت مولا امیرالمؤمنین علیه‌السلام ، بحث عامّ‌تری مطرح شده که حساب مفاهیمی همچون علم و قدرت را از اوصاف جسمانی جدا نماید و در معرّفی اوصاف گروه اوّل، آمدن در قرآن کریم را شاخصه اصلی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مطلب دو ایراد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اوصافی که 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اوصاف اجسام در قرآن برای خدای متعال به کار نرفته است؟ آیاتی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اوصافی به خداوند نسبت داده‌اند که در عالم مخلوقات، اوصاف جسم و جسمانیّت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تفسیر این آیات با توجّه به اصولِ مسلّم عقلی ـ ازجمله عدمِ مشابهت خالق و مخلوق ـ و با رجوع به احادیث ائمّه علیهم‌السلام که شارح و مفسّر معصوم قرآن کریم هستند، معنایی را استنباط می‌کنیم که از همه ویژگیهای مخلوقات به طور کلّی تنزیه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تفاوتی بین علم و قدرت و استواء بر عرش و نظر به 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آمدن یک صفت در قرآن، ملاکی برای جدا کردن اوصاف 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این بحث موکول به بحث درباره معنای صحیح توقیفیّت اسماء الهی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دوم این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علم و قدرت حدود اشیاء را تعیین نمی‌کنند و به همین جهت از شمول اطلاق وصف،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عنوان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روشن شد که این مفاهیم تا آنجا که در عالم مخلوقات کاربرد دارند یا قابل فرض در مخلوقاتی مشابه آنچه دیده‌ایم، هستند، دلالت بر 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ویژگی به معنای تعیین حدود اشیائی است که بر آنها اطلاق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لزوما حدّ جسمانی را تعیین نمی‌کنند، ولی بر حدّ مخلوقیّت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w:t>
      </w:r>
      <w:bookmarkStart w:id="37" w:name="pg3853_24234"/>
    </w:p>
    <w:p>
      <w:pPr>
        <w:pStyle w:val="BookText"/>
        <w:rPr/>
      </w:pPr>
      <w:bookmarkEnd w:id="37"/>
      <w:r>
        <w:rPr>
          <w:rFonts w:ascii="IRNazanin" w:hAnsi="IRNazanin" w:eastAsia="IRNazanin"/>
          <w:color w:val="111111"/>
          <w:sz w:val="28"/>
          <w:sz w:val="28"/>
          <w:szCs w:val="28"/>
          <w:rtl w:val="true"/>
          <w:lang w:bidi="fa-IR"/>
        </w:rPr>
        <w:t xml:space="preserve">علم و قدرت خداوند بالذات است نه بالغیر، مفاهیمی نظیر علم و قدرت قابل اسناد به خدای متعال نمی‌باشند و حداکثر مفاهیم جهل و عجز را از ساحت ربوبی به دور می‌نمایند؛ همان‌گونه که در صریح روایات هم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بعاجز ـ لیس بجاهل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نظریّه آنها را مساوی تعطیل دانسته‌اند</w:t>
      </w:r>
      <w:r>
        <w:rPr>
          <w:rFonts w:eastAsia="IRNazanin" w:cs="IRNazanin"/>
          <w:color w:val="111111"/>
          <w:sz w:val="28"/>
          <w:szCs w:val="28"/>
          <w:rtl w:val="true"/>
          <w:lang w:bidi="fa-IR"/>
        </w:rPr>
        <w:t>.</w:t>
      </w:r>
    </w:p>
    <w:p>
      <w:pPr>
        <w:pStyle w:val="Heading2"/>
        <w:numPr>
          <w:ilvl w:val="1"/>
          <w:numId w:val="1"/>
        </w:numPr>
        <w:rPr/>
      </w:pPr>
      <w:bookmarkStart w:id="38" w:name="__RefHeading___Toc1535036_2281741623"/>
      <w:bookmarkStart w:id="39" w:name="_Toc14"/>
      <w:bookmarkEnd w:id="38"/>
      <w:r>
        <w:rPr/>
        <w:t>9</w:t>
      </w:r>
      <w:r>
        <w:rPr>
          <w:rtl w:val="true"/>
        </w:rPr>
        <w:t xml:space="preserve">. </w:t>
      </w:r>
      <w:r>
        <w:rPr>
          <w:rtl w:val="true"/>
        </w:rPr>
        <w:t>پاسخ به ایراد خلط مفهوم با مصداق</w:t>
      </w:r>
      <w:bookmarkEnd w:id="39"/>
    </w:p>
    <w:p>
      <w:pPr>
        <w:pStyle w:val="BookText"/>
        <w:rPr/>
      </w:pPr>
      <w:r>
        <w:rPr>
          <w:rFonts w:ascii="IRNazanin" w:hAnsi="IRNazanin" w:eastAsia="IRNazanin"/>
          <w:color w:val="111111"/>
          <w:sz w:val="28"/>
          <w:sz w:val="28"/>
          <w:szCs w:val="28"/>
          <w:rtl w:val="true"/>
          <w:lang w:bidi="fa-IR"/>
        </w:rPr>
        <w:t>اعتراض دومی که ممکن است وارد شود،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سخنان خود بین مفهوم و مصداق خلط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شما مربوط به این است که مصادیقِ مفاهیمی نظیر علم و قدرت، مخلوق و محدود هستند و این امر کاملاً پذیرفته است؛ ولی لازمه محدود بودن مصداق، محدودیّت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مفاهیمی را به صورت مشترک بین خدا و خلق به کار بریم، بدون آنکه تشبیهی در مصادیق آنها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تشبیه اشتراک در مصداق است؛ نه اشتراک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تصوّر ذات و صفات الهی هم مشکلی ندارد؛ چون تصوّر به مفهوم مربوط می‌شود نه به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اعتراض مقدّر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اوّل، باید ببینیم که مفاهیمی نظیر علم و قدرت چگونه و از چه طریق به ذهنِ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پیش خود آنها را ابداع کرده‌ایم یا اینکه کمالاتی در برخی از مخلوقات در مقایسه با برخی دیگر مشاهده کرده‌ایم و به هر کمالی با مفهومی خاصّ اشاره می‌کنیم؟ فرض اوّل قطعا نادرست است و بعید است کسی به آن ملتزم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فرض صحیح فرض دوم است؛ یعنی اینکه پس از شناخت اشیاء و مقایسه آنها با یکدیگر یا احیانا با دریافتهای درونی و وجدانی خود، برخی را واجد کمال تشخیص داده‌ایم که دیگری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کمال خاصّ، مفهومی در ذهن ما حاصل شده که حکایت از همان کمال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کمالات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کمال قدرت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مفاهیم هیچ‌کدام از معقولات اوّلی یا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جزء مقولات ثانیه فلسفی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این نظریّه ـ که گفتیم در اصول مشترک خود با فلسفه مقیّد بوده که از تعابیر فلسفی استفاده نکند ـ علم و قدرت از مفاهیمی نیستند که حقیقت اشیاء را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حقیقت آن چیزی است که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در خارج چیزی سراغ نداریم که وقتی از ماهیّت آن سؤال 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 قادر ـ همچنین است مفهوم علم یا عالم ـ بلکه همیشه ماهیّتی همچون انسان یا فرشته یا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آن را به وصف عالم و قادر می‌شناسیم و اگر نخواهیم وصف را به موصوف حمل کنیم، علم و قدرت تعبیرمی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اشیاء را بیان نمی‌کنند؛ لذا از قبیل مفاهیمی همچون موجود و واحد هستند که در مقاله سوم مثال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می‌بینیم که این مفاهیم به طور غیرمستقیم و با واسطه مخلوقات و مقایسه آنها با یکدیگر انتزاع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تفکیک دو دسته مفاهیم از یکدیگر ـ که در مقاله سوم آمده است ـ مشکل تشبیه را که در نظریّه وجود دارد،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تشبیه این است که مفهومی منتزع از مخلوقات را به خالق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علم و قدرتی که از مخلوقات در ذهن داریم، حاکی از یک حدّ و نقص ذاتی هستند که این حدّ ورای اوصاف و کیفیّات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دارای علم و قدرت است، ممکن است علم و قدرتش محدود و مقیّد به آلات و ابزار جسمانی باشد که باید از این‌گونه حدّ و قید تجرید شود؛ ولی با وجود این تجرید ـ یعنی اگر مقیّد به قیود جسمانی هم نباشد ـ باز هم علم و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علم و قدرت</w:t>
      </w:r>
      <w:bookmarkStart w:id="40" w:name="pg3853_24235"/>
    </w:p>
    <w:p>
      <w:pPr>
        <w:pStyle w:val="BookText"/>
        <w:rPr/>
      </w:pPr>
      <w:bookmarkEnd w:id="40"/>
      <w:r>
        <w:rPr>
          <w:rFonts w:ascii="IRNazanin" w:hAnsi="IRNazanin" w:eastAsia="IRNazanin"/>
          <w:color w:val="111111"/>
          <w:sz w:val="28"/>
          <w:sz w:val="28"/>
          <w:szCs w:val="28"/>
          <w:rtl w:val="true"/>
          <w:lang w:bidi="fa-IR"/>
        </w:rPr>
        <w:t>نداریم، بلکه اصل آنها مورد نظر ماست؛ بنابراین، وقتی الفاظ علیم یا قدیر را استعمال می‌کنیم، مفهوم آنها اصل آگاهی و توانایی است و خصوصیّات آن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بسیار خوب، امّا وقتی اصل علم و قدرت را اراده می‌کنید، مقصود چیست؟ آیا مفهوم علم و قدرتی را که از مخلوقات برگرفته‌اید،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می‌کنید؟ در این صورت، چه مفهومی باقی می‌ماند که از آن به اصل آگاهی یا توانایی تعبیر می‌نمایید؟ توجّه شود که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مفهوم علم یا قدرت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مفهوم ایجابی این است که به نحوی درباره طور آن بتوان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فلاسفه که مطلق علم را به علم حصولی و حضوری تقسیم می‌کنند، علم خداوند را نیز با کمک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می‌دهند و در واقع مفهوم علم حضوری را به خداوند سرایت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معتقد باشد که ذات و صفات و نحوه فاعلیّت خداوند حقیقتا ناشناخته است؛ چنان‌که در این نظریّه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بصیر بودن خدای تعالی بر ما معلوم نیست و به آفریدگان نتوان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کوشش‌هایی که فلاسفه در بحث علم ذاتی حق تعالی کرده‌اند، همه بی‌مورد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مفهومی که دلالت بر طور علم یا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نمی‌توان از ذات و صفات پروردگار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آنچه از علیم و قدیر بدون خداوند می‌فهمیم، هیچ بار ایجابی و اثباتی ندارد و به همین جهت، بهتر است که آنها را سلبی و تنزیهی معنا کنیم تا همین نکته مهم را روشن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در احادیث ائمّه اطهار علیهم‌السلام به صورت متعدّد و مکرّر به آن تصریح شده و ما در بحث نقلی به برخی از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نمونه‌ای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اللّه‌ُ عالِما لِأنَّهُ لایَجْهَلُ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به این جهت عالم نامیده شده که به هیچ چیز جاهل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سلبی یا ایجابی معنا کردنِ صفات پروردگار فرع بر این حقیقت است که مفاهیمی که از مخلوقات انتزاع می‌شوند، اگر بر خارج از حوزه مخلوقات اطلاق گردند، باید از ویژگیهای مخلوقیّت تجرید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به اوصاف و کیفیّات جسمانی محدود و منحصر نمی‌باشند؛ بلکه مهم‌تر از هر خصوصیّتی، بالغیر و غیر ذاتی بودنِ آن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سلب این ویژگی آنچه می‌ماند، چیزی جز نفی نقیضِ وصفی نیست؛ مثلاً از عالم بودن تنها جاهل نبودن، از قادر بودن تنها عاجز نبودن، از سمیع بودن تنها ناشنوا نبودن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اشتباه نشود، این بحث به هیچ وجه یک بحث لفظی نیست؛ بلکه حکایت از فهم بسیار عمیقی در امر شناخت ذات و صفات پروردگار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چیزی جز همان نفی تشبیه که اصل اصیل در معرفت خداوند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مطلقِ جهل را نفی می‌کنیم و هم مطلق علم بالغیر را و از هیچکدام هم تعطیل به دست نمی‌آید؛ چرا که چون خداوند را می‌شناسیم و به معرفت فطری و وجدانیِ خود، نظر داریم، می‌یابیم که او جاهل نیست و در عین حال، از این علم ناقصی هم که ما داریم، مُبرّی است و ماحصل این دریافت همان است که جاهل نیست و عاجز نیست و همه این احکام سلبی حکایت از آن دارد که ما معرفت را تعطیل نکرده‌ایم که اگر تعطیل کرده بودیم، دیگر اعتراف به لیس بجاهل، بیجا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2"/>
        <w:numPr>
          <w:ilvl w:val="1"/>
          <w:numId w:val="1"/>
        </w:numPr>
        <w:rPr/>
      </w:pPr>
      <w:bookmarkStart w:id="41" w:name="__RefHeading___Toc1535038_2281741623"/>
      <w:bookmarkStart w:id="42" w:name="_Toc15"/>
      <w:bookmarkEnd w:id="41"/>
      <w:r>
        <w:rPr/>
        <w:t>10</w:t>
      </w:r>
      <w:r>
        <w:rPr>
          <w:rtl w:val="true"/>
        </w:rPr>
        <w:t xml:space="preserve">. </w:t>
      </w:r>
      <w:r>
        <w:rPr>
          <w:rtl w:val="true"/>
        </w:rPr>
        <w:t>بحث اشتراک لفظی و معنوی</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مسئله سلبی معنا کردن صفات خدا تلازمی با اشتراک لفظی در مورد اسامی پروردگار ندارد و ارتباط دادن این دو بحث به یکدیگر نشانه عدم توجّه به اصل و حقیقت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صفات پروردگار را سلبی معنا کند، امّا قائل بر اشتراک لفظی بین صفات خدا و خلق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مطلب این است که اگر کسی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همین معنای سلبی را مشترک بین خدا و خلق دانسته، اشتراک لفظی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اشتراک لفظی یا معنوی باید جدا از سلبی یا ایجابی معنا کردن اوصاف مشترک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جهت بحث این است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لسان روایات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خلاصه و عصاره مطلب را در اینجا ذکر می‌کنیم و شواهد نقلی آن را به شماره بعد که اختصاصی به بحث نقلی دارد،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معنای لغوی توجّه شود، می‌توانیم ادّعا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همان شی‌ء موجود در خارج، یا ظرف تحقّق واقعی خودش است که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معنای آب، آب موجود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مباحث زیادی در اینجا طرح می‌شود که باید در جای خود به آن پرداخت؛ ازجمله اینکه حساب مفاهیم کلیّه و جزئیّه با این عنایت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این‌گونه مباحث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در اینجا مورد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اراده کند، در آن صورت می‌تواند بگوید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مخلوقات با معنای همین لفظ در مورد خداوند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مخلوقات دلالت بر علمی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 حالی‌که همین لفظ اگر برای خداوند به کار رود، چنین معنایی ندارد؛ زیرا علم خداوند بالغیر نیست و بالذات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و خلق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مبتنی بر همان مباحث عقلی پیش گفته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 عنایت بر همین معنا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خلق نفی شود، چه مخدور عقلی به دنبال خواهد داشت؟ البتّه مقصود مرحوم قاضی سعید قمی و استادش چنین معنایی نبوده، امّا این نگرش در کلمات مرحوم آقا میرزا مهدی اصفهانی به صراحت مشاهده می‌شود که شواهد آن در مقاله بعدی، پس از نقل روایات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اشتراک معنوی با این عنایتِ خاصّ، به هیچ وجه، تعطیل صفات را نتیجه نمی‌دهد و صرفا ناظر به نفی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مهم این است که آیا می‌توانیم قائل به اشتراک مفهومی بین خدا و خلق بشویم؟ مقصود از مفهوم همان چیزی است که در اصطلاح رایج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مقالات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باید ابتدا موضع عقلانی ما در بحث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مشخص کنیم که مثلاً مقصودمان از مفهوم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مفاهیم این الفاظ ـ همان‌طور که گفته شد ـ از عالم مخلوقات انتزاع شده‌اند، پس اطلاق آنها بدون تجرید از ویژگی مخلوقیّت بر خدای متعال روا نمی‌باشد و تجرید آنها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هرگونه بار اثباتی عاری می‌سازد و چیزی جز همان مفهوم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غیرجاهل و غیرعاجز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از اینجا به بعد، دیگر بحث صرفا لفظی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برای اینکه ذاتی را از جاهل بودن تنزیه کنم، به کار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اثباتی ندارد و لذا قابل اطلاق بر خدا و خلق با همین مفهوم سلبی خود به طور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اوصافی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اگر کسی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برای دلالت بر اینکه چیزی را از حدّ تعطیل و نفی و معدوم بودن خارج کند، به کار ببرد، هیچ مشکلی ندارد و این‌گونه الفاظ با همین مفهوم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از حدّ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مشترک بر خدا و خلق قابل اطلاق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همان حال، توجّه داشت که سنخ معرفت خدا و معرفت نسبت به مخلوقات هیچ‌گاه یکی نمی‌شوند و آن گونه که خدا را از حدّ تعطیل خارج می‌کنیم، منحصر به خود اوست و سنخ نفی تعطیل در مخلوقات قابل سرایت به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اشتراک مفهومی بین خدا و خلق، اگر و فقط اگر چنین عنایتی در کار باشد، محذور تشبیه را به دنبال نمی‌آورد؛ امّا معمولاً به عنایت فوق توجّه نمی‌شود، یا اگر توجّه شود، تا آخر بحث به آن وفادار نمی‌مانند؛ لذا خیلی زود و حتّی بدون توجّه، علاوه بر معنای سلبی، یک مفهوم اثباتی بر لفظ بار می‌شود؛ یعنی کسی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معمولاً نمی‌تواند به همان مفهوم سلبی آن اکتفاکند و اگر چنین شود، مشکل تشبیه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به‌طور خلاصه، اگر از الفاظ مشترک بین خدا و خلق صرفا مفهوم سلبی و تنزیهی آنها اراده شود، قول به اشتراک مفهومی محذور تشبیه را به دنبال نمی‌آورد؛ ولی اگر به این مفهوم سلبی اکتفا نشود، چنین قولی عقلاً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و مهمّ در اینجا این است که به چه مجوّزی می‌توان به کسی که خدا را جاهل و عاجز و مجبور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اهلِ تعطیل گفت؟ آیا واقعا این همه اعتقاد سلبی، با نبودنش هیچ تفاوتی ندارد؟</w:t>
      </w:r>
    </w:p>
    <w:p>
      <w:pPr>
        <w:pStyle w:val="BookText"/>
        <w:rPr/>
      </w:pPr>
      <w:r>
        <w:rPr>
          <w:rFonts w:ascii="IRNazanin" w:hAnsi="IRNazanin" w:eastAsia="IRNazanin"/>
          <w:color w:val="111111"/>
          <w:sz w:val="28"/>
          <w:sz w:val="28"/>
          <w:szCs w:val="28"/>
          <w:rtl w:val="true"/>
          <w:lang w:bidi="fa-IR"/>
        </w:rPr>
        <w:t xml:space="preserve">نتیجه کلّ بحث درباره اشتراک لفظی و معنوی این می‌شود که اگر مرادمان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باشد</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ذهن از یک شی‌ء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قول به اشتراک معنوی همان چیزی می‌شود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و گفتیم که بسته به نوع استعمال و قصد گوینده دو حالت مختلف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نکات، می‌توانیم بگوییم که اگر کسی قائل به اشتراک لفظی در اوصاف مشترک بین خدا و خلق گردد، باید دید مقصودش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صرفا این باشد که هرگونه مفهوم اثباتی مشترک را بین خدا و خلق نفی کند و از نفی چنین مفهومی به اشتراک لفظی تعبیر کرده، این امر عقلاً مورد تأیید است و لازمه نفی تشبیه بین خدا و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واقع، می‌خواهد بگوید که خدا و خلق صرفا در یک امر تنزیهی و سلبی اشتراک دارند که این هم موجب تشبیه نمی‌شود و به طریق اولی، تعطیل را هم به دنبال نخواهد داشت؛ امّا اگر چیزی غیر از این را از اشتراک لفظی اراده کند، وجهی برای تصحیح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می‌توان درباره اقوالی که از عالمان گذشته نقل شده، قضاوت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عقلی را در خصوص مقالات یاد شده به پایان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مباحث نقلی و نیز مقایسه آراء فلاسفه صدرایی با نظریّه مورد بحث همچنین اصل سوم مطرح شده در نظریّه که توقیفیّت اسماء الهی است، به نوشتارهای دیگری نیاز دارد</w:t>
      </w:r>
      <w:r>
        <w:rPr>
          <w:rFonts w:eastAsia="IRNazanin" w:cs="IRNazanin"/>
          <w:color w:val="111111"/>
          <w:sz w:val="28"/>
          <w:szCs w:val="28"/>
          <w:rtl w:val="true"/>
          <w:lang w:bidi="fa-IR"/>
        </w:rPr>
        <w:t>.</w:t>
      </w:r>
      <w:bookmarkStart w:id="43" w:name="pg3853_24238"/>
    </w:p>
    <w:p>
      <w:pPr>
        <w:pStyle w:val="Heading2"/>
        <w:numPr>
          <w:ilvl w:val="1"/>
          <w:numId w:val="1"/>
        </w:numPr>
        <w:rPr/>
      </w:pPr>
      <w:bookmarkStart w:id="44" w:name="__RefHeading___Toc1535040_2281741623"/>
      <w:bookmarkStart w:id="45" w:name="_Toc16"/>
      <w:bookmarkEnd w:id="43"/>
      <w:bookmarkEnd w:id="44"/>
      <w:r>
        <w:rPr>
          <w:rtl w:val="true"/>
        </w:rPr>
        <w:t>منابع</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زنوزی،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اللّمعات الالهیّة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بنی‌هاشمی،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قدسی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رحیمیان،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علوم قرآن و حدیث دانشگاه تربیت مدرس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از دیدگاه قرآن و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شماره‌های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بزرگانی چون مرحوم میرزا مهدی اصفهانی مرادشان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ماعُنی به و همان مصداق است و وقتی اشتراک معنوی را رد می‌کنند، در واقع، مقصودشان انکار اشتراک مصداقی است و گرنه اشتراک مفهومی به معنایی که توضیح داده شد، مورد قبول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این موضوع به نوشتار دیگری نیاز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2.jpeg"/><Relationship Id="rId24" Type="http://schemas.openxmlformats.org/officeDocument/2006/relationships/image" Target="media/image2.jpeg"/><Relationship Id="rId25" Type="http://schemas.openxmlformats.org/officeDocument/2006/relationships/footer" Target="footer18.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9266</Words>
  <Characters>35965</Characters>
  <CharactersWithSpaces>45026</CharactersWithSpaces>
  <Paragraphs>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2026-08-18T05:54:22Z</dcterms:created>
  <dc:creator>ghaemiyeh.com</dc:creator>
  <dc:description/>
  <dc:language>en-US</dc:language>
  <cp:lastModifiedBy/>
  <dcterms:modified xsi:type="dcterms:W3CDTF">2026-08-18T09:24:23Z</dcterms:modified>
  <cp:revision>1</cp:revision>
  <dc:subject/>
  <dc:title>تبیین مباحثی از توحید در پرتو معارف اهل بیت علیهم السلام</dc:title>
</cp:coreProperties>
</file>

<file path=docProps/custom.xml><?xml version="1.0" encoding="utf-8"?>
<Properties xmlns="http://schemas.openxmlformats.org/officeDocument/2006/custom-properties" xmlns:vt="http://schemas.openxmlformats.org/officeDocument/2006/docPropsVTypes"/>
</file>