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103.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01.xml" ContentType="application/vnd.openxmlformats-officedocument.wordprocessingml.footer+xml"/>
  <Override PartName="/word/footer58.xml" ContentType="application/vnd.openxmlformats-officedocument.wordprocessingml.footer+xml"/>
  <Override PartName="/word/footer100.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9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96.xml" ContentType="application/vnd.openxmlformats-officedocument.wordprocessingml.footer+xml"/>
  <Override PartName="/word/footer28.xml" ContentType="application/vnd.openxmlformats-officedocument.wordprocessingml.footer+xml"/>
  <Override PartName="/word/footer95.xml" ContentType="application/vnd.openxmlformats-officedocument.wordprocessingml.footer+xml"/>
  <Override PartName="/word/footer27.xml" ContentType="application/vnd.openxmlformats-officedocument.wordprocessingml.footer+xml"/>
  <Override PartName="/word/footer89.xml" ContentType="application/vnd.openxmlformats-officedocument.wordprocessingml.footer+xml"/>
  <Override PartName="/word/footer8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85.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7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117.xml" ContentType="application/vnd.openxmlformats-officedocument.wordprocessingml.footer+xml"/>
  <Override PartName="/word/footer73.xml" ContentType="application/vnd.openxmlformats-officedocument.wordprocessingml.footer+xml"/>
  <Override PartName="/word/footer116.xml" ContentType="application/vnd.openxmlformats-officedocument.wordprocessingml.footer+xml"/>
  <Override PartName="/word/footer72.xml" ContentType="application/vnd.openxmlformats-officedocument.wordprocessingml.footer+xml"/>
  <Override PartName="/word/footer115.xml" ContentType="application/vnd.openxmlformats-officedocument.wordprocessingml.footer+xml"/>
  <Override PartName="/word/footer71.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footer66.xml" ContentType="application/vnd.openxmlformats-officedocument.wordprocessingml.footer+xml"/>
  <Override PartName="/word/footer109.xml" ContentType="application/vnd.openxmlformats-officedocument.wordprocessingml.footer+xml"/>
  <Override PartName="/word/footer65.xml" ContentType="application/vnd.openxmlformats-officedocument.wordprocessingml.footer+xml"/>
  <Override PartName="/word/footer108.xml" ContentType="application/vnd.openxmlformats-officedocument.wordprocessingml.footer+xml"/>
  <Override PartName="/word/footer64.xml" ContentType="application/vnd.openxmlformats-officedocument.wordprocessingml.footer+xml"/>
  <Override PartName="/word/footnotes.xml" ContentType="application/vnd.openxmlformats-officedocument.wordprocessingml.footnotes+xml"/>
  <Override PartName="/word/footer107.xml" ContentType="application/vnd.openxmlformats-officedocument.wordprocessingml.footer+xml"/>
  <Override PartName="/word/footer63.xml" ContentType="application/vnd.openxmlformats-officedocument.wordprocessingml.footer+xml"/>
  <Override PartName="/word/footer106.xml" ContentType="application/vnd.openxmlformats-officedocument.wordprocessingml.footer+xml"/>
  <Override PartName="/word/footer62.xml" ContentType="application/vnd.openxmlformats-officedocument.wordprocessingml.footer+xml"/>
  <Override PartName="/word/footer105.xml" ContentType="application/vnd.openxmlformats-officedocument.wordprocessingml.footer+xml"/>
  <Override PartName="/word/footer61.xml" ContentType="application/vnd.openxmlformats-officedocument.wordprocessingml.footer+xml"/>
  <Override PartName="/word/footer104.xml" ContentType="application/vnd.openxmlformats-officedocument.wordprocessingml.footer+xml"/>
  <Override PartName="/word/footer60.xml" ContentType="application/vnd.openxmlformats-officedocument.wordprocessingml.footer+xml"/>
  <Override PartName="/word/footer91.xml" ContentType="application/vnd.openxmlformats-officedocument.wordprocessingml.footer+xml"/>
  <Override PartName="/word/footer23.xml" ContentType="application/vnd.openxmlformats-officedocument.wordprocessingml.footer+xml"/>
  <Override PartName="/word/footer26.xml" ContentType="application/vnd.openxmlformats-officedocument.wordprocessingml.footer+xml"/>
  <Override PartName="/word/footer94.xml" ContentType="application/vnd.openxmlformats-officedocument.wordprocessingml.footer+xml"/>
  <Override PartName="/word/footer90.xml" ContentType="application/vnd.openxmlformats-officedocument.wordprocessingml.footer+xml"/>
  <Override PartName="/word/footer22.xml" ContentType="application/vnd.openxmlformats-officedocument.wordprocessingml.footer+xml"/>
  <Override PartName="/word/footer25.xml" ContentType="application/vnd.openxmlformats-officedocument.wordprocessingml.footer+xml"/>
  <Override PartName="/word/footer93.xml" ContentType="application/vnd.openxmlformats-officedocument.wordprocessingml.footer+xml"/>
  <Override PartName="/word/footer12.xml" ContentType="application/vnd.openxmlformats-officedocument.wordprocessingml.footer+xml"/>
  <Override PartName="/word/footer80.xml" ContentType="application/vnd.openxmlformats-officedocument.wordprocessingml.footer+xml"/>
  <Override PartName="/word/footer133.xml" ContentType="application/vnd.openxmlformats-officedocument.wordprocessingml.footer+xml"/>
  <Override PartName="/word/footer135.xml" ContentType="application/vnd.openxmlformats-officedocument.wordprocessingml.footer+xml"/>
  <Override PartName="/word/footer136.xml" ContentType="application/vnd.openxmlformats-officedocument.wordprocessingml.footer+xml"/>
  <Override PartName="/word/footer134.xml" ContentType="application/vnd.openxmlformats-officedocument.wordprocessingml.footer+xml"/>
  <Override PartName="/word/theme/theme1.xml" ContentType="application/vnd.openxmlformats-officedocument.theme+xml"/>
  <Override PartName="/word/footer149.xml" ContentType="application/vnd.openxmlformats-officedocument.wordprocessingml.footer+xml"/>
  <Override PartName="/word/footer137.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50.xml" ContentType="application/vnd.openxmlformats-officedocument.wordprocessingml.footer+xml"/>
  <Override PartName="/word/footer127.xml" ContentType="application/vnd.openxmlformats-officedocument.wordprocessingml.footer+xml"/>
  <Override PartName="/word/footer151.xml" ContentType="application/vnd.openxmlformats-officedocument.wordprocessingml.footer+xml"/>
  <Override PartName="/word/footer128.xml" ContentType="application/vnd.openxmlformats-officedocument.wordprocessingml.footer+xml"/>
  <Override PartName="/word/footer152.xml" ContentType="application/vnd.openxmlformats-officedocument.wordprocessingml.footer+xml"/>
  <Override PartName="/word/footer129.xml" ContentType="application/vnd.openxmlformats-officedocument.wordprocessingml.footer+xml"/>
  <Override PartName="/word/footer148.xml" ContentType="application/vnd.openxmlformats-officedocument.wordprocessingml.footer+xml"/>
  <Override PartName="/word/footer153.xml" ContentType="application/vnd.openxmlformats-officedocument.wordprocessingml.footer+xml"/>
  <Override PartName="/word/settings.xml" ContentType="application/vnd.openxmlformats-officedocument.wordprocessingml.settings+xml"/>
  <Override PartName="/word/footer172.xml" ContentType="application/vnd.openxmlformats-officedocument.wordprocessingml.footer+xml"/>
  <Override PartName="/word/footer154.xml" ContentType="application/vnd.openxmlformats-officedocument.wordprocessingml.footer+xml"/>
  <Override PartName="/word/numbering.xml" ContentType="application/vnd.openxmlformats-officedocument.wordprocessingml.numbering+xml"/>
  <Override PartName="/word/footer155.xml" ContentType="application/vnd.openxmlformats-officedocument.wordprocessingml.footer+xml"/>
  <Override PartName="/word/footer171.xml" ContentType="application/vnd.openxmlformats-officedocument.wordprocessingml.footer+xml"/>
  <Override PartName="/word/footer39.xml" ContentType="application/vnd.openxmlformats-officedocument.wordprocessingml.footer+xml"/>
  <Override PartName="/word/footer132.xml" ContentType="application/vnd.openxmlformats-officedocument.wordprocessingml.footer+xml"/>
  <Override PartName="/word/footer169.xml" ContentType="application/vnd.openxmlformats-officedocument.wordprocessingml.footer+xml"/>
  <Override PartName="/word/footer173.xml" ContentType="application/vnd.openxmlformats-officedocument.wordprocessingml.footer+xml"/>
  <Override PartName="/word/footer174.xml" ContentType="application/vnd.openxmlformats-officedocument.wordprocessingml.footer+xml"/>
  <Override PartName="/word/footer176.xml" ContentType="application/vnd.openxmlformats-officedocument.wordprocessingml.footer+xml"/>
  <Override PartName="/word/footer140.xml" ContentType="application/vnd.openxmlformats-officedocument.wordprocessingml.footer+xml"/>
  <Override PartName="/word/footer177.xml" ContentType="application/vnd.openxmlformats-officedocument.wordprocessingml.footer+xml"/>
  <Override PartName="/word/footer141.xml" ContentType="application/vnd.openxmlformats-officedocument.wordprocessingml.footer+xml"/>
  <Override PartName="/word/footer178.xml" ContentType="application/vnd.openxmlformats-officedocument.wordprocessingml.footer+xml"/>
  <Override PartName="/word/footer138.xml" ContentType="application/vnd.openxmlformats-officedocument.wordprocessingml.footer+xml"/>
  <Override PartName="/word/footer180.xml" ContentType="application/vnd.openxmlformats-officedocument.wordprocessingml.footer+xml"/>
  <Override PartName="/word/footer48.xml" ContentType="application/vnd.openxmlformats-officedocument.wordprocessingml.footer+xml"/>
  <Override PartName="/word/footer142.xml" ContentType="application/vnd.openxmlformats-officedocument.wordprocessingml.footer+xml"/>
  <Override PartName="/word/footer179.xml" ContentType="application/vnd.openxmlformats-officedocument.wordprocessingml.footer+xml"/>
  <Override PartName="/word/footer139.xml" ContentType="application/vnd.openxmlformats-officedocument.wordprocessingml.footer+xml"/>
  <Override PartName="/word/footer181.xml" ContentType="application/vnd.openxmlformats-officedocument.wordprocessingml.footer+xml"/>
  <Override PartName="/word/footer49.xml" ContentType="application/vnd.openxmlformats-officedocument.wordprocessingml.footer+xml"/>
  <Override PartName="/word/footer182.xml" ContentType="application/vnd.openxmlformats-officedocument.wordprocessingml.footer+xml"/>
  <Override PartName="/word/footer175.xml" ContentType="application/vnd.openxmlformats-officedocument.wordprocessingml.footer+xml"/>
  <Override PartName="/word/footer170.xml" ContentType="application/vnd.openxmlformats-officedocument.wordprocessingml.footer+xml"/>
  <Override PartName="/word/footer38.xml" ContentType="application/vnd.openxmlformats-officedocument.wordprocessingml.footer+xml"/>
  <Override PartName="/word/footer131.xml" ContentType="application/vnd.openxmlformats-officedocument.wordprocessingml.footer+xml"/>
  <Override PartName="/word/footer168.xml" ContentType="application/vnd.openxmlformats-officedocument.wordprocessingml.footer+xml"/>
  <Override PartName="/word/footer130.xml" ContentType="application/vnd.openxmlformats-officedocument.wordprocessingml.footer+xml"/>
  <Override PartName="/word/footer167.xml" ContentType="application/vnd.openxmlformats-officedocument.wordprocessingml.footer+xml"/>
  <Override PartName="/word/footer166.xml" ContentType="application/vnd.openxmlformats-officedocument.wordprocessingml.footer+xml"/>
  <Override PartName="/word/footer165.xml" ContentType="application/vnd.openxmlformats-officedocument.wordprocessingml.footer+xml"/>
  <Override PartName="/word/footer164.xml" ContentType="application/vnd.openxmlformats-officedocument.wordprocessingml.footer+xml"/>
  <Override PartName="/word/footer3.xml" ContentType="application/vnd.openxmlformats-officedocument.wordprocessingml.footer+xml"/>
  <Override PartName="/word/footer185.xml" ContentType="application/vnd.openxmlformats-officedocument.wordprocessingml.footer+xml"/>
  <Override PartName="/word/footer163.xml" ContentType="application/vnd.openxmlformats-officedocument.wordprocessingml.footer+xml"/>
  <Override PartName="/word/footer162.xml" ContentType="application/vnd.openxmlformats-officedocument.wordprocessingml.footer+xml"/>
  <Override PartName="/word/footer161.xml" ContentType="application/vnd.openxmlformats-officedocument.wordprocessingml.footer+xml"/>
  <Override PartName="/word/footer159.xml" ContentType="application/vnd.openxmlformats-officedocument.wordprocessingml.footer+xml"/>
  <Override PartName="/word/footer160.xml" ContentType="application/vnd.openxmlformats-officedocument.wordprocessingml.footer+xml"/>
  <Override PartName="/word/footer158.xml" ContentType="application/vnd.openxmlformats-officedocument.wordprocessingml.footer+xml"/>
  <Override PartName="/word/footer157.xml" ContentType="application/vnd.openxmlformats-officedocument.wordprocessingml.footer+xml"/>
  <Override PartName="/word/fontTable.xml" ContentType="application/vnd.openxmlformats-officedocument.wordprocessingml.fontTable+xml"/>
  <Override PartName="/word/footer156.xml" ContentType="application/vnd.openxmlformats-officedocument.wordprocessingml.footer+xml"/>
  <Override PartName="/word/footer126.xml" ContentType="application/vnd.openxmlformats-officedocument.wordprocessingml.footer+xml"/>
  <Override PartName="/word/footer56.xml" ContentType="application/vnd.openxmlformats-officedocument.wordprocessingml.footer+xml"/>
  <Override PartName="/word/footer55.xml" ContentType="application/vnd.openxmlformats-officedocument.wordprocessingml.footer+xml"/>
  <Override PartName="/word/footer11.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54.xml" ContentType="application/vnd.openxmlformats-officedocument.wordprocessingml.footer+xml"/>
  <Override PartName="/word/footer53.xml" ContentType="application/vnd.openxmlformats-officedocument.wordprocessingml.footer+xml"/>
  <Override PartName="/word/footer52.xml" ContentType="application/vnd.openxmlformats-officedocument.wordprocessingml.footer+xml"/>
  <Override PartName="/word/footer51.xml" ContentType="application/vnd.openxmlformats-officedocument.wordprocessingml.footer+xml"/>
  <Override PartName="/word/footer50.xml" ContentType="application/vnd.openxmlformats-officedocument.wordprocessingml.footer+xml"/>
  <Override PartName="/word/footer43.xml" ContentType="application/vnd.openxmlformats-officedocument.wordprocessingml.footer+xml"/>
  <Override PartName="/word/footer42.xml" ContentType="application/vnd.openxmlformats-officedocument.wordprocessingml.footer+xml"/>
  <Override PartName="/word/footer41.xml" ContentType="application/vnd.openxmlformats-officedocument.wordprocessingml.footer+xml"/>
  <Override PartName="/word/footer40.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oter34.xml" ContentType="application/vnd.openxmlformats-officedocument.wordprocessingml.footer+xml"/>
  <Override PartName="/word/footer33.xml" ContentType="application/vnd.openxmlformats-officedocument.wordprocessingml.footer+xml"/>
  <Override PartName="/word/footer32.xml" ContentType="application/vnd.openxmlformats-officedocument.wordprocessingml.footer+xml"/>
  <Override PartName="/word/footer31.xml" ContentType="application/vnd.openxmlformats-officedocument.wordprocessingml.footer+xml"/>
  <Override PartName="/word/footer30.xml" ContentType="application/vnd.openxmlformats-officedocument.wordprocessingml.footer+xml"/>
  <Override PartName="/word/media/image1.png" ContentType="image/png"/>
  <Override PartName="/word/media/image3.jpeg" ContentType="image/jpeg"/>
  <Override PartName="/word/media/image2.jpeg" ContentType="image/jpeg"/>
  <Override PartName="/word/media/image4.jpeg" ContentType="image/jpeg"/>
  <Override PartName="/word/media/image5.jpeg" ContentType="image/jpeg"/>
  <Override PartName="/word/media/image6.jpeg" ContentType="image/jpeg"/>
  <Override PartName="/word/media/image7.jpeg" ContentType="image/jpeg"/>
  <Override PartName="/word/media/image8.jpeg" ContentType="image/jpeg"/>
  <Override PartName="/word/footer125.xml" ContentType="application/vnd.openxmlformats-officedocument.wordprocessingml.footer+xml"/>
  <Override PartName="/word/footer84.xml" ContentType="application/vnd.openxmlformats-officedocument.wordprocessingml.footer+xml"/>
  <Override PartName="/word/footer16.xml" ContentType="application/vnd.openxmlformats-officedocument.wordprocessingml.footer+xml"/>
  <Override PartName="/word/footer21.xml" ContentType="application/vnd.openxmlformats-officedocument.wordprocessingml.footer+xml"/>
  <Override PartName="/word/footer20.xml" ContentType="application/vnd.openxmlformats-officedocument.wordprocessingml.footer+xml"/>
  <Override PartName="/word/footer47.xml" ContentType="application/vnd.openxmlformats-officedocument.wordprocessingml.footer+xml"/>
  <Override PartName="/word/footer10.xml" ContentType="application/vnd.openxmlformats-officedocument.wordprocessingml.footer+xml"/>
  <Override PartName="/word/footer6.xml" ContentType="application/vnd.openxmlformats-officedocument.wordprocessingml.footer+xml"/>
  <Override PartName="/word/footer188.xml" ContentType="application/vnd.openxmlformats-officedocument.wordprocessingml.footer+xml"/>
  <Override PartName="/word/footer4.xml" ContentType="application/vnd.openxmlformats-officedocument.wordprocessingml.footer+xml"/>
  <Override PartName="/word/footer186.xml" ContentType="application/vnd.openxmlformats-officedocument.wordprocessingml.footer+xml"/>
  <Override PartName="/word/footer46.xml" ContentType="application/vnd.openxmlformats-officedocument.wordprocessingml.footer+xml"/>
  <Override PartName="/word/footer45.xml" ContentType="application/vnd.openxmlformats-officedocument.wordprocessingml.footer+xml"/>
  <Override PartName="/word/footer2.xml" ContentType="application/vnd.openxmlformats-officedocument.wordprocessingml.footer+xml"/>
  <Override PartName="/word/footer184.xml" ContentType="application/vnd.openxmlformats-officedocument.wordprocessingml.footer+xml"/>
  <Override PartName="/word/footer8.xml" ContentType="application/vnd.openxmlformats-officedocument.wordprocessingml.footer+xml"/>
  <Override PartName="/word/footer113.xml" ContentType="application/vnd.openxmlformats-officedocument.wordprocessingml.footer+xml"/>
  <Override PartName="/word/footer82.xml" ContentType="application/vnd.openxmlformats-officedocument.wordprocessingml.footer+xml"/>
  <Override PartName="/word/footer14.xml" ContentType="application/vnd.openxmlformats-officedocument.wordprocessingml.footer+xml"/>
  <Override PartName="/word/footer123.xml" ContentType="application/vnd.openxmlformats-officedocument.wordprocessingml.footer+xml"/>
  <Override PartName="/word/footer44.xml" ContentType="application/vnd.openxmlformats-officedocument.wordprocessingml.footer+xml"/>
  <Override PartName="/word/footer1.xml" ContentType="application/vnd.openxmlformats-officedocument.wordprocessingml.footer+xml"/>
  <Override PartName="/word/footer183.xml" ContentType="application/vnd.openxmlformats-officedocument.wordprocessingml.footer+xml"/>
  <Override PartName="/word/footer189.xml" ContentType="application/vnd.openxmlformats-officedocument.wordprocessingml.footer+xml"/>
  <Override PartName="/word/footer7.xml" ContentType="application/vnd.openxmlformats-officedocument.wordprocessingml.footer+xml"/>
  <Override PartName="/word/footer81.xml" ContentType="application/vnd.openxmlformats-officedocument.wordprocessingml.footer+xml"/>
  <Override PartName="/word/footer13.xml" ContentType="application/vnd.openxmlformats-officedocument.wordprocessingml.footer+xml"/>
  <Override PartName="/word/footer83.xml" ContentType="application/vnd.openxmlformats-officedocument.wordprocessingml.footer+xml"/>
  <Override PartName="/word/footer15.xml" ContentType="application/vnd.openxmlformats-officedocument.wordprocessingml.footer+xml"/>
  <Override PartName="/word/footer124.xml" ContentType="application/vnd.openxmlformats-officedocument.wordprocessingml.footer+xml"/>
  <Override PartName="/word/footer9.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styles.xml" ContentType="application/vnd.openxmlformats-officedocument.wordprocessingml.styles+xml"/>
  <Override PartName="/word/footer5.xml" ContentType="application/vnd.openxmlformats-officedocument.wordprocessingml.footer+xml"/>
  <Override PartName="/word/footer187.xml" ContentType="application/vnd.openxmlformats-officedocument.wordprocessingml.footer+xml"/>
  <Override PartName="/word/document.xml" ContentType="application/vnd.openxmlformats-officedocument.wordprocessingml.document.main+xml"/>
  <Override PartName="/word/footer92.xml" ContentType="application/vnd.openxmlformats-officedocument.wordprocessingml.footer+xml"/>
  <Override PartName="/word/footer24.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نماز در فرق</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510079_2281741623">
            <w:r>
              <w:rPr>
                <w:webHidden/>
                <w:rStyle w:val="IndexLink"/>
                <w:rtl w:val="true"/>
              </w:rPr>
              <w:t>مشخصات کتاب</w:t>
            </w:r>
            <w:r>
              <w:rPr>
                <w:rStyle w:val="IndexLink"/>
                <w:rtl w:val="true"/>
              </w:rPr>
              <w:tab/>
            </w:r>
            <w:r>
              <w:rPr>
                <w:rStyle w:val="IndexLink"/>
              </w:rPr>
              <w:t>7</w:t>
            </w:r>
          </w:hyperlink>
        </w:p>
        <w:p>
          <w:pPr>
            <w:pStyle w:val="Contents2"/>
            <w:tabs>
              <w:tab w:val="clear" w:pos="8743"/>
              <w:tab w:val="right" w:pos="9026" w:leader="dot"/>
            </w:tabs>
            <w:rPr/>
          </w:pPr>
          <w:hyperlink w:anchor="__RefHeading___Toc1510081_2281741623">
            <w:r>
              <w:rPr>
                <w:webHidden/>
                <w:rStyle w:val="IndexLink"/>
                <w:rtl w:val="true"/>
              </w:rPr>
              <w:t>اشاره</w:t>
            </w:r>
            <w:r>
              <w:rPr>
                <w:rStyle w:val="IndexLink"/>
                <w:rtl w:val="true"/>
              </w:rPr>
              <w:tab/>
            </w:r>
            <w:r>
              <w:rPr>
                <w:rStyle w:val="IndexLink"/>
              </w:rPr>
              <w:t>7</w:t>
            </w:r>
          </w:hyperlink>
        </w:p>
        <w:p>
          <w:pPr>
            <w:pStyle w:val="Contents2"/>
            <w:tabs>
              <w:tab w:val="clear" w:pos="8743"/>
              <w:tab w:val="right" w:pos="9026" w:leader="dot"/>
            </w:tabs>
            <w:rPr/>
          </w:pPr>
          <w:hyperlink w:anchor="__RefHeading___Toc1510083_2281741623">
            <w:r>
              <w:rPr>
                <w:webHidden/>
                <w:rStyle w:val="IndexLink"/>
                <w:rtl w:val="true"/>
              </w:rPr>
              <w:t>فهرست مطالب</w:t>
            </w:r>
            <w:r>
              <w:rPr>
                <w:rStyle w:val="IndexLink"/>
                <w:rtl w:val="true"/>
              </w:rPr>
              <w:tab/>
            </w:r>
            <w:r>
              <w:rPr>
                <w:rStyle w:val="IndexLink"/>
              </w:rPr>
              <w:t>11</w:t>
            </w:r>
          </w:hyperlink>
        </w:p>
        <w:p>
          <w:pPr>
            <w:pStyle w:val="Contents2"/>
            <w:tabs>
              <w:tab w:val="clear" w:pos="8743"/>
              <w:tab w:val="right" w:pos="9026" w:leader="dot"/>
            </w:tabs>
            <w:rPr/>
          </w:pPr>
          <w:hyperlink w:anchor="__RefHeading___Toc1510085_2281741623">
            <w:r>
              <w:rPr>
                <w:webHidden/>
                <w:rStyle w:val="IndexLink"/>
                <w:rtl w:val="true"/>
              </w:rPr>
              <w:t>دیباچه</w:t>
            </w:r>
            <w:r>
              <w:rPr>
                <w:rStyle w:val="IndexLink"/>
                <w:rtl w:val="true"/>
              </w:rPr>
              <w:tab/>
            </w:r>
            <w:r>
              <w:rPr>
                <w:rStyle w:val="IndexLink"/>
              </w:rPr>
              <w:t>17</w:t>
            </w:r>
          </w:hyperlink>
        </w:p>
        <w:p>
          <w:pPr>
            <w:pStyle w:val="Contents2"/>
            <w:tabs>
              <w:tab w:val="clear" w:pos="8743"/>
              <w:tab w:val="right" w:pos="9026" w:leader="dot"/>
            </w:tabs>
            <w:rPr/>
          </w:pPr>
          <w:hyperlink w:anchor="__RefHeading___Toc1510087_2281741623">
            <w:r>
              <w:rPr>
                <w:webHidden/>
                <w:rStyle w:val="IndexLink"/>
                <w:rtl w:val="true"/>
              </w:rPr>
              <w:t>بخش اول</w:t>
            </w:r>
            <w:r>
              <w:rPr>
                <w:rStyle w:val="IndexLink"/>
                <w:rtl w:val="true"/>
              </w:rPr>
              <w:t xml:space="preserve">: </w:t>
            </w:r>
            <w:r>
              <w:rPr>
                <w:rStyle w:val="IndexLink"/>
                <w:rtl w:val="true"/>
              </w:rPr>
              <w:t>نگاهی به کلیات</w:t>
            </w:r>
            <w:r>
              <w:rPr>
                <w:rStyle w:val="IndexLink"/>
                <w:rtl w:val="true"/>
              </w:rPr>
              <w:tab/>
            </w:r>
            <w:r>
              <w:rPr>
                <w:rStyle w:val="IndexLink"/>
              </w:rPr>
              <w:t>21</w:t>
            </w:r>
          </w:hyperlink>
        </w:p>
        <w:p>
          <w:pPr>
            <w:pStyle w:val="Contents3"/>
            <w:tabs>
              <w:tab w:val="clear" w:pos="8459"/>
              <w:tab w:val="right" w:pos="9026" w:leader="dot"/>
            </w:tabs>
            <w:rPr/>
          </w:pPr>
          <w:hyperlink w:anchor="__RefHeading___Toc1510089_2281741623">
            <w:r>
              <w:rPr>
                <w:webHidden/>
                <w:rStyle w:val="IndexLink"/>
                <w:rtl w:val="true"/>
              </w:rPr>
              <w:t>اشاره</w:t>
            </w:r>
            <w:r>
              <w:rPr>
                <w:rStyle w:val="IndexLink"/>
                <w:rtl w:val="true"/>
              </w:rPr>
              <w:tab/>
            </w:r>
            <w:r>
              <w:rPr>
                <w:rStyle w:val="IndexLink"/>
              </w:rPr>
              <w:t>21</w:t>
            </w:r>
          </w:hyperlink>
        </w:p>
        <w:p>
          <w:pPr>
            <w:pStyle w:val="Contents3"/>
            <w:tabs>
              <w:tab w:val="clear" w:pos="8459"/>
              <w:tab w:val="right" w:pos="9026" w:leader="dot"/>
            </w:tabs>
            <w:rPr/>
          </w:pPr>
          <w:hyperlink w:anchor="__RefHeading___Toc1510091_2281741623">
            <w:r>
              <w:rPr>
                <w:webHidden/>
                <w:rStyle w:val="IndexLink"/>
                <w:rtl w:val="true"/>
              </w:rPr>
              <w:t>طرح مسأله</w:t>
            </w:r>
            <w:r>
              <w:rPr>
                <w:rStyle w:val="IndexLink"/>
                <w:rtl w:val="true"/>
              </w:rPr>
              <w:tab/>
            </w:r>
            <w:r>
              <w:rPr>
                <w:rStyle w:val="IndexLink"/>
              </w:rPr>
              <w:t>22</w:t>
            </w:r>
          </w:hyperlink>
        </w:p>
        <w:p>
          <w:pPr>
            <w:pStyle w:val="Contents3"/>
            <w:tabs>
              <w:tab w:val="clear" w:pos="8459"/>
              <w:tab w:val="right" w:pos="9026" w:leader="dot"/>
            </w:tabs>
            <w:rPr/>
          </w:pPr>
          <w:hyperlink w:anchor="__RefHeading___Toc1510093_2281741623">
            <w:r>
              <w:rPr>
                <w:webHidden/>
                <w:rStyle w:val="IndexLink"/>
                <w:rtl w:val="true"/>
              </w:rPr>
              <w:t>تعریف فقه مقارن</w:t>
            </w:r>
            <w:r>
              <w:rPr>
                <w:rStyle w:val="IndexLink"/>
                <w:rtl w:val="true"/>
              </w:rPr>
              <w:tab/>
            </w:r>
            <w:r>
              <w:rPr>
                <w:rStyle w:val="IndexLink"/>
              </w:rPr>
              <w:t>24</w:t>
            </w:r>
          </w:hyperlink>
        </w:p>
        <w:p>
          <w:pPr>
            <w:pStyle w:val="Contents4"/>
            <w:tabs>
              <w:tab w:val="clear" w:pos="8176"/>
              <w:tab w:val="right" w:pos="9026" w:leader="dot"/>
            </w:tabs>
            <w:rPr/>
          </w:pPr>
          <w:hyperlink w:anchor="__RefHeading___Toc1510095_2281741623">
            <w:r>
              <w:rPr>
                <w:webHidden/>
                <w:rStyle w:val="IndexLink"/>
                <w:rtl w:val="true"/>
              </w:rPr>
              <w:t>در لغت</w:t>
            </w:r>
            <w:r>
              <w:rPr>
                <w:rStyle w:val="IndexLink"/>
                <w:rtl w:val="true"/>
              </w:rPr>
              <w:tab/>
            </w:r>
            <w:r>
              <w:rPr>
                <w:rStyle w:val="IndexLink"/>
              </w:rPr>
              <w:t>24</w:t>
            </w:r>
          </w:hyperlink>
        </w:p>
        <w:p>
          <w:pPr>
            <w:pStyle w:val="Contents4"/>
            <w:tabs>
              <w:tab w:val="clear" w:pos="8176"/>
              <w:tab w:val="right" w:pos="9026" w:leader="dot"/>
            </w:tabs>
            <w:rPr/>
          </w:pPr>
          <w:hyperlink w:anchor="__RefHeading___Toc1510097_2281741623">
            <w:r>
              <w:rPr>
                <w:webHidden/>
                <w:rStyle w:val="IndexLink"/>
                <w:rtl w:val="true"/>
              </w:rPr>
              <w:t>در اصطلاح</w:t>
            </w:r>
            <w:r>
              <w:rPr>
                <w:rStyle w:val="IndexLink"/>
                <w:rtl w:val="true"/>
              </w:rPr>
              <w:tab/>
            </w:r>
            <w:r>
              <w:rPr>
                <w:rStyle w:val="IndexLink"/>
              </w:rPr>
              <w:t>25</w:t>
            </w:r>
          </w:hyperlink>
        </w:p>
        <w:p>
          <w:pPr>
            <w:pStyle w:val="Contents3"/>
            <w:tabs>
              <w:tab w:val="clear" w:pos="8459"/>
              <w:tab w:val="right" w:pos="9026" w:leader="dot"/>
            </w:tabs>
            <w:rPr/>
          </w:pPr>
          <w:hyperlink w:anchor="__RefHeading___Toc1510099_2281741623">
            <w:r>
              <w:rPr>
                <w:webHidden/>
                <w:rStyle w:val="IndexLink"/>
                <w:rtl w:val="true"/>
              </w:rPr>
              <w:t>آشنایی با مذاهب موجود اهل سنت</w:t>
            </w:r>
            <w:r>
              <w:rPr>
                <w:rStyle w:val="IndexLink"/>
                <w:rtl w:val="true"/>
              </w:rPr>
              <w:tab/>
            </w:r>
            <w:r>
              <w:rPr>
                <w:rStyle w:val="IndexLink"/>
              </w:rPr>
              <w:t>27</w:t>
            </w:r>
          </w:hyperlink>
        </w:p>
        <w:p>
          <w:pPr>
            <w:pStyle w:val="Contents4"/>
            <w:tabs>
              <w:tab w:val="clear" w:pos="8176"/>
              <w:tab w:val="right" w:pos="9026" w:leader="dot"/>
            </w:tabs>
            <w:rPr/>
          </w:pPr>
          <w:hyperlink w:anchor="__RefHeading___Toc1510101_2281741623">
            <w:r>
              <w:rPr>
                <w:webHidden/>
                <w:rStyle w:val="IndexLink"/>
                <w:rtl w:val="true"/>
              </w:rPr>
              <w:t>اشاره</w:t>
            </w:r>
            <w:r>
              <w:rPr>
                <w:rStyle w:val="IndexLink"/>
                <w:rtl w:val="true"/>
              </w:rPr>
              <w:tab/>
            </w:r>
            <w:r>
              <w:rPr>
                <w:rStyle w:val="IndexLink"/>
              </w:rPr>
              <w:t>27</w:t>
            </w:r>
          </w:hyperlink>
        </w:p>
        <w:p>
          <w:pPr>
            <w:pStyle w:val="Contents4"/>
            <w:tabs>
              <w:tab w:val="clear" w:pos="8176"/>
              <w:tab w:val="right" w:pos="9026" w:leader="dot"/>
            </w:tabs>
            <w:rPr/>
          </w:pPr>
          <w:hyperlink w:anchor="__RefHeading___Toc1510103_2281741623">
            <w:r>
              <w:rPr>
                <w:webHidden/>
                <w:rStyle w:val="IndexLink"/>
                <w:rtl w:val="true"/>
              </w:rPr>
              <w:t>مذهب فقهی حنفی</w:t>
            </w:r>
            <w:r>
              <w:rPr>
                <w:rStyle w:val="IndexLink"/>
                <w:rtl w:val="true"/>
              </w:rPr>
              <w:tab/>
            </w:r>
            <w:r>
              <w:rPr>
                <w:rStyle w:val="IndexLink"/>
              </w:rPr>
              <w:t>27</w:t>
            </w:r>
          </w:hyperlink>
        </w:p>
        <w:p>
          <w:pPr>
            <w:pStyle w:val="Contents4"/>
            <w:tabs>
              <w:tab w:val="clear" w:pos="8176"/>
              <w:tab w:val="right" w:pos="9026" w:leader="dot"/>
            </w:tabs>
            <w:rPr/>
          </w:pPr>
          <w:hyperlink w:anchor="__RefHeading___Toc1510105_2281741623">
            <w:r>
              <w:rPr>
                <w:webHidden/>
                <w:rStyle w:val="IndexLink"/>
                <w:rtl w:val="true"/>
              </w:rPr>
              <w:t>مذهب فقهی مالکی</w:t>
            </w:r>
            <w:r>
              <w:rPr>
                <w:rStyle w:val="IndexLink"/>
                <w:rtl w:val="true"/>
              </w:rPr>
              <w:tab/>
            </w:r>
            <w:r>
              <w:rPr>
                <w:rStyle w:val="IndexLink"/>
              </w:rPr>
              <w:t>28</w:t>
            </w:r>
          </w:hyperlink>
        </w:p>
        <w:p>
          <w:pPr>
            <w:pStyle w:val="Contents4"/>
            <w:tabs>
              <w:tab w:val="clear" w:pos="8176"/>
              <w:tab w:val="right" w:pos="9026" w:leader="dot"/>
            </w:tabs>
            <w:rPr/>
          </w:pPr>
          <w:hyperlink w:anchor="__RefHeading___Toc1510107_2281741623">
            <w:r>
              <w:rPr>
                <w:webHidden/>
                <w:rStyle w:val="IndexLink"/>
                <w:rtl w:val="true"/>
              </w:rPr>
              <w:t>مذهب فقهی شافعی</w:t>
            </w:r>
            <w:r>
              <w:rPr>
                <w:rStyle w:val="IndexLink"/>
                <w:rtl w:val="true"/>
              </w:rPr>
              <w:tab/>
            </w:r>
            <w:r>
              <w:rPr>
                <w:rStyle w:val="IndexLink"/>
              </w:rPr>
              <w:t>28</w:t>
            </w:r>
          </w:hyperlink>
        </w:p>
        <w:p>
          <w:pPr>
            <w:pStyle w:val="Contents4"/>
            <w:tabs>
              <w:tab w:val="clear" w:pos="8176"/>
              <w:tab w:val="right" w:pos="9026" w:leader="dot"/>
            </w:tabs>
            <w:rPr/>
          </w:pPr>
          <w:hyperlink w:anchor="__RefHeading___Toc1510109_2281741623">
            <w:r>
              <w:rPr>
                <w:webHidden/>
                <w:rStyle w:val="IndexLink"/>
                <w:rtl w:val="true"/>
              </w:rPr>
              <w:t>مذهب فقهی حنبلی</w:t>
            </w:r>
            <w:r>
              <w:rPr>
                <w:rStyle w:val="IndexLink"/>
                <w:rtl w:val="true"/>
              </w:rPr>
              <w:tab/>
            </w:r>
            <w:r>
              <w:rPr>
                <w:rStyle w:val="IndexLink"/>
              </w:rPr>
              <w:t>29</w:t>
            </w:r>
          </w:hyperlink>
        </w:p>
        <w:p>
          <w:pPr>
            <w:pStyle w:val="Contents3"/>
            <w:tabs>
              <w:tab w:val="clear" w:pos="8459"/>
              <w:tab w:val="right" w:pos="9026" w:leader="dot"/>
            </w:tabs>
            <w:rPr/>
          </w:pPr>
          <w:hyperlink w:anchor="__RefHeading___Toc1510111_2281741623">
            <w:r>
              <w:rPr>
                <w:webHidden/>
                <w:rStyle w:val="IndexLink"/>
                <w:rtl w:val="true"/>
              </w:rPr>
              <w:t>آشنایی با برخی اصطلاحات</w:t>
            </w:r>
            <w:r>
              <w:rPr>
                <w:rStyle w:val="IndexLink"/>
                <w:rtl w:val="true"/>
              </w:rPr>
              <w:tab/>
            </w:r>
            <w:r>
              <w:rPr>
                <w:rStyle w:val="IndexLink"/>
              </w:rPr>
              <w:t>30</w:t>
            </w:r>
          </w:hyperlink>
        </w:p>
        <w:p>
          <w:pPr>
            <w:pStyle w:val="Contents4"/>
            <w:tabs>
              <w:tab w:val="clear" w:pos="8176"/>
              <w:tab w:val="right" w:pos="9026" w:leader="dot"/>
            </w:tabs>
            <w:rPr/>
          </w:pPr>
          <w:hyperlink w:anchor="__RefHeading___Toc1510113_2281741623">
            <w:r>
              <w:rPr>
                <w:webHidden/>
                <w:rStyle w:val="IndexLink"/>
                <w:rtl w:val="true"/>
              </w:rPr>
              <w:t>اشاره</w:t>
            </w:r>
            <w:r>
              <w:rPr>
                <w:rStyle w:val="IndexLink"/>
                <w:rtl w:val="true"/>
              </w:rPr>
              <w:tab/>
            </w:r>
            <w:r>
              <w:rPr>
                <w:rStyle w:val="IndexLink"/>
              </w:rPr>
              <w:t>30</w:t>
            </w:r>
          </w:hyperlink>
        </w:p>
        <w:p>
          <w:pPr>
            <w:pStyle w:val="Contents4"/>
            <w:tabs>
              <w:tab w:val="clear" w:pos="8176"/>
              <w:tab w:val="right" w:pos="9026" w:leader="dot"/>
            </w:tabs>
            <w:rPr/>
          </w:pPr>
          <w:hyperlink w:anchor="__RefHeading___Toc1510115_2281741623">
            <w:r>
              <w:rPr>
                <w:webHidden/>
                <w:rStyle w:val="IndexLink"/>
                <w:rtl w:val="true"/>
              </w:rPr>
              <w:t>فرض</w:t>
            </w:r>
            <w:r>
              <w:rPr>
                <w:rStyle w:val="IndexLink"/>
                <w:rtl w:val="true"/>
              </w:rPr>
              <w:tab/>
            </w:r>
            <w:r>
              <w:rPr>
                <w:rStyle w:val="IndexLink"/>
              </w:rPr>
              <w:t>30</w:t>
            </w:r>
          </w:hyperlink>
        </w:p>
        <w:p>
          <w:pPr>
            <w:pStyle w:val="Contents4"/>
            <w:tabs>
              <w:tab w:val="clear" w:pos="8176"/>
              <w:tab w:val="right" w:pos="9026" w:leader="dot"/>
            </w:tabs>
            <w:rPr/>
          </w:pPr>
          <w:hyperlink w:anchor="__RefHeading___Toc1510117_2281741623">
            <w:r>
              <w:rPr>
                <w:webHidden/>
                <w:rStyle w:val="IndexLink"/>
                <w:rtl w:val="true"/>
              </w:rPr>
              <w:t>واجب</w:t>
            </w:r>
            <w:r>
              <w:rPr>
                <w:rStyle w:val="IndexLink"/>
                <w:rtl w:val="true"/>
              </w:rPr>
              <w:tab/>
            </w:r>
            <w:r>
              <w:rPr>
                <w:rStyle w:val="IndexLink"/>
              </w:rPr>
              <w:t>31</w:t>
            </w:r>
          </w:hyperlink>
        </w:p>
        <w:p>
          <w:pPr>
            <w:pStyle w:val="Contents4"/>
            <w:tabs>
              <w:tab w:val="clear" w:pos="8176"/>
              <w:tab w:val="right" w:pos="9026" w:leader="dot"/>
            </w:tabs>
            <w:rPr/>
          </w:pPr>
          <w:hyperlink w:anchor="__RefHeading___Toc1510119_2281741623">
            <w:r>
              <w:rPr>
                <w:webHidden/>
                <w:rStyle w:val="IndexLink"/>
                <w:rtl w:val="true"/>
              </w:rPr>
              <w:t>مندوب، مستحب و</w:t>
            </w:r>
            <w:r>
              <w:rPr>
                <w:rStyle w:val="IndexLink"/>
                <w:rtl w:val="true"/>
              </w:rPr>
              <w:t>...</w:t>
              <w:tab/>
            </w:r>
            <w:r>
              <w:rPr>
                <w:rStyle w:val="IndexLink"/>
              </w:rPr>
              <w:t>33</w:t>
            </w:r>
          </w:hyperlink>
        </w:p>
        <w:p>
          <w:pPr>
            <w:pStyle w:val="Contents2"/>
            <w:tabs>
              <w:tab w:val="clear" w:pos="8743"/>
              <w:tab w:val="right" w:pos="9026" w:leader="dot"/>
            </w:tabs>
            <w:rPr/>
          </w:pPr>
          <w:hyperlink w:anchor="__RefHeading___Toc1510121_2281741623">
            <w:r>
              <w:rPr>
                <w:webHidden/>
                <w:rStyle w:val="IndexLink"/>
                <w:rtl w:val="true"/>
              </w:rPr>
              <w:t>بخش دوم</w:t>
            </w:r>
            <w:r>
              <w:rPr>
                <w:rStyle w:val="IndexLink"/>
                <w:rtl w:val="true"/>
              </w:rPr>
              <w:t xml:space="preserve">: </w:t>
            </w:r>
            <w:r>
              <w:rPr>
                <w:rStyle w:val="IndexLink"/>
                <w:rtl w:val="true"/>
              </w:rPr>
              <w:t>مقدمات نماز</w:t>
            </w:r>
            <w:r>
              <w:rPr>
                <w:rStyle w:val="IndexLink"/>
                <w:rtl w:val="true"/>
              </w:rPr>
              <w:tab/>
            </w:r>
            <w:r>
              <w:rPr>
                <w:rStyle w:val="IndexLink"/>
              </w:rPr>
              <w:t>35</w:t>
            </w:r>
          </w:hyperlink>
        </w:p>
        <w:p>
          <w:pPr>
            <w:pStyle w:val="Contents3"/>
            <w:tabs>
              <w:tab w:val="clear" w:pos="8459"/>
              <w:tab w:val="right" w:pos="9026" w:leader="dot"/>
            </w:tabs>
            <w:rPr/>
          </w:pPr>
          <w:hyperlink w:anchor="__RefHeading___Toc1510123_2281741623">
            <w:r>
              <w:rPr>
                <w:webHidden/>
                <w:rStyle w:val="IndexLink"/>
                <w:rtl w:val="true"/>
              </w:rPr>
              <w:t>اشاره</w:t>
            </w:r>
            <w:r>
              <w:rPr>
                <w:rStyle w:val="IndexLink"/>
                <w:rtl w:val="true"/>
              </w:rPr>
              <w:tab/>
            </w:r>
            <w:r>
              <w:rPr>
                <w:rStyle w:val="IndexLink"/>
              </w:rPr>
              <w:t>35</w:t>
            </w:r>
          </w:hyperlink>
        </w:p>
        <w:p>
          <w:pPr>
            <w:pStyle w:val="Contents3"/>
            <w:tabs>
              <w:tab w:val="clear" w:pos="8459"/>
              <w:tab w:val="right" w:pos="9026" w:leader="dot"/>
            </w:tabs>
            <w:rPr/>
          </w:pPr>
          <w:hyperlink w:anchor="__RefHeading___Toc1510125_2281741623">
            <w:r>
              <w:rPr>
                <w:webHidden/>
                <w:rStyle w:val="IndexLink"/>
                <w:rtl w:val="true"/>
              </w:rPr>
              <w:t>فصل اول</w:t>
            </w:r>
            <w:r>
              <w:rPr>
                <w:rStyle w:val="IndexLink"/>
                <w:rtl w:val="true"/>
              </w:rPr>
              <w:t xml:space="preserve">: </w:t>
            </w:r>
            <w:r>
              <w:rPr>
                <w:rStyle w:val="IndexLink"/>
                <w:rtl w:val="true"/>
              </w:rPr>
              <w:t>وضو</w:t>
            </w:r>
            <w:r>
              <w:rPr>
                <w:rStyle w:val="IndexLink"/>
                <w:rtl w:val="true"/>
              </w:rPr>
              <w:tab/>
            </w:r>
            <w:r>
              <w:rPr>
                <w:rStyle w:val="IndexLink"/>
              </w:rPr>
              <w:t>36</w:t>
            </w:r>
          </w:hyperlink>
        </w:p>
        <w:p>
          <w:pPr>
            <w:pStyle w:val="Contents4"/>
            <w:tabs>
              <w:tab w:val="clear" w:pos="8176"/>
              <w:tab w:val="right" w:pos="9026" w:leader="dot"/>
            </w:tabs>
            <w:rPr/>
          </w:pPr>
          <w:hyperlink w:anchor="__RefHeading___Toc1510127_2281741623">
            <w:r>
              <w:rPr>
                <w:webHidden/>
                <w:rStyle w:val="IndexLink"/>
                <w:rtl w:val="true"/>
              </w:rPr>
              <w:t>اشاره</w:t>
            </w:r>
            <w:r>
              <w:rPr>
                <w:rStyle w:val="IndexLink"/>
                <w:rtl w:val="true"/>
              </w:rPr>
              <w:tab/>
            </w:r>
            <w:r>
              <w:rPr>
                <w:rStyle w:val="IndexLink"/>
              </w:rPr>
              <w:t>36</w:t>
            </w:r>
          </w:hyperlink>
        </w:p>
        <w:p>
          <w:pPr>
            <w:pStyle w:val="Contents4"/>
            <w:tabs>
              <w:tab w:val="clear" w:pos="8176"/>
              <w:tab w:val="right" w:pos="9026" w:leader="dot"/>
            </w:tabs>
            <w:rPr/>
          </w:pPr>
          <w:hyperlink w:anchor="__RefHeading___Toc1510129_2281741623">
            <w:r>
              <w:rPr>
                <w:webHidden/>
                <w:rStyle w:val="IndexLink"/>
                <w:rtl w:val="true"/>
              </w:rPr>
              <w:t>منشأ اختلاف</w:t>
            </w:r>
            <w:r>
              <w:rPr>
                <w:rStyle w:val="IndexLink"/>
                <w:rtl w:val="true"/>
              </w:rPr>
              <w:tab/>
            </w:r>
            <w:r>
              <w:rPr>
                <w:rStyle w:val="IndexLink"/>
              </w:rPr>
              <w:t>37</w:t>
            </w:r>
          </w:hyperlink>
        </w:p>
        <w:p>
          <w:pPr>
            <w:pStyle w:val="Contents4"/>
            <w:tabs>
              <w:tab w:val="clear" w:pos="8176"/>
              <w:tab w:val="right" w:pos="9026" w:leader="dot"/>
            </w:tabs>
            <w:rPr/>
          </w:pPr>
          <w:hyperlink w:anchor="__RefHeading___Toc1510131_2281741623">
            <w:r>
              <w:rPr>
                <w:webHidden/>
                <w:rStyle w:val="IndexLink"/>
                <w:rtl w:val="true"/>
              </w:rPr>
              <w:t>بنیان گذار اختلاف در وضو</w:t>
            </w:r>
            <w:r>
              <w:rPr>
                <w:rStyle w:val="IndexLink"/>
                <w:rtl w:val="true"/>
              </w:rPr>
              <w:tab/>
            </w:r>
            <w:r>
              <w:rPr>
                <w:rStyle w:val="IndexLink"/>
              </w:rPr>
              <w:t>40</w:t>
            </w:r>
          </w:hyperlink>
        </w:p>
        <w:p>
          <w:pPr>
            <w:pStyle w:val="Contents4"/>
            <w:tabs>
              <w:tab w:val="clear" w:pos="8176"/>
              <w:tab w:val="right" w:pos="9026" w:leader="dot"/>
            </w:tabs>
            <w:rPr/>
          </w:pPr>
          <w:hyperlink w:anchor="__RefHeading___Toc1510133_2281741623">
            <w:r>
              <w:rPr>
                <w:webHidden/>
                <w:rStyle w:val="IndexLink"/>
                <w:rtl w:val="true"/>
              </w:rPr>
              <w:t>موارد اختلافی در وضو</w:t>
            </w:r>
            <w:r>
              <w:rPr>
                <w:rStyle w:val="IndexLink"/>
                <w:rtl w:val="true"/>
              </w:rPr>
              <w:tab/>
            </w:r>
            <w:r>
              <w:rPr>
                <w:rStyle w:val="IndexLink"/>
              </w:rPr>
              <w:t>43</w:t>
            </w:r>
          </w:hyperlink>
        </w:p>
        <w:p>
          <w:pPr>
            <w:pStyle w:val="Contents5"/>
            <w:tabs>
              <w:tab w:val="clear" w:pos="7892"/>
              <w:tab w:val="right" w:pos="9026" w:leader="dot"/>
            </w:tabs>
            <w:rPr/>
          </w:pPr>
          <w:hyperlink w:anchor="__RefHeading___Toc1510135_2281741623">
            <w:r>
              <w:rPr>
                <w:webHidden/>
                <w:rStyle w:val="IndexLink"/>
                <w:rtl w:val="true"/>
              </w:rPr>
              <w:t>اشاره</w:t>
            </w:r>
            <w:r>
              <w:rPr>
                <w:rStyle w:val="IndexLink"/>
                <w:rtl w:val="true"/>
              </w:rPr>
              <w:tab/>
            </w:r>
            <w:r>
              <w:rPr>
                <w:rStyle w:val="IndexLink"/>
              </w:rPr>
              <w:t>43</w:t>
            </w:r>
          </w:hyperlink>
        </w:p>
        <w:p>
          <w:pPr>
            <w:pStyle w:val="Contents5"/>
            <w:tabs>
              <w:tab w:val="clear" w:pos="7892"/>
              <w:tab w:val="right" w:pos="9026" w:leader="dot"/>
            </w:tabs>
            <w:rPr/>
          </w:pPr>
          <w:hyperlink w:anchor="__RefHeading___Toc1510137_2281741623">
            <w:r>
              <w:rPr>
                <w:webHidden/>
                <w:rStyle w:val="IndexLink"/>
                <w:rtl w:val="true"/>
              </w:rPr>
              <w:t>الف</w:t>
            </w:r>
            <w:r>
              <w:rPr>
                <w:rStyle w:val="IndexLink"/>
                <w:rtl w:val="true"/>
              </w:rPr>
              <w:t xml:space="preserve">) </w:t>
            </w:r>
            <w:r>
              <w:rPr>
                <w:rStyle w:val="IndexLink"/>
                <w:rtl w:val="true"/>
              </w:rPr>
              <w:t>شستن صورت</w:t>
            </w:r>
            <w:r>
              <w:rPr>
                <w:rStyle w:val="IndexLink"/>
                <w:rtl w:val="true"/>
              </w:rPr>
              <w:tab/>
            </w:r>
            <w:r>
              <w:rPr>
                <w:rStyle w:val="IndexLink"/>
              </w:rPr>
              <w:t>43</w:t>
            </w:r>
          </w:hyperlink>
        </w:p>
        <w:p>
          <w:pPr>
            <w:pStyle w:val="Contents5"/>
            <w:tabs>
              <w:tab w:val="clear" w:pos="7892"/>
              <w:tab w:val="right" w:pos="9026" w:leader="dot"/>
            </w:tabs>
            <w:rPr/>
          </w:pPr>
          <w:hyperlink w:anchor="__RefHeading___Toc1510139_2281741623">
            <w:r>
              <w:rPr>
                <w:webHidden/>
                <w:rStyle w:val="IndexLink"/>
                <w:rtl w:val="true"/>
              </w:rPr>
              <w:t>ب</w:t>
            </w:r>
            <w:r>
              <w:rPr>
                <w:rStyle w:val="IndexLink"/>
                <w:rtl w:val="true"/>
              </w:rPr>
              <w:t xml:space="preserve">) </w:t>
            </w:r>
            <w:r>
              <w:rPr>
                <w:rStyle w:val="IndexLink"/>
                <w:rtl w:val="true"/>
              </w:rPr>
              <w:t>شستن دست ها</w:t>
            </w:r>
            <w:r>
              <w:rPr>
                <w:rStyle w:val="IndexLink"/>
                <w:rtl w:val="true"/>
              </w:rPr>
              <w:tab/>
            </w:r>
            <w:r>
              <w:rPr>
                <w:rStyle w:val="IndexLink"/>
              </w:rPr>
              <w:t>45</w:t>
            </w:r>
          </w:hyperlink>
        </w:p>
        <w:p>
          <w:pPr>
            <w:pStyle w:val="Contents5"/>
            <w:tabs>
              <w:tab w:val="clear" w:pos="7892"/>
              <w:tab w:val="right" w:pos="9026" w:leader="dot"/>
            </w:tabs>
            <w:rPr/>
          </w:pPr>
          <w:hyperlink w:anchor="__RefHeading___Toc1510141_2281741623">
            <w:r>
              <w:rPr>
                <w:webHidden/>
                <w:rStyle w:val="IndexLink"/>
                <w:rtl w:val="true"/>
              </w:rPr>
              <w:t>نقد و بررسی</w:t>
            </w:r>
            <w:r>
              <w:rPr>
                <w:rStyle w:val="IndexLink"/>
                <w:rtl w:val="true"/>
              </w:rPr>
              <w:tab/>
            </w:r>
            <w:r>
              <w:rPr>
                <w:rStyle w:val="IndexLink"/>
              </w:rPr>
              <w:t>45</w:t>
            </w:r>
          </w:hyperlink>
        </w:p>
        <w:p>
          <w:pPr>
            <w:pStyle w:val="Contents5"/>
            <w:tabs>
              <w:tab w:val="clear" w:pos="7892"/>
              <w:tab w:val="right" w:pos="9026" w:leader="dot"/>
            </w:tabs>
            <w:rPr/>
          </w:pPr>
          <w:hyperlink w:anchor="__RefHeading___Toc1510143_2281741623">
            <w:r>
              <w:rPr>
                <w:webHidden/>
                <w:rStyle w:val="IndexLink"/>
                <w:rtl w:val="true"/>
              </w:rPr>
              <w:t>دلایل اهل سنت</w:t>
            </w:r>
            <w:r>
              <w:rPr>
                <w:rStyle w:val="IndexLink"/>
                <w:rtl w:val="true"/>
              </w:rPr>
              <w:tab/>
            </w:r>
            <w:r>
              <w:rPr>
                <w:rStyle w:val="IndexLink"/>
              </w:rPr>
              <w:t>45</w:t>
            </w:r>
          </w:hyperlink>
        </w:p>
        <w:p>
          <w:pPr>
            <w:pStyle w:val="Contents5"/>
            <w:tabs>
              <w:tab w:val="clear" w:pos="7892"/>
              <w:tab w:val="right" w:pos="9026" w:leader="dot"/>
            </w:tabs>
            <w:rPr/>
          </w:pPr>
          <w:hyperlink w:anchor="__RefHeading___Toc1510145_2281741623">
            <w:r>
              <w:rPr>
                <w:webHidden/>
                <w:rStyle w:val="IndexLink"/>
                <w:rtl w:val="true"/>
              </w:rPr>
              <w:t>ج</w:t>
            </w:r>
            <w:r>
              <w:rPr>
                <w:rStyle w:val="IndexLink"/>
                <w:rtl w:val="true"/>
              </w:rPr>
              <w:t xml:space="preserve">) </w:t>
            </w:r>
            <w:r>
              <w:rPr>
                <w:rStyle w:val="IndexLink"/>
                <w:rtl w:val="true"/>
              </w:rPr>
              <w:t>مسح سر</w:t>
            </w:r>
            <w:r>
              <w:rPr>
                <w:rStyle w:val="IndexLink"/>
                <w:rtl w:val="true"/>
              </w:rPr>
              <w:tab/>
            </w:r>
            <w:r>
              <w:rPr>
                <w:rStyle w:val="IndexLink"/>
              </w:rPr>
              <w:t>49</w:t>
            </w:r>
          </w:hyperlink>
        </w:p>
        <w:p>
          <w:pPr>
            <w:pStyle w:val="Contents5"/>
            <w:tabs>
              <w:tab w:val="clear" w:pos="7892"/>
              <w:tab w:val="right" w:pos="9026" w:leader="dot"/>
            </w:tabs>
            <w:rPr/>
          </w:pPr>
          <w:hyperlink w:anchor="__RefHeading___Toc1510147_2281741623">
            <w:r>
              <w:rPr>
                <w:webHidden/>
                <w:rStyle w:val="IndexLink"/>
                <w:rtl w:val="true"/>
              </w:rPr>
              <w:t>د</w:t>
            </w:r>
            <w:r>
              <w:rPr>
                <w:rStyle w:val="IndexLink"/>
                <w:rtl w:val="true"/>
              </w:rPr>
              <w:t xml:space="preserve">) </w:t>
            </w:r>
            <w:r>
              <w:rPr>
                <w:rStyle w:val="IndexLink"/>
                <w:rtl w:val="true"/>
              </w:rPr>
              <w:t>مسح یا غسل پاها</w:t>
            </w:r>
            <w:r>
              <w:rPr>
                <w:rStyle w:val="IndexLink"/>
                <w:rtl w:val="true"/>
              </w:rPr>
              <w:tab/>
            </w:r>
            <w:r>
              <w:rPr>
                <w:rStyle w:val="IndexLink"/>
              </w:rPr>
              <w:t>51</w:t>
            </w:r>
          </w:hyperlink>
        </w:p>
        <w:p>
          <w:pPr>
            <w:pStyle w:val="Contents4"/>
            <w:tabs>
              <w:tab w:val="clear" w:pos="8176"/>
              <w:tab w:val="right" w:pos="9026" w:leader="dot"/>
            </w:tabs>
            <w:rPr/>
          </w:pPr>
          <w:hyperlink w:anchor="__RefHeading___Toc1510149_2281741623">
            <w:r>
              <w:rPr>
                <w:webHidden/>
                <w:rStyle w:val="IndexLink"/>
                <w:rtl w:val="true"/>
              </w:rPr>
              <w:t>نگاهی به قرائت به جر</w:t>
            </w:r>
            <w:r>
              <w:rPr>
                <w:rStyle w:val="IndexLink"/>
                <w:rtl w:val="true"/>
              </w:rPr>
              <w:tab/>
            </w:r>
            <w:r>
              <w:rPr>
                <w:rStyle w:val="IndexLink"/>
              </w:rPr>
              <w:t>54</w:t>
            </w:r>
          </w:hyperlink>
        </w:p>
        <w:p>
          <w:pPr>
            <w:pStyle w:val="Contents4"/>
            <w:tabs>
              <w:tab w:val="clear" w:pos="8176"/>
              <w:tab w:val="right" w:pos="9026" w:leader="dot"/>
            </w:tabs>
            <w:rPr/>
          </w:pPr>
          <w:hyperlink w:anchor="__RefHeading___Toc1510151_2281741623">
            <w:r>
              <w:rPr>
                <w:webHidden/>
                <w:rStyle w:val="IndexLink"/>
                <w:rtl w:val="true"/>
              </w:rPr>
              <w:t>نگاهی به نواقض وضو</w:t>
            </w:r>
            <w:r>
              <w:rPr>
                <w:rStyle w:val="IndexLink"/>
                <w:rtl w:val="true"/>
              </w:rPr>
              <w:tab/>
            </w:r>
            <w:r>
              <w:rPr>
                <w:rStyle w:val="IndexLink"/>
              </w:rPr>
              <w:t>58</w:t>
            </w:r>
          </w:hyperlink>
        </w:p>
        <w:p>
          <w:pPr>
            <w:pStyle w:val="Contents5"/>
            <w:tabs>
              <w:tab w:val="clear" w:pos="7892"/>
              <w:tab w:val="right" w:pos="9026" w:leader="dot"/>
            </w:tabs>
            <w:rPr/>
          </w:pPr>
          <w:hyperlink w:anchor="__RefHeading___Toc1510153_2281741623">
            <w:r>
              <w:rPr>
                <w:webHidden/>
                <w:rStyle w:val="IndexLink"/>
                <w:rtl w:val="true"/>
              </w:rPr>
              <w:t>اشاره</w:t>
            </w:r>
            <w:r>
              <w:rPr>
                <w:rStyle w:val="IndexLink"/>
                <w:rtl w:val="true"/>
              </w:rPr>
              <w:tab/>
            </w:r>
            <w:r>
              <w:rPr>
                <w:rStyle w:val="IndexLink"/>
              </w:rPr>
              <w:t>58</w:t>
            </w:r>
          </w:hyperlink>
        </w:p>
        <w:p>
          <w:pPr>
            <w:pStyle w:val="Contents5"/>
            <w:tabs>
              <w:tab w:val="clear" w:pos="7892"/>
              <w:tab w:val="right" w:pos="9026" w:leader="dot"/>
            </w:tabs>
            <w:rPr/>
          </w:pPr>
          <w:hyperlink w:anchor="__RefHeading___Toc1510155_2281741623">
            <w:r>
              <w:rPr>
                <w:webHidden/>
                <w:rStyle w:val="IndexLink"/>
              </w:rPr>
              <w:t>1</w:t>
            </w:r>
            <w:r>
              <w:rPr>
                <w:rStyle w:val="IndexLink"/>
                <w:rtl w:val="true"/>
              </w:rPr>
              <w:t xml:space="preserve">. </w:t>
            </w:r>
            <w:r>
              <w:rPr>
                <w:rStyle w:val="IndexLink"/>
                <w:rtl w:val="true"/>
              </w:rPr>
              <w:t>بول و غائط و</w:t>
            </w:r>
            <w:r>
              <w:rPr>
                <w:rStyle w:val="IndexLink"/>
                <w:rtl w:val="true"/>
              </w:rPr>
              <w:t>...</w:t>
              <w:tab/>
            </w:r>
            <w:r>
              <w:rPr>
                <w:rStyle w:val="IndexLink"/>
              </w:rPr>
              <w:t>58</w:t>
            </w:r>
          </w:hyperlink>
        </w:p>
        <w:p>
          <w:pPr>
            <w:pStyle w:val="Contents5"/>
            <w:tabs>
              <w:tab w:val="clear" w:pos="7892"/>
              <w:tab w:val="right" w:pos="9026" w:leader="dot"/>
            </w:tabs>
            <w:rPr/>
          </w:pPr>
          <w:hyperlink w:anchor="__RefHeading___Toc1510157_2281741623">
            <w:r>
              <w:rPr>
                <w:webHidden/>
                <w:rStyle w:val="IndexLink"/>
              </w:rPr>
              <w:t>2</w:t>
            </w:r>
            <w:r>
              <w:rPr>
                <w:rStyle w:val="IndexLink"/>
                <w:rtl w:val="true"/>
              </w:rPr>
              <w:t xml:space="preserve">. </w:t>
            </w:r>
            <w:r>
              <w:rPr>
                <w:rStyle w:val="IndexLink"/>
                <w:rtl w:val="true"/>
              </w:rPr>
              <w:t>مذی و ودی</w:t>
            </w:r>
            <w:r>
              <w:rPr>
                <w:rStyle w:val="IndexLink"/>
                <w:rtl w:val="true"/>
              </w:rPr>
              <w:tab/>
            </w:r>
            <w:r>
              <w:rPr>
                <w:rStyle w:val="IndexLink"/>
              </w:rPr>
              <w:t>58</w:t>
            </w:r>
          </w:hyperlink>
        </w:p>
        <w:p>
          <w:pPr>
            <w:pStyle w:val="Contents5"/>
            <w:tabs>
              <w:tab w:val="clear" w:pos="7892"/>
              <w:tab w:val="right" w:pos="9026" w:leader="dot"/>
            </w:tabs>
            <w:rPr/>
          </w:pPr>
          <w:hyperlink w:anchor="__RefHeading___Toc1510159_2281741623">
            <w:r>
              <w:rPr>
                <w:webHidden/>
                <w:rStyle w:val="IndexLink"/>
              </w:rPr>
              <w:t>3</w:t>
            </w:r>
            <w:r>
              <w:rPr>
                <w:rStyle w:val="IndexLink"/>
                <w:rtl w:val="true"/>
              </w:rPr>
              <w:t xml:space="preserve">. </w:t>
            </w:r>
            <w:r>
              <w:rPr>
                <w:rStyle w:val="IndexLink"/>
                <w:rtl w:val="true"/>
              </w:rPr>
              <w:t>خواب</w:t>
            </w:r>
            <w:r>
              <w:rPr>
                <w:rStyle w:val="IndexLink"/>
                <w:rtl w:val="true"/>
              </w:rPr>
              <w:tab/>
            </w:r>
            <w:r>
              <w:rPr>
                <w:rStyle w:val="IndexLink"/>
              </w:rPr>
              <w:t>59</w:t>
            </w:r>
          </w:hyperlink>
        </w:p>
        <w:p>
          <w:pPr>
            <w:pStyle w:val="Contents5"/>
            <w:tabs>
              <w:tab w:val="clear" w:pos="7892"/>
              <w:tab w:val="right" w:pos="9026" w:leader="dot"/>
            </w:tabs>
            <w:rPr/>
          </w:pPr>
          <w:hyperlink w:anchor="__RefHeading___Toc1510161_2281741623">
            <w:r>
              <w:rPr>
                <w:webHidden/>
                <w:rStyle w:val="IndexLink"/>
              </w:rPr>
              <w:t>4</w:t>
            </w:r>
            <w:r>
              <w:rPr>
                <w:rStyle w:val="IndexLink"/>
                <w:rtl w:val="true"/>
              </w:rPr>
              <w:t xml:space="preserve">. </w:t>
            </w:r>
            <w:r>
              <w:rPr>
                <w:rStyle w:val="IndexLink"/>
                <w:rtl w:val="true"/>
              </w:rPr>
              <w:t>زوال عقل</w:t>
            </w:r>
            <w:r>
              <w:rPr>
                <w:rStyle w:val="IndexLink"/>
                <w:rtl w:val="true"/>
              </w:rPr>
              <w:tab/>
            </w:r>
            <w:r>
              <w:rPr>
                <w:rStyle w:val="IndexLink"/>
              </w:rPr>
              <w:t>60</w:t>
            </w:r>
          </w:hyperlink>
        </w:p>
        <w:p>
          <w:pPr>
            <w:pStyle w:val="Contents5"/>
            <w:tabs>
              <w:tab w:val="clear" w:pos="7892"/>
              <w:tab w:val="right" w:pos="9026" w:leader="dot"/>
            </w:tabs>
            <w:rPr/>
          </w:pPr>
          <w:hyperlink w:anchor="__RefHeading___Toc1510163_2281741623">
            <w:r>
              <w:rPr>
                <w:webHidden/>
                <w:rStyle w:val="IndexLink"/>
              </w:rPr>
              <w:t>5</w:t>
            </w:r>
            <w:r>
              <w:rPr>
                <w:rStyle w:val="IndexLink"/>
                <w:rtl w:val="true"/>
              </w:rPr>
              <w:t xml:space="preserve">. </w:t>
            </w:r>
            <w:r>
              <w:rPr>
                <w:rStyle w:val="IndexLink"/>
                <w:rtl w:val="true"/>
              </w:rPr>
              <w:t>مسّ عورت</w:t>
            </w:r>
            <w:r>
              <w:rPr>
                <w:rStyle w:val="IndexLink"/>
                <w:rtl w:val="true"/>
              </w:rPr>
              <w:tab/>
            </w:r>
            <w:r>
              <w:rPr>
                <w:rStyle w:val="IndexLink"/>
              </w:rPr>
              <w:t>60</w:t>
            </w:r>
          </w:hyperlink>
        </w:p>
        <w:p>
          <w:pPr>
            <w:pStyle w:val="Contents5"/>
            <w:tabs>
              <w:tab w:val="clear" w:pos="7892"/>
              <w:tab w:val="right" w:pos="9026" w:leader="dot"/>
            </w:tabs>
            <w:rPr/>
          </w:pPr>
          <w:hyperlink w:anchor="__RefHeading___Toc1510165_2281741623">
            <w:r>
              <w:rPr>
                <w:webHidden/>
                <w:rStyle w:val="IndexLink"/>
              </w:rPr>
              <w:t>6</w:t>
            </w:r>
            <w:r>
              <w:rPr>
                <w:rStyle w:val="IndexLink"/>
                <w:rtl w:val="true"/>
              </w:rPr>
              <w:t xml:space="preserve">. </w:t>
            </w:r>
            <w:r>
              <w:rPr>
                <w:rStyle w:val="IndexLink"/>
                <w:rtl w:val="true"/>
              </w:rPr>
              <w:t>تماس بدنی</w:t>
            </w:r>
            <w:r>
              <w:rPr>
                <w:rStyle w:val="IndexLink"/>
                <w:rtl w:val="true"/>
              </w:rPr>
              <w:tab/>
            </w:r>
            <w:r>
              <w:rPr>
                <w:rStyle w:val="IndexLink"/>
              </w:rPr>
              <w:t>61</w:t>
            </w:r>
          </w:hyperlink>
        </w:p>
        <w:p>
          <w:pPr>
            <w:pStyle w:val="Contents4"/>
            <w:tabs>
              <w:tab w:val="clear" w:pos="8176"/>
              <w:tab w:val="right" w:pos="9026" w:leader="dot"/>
            </w:tabs>
            <w:rPr/>
          </w:pPr>
          <w:hyperlink w:anchor="__RefHeading___Toc1510167_2281741623">
            <w:r>
              <w:rPr>
                <w:webHidden/>
                <w:rStyle w:val="IndexLink"/>
                <w:rtl w:val="true"/>
              </w:rPr>
              <w:t>سه نکته پایانی</w:t>
            </w:r>
            <w:r>
              <w:rPr>
                <w:rStyle w:val="IndexLink"/>
                <w:rtl w:val="true"/>
              </w:rPr>
              <w:tab/>
            </w:r>
            <w:r>
              <w:rPr>
                <w:rStyle w:val="IndexLink"/>
              </w:rPr>
              <w:t>63</w:t>
            </w:r>
          </w:hyperlink>
        </w:p>
        <w:p>
          <w:pPr>
            <w:pStyle w:val="Contents5"/>
            <w:tabs>
              <w:tab w:val="clear" w:pos="7892"/>
              <w:tab w:val="right" w:pos="9026" w:leader="dot"/>
            </w:tabs>
            <w:rPr/>
          </w:pPr>
          <w:hyperlink w:anchor="__RefHeading___Toc1510169_2281741623">
            <w:r>
              <w:rPr>
                <w:webHidden/>
                <w:rStyle w:val="IndexLink"/>
                <w:rtl w:val="true"/>
              </w:rPr>
              <w:t>یک</w:t>
            </w:r>
            <w:r>
              <w:rPr>
                <w:rStyle w:val="IndexLink"/>
                <w:rtl w:val="true"/>
              </w:rPr>
              <w:t xml:space="preserve">- </w:t>
            </w:r>
            <w:r>
              <w:rPr>
                <w:rStyle w:val="IndexLink"/>
                <w:rtl w:val="true"/>
              </w:rPr>
              <w:t>نیت وضو</w:t>
            </w:r>
            <w:r>
              <w:rPr>
                <w:rStyle w:val="IndexLink"/>
                <w:rtl w:val="true"/>
              </w:rPr>
              <w:tab/>
            </w:r>
            <w:r>
              <w:rPr>
                <w:rStyle w:val="IndexLink"/>
              </w:rPr>
              <w:t>63</w:t>
            </w:r>
          </w:hyperlink>
        </w:p>
        <w:p>
          <w:pPr>
            <w:pStyle w:val="Contents5"/>
            <w:tabs>
              <w:tab w:val="clear" w:pos="7892"/>
              <w:tab w:val="right" w:pos="9026" w:leader="dot"/>
            </w:tabs>
            <w:rPr/>
          </w:pPr>
          <w:hyperlink w:anchor="__RefHeading___Toc1510171_2281741623">
            <w:r>
              <w:rPr>
                <w:webHidden/>
                <w:rStyle w:val="IndexLink"/>
                <w:rtl w:val="true"/>
              </w:rPr>
              <w:t>دو</w:t>
            </w:r>
            <w:r>
              <w:rPr>
                <w:rStyle w:val="IndexLink"/>
                <w:rtl w:val="true"/>
              </w:rPr>
              <w:t xml:space="preserve">- </w:t>
            </w:r>
            <w:r>
              <w:rPr>
                <w:rStyle w:val="IndexLink"/>
                <w:rtl w:val="true"/>
              </w:rPr>
              <w:t>ترتیب</w:t>
            </w:r>
            <w:r>
              <w:rPr>
                <w:rStyle w:val="IndexLink"/>
                <w:rtl w:val="true"/>
              </w:rPr>
              <w:tab/>
            </w:r>
            <w:r>
              <w:rPr>
                <w:rStyle w:val="IndexLink"/>
              </w:rPr>
              <w:t>63</w:t>
            </w:r>
          </w:hyperlink>
        </w:p>
        <w:p>
          <w:pPr>
            <w:pStyle w:val="Contents5"/>
            <w:tabs>
              <w:tab w:val="clear" w:pos="7892"/>
              <w:tab w:val="right" w:pos="9026" w:leader="dot"/>
            </w:tabs>
            <w:rPr/>
          </w:pPr>
          <w:hyperlink w:anchor="__RefHeading___Toc1510173_2281741623">
            <w:r>
              <w:rPr>
                <w:webHidden/>
                <w:rStyle w:val="IndexLink"/>
                <w:rtl w:val="true"/>
              </w:rPr>
              <w:t>سه</w:t>
            </w:r>
            <w:r>
              <w:rPr>
                <w:rStyle w:val="IndexLink"/>
                <w:rtl w:val="true"/>
              </w:rPr>
              <w:t xml:space="preserve">- </w:t>
            </w:r>
            <w:r>
              <w:rPr>
                <w:rStyle w:val="IndexLink"/>
                <w:rtl w:val="true"/>
              </w:rPr>
              <w:t>موالات</w:t>
            </w:r>
            <w:r>
              <w:rPr>
                <w:rStyle w:val="IndexLink"/>
                <w:rtl w:val="true"/>
              </w:rPr>
              <w:tab/>
            </w:r>
            <w:r>
              <w:rPr>
                <w:rStyle w:val="IndexLink"/>
              </w:rPr>
              <w:t>64</w:t>
            </w:r>
          </w:hyperlink>
        </w:p>
        <w:p>
          <w:pPr>
            <w:pStyle w:val="Contents3"/>
            <w:tabs>
              <w:tab w:val="clear" w:pos="8459"/>
              <w:tab w:val="right" w:pos="9026" w:leader="dot"/>
            </w:tabs>
            <w:rPr/>
          </w:pPr>
          <w:hyperlink w:anchor="__RefHeading___Toc1510175_2281741623">
            <w:r>
              <w:rPr>
                <w:webHidden/>
                <w:rStyle w:val="IndexLink"/>
                <w:rtl w:val="true"/>
              </w:rPr>
              <w:t>فصل دوم</w:t>
            </w:r>
            <w:r>
              <w:rPr>
                <w:rStyle w:val="IndexLink"/>
                <w:rtl w:val="true"/>
              </w:rPr>
              <w:t xml:space="preserve">: </w:t>
            </w:r>
            <w:r>
              <w:rPr>
                <w:rStyle w:val="IndexLink"/>
                <w:rtl w:val="true"/>
              </w:rPr>
              <w:t>از قبله تا سُتره</w:t>
            </w:r>
            <w:r>
              <w:rPr>
                <w:rStyle w:val="IndexLink"/>
                <w:rtl w:val="true"/>
              </w:rPr>
              <w:tab/>
            </w:r>
            <w:r>
              <w:rPr>
                <w:rStyle w:val="IndexLink"/>
              </w:rPr>
              <w:t>66</w:t>
            </w:r>
          </w:hyperlink>
        </w:p>
        <w:p>
          <w:pPr>
            <w:pStyle w:val="Contents4"/>
            <w:tabs>
              <w:tab w:val="clear" w:pos="8176"/>
              <w:tab w:val="right" w:pos="9026" w:leader="dot"/>
            </w:tabs>
            <w:rPr/>
          </w:pPr>
          <w:hyperlink w:anchor="__RefHeading___Toc1510177_2281741623">
            <w:r>
              <w:rPr>
                <w:webHidden/>
                <w:rStyle w:val="IndexLink"/>
              </w:rPr>
              <w:t>1</w:t>
            </w:r>
            <w:r>
              <w:rPr>
                <w:rStyle w:val="IndexLink"/>
                <w:rtl w:val="true"/>
              </w:rPr>
              <w:t xml:space="preserve">. </w:t>
            </w:r>
            <w:r>
              <w:rPr>
                <w:rStyle w:val="IndexLink"/>
                <w:rtl w:val="true"/>
              </w:rPr>
              <w:t>قبله</w:t>
            </w:r>
            <w:r>
              <w:rPr>
                <w:rStyle w:val="IndexLink"/>
                <w:rtl w:val="true"/>
              </w:rPr>
              <w:tab/>
            </w:r>
            <w:r>
              <w:rPr>
                <w:rStyle w:val="IndexLink"/>
              </w:rPr>
              <w:t>66</w:t>
            </w:r>
          </w:hyperlink>
        </w:p>
        <w:p>
          <w:pPr>
            <w:pStyle w:val="Contents4"/>
            <w:tabs>
              <w:tab w:val="clear" w:pos="8176"/>
              <w:tab w:val="right" w:pos="9026" w:leader="dot"/>
            </w:tabs>
            <w:rPr/>
          </w:pPr>
          <w:hyperlink w:anchor="__RefHeading___Toc1510179_2281741623">
            <w:r>
              <w:rPr>
                <w:webHidden/>
                <w:rStyle w:val="IndexLink"/>
                <w:rtl w:val="true"/>
              </w:rPr>
              <w:t>حکم قبله</w:t>
            </w:r>
            <w:r>
              <w:rPr>
                <w:rStyle w:val="IndexLink"/>
                <w:rtl w:val="true"/>
              </w:rPr>
              <w:tab/>
            </w:r>
            <w:r>
              <w:rPr>
                <w:rStyle w:val="IndexLink"/>
              </w:rPr>
              <w:t>68</w:t>
            </w:r>
          </w:hyperlink>
        </w:p>
        <w:p>
          <w:pPr>
            <w:pStyle w:val="Contents4"/>
            <w:tabs>
              <w:tab w:val="clear" w:pos="8176"/>
              <w:tab w:val="right" w:pos="9026" w:leader="dot"/>
            </w:tabs>
            <w:rPr/>
          </w:pPr>
          <w:hyperlink w:anchor="__RefHeading___Toc1510181_2281741623">
            <w:r>
              <w:rPr>
                <w:webHidden/>
                <w:rStyle w:val="IndexLink"/>
              </w:rPr>
              <w:t>2</w:t>
            </w:r>
            <w:r>
              <w:rPr>
                <w:rStyle w:val="IndexLink"/>
                <w:rtl w:val="true"/>
              </w:rPr>
              <w:t xml:space="preserve">. </w:t>
            </w:r>
            <w:r>
              <w:rPr>
                <w:rStyle w:val="IndexLink"/>
                <w:rtl w:val="true"/>
              </w:rPr>
              <w:t>لباس نمازگزار</w:t>
            </w:r>
            <w:r>
              <w:rPr>
                <w:rStyle w:val="IndexLink"/>
                <w:rtl w:val="true"/>
              </w:rPr>
              <w:tab/>
            </w:r>
            <w:r>
              <w:rPr>
                <w:rStyle w:val="IndexLink"/>
              </w:rPr>
              <w:t>70</w:t>
            </w:r>
          </w:hyperlink>
        </w:p>
        <w:p>
          <w:pPr>
            <w:pStyle w:val="Contents4"/>
            <w:tabs>
              <w:tab w:val="clear" w:pos="8176"/>
              <w:tab w:val="right" w:pos="9026" w:leader="dot"/>
            </w:tabs>
            <w:rPr/>
          </w:pPr>
          <w:hyperlink w:anchor="__RefHeading___Toc1510183_2281741623">
            <w:r>
              <w:rPr>
                <w:webHidden/>
                <w:rStyle w:val="IndexLink"/>
                <w:rtl w:val="true"/>
              </w:rPr>
              <w:t>شرایط لباس نمازگزار</w:t>
            </w:r>
            <w:r>
              <w:rPr>
                <w:rStyle w:val="IndexLink"/>
                <w:rtl w:val="true"/>
              </w:rPr>
              <w:tab/>
            </w:r>
            <w:r>
              <w:rPr>
                <w:rStyle w:val="IndexLink"/>
              </w:rPr>
              <w:t>72</w:t>
            </w:r>
          </w:hyperlink>
        </w:p>
        <w:p>
          <w:pPr>
            <w:pStyle w:val="Contents4"/>
            <w:tabs>
              <w:tab w:val="clear" w:pos="8176"/>
              <w:tab w:val="right" w:pos="9026" w:leader="dot"/>
            </w:tabs>
            <w:rPr/>
          </w:pPr>
          <w:hyperlink w:anchor="__RefHeading___Toc1510185_2281741623">
            <w:r>
              <w:rPr>
                <w:webHidden/>
                <w:rStyle w:val="IndexLink"/>
              </w:rPr>
              <w:t>3</w:t>
            </w:r>
            <w:r>
              <w:rPr>
                <w:rStyle w:val="IndexLink"/>
                <w:rtl w:val="true"/>
              </w:rPr>
              <w:t xml:space="preserve">. </w:t>
            </w:r>
            <w:r>
              <w:rPr>
                <w:rStyle w:val="IndexLink"/>
                <w:rtl w:val="true"/>
              </w:rPr>
              <w:t>مکان نمازگزار</w:t>
            </w:r>
            <w:r>
              <w:rPr>
                <w:rStyle w:val="IndexLink"/>
                <w:rtl w:val="true"/>
              </w:rPr>
              <w:tab/>
            </w:r>
            <w:r>
              <w:rPr>
                <w:rStyle w:val="IndexLink"/>
              </w:rPr>
              <w:t>72</w:t>
            </w:r>
          </w:hyperlink>
        </w:p>
        <w:p>
          <w:pPr>
            <w:pStyle w:val="Contents4"/>
            <w:tabs>
              <w:tab w:val="clear" w:pos="8176"/>
              <w:tab w:val="right" w:pos="9026" w:leader="dot"/>
            </w:tabs>
            <w:rPr/>
          </w:pPr>
          <w:hyperlink w:anchor="__RefHeading___Toc1510187_2281741623">
            <w:r>
              <w:rPr>
                <w:webHidden/>
                <w:rStyle w:val="IndexLink"/>
              </w:rPr>
              <w:t>4</w:t>
            </w:r>
            <w:r>
              <w:rPr>
                <w:rStyle w:val="IndexLink"/>
                <w:rtl w:val="true"/>
              </w:rPr>
              <w:t xml:space="preserve">. </w:t>
            </w:r>
            <w:r>
              <w:rPr>
                <w:rStyle w:val="IndexLink"/>
                <w:rtl w:val="true"/>
              </w:rPr>
              <w:t>قرار دادن سُتره</w:t>
            </w:r>
            <w:r>
              <w:rPr>
                <w:rStyle w:val="IndexLink"/>
                <w:rtl w:val="true"/>
              </w:rPr>
              <w:tab/>
            </w:r>
            <w:r>
              <w:rPr>
                <w:rStyle w:val="IndexLink"/>
              </w:rPr>
              <w:t>74</w:t>
            </w:r>
          </w:hyperlink>
        </w:p>
        <w:p>
          <w:pPr>
            <w:pStyle w:val="Contents4"/>
            <w:tabs>
              <w:tab w:val="clear" w:pos="8176"/>
              <w:tab w:val="right" w:pos="9026" w:leader="dot"/>
            </w:tabs>
            <w:rPr/>
          </w:pPr>
          <w:hyperlink w:anchor="__RefHeading___Toc1510189_2281741623">
            <w:r>
              <w:rPr>
                <w:webHidden/>
                <w:rStyle w:val="IndexLink"/>
                <w:rtl w:val="true"/>
              </w:rPr>
              <w:t>عبور از مقابل نمازگزار</w:t>
            </w:r>
            <w:r>
              <w:rPr>
                <w:rStyle w:val="IndexLink"/>
                <w:rtl w:val="true"/>
              </w:rPr>
              <w:tab/>
            </w:r>
            <w:r>
              <w:rPr>
                <w:rStyle w:val="IndexLink"/>
              </w:rPr>
              <w:t>74</w:t>
            </w:r>
          </w:hyperlink>
        </w:p>
        <w:p>
          <w:pPr>
            <w:pStyle w:val="Contents4"/>
            <w:tabs>
              <w:tab w:val="clear" w:pos="8176"/>
              <w:tab w:val="right" w:pos="9026" w:leader="dot"/>
            </w:tabs>
            <w:rPr/>
          </w:pPr>
          <w:hyperlink w:anchor="__RefHeading___Toc1510191_2281741623">
            <w:r>
              <w:rPr>
                <w:webHidden/>
                <w:rStyle w:val="IndexLink"/>
                <w:rtl w:val="true"/>
              </w:rPr>
              <w:t>دو روایت متفاوت</w:t>
            </w:r>
            <w:r>
              <w:rPr>
                <w:rStyle w:val="IndexLink"/>
                <w:rtl w:val="true"/>
              </w:rPr>
              <w:tab/>
            </w:r>
            <w:r>
              <w:rPr>
                <w:rStyle w:val="IndexLink"/>
              </w:rPr>
              <w:t>77</w:t>
            </w:r>
          </w:hyperlink>
        </w:p>
        <w:p>
          <w:pPr>
            <w:pStyle w:val="Contents3"/>
            <w:tabs>
              <w:tab w:val="clear" w:pos="8459"/>
              <w:tab w:val="right" w:pos="9026" w:leader="dot"/>
            </w:tabs>
            <w:rPr/>
          </w:pPr>
          <w:hyperlink w:anchor="__RefHeading___Toc1510193_2281741623">
            <w:r>
              <w:rPr>
                <w:webHidden/>
                <w:rStyle w:val="IndexLink"/>
                <w:rtl w:val="true"/>
              </w:rPr>
              <w:t>فصل سوم</w:t>
            </w:r>
            <w:r>
              <w:rPr>
                <w:rStyle w:val="IndexLink"/>
                <w:rtl w:val="true"/>
              </w:rPr>
              <w:t xml:space="preserve">: </w:t>
            </w:r>
            <w:r>
              <w:rPr>
                <w:rStyle w:val="IndexLink"/>
                <w:rtl w:val="true"/>
              </w:rPr>
              <w:t>اذان و اقامه</w:t>
            </w:r>
            <w:r>
              <w:rPr>
                <w:rStyle w:val="IndexLink"/>
                <w:rtl w:val="true"/>
              </w:rPr>
              <w:tab/>
            </w:r>
            <w:r>
              <w:rPr>
                <w:rStyle w:val="IndexLink"/>
              </w:rPr>
              <w:t>79</w:t>
            </w:r>
          </w:hyperlink>
        </w:p>
        <w:p>
          <w:pPr>
            <w:pStyle w:val="Contents4"/>
            <w:tabs>
              <w:tab w:val="clear" w:pos="8176"/>
              <w:tab w:val="right" w:pos="9026" w:leader="dot"/>
            </w:tabs>
            <w:rPr/>
          </w:pPr>
          <w:hyperlink w:anchor="__RefHeading___Toc1510195_2281741623">
            <w:r>
              <w:rPr>
                <w:webHidden/>
                <w:rStyle w:val="IndexLink"/>
                <w:rtl w:val="true"/>
              </w:rPr>
              <w:t>جایگاه اذان و اقامه</w:t>
            </w:r>
            <w:r>
              <w:rPr>
                <w:rStyle w:val="IndexLink"/>
                <w:rtl w:val="true"/>
              </w:rPr>
              <w:tab/>
            </w:r>
            <w:r>
              <w:rPr>
                <w:rStyle w:val="IndexLink"/>
              </w:rPr>
              <w:t>79</w:t>
            </w:r>
          </w:hyperlink>
        </w:p>
        <w:p>
          <w:pPr>
            <w:pStyle w:val="Contents4"/>
            <w:tabs>
              <w:tab w:val="clear" w:pos="8176"/>
              <w:tab w:val="right" w:pos="9026" w:leader="dot"/>
            </w:tabs>
            <w:rPr/>
          </w:pPr>
          <w:hyperlink w:anchor="__RefHeading___Toc1510197_2281741623">
            <w:r>
              <w:rPr>
                <w:webHidden/>
                <w:rStyle w:val="IndexLink"/>
                <w:rtl w:val="true"/>
              </w:rPr>
              <w:t>بررسی موارد اختلافی</w:t>
            </w:r>
            <w:r>
              <w:rPr>
                <w:rStyle w:val="IndexLink"/>
                <w:rtl w:val="true"/>
              </w:rPr>
              <w:tab/>
            </w:r>
            <w:r>
              <w:rPr>
                <w:rStyle w:val="IndexLink"/>
              </w:rPr>
              <w:t>80</w:t>
            </w:r>
          </w:hyperlink>
        </w:p>
        <w:p>
          <w:pPr>
            <w:pStyle w:val="Contents4"/>
            <w:tabs>
              <w:tab w:val="clear" w:pos="8176"/>
              <w:tab w:val="right" w:pos="9026" w:leader="dot"/>
            </w:tabs>
            <w:rPr/>
          </w:pPr>
          <w:hyperlink w:anchor="__RefHeading___Toc1510199_2281741623">
            <w:r>
              <w:rPr>
                <w:webHidden/>
                <w:rStyle w:val="IndexLink"/>
                <w:rtl w:val="true"/>
              </w:rPr>
              <w:t>مسأله اول</w:t>
            </w:r>
            <w:r>
              <w:rPr>
                <w:rStyle w:val="IndexLink"/>
                <w:rtl w:val="true"/>
              </w:rPr>
              <w:t xml:space="preserve">: </w:t>
            </w:r>
            <w:r>
              <w:rPr>
                <w:rStyle w:val="IndexLink"/>
                <w:rtl w:val="true"/>
              </w:rPr>
              <w:t>کیفیت تشریع اذان</w:t>
            </w:r>
            <w:r>
              <w:rPr>
                <w:rStyle w:val="IndexLink"/>
                <w:rtl w:val="true"/>
              </w:rPr>
              <w:tab/>
            </w:r>
            <w:r>
              <w:rPr>
                <w:rStyle w:val="IndexLink"/>
              </w:rPr>
              <w:t>81</w:t>
            </w:r>
          </w:hyperlink>
        </w:p>
        <w:p>
          <w:pPr>
            <w:pStyle w:val="Contents5"/>
            <w:tabs>
              <w:tab w:val="clear" w:pos="7892"/>
              <w:tab w:val="right" w:pos="9026" w:leader="dot"/>
            </w:tabs>
            <w:rPr/>
          </w:pPr>
          <w:hyperlink w:anchor="__RefHeading___Toc1510201_2281741623">
            <w:r>
              <w:rPr>
                <w:webHidden/>
                <w:rStyle w:val="IndexLink"/>
                <w:rtl w:val="true"/>
              </w:rPr>
              <w:t>معنای لغوی و شرعی اذان</w:t>
            </w:r>
            <w:r>
              <w:rPr>
                <w:rStyle w:val="IndexLink"/>
                <w:rtl w:val="true"/>
              </w:rPr>
              <w:tab/>
            </w:r>
            <w:r>
              <w:rPr>
                <w:rStyle w:val="IndexLink"/>
              </w:rPr>
              <w:t>81</w:t>
            </w:r>
          </w:hyperlink>
        </w:p>
        <w:p>
          <w:pPr>
            <w:pStyle w:val="Contents5"/>
            <w:tabs>
              <w:tab w:val="clear" w:pos="7892"/>
              <w:tab w:val="right" w:pos="9026" w:leader="dot"/>
            </w:tabs>
            <w:rPr/>
          </w:pPr>
          <w:hyperlink w:anchor="__RefHeading___Toc1510203_2281741623">
            <w:r>
              <w:rPr>
                <w:webHidden/>
                <w:rStyle w:val="IndexLink"/>
                <w:rtl w:val="true"/>
              </w:rPr>
              <w:t>تشریع اذان</w:t>
            </w:r>
            <w:r>
              <w:rPr>
                <w:rStyle w:val="IndexLink"/>
                <w:rtl w:val="true"/>
              </w:rPr>
              <w:tab/>
            </w:r>
            <w:r>
              <w:rPr>
                <w:rStyle w:val="IndexLink"/>
              </w:rPr>
              <w:t>81</w:t>
            </w:r>
          </w:hyperlink>
        </w:p>
        <w:p>
          <w:pPr>
            <w:pStyle w:val="Contents5"/>
            <w:tabs>
              <w:tab w:val="clear" w:pos="7892"/>
              <w:tab w:val="right" w:pos="9026" w:leader="dot"/>
            </w:tabs>
            <w:rPr/>
          </w:pPr>
          <w:hyperlink w:anchor="__RefHeading___Toc1510205_2281741623">
            <w:r>
              <w:rPr>
                <w:webHidden/>
                <w:rStyle w:val="IndexLink"/>
                <w:rtl w:val="true"/>
              </w:rPr>
              <w:t>بررسی دو دیدگاه در تشریع اذان</w:t>
            </w:r>
            <w:r>
              <w:rPr>
                <w:rStyle w:val="IndexLink"/>
                <w:rtl w:val="true"/>
              </w:rPr>
              <w:tab/>
            </w:r>
            <w:r>
              <w:rPr>
                <w:rStyle w:val="IndexLink"/>
              </w:rPr>
              <w:t>83</w:t>
            </w:r>
          </w:hyperlink>
        </w:p>
        <w:p>
          <w:pPr>
            <w:pStyle w:val="Contents5"/>
            <w:tabs>
              <w:tab w:val="clear" w:pos="7892"/>
              <w:tab w:val="right" w:pos="9026" w:leader="dot"/>
            </w:tabs>
            <w:rPr/>
          </w:pPr>
          <w:hyperlink w:anchor="__RefHeading___Toc1510207_2281741623">
            <w:r>
              <w:rPr>
                <w:webHidden/>
                <w:rStyle w:val="IndexLink"/>
                <w:rtl w:val="true"/>
              </w:rPr>
              <w:t>بررسی جزئیات اذان و اقامه</w:t>
            </w:r>
            <w:r>
              <w:rPr>
                <w:rStyle w:val="IndexLink"/>
                <w:rtl w:val="true"/>
              </w:rPr>
              <w:tab/>
            </w:r>
            <w:r>
              <w:rPr>
                <w:rStyle w:val="IndexLink"/>
              </w:rPr>
              <w:t>90</w:t>
            </w:r>
          </w:hyperlink>
        </w:p>
        <w:p>
          <w:pPr>
            <w:pStyle w:val="Contents5"/>
            <w:tabs>
              <w:tab w:val="clear" w:pos="7892"/>
              <w:tab w:val="right" w:pos="9026" w:leader="dot"/>
            </w:tabs>
            <w:rPr/>
          </w:pPr>
          <w:hyperlink w:anchor="__RefHeading___Toc1510209_2281741623">
            <w:r>
              <w:rPr>
                <w:webHidden/>
                <w:rStyle w:val="IndexLink"/>
                <w:rtl w:val="true"/>
              </w:rPr>
              <w:t>موارد اتفاقی</w:t>
            </w:r>
            <w:r>
              <w:rPr>
                <w:rStyle w:val="IndexLink"/>
                <w:rtl w:val="true"/>
              </w:rPr>
              <w:tab/>
            </w:r>
            <w:r>
              <w:rPr>
                <w:rStyle w:val="IndexLink"/>
              </w:rPr>
              <w:t>90</w:t>
            </w:r>
          </w:hyperlink>
        </w:p>
        <w:p>
          <w:pPr>
            <w:pStyle w:val="Contents5"/>
            <w:tabs>
              <w:tab w:val="clear" w:pos="7892"/>
              <w:tab w:val="right" w:pos="9026" w:leader="dot"/>
            </w:tabs>
            <w:rPr/>
          </w:pPr>
          <w:hyperlink w:anchor="__RefHeading___Toc1510211_2281741623">
            <w:r>
              <w:rPr>
                <w:webHidden/>
                <w:rStyle w:val="IndexLink"/>
                <w:rtl w:val="true"/>
              </w:rPr>
              <w:t>موارد اختلافی</w:t>
            </w:r>
            <w:r>
              <w:rPr>
                <w:rStyle w:val="IndexLink"/>
                <w:rtl w:val="true"/>
              </w:rPr>
              <w:tab/>
            </w:r>
            <w:r>
              <w:rPr>
                <w:rStyle w:val="IndexLink"/>
              </w:rPr>
              <w:t>90</w:t>
            </w:r>
          </w:hyperlink>
        </w:p>
        <w:p>
          <w:pPr>
            <w:pStyle w:val="Contents5"/>
            <w:tabs>
              <w:tab w:val="clear" w:pos="7892"/>
              <w:tab w:val="right" w:pos="9026" w:leader="dot"/>
            </w:tabs>
            <w:rPr/>
          </w:pPr>
          <w:hyperlink w:anchor="__RefHeading___Toc1510213_2281741623">
            <w:r>
              <w:rPr>
                <w:webHidden/>
                <w:rStyle w:val="IndexLink"/>
                <w:rtl w:val="true"/>
              </w:rPr>
              <w:t>حکم اقامه</w:t>
            </w:r>
            <w:r>
              <w:rPr>
                <w:rStyle w:val="IndexLink"/>
                <w:rtl w:val="true"/>
              </w:rPr>
              <w:tab/>
            </w:r>
            <w:r>
              <w:rPr>
                <w:rStyle w:val="IndexLink"/>
              </w:rPr>
              <w:t>91</w:t>
            </w:r>
          </w:hyperlink>
        </w:p>
        <w:p>
          <w:pPr>
            <w:pStyle w:val="Contents4"/>
            <w:tabs>
              <w:tab w:val="clear" w:pos="8176"/>
              <w:tab w:val="right" w:pos="9026" w:leader="dot"/>
            </w:tabs>
            <w:rPr/>
          </w:pPr>
          <w:hyperlink w:anchor="__RefHeading___Toc1510215_2281741623">
            <w:r>
              <w:rPr>
                <w:webHidden/>
                <w:rStyle w:val="IndexLink"/>
                <w:rtl w:val="true"/>
              </w:rPr>
              <w:t>مسأله دوم</w:t>
            </w:r>
            <w:r>
              <w:rPr>
                <w:rStyle w:val="IndexLink"/>
                <w:rtl w:val="true"/>
              </w:rPr>
              <w:t xml:space="preserve">: </w:t>
            </w:r>
            <w:r>
              <w:rPr>
                <w:rStyle w:val="IndexLink"/>
                <w:rtl w:val="true"/>
              </w:rPr>
              <w:t>تثویب در اذان صبح</w:t>
            </w:r>
            <w:r>
              <w:rPr>
                <w:rStyle w:val="IndexLink"/>
                <w:rtl w:val="true"/>
              </w:rPr>
              <w:tab/>
            </w:r>
            <w:r>
              <w:rPr>
                <w:rStyle w:val="IndexLink"/>
              </w:rPr>
              <w:t>91</w:t>
            </w:r>
          </w:hyperlink>
        </w:p>
        <w:p>
          <w:pPr>
            <w:pStyle w:val="Contents5"/>
            <w:tabs>
              <w:tab w:val="clear" w:pos="7892"/>
              <w:tab w:val="right" w:pos="9026" w:leader="dot"/>
            </w:tabs>
            <w:rPr/>
          </w:pPr>
          <w:hyperlink w:anchor="__RefHeading___Toc1510217_2281741623">
            <w:r>
              <w:rPr>
                <w:webHidden/>
                <w:rStyle w:val="IndexLink"/>
                <w:rtl w:val="true"/>
              </w:rPr>
              <w:t>اشاره</w:t>
            </w:r>
            <w:r>
              <w:rPr>
                <w:rStyle w:val="IndexLink"/>
                <w:rtl w:val="true"/>
              </w:rPr>
              <w:tab/>
            </w:r>
            <w:r>
              <w:rPr>
                <w:rStyle w:val="IndexLink"/>
              </w:rPr>
              <w:t>91</w:t>
            </w:r>
          </w:hyperlink>
        </w:p>
        <w:p>
          <w:pPr>
            <w:pStyle w:val="Contents5"/>
            <w:tabs>
              <w:tab w:val="clear" w:pos="7892"/>
              <w:tab w:val="right" w:pos="9026" w:leader="dot"/>
            </w:tabs>
            <w:rPr/>
          </w:pPr>
          <w:hyperlink w:anchor="__RefHeading___Toc1510219_2281741623">
            <w:r>
              <w:rPr>
                <w:webHidden/>
                <w:rStyle w:val="IndexLink"/>
                <w:rtl w:val="true"/>
              </w:rPr>
              <w:t>دیدگاه اهل سنت</w:t>
            </w:r>
            <w:r>
              <w:rPr>
                <w:rStyle w:val="IndexLink"/>
                <w:rtl w:val="true"/>
              </w:rPr>
              <w:tab/>
            </w:r>
            <w:r>
              <w:rPr>
                <w:rStyle w:val="IndexLink"/>
              </w:rPr>
              <w:t>93</w:t>
            </w:r>
          </w:hyperlink>
        </w:p>
        <w:p>
          <w:pPr>
            <w:pStyle w:val="Contents5"/>
            <w:tabs>
              <w:tab w:val="clear" w:pos="7892"/>
              <w:tab w:val="right" w:pos="9026" w:leader="dot"/>
            </w:tabs>
            <w:rPr/>
          </w:pPr>
          <w:hyperlink w:anchor="__RefHeading___Toc1510221_2281741623">
            <w:r>
              <w:rPr>
                <w:webHidden/>
                <w:rStyle w:val="IndexLink"/>
                <w:rtl w:val="true"/>
              </w:rPr>
              <w:t>دیدگاه شیعه</w:t>
            </w:r>
            <w:r>
              <w:rPr>
                <w:rStyle w:val="IndexLink"/>
                <w:rtl w:val="true"/>
              </w:rPr>
              <w:tab/>
            </w:r>
            <w:r>
              <w:rPr>
                <w:rStyle w:val="IndexLink"/>
              </w:rPr>
              <w:t>94</w:t>
            </w:r>
          </w:hyperlink>
        </w:p>
        <w:p>
          <w:pPr>
            <w:pStyle w:val="Contents5"/>
            <w:tabs>
              <w:tab w:val="clear" w:pos="7892"/>
              <w:tab w:val="right" w:pos="9026" w:leader="dot"/>
            </w:tabs>
            <w:rPr/>
          </w:pPr>
          <w:hyperlink w:anchor="__RefHeading___Toc1510223_2281741623">
            <w:r>
              <w:rPr>
                <w:webHidden/>
                <w:rStyle w:val="IndexLink"/>
                <w:rtl w:val="true"/>
              </w:rPr>
              <w:t>نقد و بررسی</w:t>
            </w:r>
            <w:r>
              <w:rPr>
                <w:rStyle w:val="IndexLink"/>
                <w:rtl w:val="true"/>
              </w:rPr>
              <w:tab/>
            </w:r>
            <w:r>
              <w:rPr>
                <w:rStyle w:val="IndexLink"/>
              </w:rPr>
              <w:t>94</w:t>
            </w:r>
          </w:hyperlink>
        </w:p>
        <w:p>
          <w:pPr>
            <w:pStyle w:val="Contents4"/>
            <w:tabs>
              <w:tab w:val="clear" w:pos="8176"/>
              <w:tab w:val="right" w:pos="9026" w:leader="dot"/>
            </w:tabs>
            <w:rPr/>
          </w:pPr>
          <w:hyperlink w:anchor="__RefHeading___Toc1510225_2281741623">
            <w:r>
              <w:rPr>
                <w:webHidden/>
                <w:rStyle w:val="IndexLink"/>
                <w:rtl w:val="true"/>
              </w:rPr>
              <w:t>مسأله سوم</w:t>
            </w:r>
            <w:r>
              <w:rPr>
                <w:rStyle w:val="IndexLink"/>
                <w:rtl w:val="true"/>
              </w:rPr>
              <w:t xml:space="preserve">: </w:t>
            </w:r>
            <w:r>
              <w:rPr>
                <w:rStyle w:val="IndexLink"/>
                <w:rtl w:val="true"/>
              </w:rPr>
              <w:t>حیّ علی خیر العمل</w:t>
            </w:r>
            <w:r>
              <w:rPr>
                <w:rStyle w:val="IndexLink"/>
                <w:rtl w:val="true"/>
              </w:rPr>
              <w:tab/>
            </w:r>
            <w:r>
              <w:rPr>
                <w:rStyle w:val="IndexLink"/>
              </w:rPr>
              <w:t>97</w:t>
            </w:r>
          </w:hyperlink>
        </w:p>
        <w:p>
          <w:pPr>
            <w:pStyle w:val="Contents5"/>
            <w:tabs>
              <w:tab w:val="clear" w:pos="7892"/>
              <w:tab w:val="right" w:pos="9026" w:leader="dot"/>
            </w:tabs>
            <w:rPr/>
          </w:pPr>
          <w:hyperlink w:anchor="__RefHeading___Toc1510227_2281741623">
            <w:r>
              <w:rPr>
                <w:webHidden/>
                <w:rStyle w:val="IndexLink"/>
                <w:rtl w:val="true"/>
              </w:rPr>
              <w:t>اشاره</w:t>
            </w:r>
            <w:r>
              <w:rPr>
                <w:rStyle w:val="IndexLink"/>
                <w:rtl w:val="true"/>
              </w:rPr>
              <w:tab/>
            </w:r>
            <w:r>
              <w:rPr>
                <w:rStyle w:val="IndexLink"/>
              </w:rPr>
              <w:t>97</w:t>
            </w:r>
          </w:hyperlink>
        </w:p>
        <w:p>
          <w:pPr>
            <w:pStyle w:val="Contents5"/>
            <w:tabs>
              <w:tab w:val="clear" w:pos="7892"/>
              <w:tab w:val="right" w:pos="9026" w:leader="dot"/>
            </w:tabs>
            <w:rPr/>
          </w:pPr>
          <w:hyperlink w:anchor="__RefHeading___Toc1510229_2281741623">
            <w:r>
              <w:rPr>
                <w:webHidden/>
                <w:rStyle w:val="IndexLink"/>
                <w:rtl w:val="true"/>
              </w:rPr>
              <w:t>نقد و بررسی</w:t>
            </w:r>
            <w:r>
              <w:rPr>
                <w:rStyle w:val="IndexLink"/>
                <w:rtl w:val="true"/>
              </w:rPr>
              <w:tab/>
            </w:r>
            <w:r>
              <w:rPr>
                <w:rStyle w:val="IndexLink"/>
              </w:rPr>
              <w:t>98</w:t>
            </w:r>
          </w:hyperlink>
        </w:p>
        <w:p>
          <w:pPr>
            <w:pStyle w:val="Contents5"/>
            <w:tabs>
              <w:tab w:val="clear" w:pos="7892"/>
              <w:tab w:val="right" w:pos="9026" w:leader="dot"/>
            </w:tabs>
            <w:rPr/>
          </w:pPr>
          <w:hyperlink w:anchor="__RefHeading___Toc1510231_2281741623">
            <w:r>
              <w:rPr>
                <w:webHidden/>
                <w:rStyle w:val="IndexLink"/>
                <w:rtl w:val="true"/>
              </w:rPr>
              <w:t>پشت پرده سیاسی ماجرا</w:t>
            </w:r>
            <w:r>
              <w:rPr>
                <w:rStyle w:val="IndexLink"/>
                <w:rtl w:val="true"/>
              </w:rPr>
              <w:tab/>
            </w:r>
            <w:r>
              <w:rPr>
                <w:rStyle w:val="IndexLink"/>
              </w:rPr>
              <w:t>101</w:t>
            </w:r>
          </w:hyperlink>
        </w:p>
        <w:p>
          <w:pPr>
            <w:pStyle w:val="Contents4"/>
            <w:tabs>
              <w:tab w:val="clear" w:pos="8176"/>
              <w:tab w:val="right" w:pos="9026" w:leader="dot"/>
            </w:tabs>
            <w:rPr/>
          </w:pPr>
          <w:hyperlink w:anchor="__RefHeading___Toc1510233_2281741623">
            <w:r>
              <w:rPr>
                <w:webHidden/>
                <w:rStyle w:val="IndexLink"/>
                <w:rtl w:val="true"/>
              </w:rPr>
              <w:t>مسأله چهارم</w:t>
            </w:r>
            <w:r>
              <w:rPr>
                <w:rStyle w:val="IndexLink"/>
                <w:rtl w:val="true"/>
              </w:rPr>
              <w:t xml:space="preserve">: </w:t>
            </w:r>
            <w:r>
              <w:rPr>
                <w:rStyle w:val="IndexLink"/>
                <w:rtl w:val="true"/>
              </w:rPr>
              <w:t>شهادت ثالثه</w:t>
            </w:r>
            <w:r>
              <w:rPr>
                <w:rStyle w:val="IndexLink"/>
                <w:rtl w:val="true"/>
              </w:rPr>
              <w:tab/>
            </w:r>
            <w:r>
              <w:rPr>
                <w:rStyle w:val="IndexLink"/>
              </w:rPr>
              <w:t>102</w:t>
            </w:r>
          </w:hyperlink>
        </w:p>
        <w:p>
          <w:pPr>
            <w:pStyle w:val="Contents5"/>
            <w:tabs>
              <w:tab w:val="clear" w:pos="7892"/>
              <w:tab w:val="right" w:pos="9026" w:leader="dot"/>
            </w:tabs>
            <w:rPr/>
          </w:pPr>
          <w:hyperlink w:anchor="__RefHeading___Toc1510235_2281741623">
            <w:r>
              <w:rPr>
                <w:webHidden/>
                <w:rStyle w:val="IndexLink"/>
                <w:rtl w:val="true"/>
              </w:rPr>
              <w:t>اشاره</w:t>
            </w:r>
            <w:r>
              <w:rPr>
                <w:rStyle w:val="IndexLink"/>
                <w:rtl w:val="true"/>
              </w:rPr>
              <w:tab/>
            </w:r>
            <w:r>
              <w:rPr>
                <w:rStyle w:val="IndexLink"/>
              </w:rPr>
              <w:t>102</w:t>
            </w:r>
          </w:hyperlink>
        </w:p>
        <w:p>
          <w:pPr>
            <w:pStyle w:val="Contents5"/>
            <w:tabs>
              <w:tab w:val="clear" w:pos="7892"/>
              <w:tab w:val="right" w:pos="9026" w:leader="dot"/>
            </w:tabs>
            <w:rPr/>
          </w:pPr>
          <w:hyperlink w:anchor="__RefHeading___Toc1510237_2281741623">
            <w:r>
              <w:rPr>
                <w:webHidden/>
                <w:rStyle w:val="IndexLink"/>
                <w:rtl w:val="true"/>
              </w:rPr>
              <w:t>برخی از ادله شیعه</w:t>
            </w:r>
            <w:r>
              <w:rPr>
                <w:rStyle w:val="IndexLink"/>
                <w:rtl w:val="true"/>
              </w:rPr>
              <w:tab/>
            </w:r>
            <w:r>
              <w:rPr>
                <w:rStyle w:val="IndexLink"/>
              </w:rPr>
              <w:t>103</w:t>
            </w:r>
          </w:hyperlink>
        </w:p>
        <w:p>
          <w:pPr>
            <w:pStyle w:val="Contents4"/>
            <w:tabs>
              <w:tab w:val="clear" w:pos="8176"/>
              <w:tab w:val="right" w:pos="9026" w:leader="dot"/>
            </w:tabs>
            <w:rPr/>
          </w:pPr>
          <w:hyperlink w:anchor="__RefHeading___Toc1510239_2281741623">
            <w:r>
              <w:rPr>
                <w:webHidden/>
                <w:rStyle w:val="IndexLink"/>
                <w:rtl w:val="true"/>
              </w:rPr>
              <w:t>نتیجه گیری</w:t>
            </w:r>
            <w:r>
              <w:rPr>
                <w:rStyle w:val="IndexLink"/>
                <w:rtl w:val="true"/>
              </w:rPr>
              <w:tab/>
            </w:r>
            <w:r>
              <w:rPr>
                <w:rStyle w:val="IndexLink"/>
              </w:rPr>
              <w:t>106</w:t>
            </w:r>
          </w:hyperlink>
        </w:p>
        <w:p>
          <w:pPr>
            <w:pStyle w:val="Contents3"/>
            <w:tabs>
              <w:tab w:val="clear" w:pos="8459"/>
              <w:tab w:val="right" w:pos="9026" w:leader="dot"/>
            </w:tabs>
            <w:rPr/>
          </w:pPr>
          <w:hyperlink w:anchor="__RefHeading___Toc1510241_2281741623">
            <w:r>
              <w:rPr>
                <w:webHidden/>
                <w:rStyle w:val="IndexLink"/>
                <w:rtl w:val="true"/>
              </w:rPr>
              <w:t>فصل چهارم</w:t>
            </w:r>
            <w:r>
              <w:rPr>
                <w:rStyle w:val="IndexLink"/>
                <w:rtl w:val="true"/>
              </w:rPr>
              <w:t xml:space="preserve">: </w:t>
            </w:r>
            <w:r>
              <w:rPr>
                <w:rStyle w:val="IndexLink"/>
                <w:rtl w:val="true"/>
              </w:rPr>
              <w:t>اوقات نماز</w:t>
            </w:r>
            <w:r>
              <w:rPr>
                <w:rStyle w:val="IndexLink"/>
                <w:rtl w:val="true"/>
              </w:rPr>
              <w:tab/>
            </w:r>
            <w:r>
              <w:rPr>
                <w:rStyle w:val="IndexLink"/>
              </w:rPr>
              <w:t>108</w:t>
            </w:r>
          </w:hyperlink>
        </w:p>
        <w:p>
          <w:pPr>
            <w:pStyle w:val="Contents4"/>
            <w:tabs>
              <w:tab w:val="clear" w:pos="8176"/>
              <w:tab w:val="right" w:pos="9026" w:leader="dot"/>
            </w:tabs>
            <w:rPr/>
          </w:pPr>
          <w:hyperlink w:anchor="__RefHeading___Toc1510243_2281741623">
            <w:r>
              <w:rPr>
                <w:webHidden/>
                <w:rStyle w:val="IndexLink"/>
                <w:rtl w:val="true"/>
              </w:rPr>
              <w:t>اشاره</w:t>
            </w:r>
            <w:r>
              <w:rPr>
                <w:rStyle w:val="IndexLink"/>
                <w:rtl w:val="true"/>
              </w:rPr>
              <w:tab/>
            </w:r>
            <w:r>
              <w:rPr>
                <w:rStyle w:val="IndexLink"/>
              </w:rPr>
              <w:t>108</w:t>
            </w:r>
          </w:hyperlink>
        </w:p>
        <w:p>
          <w:pPr>
            <w:pStyle w:val="Contents4"/>
            <w:tabs>
              <w:tab w:val="clear" w:pos="8176"/>
              <w:tab w:val="right" w:pos="9026" w:leader="dot"/>
            </w:tabs>
            <w:rPr/>
          </w:pPr>
          <w:hyperlink w:anchor="__RefHeading___Toc1510245_2281741623">
            <w:r>
              <w:rPr>
                <w:webHidden/>
                <w:rStyle w:val="IndexLink"/>
                <w:rtl w:val="true"/>
              </w:rPr>
              <w:t>نقد و بررسی جمع بین صلاتین</w:t>
            </w:r>
            <w:r>
              <w:rPr>
                <w:rStyle w:val="IndexLink"/>
                <w:rtl w:val="true"/>
              </w:rPr>
              <w:tab/>
            </w:r>
            <w:r>
              <w:rPr>
                <w:rStyle w:val="IndexLink"/>
              </w:rPr>
              <w:t>108</w:t>
            </w:r>
          </w:hyperlink>
        </w:p>
        <w:p>
          <w:pPr>
            <w:pStyle w:val="Contents4"/>
            <w:tabs>
              <w:tab w:val="clear" w:pos="8176"/>
              <w:tab w:val="right" w:pos="9026" w:leader="dot"/>
            </w:tabs>
            <w:rPr/>
          </w:pPr>
          <w:hyperlink w:anchor="__RefHeading___Toc1510247_2281741623">
            <w:r>
              <w:rPr>
                <w:webHidden/>
                <w:rStyle w:val="IndexLink"/>
                <w:rtl w:val="true"/>
              </w:rPr>
              <w:t>منشأ اختلاف</w:t>
            </w:r>
            <w:r>
              <w:rPr>
                <w:rStyle w:val="IndexLink"/>
                <w:rtl w:val="true"/>
              </w:rPr>
              <w:tab/>
            </w:r>
            <w:r>
              <w:rPr>
                <w:rStyle w:val="IndexLink"/>
              </w:rPr>
              <w:t>109</w:t>
            </w:r>
          </w:hyperlink>
        </w:p>
        <w:p>
          <w:pPr>
            <w:pStyle w:val="Contents4"/>
            <w:tabs>
              <w:tab w:val="clear" w:pos="8176"/>
              <w:tab w:val="right" w:pos="9026" w:leader="dot"/>
            </w:tabs>
            <w:rPr/>
          </w:pPr>
          <w:hyperlink w:anchor="__RefHeading___Toc1510249_2281741623">
            <w:r>
              <w:rPr>
                <w:webHidden/>
                <w:rStyle w:val="IndexLink"/>
                <w:rtl w:val="true"/>
              </w:rPr>
              <w:t>دو نکته</w:t>
            </w:r>
            <w:r>
              <w:rPr>
                <w:rStyle w:val="IndexLink"/>
                <w:rtl w:val="true"/>
              </w:rPr>
              <w:tab/>
            </w:r>
            <w:r>
              <w:rPr>
                <w:rStyle w:val="IndexLink"/>
              </w:rPr>
              <w:t>110</w:t>
            </w:r>
          </w:hyperlink>
        </w:p>
        <w:p>
          <w:pPr>
            <w:pStyle w:val="Contents4"/>
            <w:tabs>
              <w:tab w:val="clear" w:pos="8176"/>
              <w:tab w:val="right" w:pos="9026" w:leader="dot"/>
            </w:tabs>
            <w:rPr/>
          </w:pPr>
          <w:hyperlink w:anchor="__RefHeading___Toc1510251_2281741623">
            <w:r>
              <w:rPr>
                <w:webHidden/>
                <w:rStyle w:val="IndexLink"/>
                <w:rtl w:val="true"/>
              </w:rPr>
              <w:t>بررسی روایات</w:t>
            </w:r>
            <w:r>
              <w:rPr>
                <w:rStyle w:val="IndexLink"/>
                <w:rtl w:val="true"/>
              </w:rPr>
              <w:tab/>
            </w:r>
            <w:r>
              <w:rPr>
                <w:rStyle w:val="IndexLink"/>
              </w:rPr>
              <w:t>111</w:t>
            </w:r>
          </w:hyperlink>
        </w:p>
        <w:p>
          <w:pPr>
            <w:pStyle w:val="Contents5"/>
            <w:tabs>
              <w:tab w:val="clear" w:pos="7892"/>
              <w:tab w:val="right" w:pos="9026" w:leader="dot"/>
            </w:tabs>
            <w:rPr/>
          </w:pPr>
          <w:hyperlink w:anchor="__RefHeading___Toc1510253_2281741623">
            <w:r>
              <w:rPr>
                <w:webHidden/>
                <w:rStyle w:val="IndexLink"/>
                <w:rtl w:val="true"/>
              </w:rPr>
              <w:t>روایات اهل سنت</w:t>
            </w:r>
            <w:r>
              <w:rPr>
                <w:rStyle w:val="IndexLink"/>
                <w:rtl w:val="true"/>
              </w:rPr>
              <w:tab/>
            </w:r>
            <w:r>
              <w:rPr>
                <w:rStyle w:val="IndexLink"/>
              </w:rPr>
              <w:t>111</w:t>
            </w:r>
          </w:hyperlink>
        </w:p>
        <w:p>
          <w:pPr>
            <w:pStyle w:val="Contents5"/>
            <w:tabs>
              <w:tab w:val="clear" w:pos="7892"/>
              <w:tab w:val="right" w:pos="9026" w:leader="dot"/>
            </w:tabs>
            <w:rPr/>
          </w:pPr>
          <w:hyperlink w:anchor="__RefHeading___Toc1510255_2281741623">
            <w:r>
              <w:rPr>
                <w:webHidden/>
                <w:rStyle w:val="IndexLink"/>
                <w:rtl w:val="true"/>
              </w:rPr>
              <w:t>روایات شیعه</w:t>
            </w:r>
            <w:r>
              <w:rPr>
                <w:rStyle w:val="IndexLink"/>
                <w:rtl w:val="true"/>
              </w:rPr>
              <w:tab/>
            </w:r>
            <w:r>
              <w:rPr>
                <w:rStyle w:val="IndexLink"/>
              </w:rPr>
              <w:t>115</w:t>
            </w:r>
          </w:hyperlink>
        </w:p>
        <w:p>
          <w:pPr>
            <w:pStyle w:val="Contents5"/>
            <w:tabs>
              <w:tab w:val="clear" w:pos="7892"/>
              <w:tab w:val="right" w:pos="9026" w:leader="dot"/>
            </w:tabs>
            <w:rPr/>
          </w:pPr>
          <w:hyperlink w:anchor="__RefHeading___Toc1510257_2281741623">
            <w:r>
              <w:rPr>
                <w:webHidden/>
                <w:rStyle w:val="IndexLink"/>
                <w:rtl w:val="true"/>
              </w:rPr>
              <w:t>نقدی کوتاه بر توجیهات اهل سنت</w:t>
            </w:r>
            <w:r>
              <w:rPr>
                <w:rStyle w:val="IndexLink"/>
                <w:rtl w:val="true"/>
              </w:rPr>
              <w:tab/>
            </w:r>
            <w:r>
              <w:rPr>
                <w:rStyle w:val="IndexLink"/>
              </w:rPr>
              <w:t>115</w:t>
            </w:r>
          </w:hyperlink>
        </w:p>
        <w:p>
          <w:pPr>
            <w:pStyle w:val="Contents5"/>
            <w:tabs>
              <w:tab w:val="clear" w:pos="7892"/>
              <w:tab w:val="right" w:pos="9026" w:leader="dot"/>
            </w:tabs>
            <w:rPr/>
          </w:pPr>
          <w:hyperlink w:anchor="__RefHeading___Toc1510259_2281741623">
            <w:r>
              <w:rPr>
                <w:webHidden/>
                <w:rStyle w:val="IndexLink"/>
                <w:rtl w:val="true"/>
              </w:rPr>
              <w:t>واکاوی علت اصلی</w:t>
            </w:r>
            <w:r>
              <w:rPr>
                <w:rStyle w:val="IndexLink"/>
                <w:rtl w:val="true"/>
              </w:rPr>
              <w:tab/>
            </w:r>
            <w:r>
              <w:rPr>
                <w:rStyle w:val="IndexLink"/>
              </w:rPr>
              <w:t>118</w:t>
            </w:r>
          </w:hyperlink>
        </w:p>
        <w:p>
          <w:pPr>
            <w:pStyle w:val="Contents2"/>
            <w:tabs>
              <w:tab w:val="clear" w:pos="8743"/>
              <w:tab w:val="right" w:pos="9026" w:leader="dot"/>
            </w:tabs>
            <w:rPr/>
          </w:pPr>
          <w:hyperlink w:anchor="__RefHeading___Toc1510261_2281741623">
            <w:r>
              <w:rPr>
                <w:webHidden/>
                <w:rStyle w:val="IndexLink"/>
                <w:rtl w:val="true"/>
              </w:rPr>
              <w:t>بخش سوم</w:t>
            </w:r>
            <w:r>
              <w:rPr>
                <w:rStyle w:val="IndexLink"/>
                <w:rtl w:val="true"/>
              </w:rPr>
              <w:t xml:space="preserve">: </w:t>
            </w:r>
            <w:r>
              <w:rPr>
                <w:rStyle w:val="IndexLink"/>
                <w:rtl w:val="true"/>
              </w:rPr>
              <w:t>ارکان و واجبات نماز</w:t>
            </w:r>
            <w:r>
              <w:rPr>
                <w:rStyle w:val="IndexLink"/>
                <w:rtl w:val="true"/>
              </w:rPr>
              <w:tab/>
            </w:r>
            <w:r>
              <w:rPr>
                <w:rStyle w:val="IndexLink"/>
              </w:rPr>
              <w:t>121</w:t>
            </w:r>
          </w:hyperlink>
        </w:p>
        <w:p>
          <w:pPr>
            <w:pStyle w:val="Contents3"/>
            <w:tabs>
              <w:tab w:val="clear" w:pos="8459"/>
              <w:tab w:val="right" w:pos="9026" w:leader="dot"/>
            </w:tabs>
            <w:rPr/>
          </w:pPr>
          <w:hyperlink w:anchor="__RefHeading___Toc1510263_2281741623">
            <w:r>
              <w:rPr>
                <w:webHidden/>
                <w:rStyle w:val="IndexLink"/>
                <w:rtl w:val="true"/>
              </w:rPr>
              <w:t>اشاره</w:t>
            </w:r>
            <w:r>
              <w:rPr>
                <w:rStyle w:val="IndexLink"/>
                <w:rtl w:val="true"/>
              </w:rPr>
              <w:tab/>
            </w:r>
            <w:r>
              <w:rPr>
                <w:rStyle w:val="IndexLink"/>
              </w:rPr>
              <w:t>121</w:t>
            </w:r>
          </w:hyperlink>
        </w:p>
        <w:p>
          <w:pPr>
            <w:pStyle w:val="Contents3"/>
            <w:tabs>
              <w:tab w:val="clear" w:pos="8459"/>
              <w:tab w:val="right" w:pos="9026" w:leader="dot"/>
            </w:tabs>
            <w:rPr/>
          </w:pPr>
          <w:hyperlink w:anchor="__RefHeading___Toc1510265_2281741623">
            <w:r>
              <w:rPr>
                <w:webHidden/>
                <w:rStyle w:val="IndexLink"/>
                <w:rtl w:val="true"/>
              </w:rPr>
              <w:t>مقدمه</w:t>
            </w:r>
            <w:r>
              <w:rPr>
                <w:rStyle w:val="IndexLink"/>
                <w:rtl w:val="true"/>
              </w:rPr>
              <w:tab/>
            </w:r>
            <w:r>
              <w:rPr>
                <w:rStyle w:val="IndexLink"/>
              </w:rPr>
              <w:t>122</w:t>
            </w:r>
          </w:hyperlink>
        </w:p>
        <w:p>
          <w:pPr>
            <w:pStyle w:val="Contents3"/>
            <w:tabs>
              <w:tab w:val="clear" w:pos="8459"/>
              <w:tab w:val="right" w:pos="9026" w:leader="dot"/>
            </w:tabs>
            <w:rPr/>
          </w:pPr>
          <w:hyperlink w:anchor="__RefHeading___Toc1510267_2281741623">
            <w:r>
              <w:rPr>
                <w:webHidden/>
                <w:rStyle w:val="IndexLink"/>
                <w:rtl w:val="true"/>
              </w:rPr>
              <w:t>واجبات نماز از نگاه مذاهب اسلامی</w:t>
            </w:r>
            <w:r>
              <w:rPr>
                <w:rStyle w:val="IndexLink"/>
                <w:rtl w:val="true"/>
              </w:rPr>
              <w:tab/>
            </w:r>
            <w:r>
              <w:rPr>
                <w:rStyle w:val="IndexLink"/>
              </w:rPr>
              <w:t>123</w:t>
            </w:r>
          </w:hyperlink>
        </w:p>
        <w:p>
          <w:pPr>
            <w:pStyle w:val="Contents4"/>
            <w:tabs>
              <w:tab w:val="clear" w:pos="8176"/>
              <w:tab w:val="right" w:pos="9026" w:leader="dot"/>
            </w:tabs>
            <w:rPr/>
          </w:pPr>
          <w:hyperlink w:anchor="__RefHeading___Toc1510269_2281741623">
            <w:r>
              <w:rPr>
                <w:webHidden/>
                <w:rStyle w:val="IndexLink"/>
                <w:rtl w:val="true"/>
              </w:rPr>
              <w:t>حنبلیه</w:t>
            </w:r>
            <w:r>
              <w:rPr>
                <w:rStyle w:val="IndexLink"/>
                <w:rtl w:val="true"/>
              </w:rPr>
              <w:tab/>
            </w:r>
            <w:r>
              <w:rPr>
                <w:rStyle w:val="IndexLink"/>
              </w:rPr>
              <w:t>123</w:t>
            </w:r>
          </w:hyperlink>
        </w:p>
        <w:p>
          <w:pPr>
            <w:pStyle w:val="Contents4"/>
            <w:tabs>
              <w:tab w:val="clear" w:pos="8176"/>
              <w:tab w:val="right" w:pos="9026" w:leader="dot"/>
            </w:tabs>
            <w:rPr/>
          </w:pPr>
          <w:hyperlink w:anchor="__RefHeading___Toc1510271_2281741623">
            <w:r>
              <w:rPr>
                <w:webHidden/>
                <w:rStyle w:val="IndexLink"/>
                <w:rtl w:val="true"/>
              </w:rPr>
              <w:t>حنفیه</w:t>
            </w:r>
            <w:r>
              <w:rPr>
                <w:rStyle w:val="IndexLink"/>
                <w:rtl w:val="true"/>
              </w:rPr>
              <w:tab/>
            </w:r>
            <w:r>
              <w:rPr>
                <w:rStyle w:val="IndexLink"/>
              </w:rPr>
              <w:t>123</w:t>
            </w:r>
          </w:hyperlink>
        </w:p>
        <w:p>
          <w:pPr>
            <w:pStyle w:val="Contents4"/>
            <w:tabs>
              <w:tab w:val="clear" w:pos="8176"/>
              <w:tab w:val="right" w:pos="9026" w:leader="dot"/>
            </w:tabs>
            <w:rPr/>
          </w:pPr>
          <w:hyperlink w:anchor="__RefHeading___Toc1510273_2281741623">
            <w:r>
              <w:rPr>
                <w:webHidden/>
                <w:rStyle w:val="IndexLink"/>
                <w:rtl w:val="true"/>
              </w:rPr>
              <w:t>شافعیه</w:t>
            </w:r>
            <w:r>
              <w:rPr>
                <w:rStyle w:val="IndexLink"/>
                <w:rtl w:val="true"/>
              </w:rPr>
              <w:tab/>
            </w:r>
            <w:r>
              <w:rPr>
                <w:rStyle w:val="IndexLink"/>
              </w:rPr>
              <w:t>124</w:t>
            </w:r>
          </w:hyperlink>
        </w:p>
        <w:p>
          <w:pPr>
            <w:pStyle w:val="Contents4"/>
            <w:tabs>
              <w:tab w:val="clear" w:pos="8176"/>
              <w:tab w:val="right" w:pos="9026" w:leader="dot"/>
            </w:tabs>
            <w:rPr/>
          </w:pPr>
          <w:hyperlink w:anchor="__RefHeading___Toc1510275_2281741623">
            <w:r>
              <w:rPr>
                <w:webHidden/>
                <w:rStyle w:val="IndexLink"/>
                <w:rtl w:val="true"/>
              </w:rPr>
              <w:t>مالکیه</w:t>
            </w:r>
            <w:r>
              <w:rPr>
                <w:rStyle w:val="IndexLink"/>
                <w:rtl w:val="true"/>
              </w:rPr>
              <w:tab/>
            </w:r>
            <w:r>
              <w:rPr>
                <w:rStyle w:val="IndexLink"/>
              </w:rPr>
              <w:t>124</w:t>
            </w:r>
          </w:hyperlink>
        </w:p>
        <w:p>
          <w:pPr>
            <w:pStyle w:val="Contents3"/>
            <w:tabs>
              <w:tab w:val="clear" w:pos="8459"/>
              <w:tab w:val="right" w:pos="9026" w:leader="dot"/>
            </w:tabs>
            <w:rPr/>
          </w:pPr>
          <w:hyperlink w:anchor="__RefHeading___Toc1510277_2281741623">
            <w:r>
              <w:rPr>
                <w:webHidden/>
                <w:rStyle w:val="IndexLink"/>
                <w:rtl w:val="true"/>
              </w:rPr>
              <w:t>بررسی برخی موارد اختلافی</w:t>
            </w:r>
            <w:r>
              <w:rPr>
                <w:rStyle w:val="IndexLink"/>
                <w:rtl w:val="true"/>
              </w:rPr>
              <w:tab/>
            </w:r>
            <w:r>
              <w:rPr>
                <w:rStyle w:val="IndexLink"/>
              </w:rPr>
              <w:t>125</w:t>
            </w:r>
          </w:hyperlink>
        </w:p>
        <w:p>
          <w:pPr>
            <w:pStyle w:val="Contents4"/>
            <w:tabs>
              <w:tab w:val="clear" w:pos="8176"/>
              <w:tab w:val="right" w:pos="9026" w:leader="dot"/>
            </w:tabs>
            <w:rPr/>
          </w:pPr>
          <w:hyperlink w:anchor="__RefHeading___Toc1510279_2281741623">
            <w:r>
              <w:rPr>
                <w:webHidden/>
                <w:rStyle w:val="IndexLink"/>
              </w:rPr>
              <w:t>1</w:t>
            </w:r>
            <w:r>
              <w:rPr>
                <w:rStyle w:val="IndexLink"/>
                <w:rtl w:val="true"/>
              </w:rPr>
              <w:t xml:space="preserve">. </w:t>
            </w:r>
            <w:r>
              <w:rPr>
                <w:rStyle w:val="IndexLink"/>
                <w:rtl w:val="true"/>
              </w:rPr>
              <w:t>حکم بسمله</w:t>
            </w:r>
            <w:r>
              <w:rPr>
                <w:rStyle w:val="IndexLink"/>
                <w:rtl w:val="true"/>
              </w:rPr>
              <w:tab/>
            </w:r>
            <w:r>
              <w:rPr>
                <w:rStyle w:val="IndexLink"/>
              </w:rPr>
              <w:t>125</w:t>
            </w:r>
          </w:hyperlink>
        </w:p>
        <w:p>
          <w:pPr>
            <w:pStyle w:val="Contents5"/>
            <w:tabs>
              <w:tab w:val="clear" w:pos="7892"/>
              <w:tab w:val="right" w:pos="9026" w:leader="dot"/>
            </w:tabs>
            <w:rPr/>
          </w:pPr>
          <w:hyperlink w:anchor="__RefHeading___Toc1510281_2281741623">
            <w:r>
              <w:rPr>
                <w:webHidden/>
                <w:rStyle w:val="IndexLink"/>
                <w:rtl w:val="true"/>
              </w:rPr>
              <w:t>اشاره</w:t>
            </w:r>
            <w:r>
              <w:rPr>
                <w:rStyle w:val="IndexLink"/>
                <w:rtl w:val="true"/>
              </w:rPr>
              <w:tab/>
            </w:r>
            <w:r>
              <w:rPr>
                <w:rStyle w:val="IndexLink"/>
              </w:rPr>
              <w:t>125</w:t>
            </w:r>
          </w:hyperlink>
        </w:p>
        <w:p>
          <w:pPr>
            <w:pStyle w:val="Contents5"/>
            <w:tabs>
              <w:tab w:val="clear" w:pos="7892"/>
              <w:tab w:val="right" w:pos="9026" w:leader="dot"/>
            </w:tabs>
            <w:rPr/>
          </w:pPr>
          <w:hyperlink w:anchor="__RefHeading___Toc1510283_2281741623">
            <w:r>
              <w:rPr>
                <w:webHidden/>
                <w:rStyle w:val="IndexLink"/>
                <w:rtl w:val="true"/>
              </w:rPr>
              <w:t>جزئیت بسمله در فاتحة الکتاب</w:t>
            </w:r>
            <w:r>
              <w:rPr>
                <w:rStyle w:val="IndexLink"/>
                <w:rtl w:val="true"/>
              </w:rPr>
              <w:tab/>
            </w:r>
            <w:r>
              <w:rPr>
                <w:rStyle w:val="IndexLink"/>
              </w:rPr>
              <w:t>126</w:t>
            </w:r>
          </w:hyperlink>
        </w:p>
        <w:p>
          <w:pPr>
            <w:pStyle w:val="Contents5"/>
            <w:tabs>
              <w:tab w:val="clear" w:pos="7892"/>
              <w:tab w:val="right" w:pos="9026" w:leader="dot"/>
            </w:tabs>
            <w:rPr/>
          </w:pPr>
          <w:hyperlink w:anchor="__RefHeading___Toc1510285_2281741623">
            <w:r>
              <w:rPr>
                <w:webHidden/>
                <w:rStyle w:val="IndexLink"/>
                <w:rtl w:val="true"/>
              </w:rPr>
              <w:t>بیان دیدگاه ها</w:t>
            </w:r>
            <w:r>
              <w:rPr>
                <w:rStyle w:val="IndexLink"/>
                <w:rtl w:val="true"/>
              </w:rPr>
              <w:tab/>
            </w:r>
            <w:r>
              <w:rPr>
                <w:rStyle w:val="IndexLink"/>
              </w:rPr>
              <w:t>128</w:t>
            </w:r>
          </w:hyperlink>
        </w:p>
        <w:p>
          <w:pPr>
            <w:pStyle w:val="Contents5"/>
            <w:tabs>
              <w:tab w:val="clear" w:pos="7892"/>
              <w:tab w:val="right" w:pos="9026" w:leader="dot"/>
            </w:tabs>
            <w:rPr/>
          </w:pPr>
          <w:hyperlink w:anchor="__RefHeading___Toc1510287_2281741623">
            <w:r>
              <w:rPr>
                <w:webHidden/>
                <w:rStyle w:val="IndexLink"/>
                <w:rtl w:val="true"/>
              </w:rPr>
              <w:t>نقد و بررسی دلایل اهل سنت</w:t>
            </w:r>
            <w:r>
              <w:rPr>
                <w:rStyle w:val="IndexLink"/>
                <w:rtl w:val="true"/>
              </w:rPr>
              <w:tab/>
            </w:r>
            <w:r>
              <w:rPr>
                <w:rStyle w:val="IndexLink"/>
              </w:rPr>
              <w:t>129</w:t>
            </w:r>
          </w:hyperlink>
        </w:p>
        <w:p>
          <w:pPr>
            <w:pStyle w:val="Contents5"/>
            <w:tabs>
              <w:tab w:val="clear" w:pos="7892"/>
              <w:tab w:val="right" w:pos="9026" w:leader="dot"/>
            </w:tabs>
            <w:rPr/>
          </w:pPr>
          <w:hyperlink w:anchor="__RefHeading___Toc1510289_2281741623">
            <w:r>
              <w:rPr>
                <w:webHidden/>
                <w:rStyle w:val="IndexLink"/>
                <w:rtl w:val="true"/>
              </w:rPr>
              <w:t>دو نکته</w:t>
            </w:r>
            <w:r>
              <w:rPr>
                <w:rStyle w:val="IndexLink"/>
                <w:rtl w:val="true"/>
              </w:rPr>
              <w:tab/>
            </w:r>
            <w:r>
              <w:rPr>
                <w:rStyle w:val="IndexLink"/>
              </w:rPr>
              <w:t>131</w:t>
            </w:r>
          </w:hyperlink>
        </w:p>
        <w:p>
          <w:pPr>
            <w:pStyle w:val="Contents4"/>
            <w:tabs>
              <w:tab w:val="clear" w:pos="8176"/>
              <w:tab w:val="right" w:pos="9026" w:leader="dot"/>
            </w:tabs>
            <w:rPr/>
          </w:pPr>
          <w:hyperlink w:anchor="__RefHeading___Toc1510291_2281741623">
            <w:r>
              <w:rPr>
                <w:webHidden/>
                <w:rStyle w:val="IndexLink"/>
              </w:rPr>
              <w:t>2</w:t>
            </w:r>
            <w:r>
              <w:rPr>
                <w:rStyle w:val="IndexLink"/>
                <w:rtl w:val="true"/>
              </w:rPr>
              <w:t xml:space="preserve">. </w:t>
            </w:r>
            <w:r>
              <w:rPr>
                <w:rStyle w:val="IndexLink"/>
                <w:rtl w:val="true"/>
              </w:rPr>
              <w:t xml:space="preserve">تکفیر یا تکتّف </w:t>
            </w:r>
            <w:r>
              <w:rPr>
                <w:rStyle w:val="IndexLink"/>
                <w:rtl w:val="true"/>
              </w:rPr>
              <w:t>(</w:t>
            </w:r>
            <w:r>
              <w:rPr>
                <w:rStyle w:val="IndexLink"/>
                <w:rtl w:val="true"/>
              </w:rPr>
              <w:t>دست بسته نماز خواندن</w:t>
            </w:r>
            <w:r>
              <w:rPr>
                <w:rStyle w:val="IndexLink"/>
                <w:rtl w:val="true"/>
              </w:rPr>
              <w:t>)</w:t>
              <w:tab/>
            </w:r>
            <w:r>
              <w:rPr>
                <w:rStyle w:val="IndexLink"/>
              </w:rPr>
              <w:t>132</w:t>
            </w:r>
          </w:hyperlink>
        </w:p>
        <w:p>
          <w:pPr>
            <w:pStyle w:val="Contents5"/>
            <w:tabs>
              <w:tab w:val="clear" w:pos="7892"/>
              <w:tab w:val="right" w:pos="9026" w:leader="dot"/>
            </w:tabs>
            <w:rPr/>
          </w:pPr>
          <w:hyperlink w:anchor="__RefHeading___Toc1510293_2281741623">
            <w:r>
              <w:rPr>
                <w:webHidden/>
                <w:rStyle w:val="IndexLink"/>
                <w:rtl w:val="true"/>
              </w:rPr>
              <w:t>نگاهی به تکتف</w:t>
            </w:r>
            <w:r>
              <w:rPr>
                <w:rStyle w:val="IndexLink"/>
                <w:rtl w:val="true"/>
              </w:rPr>
              <w:tab/>
            </w:r>
            <w:r>
              <w:rPr>
                <w:rStyle w:val="IndexLink"/>
              </w:rPr>
              <w:t>132</w:t>
            </w:r>
          </w:hyperlink>
        </w:p>
        <w:p>
          <w:pPr>
            <w:pStyle w:val="Contents5"/>
            <w:tabs>
              <w:tab w:val="clear" w:pos="7892"/>
              <w:tab w:val="right" w:pos="9026" w:leader="dot"/>
            </w:tabs>
            <w:rPr/>
          </w:pPr>
          <w:hyperlink w:anchor="__RefHeading___Toc1510295_2281741623">
            <w:r>
              <w:rPr>
                <w:webHidden/>
                <w:rStyle w:val="IndexLink"/>
                <w:rtl w:val="true"/>
              </w:rPr>
              <w:t>بررسی دیدگاه ها</w:t>
            </w:r>
            <w:r>
              <w:rPr>
                <w:rStyle w:val="IndexLink"/>
                <w:rtl w:val="true"/>
              </w:rPr>
              <w:tab/>
            </w:r>
            <w:r>
              <w:rPr>
                <w:rStyle w:val="IndexLink"/>
              </w:rPr>
              <w:t>133</w:t>
            </w:r>
          </w:hyperlink>
        </w:p>
        <w:p>
          <w:pPr>
            <w:pStyle w:val="Contents5"/>
            <w:tabs>
              <w:tab w:val="clear" w:pos="7892"/>
              <w:tab w:val="right" w:pos="9026" w:leader="dot"/>
            </w:tabs>
            <w:rPr/>
          </w:pPr>
          <w:hyperlink w:anchor="__RefHeading___Toc1510297_2281741623">
            <w:r>
              <w:rPr>
                <w:webHidden/>
                <w:rStyle w:val="IndexLink"/>
                <w:rtl w:val="true"/>
              </w:rPr>
              <w:t>تاریخچه قبض</w:t>
            </w:r>
            <w:r>
              <w:rPr>
                <w:rStyle w:val="IndexLink"/>
                <w:rtl w:val="true"/>
              </w:rPr>
              <w:tab/>
            </w:r>
            <w:r>
              <w:rPr>
                <w:rStyle w:val="IndexLink"/>
              </w:rPr>
              <w:t>134</w:t>
            </w:r>
          </w:hyperlink>
        </w:p>
        <w:p>
          <w:pPr>
            <w:pStyle w:val="Contents5"/>
            <w:tabs>
              <w:tab w:val="clear" w:pos="7892"/>
              <w:tab w:val="right" w:pos="9026" w:leader="dot"/>
            </w:tabs>
            <w:rPr/>
          </w:pPr>
          <w:hyperlink w:anchor="__RefHeading___Toc1510299_2281741623">
            <w:r>
              <w:rPr>
                <w:webHidden/>
                <w:rStyle w:val="IndexLink"/>
                <w:rtl w:val="true"/>
              </w:rPr>
              <w:t>بررسی ادله</w:t>
            </w:r>
            <w:r>
              <w:rPr>
                <w:rStyle w:val="IndexLink"/>
                <w:rtl w:val="true"/>
              </w:rPr>
              <w:tab/>
            </w:r>
            <w:r>
              <w:rPr>
                <w:rStyle w:val="IndexLink"/>
              </w:rPr>
              <w:t>136</w:t>
            </w:r>
          </w:hyperlink>
        </w:p>
        <w:p>
          <w:pPr>
            <w:pStyle w:val="Contents6"/>
            <w:tabs>
              <w:tab w:val="clear" w:pos="7609"/>
              <w:tab w:val="right" w:pos="9026" w:leader="dot"/>
            </w:tabs>
            <w:rPr/>
          </w:pPr>
          <w:hyperlink w:anchor="__RefHeading___Toc1510301_2281741623">
            <w:r>
              <w:rPr>
                <w:webHidden/>
                <w:rStyle w:val="IndexLink"/>
                <w:rtl w:val="true"/>
              </w:rPr>
              <w:t>روایات اهل سنت</w:t>
            </w:r>
            <w:r>
              <w:rPr>
                <w:rStyle w:val="IndexLink"/>
                <w:rtl w:val="true"/>
              </w:rPr>
              <w:tab/>
            </w:r>
            <w:r>
              <w:rPr>
                <w:rStyle w:val="IndexLink"/>
              </w:rPr>
              <w:t>136</w:t>
            </w:r>
          </w:hyperlink>
        </w:p>
        <w:p>
          <w:pPr>
            <w:pStyle w:val="Contents6"/>
            <w:tabs>
              <w:tab w:val="clear" w:pos="7609"/>
              <w:tab w:val="right" w:pos="9026" w:leader="dot"/>
            </w:tabs>
            <w:rPr/>
          </w:pPr>
          <w:hyperlink w:anchor="__RefHeading___Toc1510303_2281741623">
            <w:r>
              <w:rPr>
                <w:webHidden/>
                <w:rStyle w:val="IndexLink"/>
                <w:rtl w:val="true"/>
              </w:rPr>
              <w:t>روایات شیعه</w:t>
            </w:r>
            <w:r>
              <w:rPr>
                <w:rStyle w:val="IndexLink"/>
                <w:rtl w:val="true"/>
              </w:rPr>
              <w:tab/>
            </w:r>
            <w:r>
              <w:rPr>
                <w:rStyle w:val="IndexLink"/>
              </w:rPr>
              <w:t>137</w:t>
            </w:r>
          </w:hyperlink>
        </w:p>
        <w:p>
          <w:pPr>
            <w:pStyle w:val="Contents5"/>
            <w:tabs>
              <w:tab w:val="clear" w:pos="7892"/>
              <w:tab w:val="right" w:pos="9026" w:leader="dot"/>
            </w:tabs>
            <w:rPr/>
          </w:pPr>
          <w:hyperlink w:anchor="__RefHeading___Toc1510305_2281741623">
            <w:r>
              <w:rPr>
                <w:webHidden/>
                <w:rStyle w:val="IndexLink"/>
                <w:rtl w:val="true"/>
              </w:rPr>
              <w:t>نتیجه گیری</w:t>
            </w:r>
            <w:r>
              <w:rPr>
                <w:rStyle w:val="IndexLink"/>
                <w:rtl w:val="true"/>
              </w:rPr>
              <w:tab/>
            </w:r>
            <w:r>
              <w:rPr>
                <w:rStyle w:val="IndexLink"/>
              </w:rPr>
              <w:t>138</w:t>
            </w:r>
          </w:hyperlink>
        </w:p>
        <w:p>
          <w:pPr>
            <w:pStyle w:val="Contents4"/>
            <w:tabs>
              <w:tab w:val="clear" w:pos="8176"/>
              <w:tab w:val="right" w:pos="9026" w:leader="dot"/>
            </w:tabs>
            <w:rPr/>
          </w:pPr>
          <w:hyperlink w:anchor="__RefHeading___Toc1510307_2281741623">
            <w:r>
              <w:rPr>
                <w:webHidden/>
                <w:rStyle w:val="IndexLink"/>
              </w:rPr>
              <w:t>3</w:t>
            </w:r>
            <w:r>
              <w:rPr>
                <w:rStyle w:val="IndexLink"/>
                <w:rtl w:val="true"/>
              </w:rPr>
              <w:t xml:space="preserve">. </w:t>
            </w:r>
            <w:r>
              <w:rPr>
                <w:rStyle w:val="IndexLink"/>
                <w:rtl w:val="true"/>
              </w:rPr>
              <w:t>تأمین</w:t>
            </w:r>
            <w:r>
              <w:rPr>
                <w:rStyle w:val="IndexLink"/>
                <w:rtl w:val="true"/>
              </w:rPr>
              <w:t>(</w:t>
            </w:r>
            <w:r>
              <w:rPr>
                <w:rStyle w:val="IndexLink"/>
                <w:rtl w:val="true"/>
              </w:rPr>
              <w:t>آمین گفتن پس از حمد</w:t>
            </w:r>
            <w:r>
              <w:rPr>
                <w:rStyle w:val="IndexLink"/>
                <w:rtl w:val="true"/>
              </w:rPr>
              <w:t>)</w:t>
              <w:tab/>
            </w:r>
            <w:r>
              <w:rPr>
                <w:rStyle w:val="IndexLink"/>
              </w:rPr>
              <w:t>139</w:t>
            </w:r>
          </w:hyperlink>
        </w:p>
        <w:p>
          <w:pPr>
            <w:pStyle w:val="Contents5"/>
            <w:tabs>
              <w:tab w:val="clear" w:pos="7892"/>
              <w:tab w:val="right" w:pos="9026" w:leader="dot"/>
            </w:tabs>
            <w:rPr/>
          </w:pPr>
          <w:hyperlink w:anchor="__RefHeading___Toc1510309_2281741623">
            <w:r>
              <w:rPr>
                <w:webHidden/>
                <w:rStyle w:val="IndexLink"/>
                <w:rtl w:val="true"/>
              </w:rPr>
              <w:t>اشاره</w:t>
            </w:r>
            <w:r>
              <w:rPr>
                <w:rStyle w:val="IndexLink"/>
                <w:rtl w:val="true"/>
              </w:rPr>
              <w:tab/>
            </w:r>
            <w:r>
              <w:rPr>
                <w:rStyle w:val="IndexLink"/>
              </w:rPr>
              <w:t>139</w:t>
            </w:r>
          </w:hyperlink>
        </w:p>
        <w:p>
          <w:pPr>
            <w:pStyle w:val="Contents5"/>
            <w:tabs>
              <w:tab w:val="clear" w:pos="7892"/>
              <w:tab w:val="right" w:pos="9026" w:leader="dot"/>
            </w:tabs>
            <w:rPr/>
          </w:pPr>
          <w:hyperlink w:anchor="__RefHeading___Toc1510311_2281741623">
            <w:r>
              <w:rPr>
                <w:webHidden/>
                <w:rStyle w:val="IndexLink"/>
                <w:rtl w:val="true"/>
              </w:rPr>
              <w:t>بیان دیدگاه ها</w:t>
            </w:r>
            <w:r>
              <w:rPr>
                <w:rStyle w:val="IndexLink"/>
                <w:rtl w:val="true"/>
              </w:rPr>
              <w:tab/>
            </w:r>
            <w:r>
              <w:rPr>
                <w:rStyle w:val="IndexLink"/>
              </w:rPr>
              <w:t>139</w:t>
            </w:r>
          </w:hyperlink>
        </w:p>
        <w:p>
          <w:pPr>
            <w:pStyle w:val="Contents5"/>
            <w:tabs>
              <w:tab w:val="clear" w:pos="7892"/>
              <w:tab w:val="right" w:pos="9026" w:leader="dot"/>
            </w:tabs>
            <w:rPr/>
          </w:pPr>
          <w:hyperlink w:anchor="__RefHeading___Toc1510313_2281741623">
            <w:r>
              <w:rPr>
                <w:webHidden/>
                <w:rStyle w:val="IndexLink"/>
                <w:rtl w:val="true"/>
              </w:rPr>
              <w:t>نقد و بررسی دلایل اهل سنت</w:t>
            </w:r>
            <w:r>
              <w:rPr>
                <w:rStyle w:val="IndexLink"/>
                <w:rtl w:val="true"/>
              </w:rPr>
              <w:tab/>
            </w:r>
            <w:r>
              <w:rPr>
                <w:rStyle w:val="IndexLink"/>
              </w:rPr>
              <w:t>140</w:t>
            </w:r>
          </w:hyperlink>
        </w:p>
        <w:p>
          <w:pPr>
            <w:pStyle w:val="Contents5"/>
            <w:tabs>
              <w:tab w:val="clear" w:pos="7892"/>
              <w:tab w:val="right" w:pos="9026" w:leader="dot"/>
            </w:tabs>
            <w:rPr/>
          </w:pPr>
          <w:hyperlink w:anchor="__RefHeading___Toc1510315_2281741623">
            <w:r>
              <w:rPr>
                <w:webHidden/>
                <w:rStyle w:val="IndexLink"/>
                <w:rtl w:val="true"/>
              </w:rPr>
              <w:t>گذری بر روایات شیعه</w:t>
            </w:r>
            <w:r>
              <w:rPr>
                <w:rStyle w:val="IndexLink"/>
                <w:rtl w:val="true"/>
              </w:rPr>
              <w:tab/>
            </w:r>
            <w:r>
              <w:rPr>
                <w:rStyle w:val="IndexLink"/>
              </w:rPr>
              <w:t>146</w:t>
            </w:r>
          </w:hyperlink>
        </w:p>
        <w:p>
          <w:pPr>
            <w:pStyle w:val="Contents4"/>
            <w:tabs>
              <w:tab w:val="clear" w:pos="8176"/>
              <w:tab w:val="right" w:pos="9026" w:leader="dot"/>
            </w:tabs>
            <w:rPr/>
          </w:pPr>
          <w:hyperlink w:anchor="__RefHeading___Toc1510317_2281741623">
            <w:r>
              <w:rPr>
                <w:webHidden/>
                <w:rStyle w:val="IndexLink"/>
              </w:rPr>
              <w:t>4</w:t>
            </w:r>
            <w:r>
              <w:rPr>
                <w:rStyle w:val="IndexLink"/>
                <w:rtl w:val="true"/>
              </w:rPr>
              <w:t xml:space="preserve">. </w:t>
            </w:r>
            <w:r>
              <w:rPr>
                <w:rStyle w:val="IndexLink"/>
                <w:rtl w:val="true"/>
              </w:rPr>
              <w:t>قرائت سوره بعد از فاتحه</w:t>
            </w:r>
            <w:r>
              <w:rPr>
                <w:rStyle w:val="IndexLink"/>
                <w:rtl w:val="true"/>
              </w:rPr>
              <w:tab/>
            </w:r>
            <w:r>
              <w:rPr>
                <w:rStyle w:val="IndexLink"/>
              </w:rPr>
              <w:t>147</w:t>
            </w:r>
          </w:hyperlink>
        </w:p>
        <w:p>
          <w:pPr>
            <w:pStyle w:val="Contents4"/>
            <w:tabs>
              <w:tab w:val="clear" w:pos="8176"/>
              <w:tab w:val="right" w:pos="9026" w:leader="dot"/>
            </w:tabs>
            <w:rPr/>
          </w:pPr>
          <w:hyperlink w:anchor="__RefHeading___Toc1510319_2281741623">
            <w:r>
              <w:rPr>
                <w:webHidden/>
                <w:rStyle w:val="IndexLink"/>
              </w:rPr>
              <w:t>5</w:t>
            </w:r>
            <w:r>
              <w:rPr>
                <w:rStyle w:val="IndexLink"/>
                <w:rtl w:val="true"/>
              </w:rPr>
              <w:t xml:space="preserve">. </w:t>
            </w:r>
            <w:r>
              <w:rPr>
                <w:rStyle w:val="IndexLink"/>
                <w:rtl w:val="true"/>
              </w:rPr>
              <w:t>قنوت</w:t>
            </w:r>
            <w:r>
              <w:rPr>
                <w:rStyle w:val="IndexLink"/>
                <w:rtl w:val="true"/>
              </w:rPr>
              <w:tab/>
            </w:r>
            <w:r>
              <w:rPr>
                <w:rStyle w:val="IndexLink"/>
              </w:rPr>
              <w:t>148</w:t>
            </w:r>
          </w:hyperlink>
        </w:p>
        <w:p>
          <w:pPr>
            <w:pStyle w:val="Contents5"/>
            <w:tabs>
              <w:tab w:val="clear" w:pos="7892"/>
              <w:tab w:val="right" w:pos="9026" w:leader="dot"/>
            </w:tabs>
            <w:rPr/>
          </w:pPr>
          <w:hyperlink w:anchor="__RefHeading___Toc1510321_2281741623">
            <w:r>
              <w:rPr>
                <w:webHidden/>
                <w:rStyle w:val="IndexLink"/>
                <w:rtl w:val="true"/>
              </w:rPr>
              <w:t>اشاره</w:t>
            </w:r>
            <w:r>
              <w:rPr>
                <w:rStyle w:val="IndexLink"/>
                <w:rtl w:val="true"/>
              </w:rPr>
              <w:tab/>
            </w:r>
            <w:r>
              <w:rPr>
                <w:rStyle w:val="IndexLink"/>
              </w:rPr>
              <w:t>148</w:t>
            </w:r>
          </w:hyperlink>
        </w:p>
        <w:p>
          <w:pPr>
            <w:pStyle w:val="Contents5"/>
            <w:tabs>
              <w:tab w:val="clear" w:pos="7892"/>
              <w:tab w:val="right" w:pos="9026" w:leader="dot"/>
            </w:tabs>
            <w:rPr/>
          </w:pPr>
          <w:hyperlink w:anchor="__RefHeading___Toc1510323_2281741623">
            <w:r>
              <w:rPr>
                <w:webHidden/>
                <w:rStyle w:val="IndexLink"/>
                <w:rtl w:val="true"/>
              </w:rPr>
              <w:t>قنوت از نظر اهل سنت</w:t>
            </w:r>
            <w:r>
              <w:rPr>
                <w:rStyle w:val="IndexLink"/>
                <w:rtl w:val="true"/>
              </w:rPr>
              <w:tab/>
            </w:r>
            <w:r>
              <w:rPr>
                <w:rStyle w:val="IndexLink"/>
              </w:rPr>
              <w:t>148</w:t>
            </w:r>
          </w:hyperlink>
        </w:p>
        <w:p>
          <w:pPr>
            <w:pStyle w:val="Contents4"/>
            <w:tabs>
              <w:tab w:val="clear" w:pos="8176"/>
              <w:tab w:val="right" w:pos="9026" w:leader="dot"/>
            </w:tabs>
            <w:rPr/>
          </w:pPr>
          <w:hyperlink w:anchor="__RefHeading___Toc1510325_2281741623">
            <w:r>
              <w:rPr>
                <w:webHidden/>
                <w:rStyle w:val="IndexLink"/>
              </w:rPr>
              <w:t>6</w:t>
            </w:r>
            <w:r>
              <w:rPr>
                <w:rStyle w:val="IndexLink"/>
                <w:rtl w:val="true"/>
              </w:rPr>
              <w:t xml:space="preserve">. </w:t>
            </w:r>
            <w:r>
              <w:rPr>
                <w:rStyle w:val="IndexLink"/>
                <w:rtl w:val="true"/>
              </w:rPr>
              <w:t xml:space="preserve">سجده </w:t>
            </w:r>
            <w:r>
              <w:rPr>
                <w:rStyle w:val="IndexLink"/>
                <w:rtl w:val="true"/>
              </w:rPr>
              <w:t>(</w:t>
            </w:r>
            <w:r>
              <w:rPr>
                <w:rStyle w:val="IndexLink"/>
                <w:rtl w:val="true"/>
              </w:rPr>
              <w:t>ما یصحّ السجود علیه</w:t>
            </w:r>
            <w:r>
              <w:rPr>
                <w:rStyle w:val="IndexLink"/>
                <w:rtl w:val="true"/>
              </w:rPr>
              <w:t>)</w:t>
              <w:tab/>
            </w:r>
            <w:r>
              <w:rPr>
                <w:rStyle w:val="IndexLink"/>
              </w:rPr>
              <w:t>151</w:t>
            </w:r>
          </w:hyperlink>
        </w:p>
        <w:p>
          <w:pPr>
            <w:pStyle w:val="Contents5"/>
            <w:tabs>
              <w:tab w:val="clear" w:pos="7892"/>
              <w:tab w:val="right" w:pos="9026" w:leader="dot"/>
            </w:tabs>
            <w:rPr/>
          </w:pPr>
          <w:hyperlink w:anchor="__RefHeading___Toc1510327_2281741623">
            <w:r>
              <w:rPr>
                <w:webHidden/>
                <w:rStyle w:val="IndexLink"/>
                <w:rtl w:val="true"/>
              </w:rPr>
              <w:t>اشاره</w:t>
            </w:r>
            <w:r>
              <w:rPr>
                <w:rStyle w:val="IndexLink"/>
                <w:rtl w:val="true"/>
              </w:rPr>
              <w:tab/>
            </w:r>
            <w:r>
              <w:rPr>
                <w:rStyle w:val="IndexLink"/>
              </w:rPr>
              <w:t>151</w:t>
            </w:r>
          </w:hyperlink>
        </w:p>
        <w:p>
          <w:pPr>
            <w:pStyle w:val="Contents5"/>
            <w:tabs>
              <w:tab w:val="clear" w:pos="7892"/>
              <w:tab w:val="right" w:pos="9026" w:leader="dot"/>
            </w:tabs>
            <w:rPr/>
          </w:pPr>
          <w:hyperlink w:anchor="__RefHeading___Toc1510329_2281741623">
            <w:r>
              <w:rPr>
                <w:webHidden/>
                <w:rStyle w:val="IndexLink"/>
                <w:rtl w:val="true"/>
              </w:rPr>
              <w:t xml:space="preserve">نقد و بررسی مُهر نماز </w:t>
            </w:r>
            <w:r>
              <w:rPr>
                <w:rStyle w:val="IndexLink"/>
                <w:rtl w:val="true"/>
              </w:rPr>
              <w:t>(</w:t>
            </w:r>
            <w:r>
              <w:rPr>
                <w:rStyle w:val="IndexLink"/>
                <w:rtl w:val="true"/>
              </w:rPr>
              <w:t>سجده بر زمین</w:t>
            </w:r>
            <w:r>
              <w:rPr>
                <w:rStyle w:val="IndexLink"/>
                <w:rtl w:val="true"/>
              </w:rPr>
              <w:t>)</w:t>
              <w:tab/>
            </w:r>
            <w:r>
              <w:rPr>
                <w:rStyle w:val="IndexLink"/>
              </w:rPr>
              <w:t>152</w:t>
            </w:r>
          </w:hyperlink>
        </w:p>
        <w:p>
          <w:pPr>
            <w:pStyle w:val="Contents5"/>
            <w:tabs>
              <w:tab w:val="clear" w:pos="7892"/>
              <w:tab w:val="right" w:pos="9026" w:leader="dot"/>
            </w:tabs>
            <w:rPr/>
          </w:pPr>
          <w:hyperlink w:anchor="__RefHeading___Toc1510331_2281741623">
            <w:r>
              <w:rPr>
                <w:webHidden/>
                <w:rStyle w:val="IndexLink"/>
                <w:rtl w:val="true"/>
              </w:rPr>
              <w:t>گذری بر سیره پیامبر</w:t>
            </w:r>
            <w:r>
              <w:rPr>
                <w:rStyle w:val="IndexLink"/>
                <w:rtl w:val="true"/>
              </w:rPr>
              <w:tab/>
            </w:r>
            <w:r>
              <w:rPr>
                <w:rStyle w:val="IndexLink"/>
              </w:rPr>
              <w:t>153</w:t>
            </w:r>
          </w:hyperlink>
        </w:p>
        <w:p>
          <w:pPr>
            <w:pStyle w:val="Contents5"/>
            <w:tabs>
              <w:tab w:val="clear" w:pos="7892"/>
              <w:tab w:val="right" w:pos="9026" w:leader="dot"/>
            </w:tabs>
            <w:rPr/>
          </w:pPr>
          <w:hyperlink w:anchor="__RefHeading___Toc1510333_2281741623">
            <w:r>
              <w:rPr>
                <w:webHidden/>
                <w:rStyle w:val="IndexLink"/>
                <w:rtl w:val="true"/>
              </w:rPr>
              <w:t>نتیجه گیری</w:t>
            </w:r>
            <w:r>
              <w:rPr>
                <w:rStyle w:val="IndexLink"/>
                <w:rtl w:val="true"/>
              </w:rPr>
              <w:tab/>
            </w:r>
            <w:r>
              <w:rPr>
                <w:rStyle w:val="IndexLink"/>
              </w:rPr>
              <w:t>158</w:t>
            </w:r>
          </w:hyperlink>
        </w:p>
        <w:p>
          <w:pPr>
            <w:pStyle w:val="Contents5"/>
            <w:tabs>
              <w:tab w:val="clear" w:pos="7892"/>
              <w:tab w:val="right" w:pos="9026" w:leader="dot"/>
            </w:tabs>
            <w:rPr/>
          </w:pPr>
          <w:hyperlink w:anchor="__RefHeading___Toc1510335_2281741623">
            <w:r>
              <w:rPr>
                <w:webHidden/>
                <w:rStyle w:val="IndexLink"/>
                <w:rtl w:val="true"/>
              </w:rPr>
              <w:t>تربت کربلا</w:t>
            </w:r>
            <w:r>
              <w:rPr>
                <w:rStyle w:val="IndexLink"/>
                <w:rtl w:val="true"/>
              </w:rPr>
              <w:tab/>
            </w:r>
            <w:r>
              <w:rPr>
                <w:rStyle w:val="IndexLink"/>
              </w:rPr>
              <w:t>159</w:t>
            </w:r>
          </w:hyperlink>
        </w:p>
        <w:p>
          <w:pPr>
            <w:pStyle w:val="Contents4"/>
            <w:tabs>
              <w:tab w:val="clear" w:pos="8176"/>
              <w:tab w:val="right" w:pos="9026" w:leader="dot"/>
            </w:tabs>
            <w:rPr/>
          </w:pPr>
          <w:hyperlink w:anchor="__RefHeading___Toc1510337_2281741623">
            <w:r>
              <w:rPr>
                <w:webHidden/>
                <w:rStyle w:val="IndexLink"/>
              </w:rPr>
              <w:t>7</w:t>
            </w:r>
            <w:r>
              <w:rPr>
                <w:rStyle w:val="IndexLink"/>
                <w:rtl w:val="true"/>
              </w:rPr>
              <w:t xml:space="preserve">. </w:t>
            </w:r>
            <w:r>
              <w:rPr>
                <w:rStyle w:val="IndexLink"/>
                <w:rtl w:val="true"/>
              </w:rPr>
              <w:t>صلوات و سلام پیامبر بر خودشان؟</w:t>
            </w:r>
            <w:r>
              <w:rPr>
                <w:rStyle w:val="IndexLink"/>
                <w:rtl w:val="true"/>
              </w:rPr>
              <w:t>!</w:t>
              <w:tab/>
            </w:r>
            <w:r>
              <w:rPr>
                <w:rStyle w:val="IndexLink"/>
              </w:rPr>
              <w:t>161</w:t>
            </w:r>
          </w:hyperlink>
        </w:p>
        <w:p>
          <w:pPr>
            <w:pStyle w:val="Contents5"/>
            <w:tabs>
              <w:tab w:val="clear" w:pos="7892"/>
              <w:tab w:val="right" w:pos="9026" w:leader="dot"/>
            </w:tabs>
            <w:rPr/>
          </w:pPr>
          <w:hyperlink w:anchor="__RefHeading___Toc1510339_2281741623">
            <w:r>
              <w:rPr>
                <w:webHidden/>
                <w:rStyle w:val="IndexLink"/>
                <w:rtl w:val="true"/>
              </w:rPr>
              <w:t>اشاره</w:t>
            </w:r>
            <w:r>
              <w:rPr>
                <w:rStyle w:val="IndexLink"/>
                <w:rtl w:val="true"/>
              </w:rPr>
              <w:tab/>
            </w:r>
            <w:r>
              <w:rPr>
                <w:rStyle w:val="IndexLink"/>
              </w:rPr>
              <w:t>161</w:t>
            </w:r>
          </w:hyperlink>
        </w:p>
        <w:p>
          <w:pPr>
            <w:pStyle w:val="Contents5"/>
            <w:tabs>
              <w:tab w:val="clear" w:pos="7892"/>
              <w:tab w:val="right" w:pos="9026" w:leader="dot"/>
            </w:tabs>
            <w:rPr/>
          </w:pPr>
          <w:hyperlink w:anchor="__RefHeading___Toc1510341_2281741623">
            <w:r>
              <w:rPr>
                <w:webHidden/>
                <w:rStyle w:val="IndexLink"/>
                <w:rtl w:val="true"/>
              </w:rPr>
              <w:t>الف</w:t>
            </w:r>
            <w:r>
              <w:rPr>
                <w:rStyle w:val="IndexLink"/>
                <w:rtl w:val="true"/>
              </w:rPr>
              <w:t xml:space="preserve">) </w:t>
            </w:r>
            <w:r>
              <w:rPr>
                <w:rStyle w:val="IndexLink"/>
                <w:rtl w:val="true"/>
              </w:rPr>
              <w:t>تشهد</w:t>
            </w:r>
            <w:r>
              <w:rPr>
                <w:rStyle w:val="IndexLink"/>
                <w:rtl w:val="true"/>
              </w:rPr>
              <w:tab/>
            </w:r>
            <w:r>
              <w:rPr>
                <w:rStyle w:val="IndexLink"/>
              </w:rPr>
              <w:t>161</w:t>
            </w:r>
          </w:hyperlink>
        </w:p>
        <w:p>
          <w:pPr>
            <w:pStyle w:val="Contents5"/>
            <w:tabs>
              <w:tab w:val="clear" w:pos="7892"/>
              <w:tab w:val="right" w:pos="9026" w:leader="dot"/>
            </w:tabs>
            <w:rPr/>
          </w:pPr>
          <w:hyperlink w:anchor="__RefHeading___Toc1510343_2281741623">
            <w:r>
              <w:rPr>
                <w:webHidden/>
                <w:rStyle w:val="IndexLink"/>
                <w:rtl w:val="true"/>
              </w:rPr>
              <w:t>ذکر تشهد</w:t>
            </w:r>
            <w:r>
              <w:rPr>
                <w:rStyle w:val="IndexLink"/>
                <w:rtl w:val="true"/>
              </w:rPr>
              <w:tab/>
            </w:r>
            <w:r>
              <w:rPr>
                <w:rStyle w:val="IndexLink"/>
              </w:rPr>
              <w:t>162</w:t>
            </w:r>
          </w:hyperlink>
        </w:p>
        <w:p>
          <w:pPr>
            <w:pStyle w:val="Contents5"/>
            <w:tabs>
              <w:tab w:val="clear" w:pos="7892"/>
              <w:tab w:val="right" w:pos="9026" w:leader="dot"/>
            </w:tabs>
            <w:rPr/>
          </w:pPr>
          <w:hyperlink w:anchor="__RefHeading___Toc1510345_2281741623">
            <w:r>
              <w:rPr>
                <w:webHidden/>
                <w:rStyle w:val="IndexLink"/>
                <w:rtl w:val="true"/>
              </w:rPr>
              <w:t>ب</w:t>
            </w:r>
            <w:r>
              <w:rPr>
                <w:rStyle w:val="IndexLink"/>
                <w:rtl w:val="true"/>
              </w:rPr>
              <w:t xml:space="preserve">) </w:t>
            </w:r>
            <w:r>
              <w:rPr>
                <w:rStyle w:val="IndexLink"/>
                <w:rtl w:val="true"/>
              </w:rPr>
              <w:t>صلوات</w:t>
            </w:r>
            <w:r>
              <w:rPr>
                <w:rStyle w:val="IndexLink"/>
                <w:rtl w:val="true"/>
              </w:rPr>
              <w:tab/>
            </w:r>
            <w:r>
              <w:rPr>
                <w:rStyle w:val="IndexLink"/>
              </w:rPr>
              <w:t>163</w:t>
            </w:r>
          </w:hyperlink>
        </w:p>
        <w:p>
          <w:pPr>
            <w:pStyle w:val="Contents5"/>
            <w:tabs>
              <w:tab w:val="clear" w:pos="7892"/>
              <w:tab w:val="right" w:pos="9026" w:leader="dot"/>
            </w:tabs>
            <w:rPr/>
          </w:pPr>
          <w:hyperlink w:anchor="__RefHeading___Toc1510347_2281741623">
            <w:r>
              <w:rPr>
                <w:webHidden/>
                <w:rStyle w:val="IndexLink"/>
                <w:rtl w:val="true"/>
              </w:rPr>
              <w:t>ج</w:t>
            </w:r>
            <w:r>
              <w:rPr>
                <w:rStyle w:val="IndexLink"/>
                <w:rtl w:val="true"/>
              </w:rPr>
              <w:t xml:space="preserve">) </w:t>
            </w:r>
            <w:r>
              <w:rPr>
                <w:rStyle w:val="IndexLink"/>
                <w:rtl w:val="true"/>
              </w:rPr>
              <w:t>سلام</w:t>
            </w:r>
            <w:r>
              <w:rPr>
                <w:rStyle w:val="IndexLink"/>
                <w:rtl w:val="true"/>
              </w:rPr>
              <w:tab/>
            </w:r>
            <w:r>
              <w:rPr>
                <w:rStyle w:val="IndexLink"/>
              </w:rPr>
              <w:t>167</w:t>
            </w:r>
          </w:hyperlink>
        </w:p>
        <w:p>
          <w:pPr>
            <w:pStyle w:val="Contents2"/>
            <w:tabs>
              <w:tab w:val="clear" w:pos="8743"/>
              <w:tab w:val="right" w:pos="9026" w:leader="dot"/>
            </w:tabs>
            <w:rPr/>
          </w:pPr>
          <w:hyperlink w:anchor="__RefHeading___Toc1510349_2281741623">
            <w:r>
              <w:rPr>
                <w:webHidden/>
                <w:rStyle w:val="IndexLink"/>
                <w:rtl w:val="true"/>
              </w:rPr>
              <w:t>بخش چهارم</w:t>
            </w:r>
            <w:r>
              <w:rPr>
                <w:rStyle w:val="IndexLink"/>
                <w:rtl w:val="true"/>
              </w:rPr>
              <w:t xml:space="preserve">: </w:t>
            </w:r>
            <w:r>
              <w:rPr>
                <w:rStyle w:val="IndexLink"/>
                <w:rtl w:val="true"/>
              </w:rPr>
              <w:t>ضمیمه مباحث</w:t>
            </w:r>
            <w:r>
              <w:rPr>
                <w:rStyle w:val="IndexLink"/>
                <w:rtl w:val="true"/>
              </w:rPr>
              <w:tab/>
            </w:r>
            <w:r>
              <w:rPr>
                <w:rStyle w:val="IndexLink"/>
              </w:rPr>
              <w:t>173</w:t>
            </w:r>
          </w:hyperlink>
        </w:p>
        <w:p>
          <w:pPr>
            <w:pStyle w:val="Contents3"/>
            <w:tabs>
              <w:tab w:val="clear" w:pos="8459"/>
              <w:tab w:val="right" w:pos="9026" w:leader="dot"/>
            </w:tabs>
            <w:rPr/>
          </w:pPr>
          <w:hyperlink w:anchor="__RefHeading___Toc1510351_2281741623">
            <w:r>
              <w:rPr>
                <w:webHidden/>
                <w:rStyle w:val="IndexLink"/>
                <w:rtl w:val="true"/>
              </w:rPr>
              <w:t>اشاره</w:t>
            </w:r>
            <w:r>
              <w:rPr>
                <w:rStyle w:val="IndexLink"/>
                <w:rtl w:val="true"/>
              </w:rPr>
              <w:tab/>
            </w:r>
            <w:r>
              <w:rPr>
                <w:rStyle w:val="IndexLink"/>
              </w:rPr>
              <w:t>173</w:t>
            </w:r>
          </w:hyperlink>
        </w:p>
        <w:p>
          <w:pPr>
            <w:pStyle w:val="Contents3"/>
            <w:tabs>
              <w:tab w:val="clear" w:pos="8459"/>
              <w:tab w:val="right" w:pos="9026" w:leader="dot"/>
            </w:tabs>
            <w:rPr/>
          </w:pPr>
          <w:hyperlink w:anchor="__RefHeading___Toc1510353_2281741623">
            <w:r>
              <w:rPr>
                <w:webHidden/>
                <w:rStyle w:val="IndexLink"/>
                <w:rtl w:val="true"/>
              </w:rPr>
              <w:t>یک</w:t>
            </w:r>
            <w:r>
              <w:rPr>
                <w:rStyle w:val="IndexLink"/>
                <w:rtl w:val="true"/>
              </w:rPr>
              <w:t xml:space="preserve">: </w:t>
            </w:r>
            <w:r>
              <w:rPr>
                <w:rStyle w:val="IndexLink"/>
                <w:rtl w:val="true"/>
              </w:rPr>
              <w:t>منابع اجتهاد مذاهب</w:t>
            </w:r>
            <w:r>
              <w:rPr>
                <w:rStyle w:val="IndexLink"/>
                <w:rtl w:val="true"/>
              </w:rPr>
              <w:tab/>
            </w:r>
            <w:r>
              <w:rPr>
                <w:rStyle w:val="IndexLink"/>
              </w:rPr>
              <w:t>174</w:t>
            </w:r>
          </w:hyperlink>
        </w:p>
        <w:p>
          <w:pPr>
            <w:pStyle w:val="Contents4"/>
            <w:tabs>
              <w:tab w:val="clear" w:pos="8176"/>
              <w:tab w:val="right" w:pos="9026" w:leader="dot"/>
            </w:tabs>
            <w:rPr/>
          </w:pPr>
          <w:hyperlink w:anchor="__RefHeading___Toc1510355_2281741623">
            <w:r>
              <w:rPr>
                <w:webHidden/>
                <w:rStyle w:val="IndexLink"/>
                <w:rtl w:val="true"/>
              </w:rPr>
              <w:t>اشاره</w:t>
            </w:r>
            <w:r>
              <w:rPr>
                <w:rStyle w:val="IndexLink"/>
                <w:rtl w:val="true"/>
              </w:rPr>
              <w:tab/>
            </w:r>
            <w:r>
              <w:rPr>
                <w:rStyle w:val="IndexLink"/>
              </w:rPr>
              <w:t>174</w:t>
            </w:r>
          </w:hyperlink>
        </w:p>
        <w:p>
          <w:pPr>
            <w:pStyle w:val="Contents4"/>
            <w:tabs>
              <w:tab w:val="clear" w:pos="8176"/>
              <w:tab w:val="right" w:pos="9026" w:leader="dot"/>
            </w:tabs>
            <w:rPr/>
          </w:pPr>
          <w:hyperlink w:anchor="__RefHeading___Toc1510357_2281741623">
            <w:r>
              <w:rPr>
                <w:webHidden/>
                <w:rStyle w:val="IndexLink"/>
                <w:rtl w:val="true"/>
              </w:rPr>
              <w:t>منابع مشترک</w:t>
            </w:r>
            <w:r>
              <w:rPr>
                <w:rStyle w:val="IndexLink"/>
                <w:rtl w:val="true"/>
              </w:rPr>
              <w:tab/>
            </w:r>
            <w:r>
              <w:rPr>
                <w:rStyle w:val="IndexLink"/>
              </w:rPr>
              <w:t>174</w:t>
            </w:r>
          </w:hyperlink>
        </w:p>
        <w:p>
          <w:pPr>
            <w:pStyle w:val="Contents4"/>
            <w:tabs>
              <w:tab w:val="clear" w:pos="8176"/>
              <w:tab w:val="right" w:pos="9026" w:leader="dot"/>
            </w:tabs>
            <w:rPr/>
          </w:pPr>
          <w:hyperlink w:anchor="__RefHeading___Toc1510359_2281741623">
            <w:r>
              <w:rPr>
                <w:webHidden/>
                <w:rStyle w:val="IndexLink"/>
                <w:rtl w:val="true"/>
              </w:rPr>
              <w:t>منابع اختصاصی فقه اهل سنت</w:t>
            </w:r>
            <w:r>
              <w:rPr>
                <w:rStyle w:val="IndexLink"/>
                <w:rtl w:val="true"/>
              </w:rPr>
              <w:tab/>
            </w:r>
            <w:r>
              <w:rPr>
                <w:rStyle w:val="IndexLink"/>
              </w:rPr>
              <w:t>174</w:t>
            </w:r>
          </w:hyperlink>
        </w:p>
        <w:p>
          <w:pPr>
            <w:pStyle w:val="Contents3"/>
            <w:tabs>
              <w:tab w:val="clear" w:pos="8459"/>
              <w:tab w:val="right" w:pos="9026" w:leader="dot"/>
            </w:tabs>
            <w:rPr/>
          </w:pPr>
          <w:hyperlink w:anchor="__RefHeading___Toc1510361_2281741623">
            <w:r>
              <w:rPr>
                <w:webHidden/>
                <w:rStyle w:val="IndexLink"/>
                <w:rtl w:val="true"/>
              </w:rPr>
              <w:t>دو</w:t>
            </w:r>
            <w:r>
              <w:rPr>
                <w:rStyle w:val="IndexLink"/>
                <w:rtl w:val="true"/>
              </w:rPr>
              <w:t xml:space="preserve">: </w:t>
            </w:r>
            <w:r>
              <w:rPr>
                <w:rStyle w:val="IndexLink"/>
                <w:rtl w:val="true"/>
              </w:rPr>
              <w:t>مهم ترین منابع فقهی مذاهب</w:t>
            </w:r>
            <w:r>
              <w:rPr>
                <w:rStyle w:val="IndexLink"/>
                <w:rtl w:val="true"/>
              </w:rPr>
              <w:tab/>
            </w:r>
            <w:r>
              <w:rPr>
                <w:rStyle w:val="IndexLink"/>
              </w:rPr>
              <w:t>176</w:t>
            </w:r>
          </w:hyperlink>
        </w:p>
        <w:p>
          <w:pPr>
            <w:pStyle w:val="Contents4"/>
            <w:tabs>
              <w:tab w:val="clear" w:pos="8176"/>
              <w:tab w:val="right" w:pos="9026" w:leader="dot"/>
            </w:tabs>
            <w:rPr/>
          </w:pPr>
          <w:hyperlink w:anchor="__RefHeading___Toc1510363_2281741623">
            <w:r>
              <w:rPr>
                <w:webHidden/>
                <w:rStyle w:val="IndexLink"/>
                <w:rtl w:val="true"/>
              </w:rPr>
              <w:t>مذهب حنفی</w:t>
            </w:r>
            <w:r>
              <w:rPr>
                <w:rStyle w:val="IndexLink"/>
                <w:rtl w:val="true"/>
              </w:rPr>
              <w:tab/>
            </w:r>
            <w:r>
              <w:rPr>
                <w:rStyle w:val="IndexLink"/>
              </w:rPr>
              <w:t>176</w:t>
            </w:r>
          </w:hyperlink>
        </w:p>
        <w:p>
          <w:pPr>
            <w:pStyle w:val="Contents4"/>
            <w:tabs>
              <w:tab w:val="clear" w:pos="8176"/>
              <w:tab w:val="right" w:pos="9026" w:leader="dot"/>
            </w:tabs>
            <w:rPr/>
          </w:pPr>
          <w:hyperlink w:anchor="__RefHeading___Toc1510365_2281741623">
            <w:r>
              <w:rPr>
                <w:webHidden/>
                <w:rStyle w:val="IndexLink"/>
                <w:rtl w:val="true"/>
              </w:rPr>
              <w:t>مذهب مالکی</w:t>
            </w:r>
            <w:r>
              <w:rPr>
                <w:rStyle w:val="IndexLink"/>
                <w:rtl w:val="true"/>
              </w:rPr>
              <w:tab/>
            </w:r>
            <w:r>
              <w:rPr>
                <w:rStyle w:val="IndexLink"/>
              </w:rPr>
              <w:t>176</w:t>
            </w:r>
          </w:hyperlink>
        </w:p>
        <w:p>
          <w:pPr>
            <w:pStyle w:val="Contents4"/>
            <w:tabs>
              <w:tab w:val="clear" w:pos="8176"/>
              <w:tab w:val="right" w:pos="9026" w:leader="dot"/>
            </w:tabs>
            <w:rPr/>
          </w:pPr>
          <w:hyperlink w:anchor="__RefHeading___Toc1510367_2281741623">
            <w:r>
              <w:rPr>
                <w:webHidden/>
                <w:rStyle w:val="IndexLink"/>
                <w:rtl w:val="true"/>
              </w:rPr>
              <w:t>مذهب شافعی</w:t>
            </w:r>
            <w:r>
              <w:rPr>
                <w:rStyle w:val="IndexLink"/>
                <w:rtl w:val="true"/>
              </w:rPr>
              <w:tab/>
            </w:r>
            <w:r>
              <w:rPr>
                <w:rStyle w:val="IndexLink"/>
              </w:rPr>
              <w:t>177</w:t>
            </w:r>
          </w:hyperlink>
        </w:p>
        <w:p>
          <w:pPr>
            <w:pStyle w:val="Contents4"/>
            <w:tabs>
              <w:tab w:val="clear" w:pos="8176"/>
              <w:tab w:val="right" w:pos="9026" w:leader="dot"/>
            </w:tabs>
            <w:rPr/>
          </w:pPr>
          <w:hyperlink w:anchor="__RefHeading___Toc1510369_2281741623">
            <w:r>
              <w:rPr>
                <w:webHidden/>
                <w:rStyle w:val="IndexLink"/>
                <w:rtl w:val="true"/>
              </w:rPr>
              <w:t>مذهب حنبلی</w:t>
            </w:r>
            <w:r>
              <w:rPr>
                <w:rStyle w:val="IndexLink"/>
                <w:rtl w:val="true"/>
              </w:rPr>
              <w:tab/>
            </w:r>
            <w:r>
              <w:rPr>
                <w:rStyle w:val="IndexLink"/>
              </w:rPr>
              <w:t>177</w:t>
            </w:r>
          </w:hyperlink>
        </w:p>
        <w:p>
          <w:pPr>
            <w:pStyle w:val="Contents3"/>
            <w:tabs>
              <w:tab w:val="clear" w:pos="8459"/>
              <w:tab w:val="right" w:pos="9026" w:leader="dot"/>
            </w:tabs>
            <w:rPr/>
          </w:pPr>
          <w:hyperlink w:anchor="__RefHeading___Toc1510371_2281741623">
            <w:r>
              <w:rPr>
                <w:webHidden/>
                <w:rStyle w:val="IndexLink"/>
                <w:rtl w:val="true"/>
              </w:rPr>
              <w:t>سه</w:t>
            </w:r>
            <w:r>
              <w:rPr>
                <w:rStyle w:val="IndexLink"/>
                <w:rtl w:val="true"/>
              </w:rPr>
              <w:t xml:space="preserve">: </w:t>
            </w:r>
            <w:r>
              <w:rPr>
                <w:rStyle w:val="IndexLink"/>
                <w:rtl w:val="true"/>
              </w:rPr>
              <w:t>کتاب شناسی فقه مقارن</w:t>
            </w:r>
            <w:r>
              <w:rPr>
                <w:rStyle w:val="IndexLink"/>
                <w:rtl w:val="true"/>
              </w:rPr>
              <w:tab/>
            </w:r>
            <w:r>
              <w:rPr>
                <w:rStyle w:val="IndexLink"/>
              </w:rPr>
              <w:t>178</w:t>
            </w:r>
          </w:hyperlink>
        </w:p>
        <w:p>
          <w:pPr>
            <w:pStyle w:val="Contents4"/>
            <w:tabs>
              <w:tab w:val="clear" w:pos="8176"/>
              <w:tab w:val="right" w:pos="9026" w:leader="dot"/>
            </w:tabs>
            <w:rPr/>
          </w:pPr>
          <w:hyperlink w:anchor="__RefHeading___Toc1510373_2281741623">
            <w:r>
              <w:rPr>
                <w:webHidden/>
                <w:rStyle w:val="IndexLink"/>
                <w:rtl w:val="true"/>
              </w:rPr>
              <w:t>اشاره</w:t>
            </w:r>
            <w:r>
              <w:rPr>
                <w:rStyle w:val="IndexLink"/>
                <w:rtl w:val="true"/>
              </w:rPr>
              <w:tab/>
            </w:r>
            <w:r>
              <w:rPr>
                <w:rStyle w:val="IndexLink"/>
              </w:rPr>
              <w:t>178</w:t>
            </w:r>
          </w:hyperlink>
        </w:p>
        <w:p>
          <w:pPr>
            <w:pStyle w:val="Contents4"/>
            <w:tabs>
              <w:tab w:val="clear" w:pos="8176"/>
              <w:tab w:val="right" w:pos="9026" w:leader="dot"/>
            </w:tabs>
            <w:rPr/>
          </w:pPr>
          <w:hyperlink w:anchor="__RefHeading___Toc1510375_2281741623">
            <w:r>
              <w:rPr>
                <w:webHidden/>
                <w:rStyle w:val="IndexLink"/>
                <w:rtl w:val="true"/>
              </w:rPr>
              <w:t>الف</w:t>
            </w:r>
            <w:r>
              <w:rPr>
                <w:rStyle w:val="IndexLink"/>
                <w:rtl w:val="true"/>
              </w:rPr>
              <w:t xml:space="preserve">) </w:t>
            </w:r>
            <w:r>
              <w:rPr>
                <w:rStyle w:val="IndexLink"/>
                <w:rtl w:val="true"/>
              </w:rPr>
              <w:t>کتاب های شیعه در فقه مقارن</w:t>
            </w:r>
            <w:r>
              <w:rPr>
                <w:rStyle w:val="IndexLink"/>
                <w:rtl w:val="true"/>
              </w:rPr>
              <w:tab/>
            </w:r>
            <w:r>
              <w:rPr>
                <w:rStyle w:val="IndexLink"/>
              </w:rPr>
              <w:t>178</w:t>
            </w:r>
          </w:hyperlink>
        </w:p>
        <w:p>
          <w:pPr>
            <w:pStyle w:val="Contents4"/>
            <w:tabs>
              <w:tab w:val="clear" w:pos="8176"/>
              <w:tab w:val="right" w:pos="9026" w:leader="dot"/>
            </w:tabs>
            <w:rPr/>
          </w:pPr>
          <w:hyperlink w:anchor="__RefHeading___Toc1510377_2281741623">
            <w:r>
              <w:rPr>
                <w:webHidden/>
                <w:rStyle w:val="IndexLink"/>
                <w:rtl w:val="true"/>
              </w:rPr>
              <w:t>ب</w:t>
            </w:r>
            <w:r>
              <w:rPr>
                <w:rStyle w:val="IndexLink"/>
                <w:rtl w:val="true"/>
              </w:rPr>
              <w:t xml:space="preserve">) </w:t>
            </w:r>
            <w:r>
              <w:rPr>
                <w:rStyle w:val="IndexLink"/>
                <w:rtl w:val="true"/>
              </w:rPr>
              <w:t>کتاب های اهل سنت در فقه مقارن</w:t>
            </w:r>
            <w:r>
              <w:rPr>
                <w:rStyle w:val="IndexLink"/>
                <w:rtl w:val="true"/>
              </w:rPr>
              <w:tab/>
            </w:r>
            <w:r>
              <w:rPr>
                <w:rStyle w:val="IndexLink"/>
              </w:rPr>
              <w:t>179</w:t>
            </w:r>
          </w:hyperlink>
        </w:p>
        <w:p>
          <w:pPr>
            <w:pStyle w:val="Contents4"/>
            <w:tabs>
              <w:tab w:val="clear" w:pos="8176"/>
              <w:tab w:val="right" w:pos="9026" w:leader="dot"/>
            </w:tabs>
            <w:rPr/>
          </w:pPr>
          <w:hyperlink w:anchor="__RefHeading___Toc1510379_2281741623">
            <w:r>
              <w:rPr>
                <w:webHidden/>
                <w:rStyle w:val="IndexLink"/>
                <w:rtl w:val="true"/>
              </w:rPr>
              <w:t>ج</w:t>
            </w:r>
            <w:r>
              <w:rPr>
                <w:rStyle w:val="IndexLink"/>
                <w:rtl w:val="true"/>
              </w:rPr>
              <w:t xml:space="preserve">) </w:t>
            </w:r>
            <w:r>
              <w:rPr>
                <w:rStyle w:val="IndexLink"/>
                <w:rtl w:val="true"/>
              </w:rPr>
              <w:t>کتاب های فارسی</w:t>
            </w:r>
            <w:r>
              <w:rPr>
                <w:rStyle w:val="IndexLink"/>
                <w:rtl w:val="true"/>
              </w:rPr>
              <w:tab/>
            </w:r>
            <w:r>
              <w:rPr>
                <w:rStyle w:val="IndexLink"/>
              </w:rPr>
              <w:t>181</w:t>
            </w:r>
          </w:hyperlink>
        </w:p>
        <w:p>
          <w:pPr>
            <w:pStyle w:val="Contents2"/>
            <w:tabs>
              <w:tab w:val="clear" w:pos="8743"/>
              <w:tab w:val="right" w:pos="9026" w:leader="dot"/>
            </w:tabs>
            <w:rPr/>
          </w:pPr>
          <w:hyperlink w:anchor="__RefHeading___Toc1510381_2281741623">
            <w:r>
              <w:rPr>
                <w:webHidden/>
                <w:rStyle w:val="IndexLink"/>
                <w:rtl w:val="true"/>
              </w:rPr>
              <w:t>کتابنامه</w:t>
            </w:r>
            <w:r>
              <w:rPr>
                <w:rStyle w:val="IndexLink"/>
                <w:rtl w:val="true"/>
              </w:rPr>
              <w:tab/>
            </w:r>
            <w:r>
              <w:rPr>
                <w:rStyle w:val="IndexLink"/>
              </w:rPr>
              <w:t>183</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3848_38609"/>
      <w:bookmarkStart w:id="1" w:name="pg3848_38609"/>
      <w:bookmarkEnd w:id="1"/>
    </w:p>
    <w:p>
      <w:pPr>
        <w:pStyle w:val="Heading2"/>
        <w:numPr>
          <w:ilvl w:val="1"/>
          <w:numId w:val="1"/>
        </w:numPr>
        <w:rPr/>
      </w:pPr>
      <w:bookmarkStart w:id="2" w:name="pg3848_38609"/>
      <w:bookmarkStart w:id="3" w:name="__RefHeading___Toc1510079_2281741623"/>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اخوی، رضا، </w:t>
      </w:r>
      <w:r>
        <w:rPr>
          <w:rFonts w:ascii="IRNazanin" w:hAnsi="IRNazanin" w:eastAsia="IRNazanin"/>
          <w:color w:val="111111"/>
          <w:sz w:val="28"/>
          <w:sz w:val="28"/>
          <w:szCs w:val="28"/>
          <w:lang w:bidi="fa-IR"/>
        </w:rPr>
        <w:t>۱۳۵۶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و نام 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در فرق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رضا اخوی؛ کاری از مرکز تخصصی نماز ستاد اقامه نماز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ستاد اقامه نماز، </w:t>
      </w:r>
      <w:r>
        <w:rPr>
          <w:rFonts w:ascii="IRNazanin" w:hAnsi="IRNazanin" w:eastAsia="IRNazanin"/>
          <w:color w:val="111111"/>
          <w:sz w:val="28"/>
          <w:sz w:val="28"/>
          <w:szCs w:val="28"/>
          <w:lang w:bidi="fa-IR"/>
        </w:rPr>
        <w:t>۱۳۹۲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۱۸۸</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دوره</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537</w:t>
      </w:r>
      <w:r>
        <w:rPr>
          <w:rFonts w:eastAsia="IRNazanin" w:cs="IRNazanin"/>
          <w:color w:val="111111"/>
          <w:sz w:val="28"/>
          <w:szCs w:val="28"/>
          <w:rtl w:val="true"/>
          <w:lang w:bidi="fa-IR"/>
        </w:rPr>
        <w:t>-</w:t>
      </w:r>
      <w:r>
        <w:rPr>
          <w:rFonts w:eastAsia="IRNazanin" w:cs="IRNazanin"/>
          <w:color w:val="111111"/>
          <w:sz w:val="28"/>
          <w:szCs w:val="28"/>
          <w:lang w:bidi="fa-IR"/>
        </w:rPr>
        <w:t>116</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۴۰۰۰۰</w:t>
      </w:r>
      <w:r>
        <w:rPr>
          <w:rFonts w:ascii="IRNazanin" w:hAnsi="IRNazanin" w:eastAsia="IRNazanin"/>
          <w:color w:val="111111"/>
          <w:sz w:val="28"/>
          <w:sz w:val="28"/>
          <w:szCs w:val="28"/>
          <w:rtl w:val="true"/>
          <w:lang w:bidi="fa-IR"/>
        </w:rPr>
        <w:t xml:space="preserve"> ریال </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537</w:t>
      </w:r>
      <w:r>
        <w:rPr>
          <w:rFonts w:eastAsia="IRNazanin" w:cs="IRNazanin"/>
          <w:color w:val="111111"/>
          <w:sz w:val="28"/>
          <w:szCs w:val="28"/>
          <w:rtl w:val="true"/>
          <w:lang w:bidi="fa-IR"/>
        </w:rPr>
        <w:t>-</w:t>
      </w:r>
      <w:r>
        <w:rPr>
          <w:rFonts w:eastAsia="IRNazanin" w:cs="IRNazanin"/>
          <w:color w:val="111111"/>
          <w:sz w:val="28"/>
          <w:szCs w:val="28"/>
          <w:lang w:bidi="fa-IR"/>
        </w:rPr>
        <w:t>115</w:t>
      </w:r>
      <w:r>
        <w:rPr>
          <w:rFonts w:eastAsia="IRNazanin" w:cs="IRNazanin"/>
          <w:color w:val="111111"/>
          <w:sz w:val="28"/>
          <w:szCs w:val="28"/>
          <w:rtl w:val="true"/>
          <w:lang w:bidi="fa-IR"/>
        </w:rPr>
        <w:t>-</w:t>
      </w:r>
      <w:r>
        <w:rPr>
          <w:rFonts w:eastAsia="IRNazanin" w:cs="IRNazanin"/>
          <w:color w:val="111111"/>
          <w:sz w:val="28"/>
          <w:szCs w:val="28"/>
          <w:lang w:bidi="fa-IR"/>
        </w:rPr>
        <w:t>7</w:t>
      </w:r>
    </w:p>
    <w:p>
      <w:pPr>
        <w:pStyle w:val="BookText"/>
        <w:rPr/>
      </w:pPr>
      <w:r>
        <w:rPr>
          <w:rFonts w:ascii="IRNazanin" w:hAnsi="IRNazanin" w:eastAsia="IRNazanin"/>
          <w:color w:val="111111"/>
          <w:sz w:val="28"/>
          <w:sz w:val="28"/>
          <w:szCs w:val="28"/>
          <w:rtl w:val="true"/>
          <w:lang w:bidi="fa-IR"/>
        </w:rPr>
        <w:t xml:space="preserve">وضعیت فهرست نویسی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فاپا</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 روی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در فرق بررسی نماز در فرق اسلامی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۱۷۷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۱۸۸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سنت</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فقه تطبیقی</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ستاد اقامه نماز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مرکز تخصصی نماز</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۱۸۶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w:t>
      </w:r>
      <w:r>
        <w:rPr>
          <w:rFonts w:ascii="IRNazanin" w:hAnsi="IRNazanin" w:eastAsia="IRNazanin"/>
          <w:color w:val="111111"/>
          <w:sz w:val="28"/>
          <w:sz w:val="28"/>
          <w:szCs w:val="28"/>
          <w:lang w:bidi="fa-IR"/>
        </w:rPr>
        <w:t>۳۶۶</w:t>
      </w:r>
      <w:r>
        <w:rPr>
          <w:rFonts w:ascii="IRNazanin" w:hAnsi="IRNazanin" w:eastAsia="IRNazanin"/>
          <w:color w:val="111111"/>
          <w:sz w:val="28"/>
          <w:sz w:val="28"/>
          <w:szCs w:val="28"/>
          <w:rtl w:val="true"/>
          <w:lang w:bidi="fa-IR"/>
        </w:rPr>
        <w:t>ن</w:t>
      </w: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۱۳۹۲</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۲۹۷</w:t>
      </w:r>
      <w:r>
        <w:rPr>
          <w:rFonts w:eastAsia="IRNazanin" w:cs="IRNazanin"/>
          <w:color w:val="111111"/>
          <w:sz w:val="28"/>
          <w:szCs w:val="28"/>
          <w:lang w:bidi="fa-IR"/>
        </w:rPr>
        <w:t>/</w:t>
      </w:r>
      <w:r>
        <w:rPr>
          <w:rFonts w:ascii="IRNazanin" w:hAnsi="IRNazanin" w:eastAsia="IRNazanin"/>
          <w:color w:val="111111"/>
          <w:sz w:val="28"/>
          <w:sz w:val="28"/>
          <w:szCs w:val="28"/>
          <w:lang w:bidi="fa-IR"/>
        </w:rPr>
        <w:t>۳۵۳</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۳۳۶۶۴۸۱</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1510081_2281741623"/>
      <w:bookmarkStart w:id="6" w:name="_Toc2"/>
      <w:bookmarkEnd w:id="5"/>
      <w:r>
        <w:rPr>
          <w:rtl w:val="true"/>
        </w:rPr>
        <w:t>اشاره</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نماز در فرق اسلامی</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رضا اخوی </w:t>
      </w:r>
    </w:p>
    <w:p>
      <w:pPr>
        <w:pStyle w:val="BookText"/>
        <w:rPr/>
      </w:pPr>
      <w:r>
        <w:rPr>
          <w:rFonts w:ascii="IRNazanin" w:hAnsi="IRNazanin" w:eastAsia="IRNazanin"/>
          <w:color w:val="111111"/>
          <w:sz w:val="28"/>
          <w:sz w:val="28"/>
          <w:szCs w:val="28"/>
          <w:rtl w:val="true"/>
          <w:lang w:bidi="fa-IR"/>
        </w:rPr>
        <w:t>نام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در فرق</w:t>
      </w:r>
    </w:p>
    <w:p>
      <w:pPr>
        <w:pStyle w:val="BookText"/>
        <w:rPr/>
      </w:pPr>
      <w:r>
        <w:rPr>
          <w:rFonts w:ascii="IRNazanin" w:hAnsi="IRNazanin" w:eastAsia="IRNazanin"/>
          <w:color w:val="111111"/>
          <w:sz w:val="28"/>
          <w:sz w:val="28"/>
          <w:szCs w:val="28"/>
          <w:rtl w:val="true"/>
          <w:lang w:bidi="fa-IR"/>
        </w:rPr>
        <w:t>نویسنده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رضا اخوی</w:t>
      </w:r>
    </w:p>
    <w:p>
      <w:pPr>
        <w:pStyle w:val="BookText"/>
        <w:rPr/>
      </w:pPr>
      <w:r>
        <w:rPr>
          <w:rFonts w:ascii="IRNazanin" w:hAnsi="IRNazanin" w:eastAsia="IRNazanin"/>
          <w:color w:val="111111"/>
          <w:sz w:val="28"/>
          <w:sz w:val="28"/>
          <w:szCs w:val="28"/>
          <w:rtl w:val="true"/>
          <w:lang w:bidi="fa-IR"/>
        </w:rPr>
        <w:t>ویراستار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محمود سوری</w:t>
      </w:r>
    </w:p>
    <w:p>
      <w:pPr>
        <w:pStyle w:val="BookText"/>
        <w:rPr/>
      </w:pPr>
      <w:r>
        <w:rPr>
          <w:rFonts w:ascii="IRNazanin" w:hAnsi="IRNazanin" w:eastAsia="IRNazanin"/>
          <w:color w:val="111111"/>
          <w:sz w:val="28"/>
          <w:sz w:val="28"/>
          <w:szCs w:val="28"/>
          <w:rtl w:val="true"/>
          <w:lang w:bidi="fa-IR"/>
        </w:rPr>
        <w:t>طرح جلد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حسین مویدی</w:t>
      </w:r>
    </w:p>
    <w:p>
      <w:pPr>
        <w:pStyle w:val="BookText"/>
        <w:rPr/>
      </w:pPr>
      <w:r>
        <w:rPr>
          <w:rFonts w:ascii="IRNazanin" w:hAnsi="IRNazanin" w:eastAsia="IRNazanin"/>
          <w:color w:val="111111"/>
          <w:sz w:val="28"/>
          <w:sz w:val="28"/>
          <w:szCs w:val="28"/>
          <w:rtl w:val="true"/>
          <w:lang w:bidi="fa-IR"/>
        </w:rPr>
        <w:t>صفحه 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رضا فریدی</w:t>
      </w:r>
    </w:p>
    <w:p>
      <w:pPr>
        <w:pStyle w:val="BookText"/>
        <w:rPr/>
      </w:pPr>
      <w:r>
        <w:rPr>
          <w:rFonts w:ascii="IRNazanin" w:hAnsi="IRNazanin" w:eastAsia="IRNazanin"/>
          <w:color w:val="111111"/>
          <w:sz w:val="28"/>
          <w:sz w:val="28"/>
          <w:szCs w:val="28"/>
          <w:rtl w:val="true"/>
          <w:lang w:bidi="fa-IR"/>
        </w:rPr>
        <w:t xml:space="preserve">کاری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مرکز تخصصی نماز ستاد اقامه نماز</w:t>
      </w:r>
    </w:p>
    <w:p>
      <w:pPr>
        <w:pStyle w:val="BookText"/>
        <w:rPr/>
      </w:pPr>
      <w:r>
        <w:rPr>
          <w:rFonts w:ascii="IRNazanin" w:hAnsi="IRNazanin" w:eastAsia="IRNazanin"/>
          <w:color w:val="111111"/>
          <w:sz w:val="28"/>
          <w:sz w:val="28"/>
          <w:szCs w:val="28"/>
          <w:rtl w:val="true"/>
          <w:lang w:bidi="fa-IR"/>
        </w:rPr>
        <w:t>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مؤسسه فرهنگی انتشاراتی ستاد اقامه نماز</w:t>
      </w:r>
    </w:p>
    <w:p>
      <w:pPr>
        <w:pStyle w:val="BookText"/>
        <w:rPr/>
      </w:pPr>
      <w:r>
        <w:rPr>
          <w:rFonts w:ascii="IRNazanin" w:hAnsi="IRNazanin" w:eastAsia="IRNazanin"/>
          <w:color w:val="111111"/>
          <w:sz w:val="28"/>
          <w:sz w:val="28"/>
          <w:szCs w:val="28"/>
          <w:rtl w:val="true"/>
          <w:lang w:bidi="fa-IR"/>
        </w:rPr>
        <w:t xml:space="preserve">شمارگان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۵٠٠٠</w:t>
      </w:r>
      <w:r>
        <w:rPr>
          <w:rFonts w:ascii="IRNazanin" w:hAnsi="IRNazanin" w:eastAsia="IRNazanin"/>
          <w:color w:val="111111"/>
          <w:sz w:val="28"/>
          <w:sz w:val="28"/>
          <w:szCs w:val="28"/>
          <w:rtl w:val="true"/>
          <w:lang w:bidi="fa-IR"/>
        </w:rPr>
        <w:t xml:space="preserve"> نسخه</w:t>
      </w:r>
    </w:p>
    <w:p>
      <w:pPr>
        <w:pStyle w:val="BookText"/>
        <w:rPr/>
      </w:pPr>
      <w:r>
        <w:rPr>
          <w:rFonts w:ascii="IRNazanin" w:hAnsi="IRNazanin" w:eastAsia="IRNazanin"/>
          <w:color w:val="111111"/>
          <w:sz w:val="28"/>
          <w:sz w:val="28"/>
          <w:szCs w:val="28"/>
          <w:rtl w:val="true"/>
          <w:lang w:bidi="fa-IR"/>
        </w:rPr>
        <w:t>نوبت 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 زمستان </w:t>
      </w:r>
      <w:r>
        <w:rPr>
          <w:rFonts w:ascii="IRNazanin" w:hAnsi="IRNazanin" w:eastAsia="IRNazanin"/>
          <w:color w:val="111111"/>
          <w:sz w:val="28"/>
          <w:sz w:val="28"/>
          <w:szCs w:val="28"/>
          <w:lang w:bidi="fa-IR"/>
        </w:rPr>
        <w:t>۱۳۹۲</w:t>
      </w:r>
    </w:p>
    <w:p>
      <w:pPr>
        <w:pStyle w:val="BookText"/>
        <w:rPr/>
      </w:pPr>
      <w:r>
        <w:rPr>
          <w:rFonts w:ascii="IRNazanin" w:hAnsi="IRNazanin" w:eastAsia="IRNazanin"/>
          <w:color w:val="111111"/>
          <w:sz w:val="28"/>
          <w:sz w:val="28"/>
          <w:szCs w:val="28"/>
          <w:rtl w:val="true"/>
          <w:lang w:bidi="fa-IR"/>
        </w:rPr>
        <w:t>شابک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٧</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١١٥</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٥٣٧</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٩٦٤</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٩٧٨</w:t>
      </w:r>
    </w:p>
    <w:p>
      <w:pPr>
        <w:pStyle w:val="BookText"/>
        <w:rPr/>
      </w:pPr>
      <w:r>
        <w:rPr>
          <w:rFonts w:ascii="IRNazanin" w:hAnsi="IRNazanin" w:eastAsia="IRNazanin"/>
          <w:color w:val="111111"/>
          <w:sz w:val="28"/>
          <w:sz w:val="28"/>
          <w:szCs w:val="28"/>
          <w:rtl w:val="true"/>
          <w:lang w:bidi="fa-IR"/>
        </w:rPr>
        <w:t>چاپ و صحافی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قیمت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مراکز پخش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 میدان فلسطین انتشارات ستاد اقامه نماز؛</w:t>
      </w:r>
    </w:p>
    <w:p>
      <w:pPr>
        <w:pStyle w:val="BookText"/>
        <w:rPr/>
      </w:pPr>
      <w:r>
        <w:rPr>
          <w:rFonts w:ascii="IRNazanin" w:hAnsi="IRNazanin" w:eastAsia="IRNazanin"/>
          <w:color w:val="111111"/>
          <w:sz w:val="28"/>
          <w:sz w:val="28"/>
          <w:szCs w:val="28"/>
          <w:rtl w:val="true"/>
          <w:lang w:bidi="fa-IR"/>
        </w:rPr>
        <w:t>تلفن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٨٨٩٠٠٠٥٩</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٨٨٨٩٦٦٦٦</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دفاتر ستاد اقامه نماز سراسر کشور </w:t>
      </w:r>
      <w:bookmarkStart w:id="7" w:name="pg3848_38613"/>
    </w:p>
    <w:p>
      <w:pPr>
        <w:pStyle w:val="Heading2"/>
        <w:numPr>
          <w:ilvl w:val="1"/>
          <w:numId w:val="1"/>
        </w:numPr>
        <w:rPr/>
      </w:pPr>
      <w:bookmarkStart w:id="8" w:name="__RefHeading___Toc1510083_2281741623"/>
      <w:bookmarkStart w:id="9" w:name="_Toc3"/>
      <w:bookmarkEnd w:id="7"/>
      <w:bookmarkEnd w:id="8"/>
      <w:r>
        <w:rPr>
          <w:rtl w:val="true"/>
        </w:rPr>
        <w:t>فهرست مطالب</w:t>
      </w:r>
      <w:bookmarkEnd w:id="9"/>
    </w:p>
    <w:p>
      <w:pPr>
        <w:pStyle w:val="BookText"/>
        <w:rPr/>
      </w:pPr>
      <w:r>
        <w:rPr>
          <w:rFonts w:ascii="IRNazanin" w:hAnsi="IRNazanin" w:eastAsia="IRNazanin"/>
          <w:color w:val="111111"/>
          <w:sz w:val="28"/>
          <w:sz w:val="28"/>
          <w:szCs w:val="28"/>
          <w:rtl w:val="true"/>
          <w:lang w:bidi="fa-IR"/>
        </w:rPr>
        <w:t>تصویر</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3632200" cy="6985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10"/>
                        <a:stretch/>
                      </pic:blipFill>
                      <pic:spPr>
                        <a:xfrm>
                          <a:off x="0" y="0"/>
                          <a:ext cx="3632040" cy="6985080"/>
                        </a:xfrm>
                        <a:prstGeom prst="rect">
                          <a:avLst/>
                        </a:prstGeom>
                        <a:ln w="0">
                          <a:noFill/>
                        </a:ln>
                      </pic:spPr>
                    </pic:pic>
                  </a:graphicData>
                </a:graphic>
              </wp:inline>
            </w:drawing>
          </mc:Choice>
          <mc:Fallback>
            <w:pict>
              <v:shape id="shape_0" stroked="f" o:allowincell="f" style="position:absolute;margin-left:0pt;margin-top:-550.05pt;width:285.95pt;height:549.95pt;mso-wrap-style:none;v-text-anchor:middle;mso-position-horizontal:left;mso-position-vertical:top" type="_x0000_t75">
                <v:imagedata r:id="rId11"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3873500" cy="6985000"/>
                <wp:effectExtent l="0" t="0" r="0" b="0"/>
                <wp:docPr id="4" name=""/>
                <a:graphic xmlns:a="http://schemas.openxmlformats.org/drawingml/2006/main">
                  <a:graphicData uri="http://schemas.openxmlformats.org/drawingml/2006/picture">
                    <pic:pic xmlns:pic="http://schemas.openxmlformats.org/drawingml/2006/picture">
                      <pic:nvPicPr>
                        <pic:cNvPr id="3" name="" descr=""/>
                        <pic:cNvPicPr/>
                      </pic:nvPicPr>
                      <pic:blipFill>
                        <a:blip r:embed="rId13"/>
                        <a:stretch/>
                      </pic:blipFill>
                      <pic:spPr>
                        <a:xfrm>
                          <a:off x="0" y="0"/>
                          <a:ext cx="3873600" cy="6985080"/>
                        </a:xfrm>
                        <a:prstGeom prst="rect">
                          <a:avLst/>
                        </a:prstGeom>
                        <a:ln w="0">
                          <a:noFill/>
                        </a:ln>
                      </pic:spPr>
                    </pic:pic>
                  </a:graphicData>
                </a:graphic>
              </wp:inline>
            </w:drawing>
          </mc:Choice>
          <mc:Fallback>
            <w:pict>
              <v:shape id="shape_0" stroked="f" o:allowincell="f" style="position:absolute;margin-left:0pt;margin-top:-550.05pt;width:304.95pt;height:549.95pt;mso-wrap-style:none;v-text-anchor:middle;mso-position-horizontal:left;mso-position-vertical:top" type="_x0000_t75">
                <v:imagedata r:id="rId14"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3632200" cy="6985000"/>
                <wp:effectExtent l="0" t="0" r="0" b="0"/>
                <wp:docPr id="5" name=""/>
                <a:graphic xmlns:a="http://schemas.openxmlformats.org/drawingml/2006/main">
                  <a:graphicData uri="http://schemas.openxmlformats.org/drawingml/2006/picture">
                    <pic:pic xmlns:pic="http://schemas.openxmlformats.org/drawingml/2006/picture">
                      <pic:nvPicPr>
                        <pic:cNvPr id="4" name="" descr=""/>
                        <pic:cNvPicPr/>
                      </pic:nvPicPr>
                      <pic:blipFill>
                        <a:blip r:embed="rId16"/>
                        <a:stretch/>
                      </pic:blipFill>
                      <pic:spPr>
                        <a:xfrm>
                          <a:off x="0" y="0"/>
                          <a:ext cx="3632040" cy="6985080"/>
                        </a:xfrm>
                        <a:prstGeom prst="rect">
                          <a:avLst/>
                        </a:prstGeom>
                        <a:ln w="0">
                          <a:noFill/>
                        </a:ln>
                      </pic:spPr>
                    </pic:pic>
                  </a:graphicData>
                </a:graphic>
              </wp:inline>
            </w:drawing>
          </mc:Choice>
          <mc:Fallback>
            <w:pict>
              <v:shape id="shape_0" stroked="f" o:allowincell="f" style="position:absolute;margin-left:0pt;margin-top:-550.05pt;width:285.95pt;height:549.95pt;mso-wrap-style:none;v-text-anchor:middle;mso-position-horizontal:left;mso-position-vertical:top" type="_x0000_t75">
                <v:imagedata r:id="rId17"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3873500" cy="6985000"/>
                <wp:effectExtent l="0" t="0" r="0" b="0"/>
                <wp:docPr id="6" name=""/>
                <a:graphic xmlns:a="http://schemas.openxmlformats.org/drawingml/2006/main">
                  <a:graphicData uri="http://schemas.openxmlformats.org/drawingml/2006/picture">
                    <pic:pic xmlns:pic="http://schemas.openxmlformats.org/drawingml/2006/picture">
                      <pic:nvPicPr>
                        <pic:cNvPr id="5" name="" descr=""/>
                        <pic:cNvPicPr/>
                      </pic:nvPicPr>
                      <pic:blipFill>
                        <a:blip r:embed="rId19"/>
                        <a:stretch/>
                      </pic:blipFill>
                      <pic:spPr>
                        <a:xfrm>
                          <a:off x="0" y="0"/>
                          <a:ext cx="3873600" cy="6985080"/>
                        </a:xfrm>
                        <a:prstGeom prst="rect">
                          <a:avLst/>
                        </a:prstGeom>
                        <a:ln w="0">
                          <a:noFill/>
                        </a:ln>
                      </pic:spPr>
                    </pic:pic>
                  </a:graphicData>
                </a:graphic>
              </wp:inline>
            </w:drawing>
          </mc:Choice>
          <mc:Fallback>
            <w:pict>
              <v:shape id="shape_0" stroked="f" o:allowincell="f" style="position:absolute;margin-left:0pt;margin-top:-550.05pt;width:304.95pt;height:549.95pt;mso-wrap-style:none;v-text-anchor:middle;mso-position-horizontal:left;mso-position-vertical:top" type="_x0000_t75">
                <v:imagedata r:id="rId20"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3632200" cy="6985000"/>
                <wp:effectExtent l="0" t="0" r="0" b="0"/>
                <wp:docPr id="7" name=""/>
                <a:graphic xmlns:a="http://schemas.openxmlformats.org/drawingml/2006/main">
                  <a:graphicData uri="http://schemas.openxmlformats.org/drawingml/2006/picture">
                    <pic:pic xmlns:pic="http://schemas.openxmlformats.org/drawingml/2006/picture">
                      <pic:nvPicPr>
                        <pic:cNvPr id="6" name="" descr=""/>
                        <pic:cNvPicPr/>
                      </pic:nvPicPr>
                      <pic:blipFill>
                        <a:blip r:embed="rId22"/>
                        <a:stretch/>
                      </pic:blipFill>
                      <pic:spPr>
                        <a:xfrm>
                          <a:off x="0" y="0"/>
                          <a:ext cx="3632040" cy="6985080"/>
                        </a:xfrm>
                        <a:prstGeom prst="rect">
                          <a:avLst/>
                        </a:prstGeom>
                        <a:ln w="0">
                          <a:noFill/>
                        </a:ln>
                      </pic:spPr>
                    </pic:pic>
                  </a:graphicData>
                </a:graphic>
              </wp:inline>
            </w:drawing>
          </mc:Choice>
          <mc:Fallback>
            <w:pict>
              <v:shape id="shape_0" stroked="f" o:allowincell="f" style="position:absolute;margin-left:0pt;margin-top:-550.05pt;width:285.95pt;height:549.95pt;mso-wrap-style:none;v-text-anchor:middle;mso-position-horizontal:left;mso-position-vertical:top" type="_x0000_t75">
                <v:imagedata r:id="rId23"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3873500" cy="6985000"/>
                <wp:effectExtent l="0" t="0" r="0" b="0"/>
                <wp:docPr id="8" name=""/>
                <a:graphic xmlns:a="http://schemas.openxmlformats.org/drawingml/2006/main">
                  <a:graphicData uri="http://schemas.openxmlformats.org/drawingml/2006/picture">
                    <pic:pic xmlns:pic="http://schemas.openxmlformats.org/drawingml/2006/picture">
                      <pic:nvPicPr>
                        <pic:cNvPr id="7" name="" descr=""/>
                        <pic:cNvPicPr/>
                      </pic:nvPicPr>
                      <pic:blipFill>
                        <a:blip r:embed="rId25"/>
                        <a:stretch/>
                      </pic:blipFill>
                      <pic:spPr>
                        <a:xfrm>
                          <a:off x="0" y="0"/>
                          <a:ext cx="3873600" cy="6985080"/>
                        </a:xfrm>
                        <a:prstGeom prst="rect">
                          <a:avLst/>
                        </a:prstGeom>
                        <a:ln w="0">
                          <a:noFill/>
                        </a:ln>
                      </pic:spPr>
                    </pic:pic>
                  </a:graphicData>
                </a:graphic>
              </wp:inline>
            </w:drawing>
          </mc:Choice>
          <mc:Fallback>
            <w:pict>
              <v:shape id="shape_0" stroked="f" o:allowincell="f" style="position:absolute;margin-left:0pt;margin-top:-550.05pt;width:304.95pt;height:549.95pt;mso-wrap-style:none;v-text-anchor:middle;mso-position-horizontal:left;mso-position-vertical:top" type="_x0000_t75">
                <v:imagedata r:id="rId26" o:detectmouseclick="t"/>
                <v:stroke color="#3465a4" joinstyle="round" endcap="flat"/>
                <w10:wrap type="none"/>
              </v:shape>
            </w:pict>
          </mc:Fallback>
        </mc:AlternateContent>
      </w:r>
      <w:bookmarkStart w:id="10" w:name="pg3848_38619"/>
    </w:p>
    <w:p>
      <w:pPr>
        <w:pStyle w:val="Heading2"/>
        <w:numPr>
          <w:ilvl w:val="1"/>
          <w:numId w:val="1"/>
        </w:numPr>
        <w:rPr/>
      </w:pPr>
      <w:bookmarkStart w:id="11" w:name="__RefHeading___Toc1510085_2281741623"/>
      <w:bookmarkStart w:id="12" w:name="_Toc4"/>
      <w:bookmarkEnd w:id="10"/>
      <w:bookmarkEnd w:id="11"/>
      <w:r>
        <w:rPr>
          <w:rtl w:val="true"/>
        </w:rPr>
        <w:t>دیباچه</w:t>
      </w:r>
      <w:bookmarkEnd w:id="12"/>
    </w:p>
    <w:p>
      <w:pPr>
        <w:pStyle w:val="BookText"/>
        <w:rPr/>
      </w:pPr>
      <w:r>
        <w:rPr>
          <w:rFonts w:ascii="IRNazanin" w:hAnsi="IRNazanin" w:eastAsia="IRNazanin"/>
          <w:color w:val="111111"/>
          <w:sz w:val="28"/>
          <w:sz w:val="28"/>
          <w:szCs w:val="28"/>
          <w:rtl w:val="true"/>
          <w:lang w:bidi="fa-IR"/>
        </w:rPr>
        <w:t>بی‌گمان شیوة عبادی آخرین فرستاده خدا صلی الله علیه و آله برای انسان‌ها، روشی یکسان، مشخص، روشن و بی‌ابهام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ازاینرو، تا سال‌ها پس از رحلت ایشان نیز اختلاف فقهی چندانی میان مسلمانان دیده نمی‌شد و اگر هم ابهامی بود، با مراجعه به اهل 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یاران حضرت برطرف می‌گردید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میان، نماز به عنوان بارزترین جلوة عبادی با کارکردهای فراوان فردی، اجتماعی، خانوادگی و سیاسی، مورد توجه عمیق آن حضرت بود و با توجه به جایگاه معنوی ویژه حضرت، تمامی حرکات، رفتارها و گفتارهای ریز و درشت ایشان در خاطرها ثبت و ضبط و به عنوان روش عبادی برگزیده می شد</w:t>
      </w:r>
      <w:r>
        <w:rPr>
          <w:rFonts w:eastAsia="IRNazanin" w:cs="IRNazanin"/>
          <w:color w:val="111111"/>
          <w:sz w:val="28"/>
          <w:szCs w:val="28"/>
          <w:rtl w:val="true"/>
          <w:lang w:bidi="fa-IR"/>
        </w:rPr>
        <w:t>.</w:t>
      </w:r>
    </w:p>
    <w:p>
      <w:pPr>
        <w:sectPr>
          <w:footerReference w:type="default" r:id="rId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تاریخ، اوج این حساسیت و دقت مردم آن زمان را چنین به تصویر کشیده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إذا تَوَضَّأ کادُوا یَقْتَتِلُونَ عَلی وُضوئِه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هنگامی که پیامبر وضو می‌گرفت، گویا برای به دست آوردن آب وضوی </w:t>
      </w:r>
    </w:p>
    <w:p>
      <w:pPr>
        <w:pStyle w:val="BookText"/>
        <w:rPr/>
      </w:pPr>
      <w:r>
        <w:rPr>
          <w:rFonts w:ascii="IRNazanin" w:hAnsi="IRNazanin" w:eastAsia="IRNazanin"/>
          <w:color w:val="111111"/>
          <w:sz w:val="28"/>
          <w:sz w:val="28"/>
          <w:szCs w:val="28"/>
          <w:rtl w:val="true"/>
          <w:lang w:bidi="fa-IR"/>
        </w:rPr>
        <w:t>ایشان با یکدیگر می‌جنگیدند</w:t>
      </w:r>
      <w:r>
        <w:rPr>
          <w:rFonts w:eastAsia="IRNazanin" w:cs="IRNazanin"/>
          <w:color w:val="111111"/>
          <w:sz w:val="28"/>
          <w:szCs w:val="28"/>
          <w:rtl w:val="true"/>
          <w:lang w:bidi="fa-IR"/>
        </w:rPr>
        <w:t>.</w:t>
      </w:r>
      <w:r>
        <w:rPr>
          <w:rStyle w:val="FootnoteAnchor"/>
          <w:rtl w:val="true"/>
        </w:rPr>
        <w:footnoteReference w:id="2"/>
      </w:r>
      <w:r>
        <w:rPr>
          <w:rFonts w:ascii="IRNazanin" w:hAnsi="IRNazanin" w:eastAsia="IRNazanin"/>
          <w:color w:val="111111"/>
          <w:sz w:val="28"/>
          <w:sz w:val="28"/>
          <w:szCs w:val="28"/>
          <w:rtl w:val="true"/>
          <w:lang w:bidi="fa-IR"/>
        </w:rPr>
        <w:t>نیز می‌خوانیم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کان النبی صلی الله علیه و آله إذا توضأ أخذ ما یسقط من وضوئه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هرگاه پیامبر وضو می گرفت، مردم همه آب وضوی ایشان را جمع می کردند</w:t>
      </w:r>
      <w:r>
        <w:rPr>
          <w:rFonts w:eastAsia="IRNazanin" w:cs="IRNazanin"/>
          <w:color w:val="111111"/>
          <w:sz w:val="28"/>
          <w:szCs w:val="28"/>
          <w:rtl w:val="true"/>
          <w:lang w:bidi="fa-IR"/>
        </w:rPr>
        <w:t>.</w:t>
      </w:r>
      <w:r>
        <w:rPr>
          <w:rStyle w:val="FootnoteAnchor"/>
          <w:rtl w:val="true"/>
        </w:rPr>
        <w:footnoteReference w:id="3"/>
      </w:r>
      <w:r>
        <w:rPr>
          <w:rFonts w:ascii="IRNazanin" w:hAnsi="IRNazanin" w:eastAsia="IRNazanin"/>
          <w:color w:val="111111"/>
          <w:sz w:val="28"/>
          <w:sz w:val="28"/>
          <w:szCs w:val="28"/>
          <w:rtl w:val="true"/>
          <w:lang w:bidi="fa-IR"/>
        </w:rPr>
        <w:t>اگرچه این روایت بر تبرک جستن یاران و همراهان آن حضرت دلالت دارد، گویای این نکته نیز هست که اعمال عبادی حضرت پیش چشم مردم انجام می‌گرفته و آنان درس عبادت را بی واسطه از خود ایشان می‌آموخته اند</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دیگر روایات منقول از آن دوران نیز گویای همین حقیقت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هنگامی که رسول خدا صلی الله علیه و آله می خواست نماز بخواند، دستان خود را تا شانه هایش بالا می برد و آن‌گاه تکبیر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قرائت را آغاز می کرد و پس از پایان قرائت، تکبیر می‌گفت و دستانش را تا شانه‌های خود بالا می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رکوع به جا می‌آورد و کف دستان خود را بر زانوانش قرار می داد و آرام می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بلند می شد و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 اللّه لمن حمده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دستان خود را تا شانه هایش بالا می‌برد، تا اینکه هر عضوی از او در جایگاه خود آرام می گرفت و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اکبر</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آن‌گاه فرود می آمد و دستانش را مقداری با فاصله از دو پهلو بر زمین می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سرش را از زمین برمی‌داشت، پای چپش را تا می کرد و روی آن می 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به سجده می رفت، انگشتان پاها را از یکدیگر باز می کرد، بعد برمی گشت و پس از آن، سر را از زمین برمی داشت و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اکبر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پایش را تا می کرد و روی آن آرام می نشست، به گونه ‌ای که هر عضوی به آرامی در جایگاه خود قرار گیرد، سپس رکعت دوم را به همین شیوه می‌گزارد</w:t>
      </w:r>
      <w:r>
        <w:rPr>
          <w:rFonts w:eastAsia="IRNazanin" w:cs="IRNazanin"/>
          <w:color w:val="111111"/>
          <w:sz w:val="28"/>
          <w:szCs w:val="28"/>
          <w:rtl w:val="true"/>
          <w:lang w:bidi="fa-IR"/>
        </w:rPr>
        <w:t>...".</w:t>
      </w:r>
      <w:r>
        <w:rPr>
          <w:rStyle w:val="FootnoteAnchor"/>
          <w:rtl w:val="true"/>
        </w:rPr>
        <w:footnoteReference w:id="4"/>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شیوة پیامبر در وضو، نماز و ارکان و اجزای آن چنین بوده است، پس این همه اختلاف و تغییر و تفاوت از کجا سرچشمه گرفته و به دست چه کسانی و با چه هدف و انگیزه ای پدید آمده است؟ مواردی چون شستن به جای مسح، سجده بر فرش و لباس، تکتّف و تثویب، آمین گفتن پس از حمد، اختلاف نظر در تشریع، شهادت سوم در اذان، گفتن یا نگفتن حی علی خیر العمل، کیفیت تشهد و صلوات و سلام و دیگر اختلاف دیدگاه‌ها و فتواها از عالمان شیعه و سنی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این نوشتار کوشیده‌ایم در کنار رعایت اختصار، با بررسی دیدگاه‌ها و نقد و بررسی تاریخی و روایی آنها، با نگاهی علمی به تشریح و تبیین جنبه‌های گوناگون نماز بپردازیم تا حقیقت‌جویان از واقعیت سیره پیامبر اعظم صلی الله علیه و آله بیشتر آگاه گردند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قم، رضا اخوی</w:t>
      </w:r>
    </w:p>
    <w:p>
      <w:pPr>
        <w:pStyle w:val="BookText"/>
        <w:rPr/>
      </w:pPr>
      <w:r>
        <w:rPr>
          <w:rFonts w:ascii="IRNazanin" w:hAnsi="IRNazanin" w:eastAsia="IRNazanin"/>
          <w:color w:val="111111"/>
          <w:sz w:val="28"/>
          <w:sz w:val="28"/>
          <w:szCs w:val="28"/>
          <w:rtl w:val="true"/>
          <w:lang w:bidi="fa-IR"/>
        </w:rPr>
        <w:t xml:space="preserve">هفدهم ربیع‌الاول </w:t>
      </w:r>
      <w:r>
        <w:rPr>
          <w:rFonts w:eastAsia="IRNazanin" w:cs="IRNazanin"/>
          <w:color w:val="111111"/>
          <w:sz w:val="28"/>
          <w:szCs w:val="28"/>
          <w:lang w:bidi="fa-IR"/>
        </w:rPr>
        <w:t>1434</w:t>
      </w:r>
      <w:r>
        <w:rPr>
          <w:rFonts w:ascii="IRNazanin" w:hAnsi="IRNazanin" w:eastAsia="IRNazanin"/>
          <w:color w:val="111111"/>
          <w:sz w:val="28"/>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میلاد پیامبر اعظم صلی الله علیه و آله </w:t>
      </w:r>
      <w:bookmarkStart w:id="13" w:name="pg3848_38623"/>
    </w:p>
    <w:p>
      <w:pPr>
        <w:pStyle w:val="Heading2"/>
        <w:numPr>
          <w:ilvl w:val="1"/>
          <w:numId w:val="1"/>
        </w:numPr>
        <w:rPr/>
      </w:pPr>
      <w:bookmarkStart w:id="14" w:name="__RefHeading___Toc1510087_2281741623"/>
      <w:bookmarkStart w:id="15" w:name="_Toc5"/>
      <w:bookmarkEnd w:id="13"/>
      <w:bookmarkEnd w:id="14"/>
      <w:r>
        <w:rPr>
          <w:rtl w:val="true"/>
        </w:rPr>
        <w:t>بخش اول</w:t>
      </w:r>
      <w:r>
        <w:rPr>
          <w:rtl w:val="true"/>
        </w:rPr>
        <w:t xml:space="preserve">: </w:t>
      </w:r>
      <w:r>
        <w:rPr>
          <w:rtl w:val="true"/>
        </w:rPr>
        <w:t>نگاهی به کلیات</w:t>
      </w:r>
      <w:bookmarkEnd w:id="15"/>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6" w:name="__RefHeading___Toc1510089_2281741623"/>
      <w:bookmarkStart w:id="17" w:name="_Toc6"/>
      <w:bookmarkEnd w:id="16"/>
      <w:r>
        <w:rPr>
          <w:rtl w:val="true"/>
        </w:rPr>
        <w:t>اشاره</w:t>
      </w:r>
      <w:bookmarkStart w:id="18" w:name="pg3848_38624"/>
      <w:bookmarkEnd w:id="17"/>
    </w:p>
    <w:p>
      <w:pPr>
        <w:pStyle w:val="Heading3"/>
        <w:numPr>
          <w:ilvl w:val="2"/>
          <w:numId w:val="1"/>
        </w:numPr>
        <w:rPr/>
      </w:pPr>
      <w:bookmarkStart w:id="19" w:name="__RefHeading___Toc1510091_2281741623"/>
      <w:bookmarkStart w:id="20" w:name="_Toc7"/>
      <w:bookmarkEnd w:id="18"/>
      <w:bookmarkEnd w:id="19"/>
      <w:r>
        <w:rPr>
          <w:rtl w:val="true"/>
        </w:rPr>
        <w:t>طرح مسأله</w:t>
      </w:r>
      <w:bookmarkEnd w:id="20"/>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از ظهور اسلام در شبه‌جزیره عربستان و گسترش آن در مناطق گوناگون، لازم بود دستورات عملی که در اسلام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فروع 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موسوم است نیز به مردم ابلاغ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وظیفه خطیر از عهده هر کسی بر نمی‌آمد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همین دلیل، اشخاصی پرورش یافتند که وظیفة اولیة آنها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کنار وظایف دیگر، ابلاغ دستورات دین به مردم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ایده برگرفته از دستورات پیامبر اکرم صلی الله علیه و آله و متکی بر آیات قرآنی از جمله آیه شریفه نَفر بود که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وَمَا کَانَ الْمُؤْمِنُونَ لِیَنفِرُواْ کَآفَّةً فَلَوْلاَ نَفَرَ مِن کُلِّ فِرْقَةٍ مِّنْهُمْ طَآئِفَةٌ لِّیَتَفَقَّهُواْ فِی الدِّینِ وَلِیُنذِرُواْ قَوْمَهُمْ إِذَا رَجَعُواْ إِلَیْهِمْ لَعَلَّهُمْ یَحْذَرُون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شایسته نیست مؤمنان همگی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سوی میدان جهاد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کوچ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از هر گروهی از آنان، طایفه‌ای کوچ نمی‌کند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طایفه‌ای در مدینه نمی‌ماند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تا در 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معارف و احکام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آگاهی یابند و هنگام بازگشت به سوی قوم خود، آنها را بیم دهند؟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شاید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مخالفت فرمان پروردگار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بترسند، و خودداری کنند</w:t>
      </w:r>
      <w:r>
        <w:rPr>
          <w:rFonts w:eastAsia="IRNazanin" w:cs="IRNazanin"/>
          <w:color w:val="111111"/>
          <w:sz w:val="28"/>
          <w:szCs w:val="28"/>
          <w:rtl w:val="true"/>
          <w:lang w:bidi="fa-IR"/>
        </w:rPr>
        <w:t>!</w:t>
      </w:r>
      <w:r>
        <w:rPr>
          <w:rStyle w:val="FootnoteAnchor"/>
          <w:rtl w:val="true"/>
        </w:rPr>
        <w:footnoteReference w:id="5"/>
      </w:r>
    </w:p>
    <w:p>
      <w:pPr>
        <w:pStyle w:val="BookText"/>
        <w:rPr/>
      </w:pPr>
      <w:r>
        <w:rPr>
          <w:rFonts w:ascii="IRNazanin" w:hAnsi="IRNazanin" w:eastAsia="IRNazanin"/>
          <w:color w:val="111111"/>
          <w:sz w:val="28"/>
          <w:sz w:val="28"/>
          <w:szCs w:val="28"/>
          <w:rtl w:val="true"/>
          <w:lang w:bidi="fa-IR"/>
        </w:rPr>
        <w:t>از این رو، در طول سالیان درازی که از عمر اسلام می گذشت، هماره فقهایی آمده اند  تا پاسخگوی این نیاز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میان، برخی با تمسک به سیرة اهل بیت علیهم السلام که رسول خدا صلی الله علیه و آله آنان را همسان خود قرار داده و افق روشن آینده را به با پیروی و تمسک به ایشان مبرهن ساخته بود، به این نیاز پاسخ دادند؛ و برخی دیگر با دلایل و توجیهاتی، روی از این فرمان خدا و رسول صلی الله علیه و آله برتافتند و مسیری دیگر در پیش گرفتند و به فهم انسانی خود بسنده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اختلاف در اصل عقیدتی، به تشتت در فروعات دینی انجامید و مسائل فقهی دستخوش پراکندگی و تنوع فتوا گردید؛ به گونه‌ای که در نگاه اولیه برخی با یکدیگر متناقض به نظر می رسند، در حالی که هر کدام مدعی پیروی از خدای واحد و آخرین فرستادة او بوده و هستند</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اینکه دیدگاه های کدام فرقه به حق و صواب نزدیک تر است و با مبانی و آموزه‌های وحیانی و سنت قولی و فعلی پیامبر اعظم صلی الله علیه و آله همخوانی دارد، سخنی است که در فقه مقارن بررسی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فقه مقارن؛ یعنی عرصة تضارب این فتاوا و آرایش حضور آنان برای انتخاب برتر</w:t>
      </w:r>
      <w:r>
        <w:rPr>
          <w:rFonts w:eastAsia="IRNazanin" w:cs="IRNazanin"/>
          <w:color w:val="111111"/>
          <w:sz w:val="28"/>
          <w:szCs w:val="28"/>
          <w:rtl w:val="true"/>
          <w:lang w:bidi="fa-IR"/>
        </w:rPr>
        <w:t xml:space="preserve">. </w:t>
      </w:r>
      <w:bookmarkStart w:id="21" w:name="pg3848_38626"/>
    </w:p>
    <w:p>
      <w:pPr>
        <w:pStyle w:val="BookText"/>
        <w:rPr/>
      </w:pPr>
      <w:bookmarkEnd w:id="21"/>
      <w:r>
        <w:rPr>
          <w:rFonts w:ascii="IRNazanin" w:hAnsi="IRNazanin" w:eastAsia="IRNazanin"/>
          <w:color w:val="111111"/>
          <w:sz w:val="28"/>
          <w:sz w:val="28"/>
          <w:szCs w:val="28"/>
          <w:rtl w:val="true"/>
          <w:lang w:bidi="fa-IR"/>
        </w:rPr>
        <w:t>این‌گونه از فقه، درگذشته به خلافیات،</w:t>
      </w:r>
      <w:r>
        <w:rPr>
          <w:rStyle w:val="FootnoteAnchor"/>
          <w:rtl w:val="true"/>
        </w:rPr>
        <w:footnoteReference w:id="6"/>
      </w:r>
      <w:r>
        <w:rPr>
          <w:rFonts w:ascii="IRNazanin" w:hAnsi="IRNazanin" w:eastAsia="IRNazanin"/>
          <w:color w:val="111111"/>
          <w:sz w:val="28"/>
          <w:sz w:val="28"/>
          <w:szCs w:val="28"/>
          <w:rtl w:val="true"/>
          <w:lang w:bidi="fa-IR"/>
        </w:rPr>
        <w:t>فقه‌الخلاف و علم‌الخلاف</w:t>
      </w:r>
      <w:r>
        <w:rPr>
          <w:rStyle w:val="FootnoteAnchor"/>
          <w:rtl w:val="true"/>
        </w:rPr>
        <w:footnoteReference w:id="7"/>
      </w:r>
      <w:r>
        <w:rPr>
          <w:rFonts w:ascii="IRNazanin" w:hAnsi="IRNazanin" w:eastAsia="IRNazanin"/>
          <w:color w:val="111111"/>
          <w:sz w:val="28"/>
          <w:sz w:val="28"/>
          <w:szCs w:val="28"/>
          <w:rtl w:val="true"/>
          <w:lang w:bidi="fa-IR"/>
        </w:rPr>
        <w:t>، فقه مقارن، فقه تطبیقی و علم الجدل موسوم بوده و امروزه از آن به فقه تطبیقی، فقه مقایسه ای و فقه مقارن تعبیر می شود</w:t>
      </w:r>
      <w:r>
        <w:rPr>
          <w:rFonts w:eastAsia="IRNazanin" w:cs="IRNazanin"/>
          <w:color w:val="111111"/>
          <w:sz w:val="28"/>
          <w:szCs w:val="28"/>
          <w:rtl w:val="true"/>
          <w:lang w:bidi="fa-IR"/>
        </w:rPr>
        <w:t>.</w:t>
      </w:r>
    </w:p>
    <w:p>
      <w:pPr>
        <w:pStyle w:val="Heading3"/>
        <w:numPr>
          <w:ilvl w:val="2"/>
          <w:numId w:val="1"/>
        </w:numPr>
        <w:rPr/>
      </w:pPr>
      <w:bookmarkStart w:id="22" w:name="__RefHeading___Toc1510093_2281741623"/>
      <w:bookmarkStart w:id="23" w:name="_Toc8"/>
      <w:bookmarkEnd w:id="22"/>
      <w:r>
        <w:rPr>
          <w:rtl w:val="true"/>
        </w:rPr>
        <w:t>تعریف فقه مقارن</w:t>
      </w:r>
      <w:bookmarkEnd w:id="23"/>
    </w:p>
    <w:p>
      <w:pPr>
        <w:pStyle w:val="Heading4"/>
        <w:numPr>
          <w:ilvl w:val="3"/>
          <w:numId w:val="1"/>
        </w:numPr>
        <w:rPr/>
      </w:pPr>
      <w:bookmarkStart w:id="24" w:name="__RefHeading___Toc1510095_2281741623"/>
      <w:bookmarkStart w:id="25" w:name="_Toc9"/>
      <w:bookmarkEnd w:id="24"/>
      <w:r>
        <w:rPr>
          <w:rtl w:val="true"/>
        </w:rPr>
        <w:t>در لغت</w:t>
      </w:r>
      <w:bookmarkEnd w:id="25"/>
    </w:p>
    <w:p>
      <w:pPr>
        <w:pStyle w:val="BookText"/>
        <w:rPr/>
      </w:pPr>
      <w:r>
        <w:rPr>
          <w:rFonts w:ascii="IRNazanin" w:hAnsi="IRNazanin" w:eastAsia="IRNazanin"/>
          <w:color w:val="111111"/>
          <w:sz w:val="28"/>
          <w:sz w:val="28"/>
          <w:szCs w:val="28"/>
          <w:rtl w:val="true"/>
          <w:lang w:bidi="fa-IR"/>
        </w:rPr>
        <w:t>برای درک معنای فقه مقارن، ناگزیر از تعریف جداگانه واژگان آن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فقه در لغت به معنای علم و فهم چیزی است</w:t>
      </w:r>
      <w:r>
        <w:rPr>
          <w:rFonts w:eastAsia="IRNazanin" w:cs="IRNazanin"/>
          <w:color w:val="111111"/>
          <w:sz w:val="28"/>
          <w:szCs w:val="28"/>
          <w:rtl w:val="true"/>
          <w:lang w:bidi="fa-IR"/>
        </w:rPr>
        <w:t>.</w:t>
      </w:r>
      <w:r>
        <w:rPr>
          <w:rStyle w:val="FootnoteAnchor"/>
          <w:rtl w:val="true"/>
        </w:rPr>
        <w:footnoteReference w:id="8"/>
      </w:r>
      <w:r>
        <w:rPr>
          <w:rFonts w:ascii="IRNazanin" w:hAnsi="IRNazanin" w:eastAsia="IRNazanin"/>
          <w:color w:val="111111"/>
          <w:sz w:val="28"/>
          <w:sz w:val="28"/>
          <w:szCs w:val="28"/>
          <w:rtl w:val="true"/>
          <w:lang w:bidi="fa-IR"/>
        </w:rPr>
        <w:t>البته از موارد کاربرد آن به دست می‌آید که با مطلق فهم تفاوت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ازاینرو در معنای لغوی آن گفته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الفقه والفهم له والفطنة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فقه، هوشیاری و زیرکی است؛</w:t>
      </w:r>
      <w:r>
        <w:rPr>
          <w:rStyle w:val="FootnoteAnchor"/>
          <w:rtl w:val="true"/>
        </w:rPr>
        <w:footnoteReference w:id="9"/>
      </w:r>
      <w:r>
        <w:rPr>
          <w:rFonts w:ascii="IRNazanin" w:hAnsi="IRNazanin" w:eastAsia="IRNazanin"/>
          <w:color w:val="111111"/>
          <w:sz w:val="28"/>
          <w:sz w:val="28"/>
          <w:szCs w:val="28"/>
          <w:rtl w:val="true"/>
          <w:lang w:bidi="fa-IR"/>
        </w:rPr>
        <w:t xml:space="preserve">بدین معنا که فقه، مطلق علم به یک شیء و ادراک آن نیست، بلکه موشکافی، ریزبینی و ادراک دقیق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گویند</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ابوهلال عسکری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۳۹۵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الفروق اللغویة </w:t>
      </w:r>
      <w:r>
        <w:rPr>
          <w:rStyle w:val="FootnoteAnchor"/>
          <w:rtl w:val="true"/>
        </w:rPr>
        <w:footnoteReference w:id="10"/>
      </w:r>
      <w:r>
        <w:rPr>
          <w:rFonts w:ascii="IRNazanin" w:hAnsi="IRNazanin" w:eastAsia="IRNazanin"/>
          <w:color w:val="111111"/>
          <w:sz w:val="28"/>
          <w:sz w:val="28"/>
          <w:szCs w:val="28"/>
          <w:rtl w:val="true"/>
          <w:lang w:bidi="fa-IR"/>
        </w:rPr>
        <w:t>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فقه </w:t>
      </w:r>
      <w:bookmarkStart w:id="26" w:name="pg3848_38627"/>
    </w:p>
    <w:p>
      <w:pPr>
        <w:pStyle w:val="BookText"/>
        <w:rPr/>
      </w:pPr>
      <w:bookmarkEnd w:id="26"/>
      <w:r>
        <w:rPr>
          <w:rFonts w:ascii="IRNazanin" w:hAnsi="IRNazanin" w:eastAsia="IRNazanin"/>
          <w:color w:val="111111"/>
          <w:sz w:val="28"/>
          <w:sz w:val="28"/>
          <w:szCs w:val="28"/>
          <w:rtl w:val="true"/>
          <w:lang w:bidi="fa-IR"/>
        </w:rPr>
        <w:t>آن است که انسان با دقّت و تأمّل، پی به مقتضای کلام ببرد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ازاینرو، به کسی که مخاطب شما قرار گرفته می‌گویید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تفقّهْ ما أقوله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یعنی در آنچه می‌گویم تأمّل کن تا بر آن واقف شوی و اگر بخواهیم دقیق‌تر سخن بگوییم، باید به جای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فهم دقیق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واژۀ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ادراک دقیق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استفاده کنیم؛ زیرا مادّۀ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نوعی دقّت و تأمّل را دربردارد</w:t>
      </w:r>
      <w:r>
        <w:rPr>
          <w:rFonts w:eastAsia="IRNazanin" w:cs="IRNazanin"/>
          <w:color w:val="111111"/>
          <w:sz w:val="28"/>
          <w:szCs w:val="28"/>
          <w:rtl w:val="true"/>
          <w:lang w:bidi="fa-IR"/>
        </w:rPr>
        <w:t>.</w:t>
      </w:r>
      <w:r>
        <w:rPr>
          <w:rStyle w:val="FootnoteAnchor"/>
          <w:rtl w:val="true"/>
        </w:rPr>
        <w:footnoteReference w:id="11"/>
      </w:r>
    </w:p>
    <w:p>
      <w:pPr>
        <w:pStyle w:val="BookText"/>
        <w:rPr/>
      </w:pPr>
      <w:r>
        <w:rPr>
          <w:rFonts w:ascii="IRNazanin" w:hAnsi="IRNazanin" w:eastAsia="IRNazanin"/>
          <w:color w:val="111111"/>
          <w:sz w:val="28"/>
          <w:sz w:val="28"/>
          <w:szCs w:val="28"/>
          <w:rtl w:val="true"/>
          <w:lang w:bidi="fa-IR"/>
        </w:rPr>
        <w:t xml:space="preserve">مقارن نیز از ماده قرن و به معنای جمع و وصل بین دو چیز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قرن الشیء بالشیء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چون به باب مفاعله برود، مصدرش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مقارنه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شود</w:t>
      </w:r>
      <w:r>
        <w:rPr>
          <w:rFonts w:eastAsia="IRNazanin" w:cs="IRNazanin"/>
          <w:color w:val="111111"/>
          <w:sz w:val="28"/>
          <w:szCs w:val="28"/>
          <w:rtl w:val="true"/>
          <w:lang w:bidi="fa-IR"/>
        </w:rPr>
        <w:t>.</w:t>
      </w:r>
      <w:r>
        <w:rPr>
          <w:rStyle w:val="FootnoteAnchor"/>
          <w:rtl w:val="true"/>
        </w:rPr>
        <w:footnoteReference w:id="12"/>
      </w:r>
    </w:p>
    <w:p>
      <w:pPr>
        <w:pStyle w:val="Heading4"/>
        <w:numPr>
          <w:ilvl w:val="3"/>
          <w:numId w:val="1"/>
        </w:numPr>
        <w:rPr/>
      </w:pPr>
      <w:bookmarkStart w:id="27" w:name="__RefHeading___Toc1510097_2281741623"/>
      <w:bookmarkStart w:id="28" w:name="_Toc10"/>
      <w:bookmarkEnd w:id="27"/>
      <w:r>
        <w:rPr>
          <w:rtl w:val="true"/>
        </w:rPr>
        <w:t>در اصطلاح</w:t>
      </w:r>
      <w:bookmarkEnd w:id="28"/>
    </w:p>
    <w:p>
      <w:pPr>
        <w:pStyle w:val="BookText"/>
        <w:rPr/>
      </w:pPr>
      <w:r>
        <w:rPr>
          <w:rFonts w:ascii="IRNazanin" w:hAnsi="IRNazanin" w:eastAsia="IRNazanin"/>
          <w:color w:val="111111"/>
          <w:sz w:val="28"/>
          <w:sz w:val="28"/>
          <w:szCs w:val="28"/>
          <w:rtl w:val="true"/>
          <w:lang w:bidi="fa-IR"/>
        </w:rPr>
        <w:t>در نگاه مشهور فقها، فقه عبارت است 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العلم بالاحکام الشرعیه الفرعیه عن ادلتها التفصیلیه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دانستن احکام شرعی بر اساس بررسی دلایل قرآنی و روایی آنها</w:t>
      </w:r>
      <w:r>
        <w:rPr>
          <w:rFonts w:eastAsia="IRNazanin" w:cs="IRNazanin"/>
          <w:color w:val="111111"/>
          <w:sz w:val="28"/>
          <w:szCs w:val="28"/>
          <w:rtl w:val="true"/>
          <w:lang w:bidi="fa-IR"/>
        </w:rPr>
        <w:t>.</w:t>
      </w:r>
      <w:r>
        <w:rPr>
          <w:rStyle w:val="FootnoteAnchor"/>
          <w:rtl w:val="true"/>
        </w:rPr>
        <w:footnoteReference w:id="13"/>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اکنون با این مقدمه، می‌توان به تعریف فقه مقارن پرداخت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البته باید توجه داشت که برای فقه مقارن، تعریف‌های متعددی بیان شده است که از نظر سعه و ضیق قلمرو این دانش، با یکدیگر تفاوت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به بیان چند تعریف بسنده 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فقه مقارن، گرد‌آوری دیدگاه‌های مختلف و تقسیم آنها و ایجاد مقایسه میان آنهاست؛ بدین صورت که ادله هر یک بررسی و بعضی از نظرات بر نظرات دیگر ترجیح داده شود</w:t>
      </w:r>
      <w:r>
        <w:rPr>
          <w:rFonts w:eastAsia="IRNazanin" w:cs="IRNazanin"/>
          <w:color w:val="111111"/>
          <w:sz w:val="28"/>
          <w:szCs w:val="28"/>
          <w:rtl w:val="true"/>
          <w:lang w:bidi="fa-IR"/>
        </w:rPr>
        <w:t>.</w:t>
      </w:r>
      <w:r>
        <w:rPr>
          <w:rStyle w:val="FootnoteAnchor"/>
          <w:rtl w:val="true"/>
        </w:rPr>
        <w:footnoteReference w:id="14"/>
      </w:r>
    </w:p>
    <w:p>
      <w:pPr>
        <w:pStyle w:val="BookText"/>
        <w:rPr/>
      </w:pPr>
      <w:r>
        <w:rPr>
          <w:rFonts w:ascii="IRNazanin" w:hAnsi="IRNazanin" w:eastAsia="IRNazanin"/>
          <w:color w:val="111111"/>
          <w:sz w:val="28"/>
          <w:sz w:val="28"/>
          <w:szCs w:val="28"/>
          <w:rtl w:val="true"/>
          <w:lang w:bidi="fa-IR"/>
        </w:rPr>
        <w:t>ابتدا بعد از مشخص شدن محل نزاع در مسأله فقهی، گزارش آرای مذاهب فقهی همراه با ادله و وجوه استدلال آنها طبق روش های اصولی است، و بعد بیان علت نزاع و خلاف و سپس موازنه و ارزش گذاری بین ادله اصولی و ترجیح دادن دلیل قوی تر یا روش سالم تر، یا آوردن رأی جدیدی که به دلیل ارجح تکیه داشته باشد</w:t>
      </w:r>
      <w:r>
        <w:rPr>
          <w:rFonts w:eastAsia="IRNazanin" w:cs="IRNazanin"/>
          <w:color w:val="111111"/>
          <w:sz w:val="28"/>
          <w:szCs w:val="28"/>
          <w:rtl w:val="true"/>
          <w:lang w:bidi="fa-IR"/>
        </w:rPr>
        <w:t>.</w:t>
      </w:r>
      <w:r>
        <w:rPr>
          <w:rStyle w:val="FootnoteAnchor"/>
          <w:rtl w:val="true"/>
        </w:rPr>
        <w:footnoteReference w:id="15"/>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فقه مقارن، نوع ویژه‌ای از بررسی‌های فقهی است که مراد از آن، علم به احکام شرعی در ابواب مختلف است، از نظر شناخت نظرات ائمه و فقها و مذاهب مورد اتفاق و اختلاف آنان، همراه </w:t>
      </w:r>
      <w:bookmarkStart w:id="29" w:name="pg3848_38629"/>
    </w:p>
    <w:p>
      <w:pPr>
        <w:pStyle w:val="BookText"/>
        <w:rPr/>
      </w:pPr>
      <w:bookmarkEnd w:id="29"/>
      <w:r>
        <w:rPr>
          <w:rFonts w:ascii="IRNazanin" w:hAnsi="IRNazanin" w:eastAsia="IRNazanin"/>
          <w:color w:val="111111"/>
          <w:sz w:val="28"/>
          <w:sz w:val="28"/>
          <w:szCs w:val="28"/>
          <w:rtl w:val="true"/>
          <w:lang w:bidi="fa-IR"/>
        </w:rPr>
        <w:t>با بیان دلایل و قواعد اصولی و جهت‌های نظرات آنها که منشأ اختلاف شده است؛ البته با بیان ادله و مقایسه آنها و انتخاب قولی که به حق نزدیک‌تر است</w:t>
      </w:r>
      <w:r>
        <w:rPr>
          <w:rFonts w:eastAsia="IRNazanin" w:cs="IRNazanin"/>
          <w:color w:val="111111"/>
          <w:sz w:val="28"/>
          <w:szCs w:val="28"/>
          <w:rtl w:val="true"/>
          <w:lang w:bidi="fa-IR"/>
        </w:rPr>
        <w:t>.</w:t>
      </w:r>
      <w:r>
        <w:rPr>
          <w:rStyle w:val="FootnoteAnchor"/>
          <w:rtl w:val="true"/>
        </w:rPr>
        <w:footnoteReference w:id="16"/>
      </w:r>
    </w:p>
    <w:p>
      <w:pPr>
        <w:pStyle w:val="BookText"/>
        <w:rPr/>
      </w:pPr>
      <w:r>
        <w:rPr>
          <w:rFonts w:ascii="IRNazanin" w:hAnsi="IRNazanin" w:eastAsia="IRNazanin"/>
          <w:color w:val="111111"/>
          <w:sz w:val="28"/>
          <w:sz w:val="28"/>
          <w:szCs w:val="28"/>
          <w:rtl w:val="true"/>
          <w:lang w:bidi="fa-IR"/>
        </w:rPr>
        <w:t>فقه مقارن، اصطلاح جدیدی است که مقصود از آن، مقایسه میان دیدگاه‌های فقیهان و بیان ریشه اختلاف میان آنها و درجه قوّت و ضعف هر یک از آنهاست</w:t>
      </w:r>
      <w:r>
        <w:rPr>
          <w:rFonts w:eastAsia="IRNazanin" w:cs="IRNazanin"/>
          <w:color w:val="111111"/>
          <w:sz w:val="28"/>
          <w:szCs w:val="28"/>
          <w:rtl w:val="true"/>
          <w:lang w:bidi="fa-IR"/>
        </w:rPr>
        <w:t>.</w:t>
      </w:r>
      <w:r>
        <w:rPr>
          <w:rStyle w:val="FootnoteAnchor"/>
          <w:rtl w:val="true"/>
        </w:rPr>
        <w:footnoteReference w:id="17"/>
      </w:r>
    </w:p>
    <w:p>
      <w:pPr>
        <w:pStyle w:val="Heading3"/>
        <w:numPr>
          <w:ilvl w:val="2"/>
          <w:numId w:val="1"/>
        </w:numPr>
        <w:rPr/>
      </w:pPr>
      <w:bookmarkStart w:id="30" w:name="__RefHeading___Toc1510099_2281741623"/>
      <w:bookmarkStart w:id="31" w:name="_Toc11"/>
      <w:bookmarkEnd w:id="30"/>
      <w:r>
        <w:rPr>
          <w:rtl w:val="true"/>
        </w:rPr>
        <w:t>آشنایی با مذاهب موجود اهل سنت</w:t>
      </w:r>
      <w:bookmarkEnd w:id="31"/>
    </w:p>
    <w:p>
      <w:pPr>
        <w:pStyle w:val="Heading4"/>
        <w:numPr>
          <w:ilvl w:val="3"/>
          <w:numId w:val="1"/>
        </w:numPr>
        <w:rPr/>
      </w:pPr>
      <w:bookmarkStart w:id="32" w:name="__RefHeading___Toc1510101_2281741623"/>
      <w:bookmarkStart w:id="33" w:name="_Toc12"/>
      <w:bookmarkEnd w:id="32"/>
      <w:r>
        <w:rPr>
          <w:rtl w:val="true"/>
        </w:rPr>
        <w:t>اشاره</w:t>
      </w:r>
      <w:bookmarkEnd w:id="33"/>
    </w:p>
    <w:p>
      <w:pPr>
        <w:pStyle w:val="BookText"/>
        <w:rPr/>
      </w:pPr>
      <w:r>
        <w:rPr>
          <w:rFonts w:ascii="IRNazanin" w:hAnsi="IRNazanin" w:eastAsia="IRNazanin"/>
          <w:color w:val="111111"/>
          <w:sz w:val="28"/>
          <w:sz w:val="28"/>
          <w:szCs w:val="28"/>
          <w:rtl w:val="true"/>
          <w:lang w:bidi="fa-IR"/>
        </w:rPr>
        <w:t>در نوشتار حاضر، گذشته از فقه شیعه امامیه، به دیدگاه های فقهی چهار مذهب مشهور اهل‌سنت؛ یعنی حنفی، مالکی، شافعی و حنبلی اشاره کرده‌ایم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 به معرفی اجمالی این چهار مذهب می پردازیم</w:t>
      </w:r>
      <w:r>
        <w:rPr>
          <w:rFonts w:eastAsia="IRNazanin" w:cs="IRNazanin"/>
          <w:color w:val="111111"/>
          <w:sz w:val="28"/>
          <w:szCs w:val="28"/>
          <w:rtl w:val="true"/>
          <w:lang w:bidi="fa-IR"/>
        </w:rPr>
        <w:t>.</w:t>
      </w:r>
    </w:p>
    <w:p>
      <w:pPr>
        <w:pStyle w:val="Heading4"/>
        <w:numPr>
          <w:ilvl w:val="3"/>
          <w:numId w:val="1"/>
        </w:numPr>
        <w:rPr/>
      </w:pPr>
      <w:bookmarkStart w:id="34" w:name="__RefHeading___Toc1510103_2281741623"/>
      <w:bookmarkStart w:id="35" w:name="_Toc13"/>
      <w:bookmarkEnd w:id="34"/>
      <w:r>
        <w:rPr>
          <w:rtl w:val="true"/>
        </w:rPr>
        <w:t>مذهب فقهی حنفی</w:t>
      </w:r>
      <w:bookmarkEnd w:id="35"/>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مؤسّس این مذهب، ابوحنیفه نعمان بن ثابت زوطی است که اصالتاً ایرانی بود؛ زیرا جدش، زوطی، از اسیران کابل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در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هـ در کوفه به دنیا آمد و در همان جا رشد و پرورش یافت و به آموختن فقه و علم کلام پرداخت و در سال </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هـ </w:t>
      </w:r>
      <w:bookmarkStart w:id="36" w:name="pg3848_38630"/>
    </w:p>
    <w:p>
      <w:pPr>
        <w:pStyle w:val="BookText"/>
        <w:rPr/>
      </w:pPr>
      <w:bookmarkEnd w:id="36"/>
      <w:r>
        <w:rPr>
          <w:rFonts w:ascii="IRNazanin" w:hAnsi="IRNazanin" w:eastAsia="IRNazanin"/>
          <w:color w:val="111111"/>
          <w:sz w:val="28"/>
          <w:sz w:val="28"/>
          <w:szCs w:val="28"/>
          <w:rtl w:val="true"/>
          <w:lang w:bidi="fa-IR"/>
        </w:rPr>
        <w:t>درگذشت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ابوحنیفه، شاگرد حمّاد بن ابی‌سلیمان کوفی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۱۲۰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خطیب بغدادی از شخصی به نام ابومطیع نقل می‌کند که ابوحنیفه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ابوجعفر منصور عبّاسی رفتم،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 را از چه کسی فرا‌گرفته‌ای؟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حمّاد و او نیز از ابراهیم نخعی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۹۶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ابراهیم نیز از عمر بن خطاب، علی بن ابی‌طالب علیه السلام ، عبداللّه بن مسعود و عبداللّه بن عباس فراگرفت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ابوحنیفه از امام باقر و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زید بن علی علیه السلام بهره فراوانی برد</w:t>
      </w:r>
      <w:r>
        <w:rPr>
          <w:rFonts w:eastAsia="IRNazanin" w:cs="IRNazanin"/>
          <w:color w:val="111111"/>
          <w:sz w:val="28"/>
          <w:szCs w:val="28"/>
          <w:rtl w:val="true"/>
          <w:lang w:bidi="fa-IR"/>
        </w:rPr>
        <w:t>.</w:t>
      </w:r>
    </w:p>
    <w:p>
      <w:pPr>
        <w:pStyle w:val="Heading4"/>
        <w:numPr>
          <w:ilvl w:val="3"/>
          <w:numId w:val="1"/>
        </w:numPr>
        <w:rPr/>
      </w:pPr>
      <w:bookmarkStart w:id="37" w:name="__RefHeading___Toc1510105_2281741623"/>
      <w:bookmarkStart w:id="38" w:name="_Toc14"/>
      <w:bookmarkEnd w:id="37"/>
      <w:r>
        <w:rPr>
          <w:rtl w:val="true"/>
        </w:rPr>
        <w:t>مذهب فقهی مالکی</w:t>
      </w:r>
      <w:bookmarkEnd w:id="38"/>
    </w:p>
    <w:p>
      <w:pPr>
        <w:pStyle w:val="BookText"/>
        <w:rPr/>
      </w:pPr>
      <w:r>
        <w:rPr>
          <w:rFonts w:ascii="IRNazanin" w:hAnsi="IRNazanin" w:eastAsia="IRNazanin"/>
          <w:color w:val="111111"/>
          <w:sz w:val="28"/>
          <w:sz w:val="28"/>
          <w:szCs w:val="28"/>
          <w:rtl w:val="true"/>
          <w:lang w:bidi="fa-IR"/>
        </w:rPr>
        <w:t xml:space="preserve">این مذهب منتسب به مالک بن انس بن ابی‌عامر اصبحی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۹۳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۱۷۹</w:t>
      </w:r>
      <w:r>
        <w:rPr>
          <w:rFonts w:ascii="IRNazanin" w:hAnsi="IRNazanin" w:eastAsia="IRNazanin"/>
          <w:color w:val="111111"/>
          <w:sz w:val="28"/>
          <w:sz w:val="28"/>
          <w:szCs w:val="28"/>
          <w:rtl w:val="true"/>
          <w:lang w:bidi="fa-IR"/>
        </w:rPr>
        <w:t xml:space="preserve"> هـ در شهر مدینه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بخشی از عمرش را در دولت اموی و بخشی از آن را در دولت عباسی گذراند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مالک، فقه را نزد امام جعفر صادق علیه السلام و ربیعة بن ابی‌عبداللّه، معروف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ربیعة الرأی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۱۳۶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از تابعین بود، آموخت و از نافع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غلام عبداللّه بن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زُهری حدیث شنید</w:t>
      </w:r>
      <w:r>
        <w:rPr>
          <w:rFonts w:eastAsia="IRNazanin" w:cs="IRNazanin"/>
          <w:color w:val="111111"/>
          <w:sz w:val="28"/>
          <w:szCs w:val="28"/>
          <w:rtl w:val="true"/>
          <w:lang w:bidi="fa-IR"/>
        </w:rPr>
        <w:t>.</w:t>
      </w:r>
    </w:p>
    <w:p>
      <w:pPr>
        <w:pStyle w:val="Heading4"/>
        <w:numPr>
          <w:ilvl w:val="3"/>
          <w:numId w:val="1"/>
        </w:numPr>
        <w:rPr/>
      </w:pPr>
      <w:bookmarkStart w:id="39" w:name="__RefHeading___Toc1510107_2281741623"/>
      <w:bookmarkStart w:id="40" w:name="_Toc15"/>
      <w:bookmarkEnd w:id="39"/>
      <w:r>
        <w:rPr>
          <w:rtl w:val="true"/>
        </w:rPr>
        <w:t>مذهب فقهی شافعی</w:t>
      </w:r>
      <w:bookmarkEnd w:id="40"/>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مذهب منتسب به ابوعبداللّه، محمّد بن ادریس بن عباس بن عثمان بن شافع، معروف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شافعی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در سال </w:t>
      </w:r>
      <w:bookmarkStart w:id="41" w:name="pg3848_38631"/>
    </w:p>
    <w:p>
      <w:pPr>
        <w:pStyle w:val="BookText"/>
        <w:rPr/>
      </w:pPr>
      <w:bookmarkEnd w:id="41"/>
      <w:r>
        <w:rPr>
          <w:rFonts w:ascii="IRNazanin" w:hAnsi="IRNazanin" w:eastAsia="IRNazanin"/>
          <w:color w:val="111111"/>
          <w:sz w:val="28"/>
          <w:sz w:val="28"/>
          <w:szCs w:val="28"/>
          <w:lang w:bidi="fa-IR"/>
        </w:rPr>
        <w:t>۱۵۰</w:t>
      </w:r>
      <w:r>
        <w:rPr>
          <w:rFonts w:ascii="IRNazanin" w:hAnsi="IRNazanin" w:eastAsia="IRNazanin"/>
          <w:color w:val="111111"/>
          <w:sz w:val="28"/>
          <w:sz w:val="28"/>
          <w:szCs w:val="28"/>
          <w:rtl w:val="true"/>
          <w:lang w:bidi="fa-IR"/>
        </w:rPr>
        <w:t xml:space="preserve"> هـ در غزّه به دنیا آمد و در سال </w:t>
      </w:r>
      <w:r>
        <w:rPr>
          <w:rFonts w:ascii="IRNazanin" w:hAnsi="IRNazanin" w:eastAsia="IRNazanin"/>
          <w:color w:val="111111"/>
          <w:sz w:val="28"/>
          <w:sz w:val="28"/>
          <w:szCs w:val="28"/>
          <w:lang w:bidi="fa-IR"/>
        </w:rPr>
        <w:t>۲۰۴</w:t>
      </w:r>
      <w:r>
        <w:rPr>
          <w:rFonts w:ascii="IRNazanin" w:hAnsi="IRNazanin" w:eastAsia="IRNazanin"/>
          <w:color w:val="111111"/>
          <w:sz w:val="28"/>
          <w:sz w:val="28"/>
          <w:szCs w:val="28"/>
          <w:rtl w:val="true"/>
          <w:lang w:bidi="fa-IR"/>
        </w:rPr>
        <w:t xml:space="preserve"> هـ در مصر وفات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سویی، شاگرد زعیم مدرسۀ حدیث، مالک بن انس، و از سوی دیگر، شاگرد ابراهیم بن محمّد بن یحیی مدینی شاگرد امام صادق علیه السلام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همچنین از محمّد بن حسن شیبانی، شاگرد ابوحنیفه نیز بهره‌ها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بیشترین روایات شافعی از ابراهیم بن محمّد، شاگرد امام صادق علیه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مذهب شافعی حدّ فاصل میان مذهب حنفی و مالکی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مشهورترین شاگردان وی، یوسف بن یحیی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۲۳۱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احمد بن حنبل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۲۴۱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اسماعیل بن یحیی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۲۶۴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ربیع بن سلیمان بن عبدالجبار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۲۷۰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بودند</w:t>
      </w:r>
      <w:r>
        <w:rPr>
          <w:rFonts w:eastAsia="IRNazanin" w:cs="IRNazanin"/>
          <w:color w:val="111111"/>
          <w:sz w:val="28"/>
          <w:szCs w:val="28"/>
          <w:rtl w:val="true"/>
          <w:lang w:bidi="fa-IR"/>
        </w:rPr>
        <w:t>.</w:t>
      </w:r>
    </w:p>
    <w:p>
      <w:pPr>
        <w:pStyle w:val="Heading4"/>
        <w:numPr>
          <w:ilvl w:val="3"/>
          <w:numId w:val="1"/>
        </w:numPr>
        <w:rPr/>
      </w:pPr>
      <w:bookmarkStart w:id="42" w:name="__RefHeading___Toc1510109_2281741623"/>
      <w:bookmarkStart w:id="43" w:name="_Toc16"/>
      <w:bookmarkEnd w:id="42"/>
      <w:r>
        <w:rPr>
          <w:rtl w:val="true"/>
        </w:rPr>
        <w:t>مذهب فقهی حنبلی</w:t>
      </w:r>
      <w:bookmarkEnd w:id="43"/>
    </w:p>
    <w:p>
      <w:pPr>
        <w:pStyle w:val="BookText"/>
        <w:rPr/>
      </w:pPr>
      <w:r>
        <w:rPr>
          <w:rFonts w:ascii="IRNazanin" w:hAnsi="IRNazanin" w:eastAsia="IRNazanin"/>
          <w:color w:val="111111"/>
          <w:sz w:val="28"/>
          <w:sz w:val="28"/>
          <w:szCs w:val="28"/>
          <w:rtl w:val="true"/>
          <w:lang w:bidi="fa-IR"/>
        </w:rPr>
        <w:t>مؤسّس این مذهب، ابوعبداللّه، احمد بن حنبل بن هلال شیبانی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در سال </w:t>
      </w:r>
      <w:r>
        <w:rPr>
          <w:rFonts w:ascii="IRNazanin" w:hAnsi="IRNazanin" w:eastAsia="IRNazanin"/>
          <w:color w:val="111111"/>
          <w:sz w:val="28"/>
          <w:sz w:val="28"/>
          <w:szCs w:val="28"/>
          <w:lang w:bidi="fa-IR"/>
        </w:rPr>
        <w:t>۱۶۴</w:t>
      </w:r>
      <w:r>
        <w:rPr>
          <w:rFonts w:ascii="IRNazanin" w:hAnsi="IRNazanin" w:eastAsia="IRNazanin"/>
          <w:color w:val="111111"/>
          <w:sz w:val="28"/>
          <w:sz w:val="28"/>
          <w:szCs w:val="28"/>
          <w:rtl w:val="true"/>
          <w:lang w:bidi="fa-IR"/>
        </w:rPr>
        <w:t xml:space="preserve"> هـ در بغداد به دنیا آمد و در سال   </w:t>
      </w:r>
      <w:r>
        <w:rPr>
          <w:rFonts w:ascii="IRNazanin" w:hAnsi="IRNazanin" w:eastAsia="IRNazanin"/>
          <w:color w:val="111111"/>
          <w:sz w:val="28"/>
          <w:sz w:val="28"/>
          <w:szCs w:val="28"/>
          <w:lang w:bidi="fa-IR"/>
        </w:rPr>
        <w:t>۲۴۱</w:t>
      </w:r>
      <w:r>
        <w:rPr>
          <w:rFonts w:ascii="IRNazanin" w:hAnsi="IRNazanin" w:eastAsia="IRNazanin"/>
          <w:color w:val="111111"/>
          <w:sz w:val="28"/>
          <w:sz w:val="28"/>
          <w:szCs w:val="28"/>
          <w:rtl w:val="true"/>
          <w:lang w:bidi="fa-IR"/>
        </w:rPr>
        <w:t xml:space="preserve"> هـ در همان شهر وفات یافت</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سفرهای علمی‌اش را به کوفه، بصره، مکه، مدینه، یمن و شام انجام داد و از دانش دانشمندان عصر خویش بهره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فقه را از شافعی فراگرفت، استادان او به صد تن بالغ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از محدّثان بزرگ اهل‌سنّت به شمار می‌آید و مُسنَد او، به آگاهیِ وی از عرصۀ حدیث گواهی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در مُسنَد خویش بیش از چهل هزار حدیث نقل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به حدیث </w:t>
      </w:r>
      <w:bookmarkStart w:id="44" w:name="pg3848_38632"/>
    </w:p>
    <w:p>
      <w:pPr>
        <w:pStyle w:val="BookText"/>
        <w:rPr/>
      </w:pPr>
      <w:bookmarkEnd w:id="44"/>
      <w:r>
        <w:rPr>
          <w:rFonts w:ascii="IRNazanin" w:hAnsi="IRNazanin" w:eastAsia="IRNazanin"/>
          <w:color w:val="111111"/>
          <w:sz w:val="28"/>
          <w:sz w:val="28"/>
          <w:szCs w:val="28"/>
          <w:rtl w:val="true"/>
          <w:lang w:bidi="fa-IR"/>
        </w:rPr>
        <w:t>مرسل و ضعیف نیز عمل می‌کرد</w:t>
      </w:r>
      <w:r>
        <w:rPr>
          <w:rFonts w:eastAsia="IRNazanin" w:cs="IRNazanin"/>
          <w:color w:val="111111"/>
          <w:sz w:val="28"/>
          <w:szCs w:val="28"/>
          <w:rtl w:val="true"/>
          <w:lang w:bidi="fa-IR"/>
        </w:rPr>
        <w:t>.</w:t>
      </w:r>
      <w:r>
        <w:rPr>
          <w:rStyle w:val="FootnoteAnchor"/>
          <w:rtl w:val="true"/>
        </w:rPr>
        <w:footnoteReference w:id="18"/>
      </w:r>
    </w:p>
    <w:p>
      <w:pPr>
        <w:pStyle w:val="Heading3"/>
        <w:numPr>
          <w:ilvl w:val="2"/>
          <w:numId w:val="1"/>
        </w:numPr>
        <w:rPr/>
      </w:pPr>
      <w:bookmarkStart w:id="45" w:name="__RefHeading___Toc1510111_2281741623"/>
      <w:bookmarkStart w:id="46" w:name="_Toc17"/>
      <w:bookmarkEnd w:id="45"/>
      <w:r>
        <w:rPr>
          <w:rtl w:val="true"/>
        </w:rPr>
        <w:t>آشنایی با برخی اصطلاحات</w:t>
      </w:r>
      <w:bookmarkEnd w:id="46"/>
    </w:p>
    <w:p>
      <w:pPr>
        <w:pStyle w:val="Heading4"/>
        <w:numPr>
          <w:ilvl w:val="3"/>
          <w:numId w:val="1"/>
        </w:numPr>
        <w:rPr/>
      </w:pPr>
      <w:bookmarkStart w:id="47" w:name="__RefHeading___Toc1510113_2281741623"/>
      <w:bookmarkStart w:id="48" w:name="_Toc18"/>
      <w:bookmarkEnd w:id="47"/>
      <w:r>
        <w:rPr>
          <w:rtl w:val="true"/>
        </w:rPr>
        <w:t>اشاره</w:t>
      </w:r>
      <w:bookmarkEnd w:id="48"/>
    </w:p>
    <w:p>
      <w:pPr>
        <w:pStyle w:val="BookText"/>
        <w:rPr/>
      </w:pPr>
      <w:r>
        <w:rPr>
          <w:rFonts w:ascii="IRNazanin" w:hAnsi="IRNazanin" w:eastAsia="IRNazanin"/>
          <w:color w:val="111111"/>
          <w:sz w:val="28"/>
          <w:sz w:val="28"/>
          <w:szCs w:val="28"/>
          <w:rtl w:val="true"/>
          <w:lang w:bidi="fa-IR"/>
        </w:rPr>
        <w:t>عالمان امامیّه، شافعیه، مالکیه و بیشترِ حنابله،</w:t>
      </w:r>
      <w:r>
        <w:rPr>
          <w:rStyle w:val="FootnoteAnchor"/>
          <w:rtl w:val="true"/>
        </w:rPr>
        <w:footnoteReference w:id="19"/>
      </w:r>
      <w:r>
        <w:rPr>
          <w:rFonts w:ascii="IRNazanin" w:hAnsi="IRNazanin" w:eastAsia="IRNazanin"/>
          <w:color w:val="111111"/>
          <w:sz w:val="28"/>
          <w:sz w:val="28"/>
          <w:szCs w:val="28"/>
          <w:rtl w:val="true"/>
          <w:lang w:bidi="fa-IR"/>
        </w:rPr>
        <w:t>حکم تکلیفی را بر پنج نوع تقسیم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وجوب، استحباب، حرمت، کراهت و اباحه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حنفیّه تکالیف را هفت</w:t>
      </w:r>
      <w:r>
        <w:rPr>
          <w:rStyle w:val="FootnoteAnchor"/>
          <w:rtl w:val="true"/>
        </w:rPr>
        <w:footnoteReference w:id="20"/>
      </w:r>
      <w:r>
        <w:rPr>
          <w:rFonts w:ascii="IRNazanin" w:hAnsi="IRNazanin" w:eastAsia="IRNazanin"/>
          <w:color w:val="111111"/>
          <w:sz w:val="28"/>
          <w:sz w:val="28"/>
          <w:szCs w:val="28"/>
          <w:rtl w:val="true"/>
          <w:lang w:bidi="fa-IR"/>
        </w:rPr>
        <w:t>یا هشت</w:t>
      </w:r>
      <w:r>
        <w:rPr>
          <w:rStyle w:val="FootnoteAnchor"/>
          <w:rtl w:val="true"/>
        </w:rPr>
        <w:footnoteReference w:id="21"/>
      </w:r>
      <w:r>
        <w:rPr>
          <w:rFonts w:ascii="IRNazanin" w:hAnsi="IRNazanin" w:eastAsia="IRNazanin"/>
          <w:color w:val="111111"/>
          <w:sz w:val="28"/>
          <w:sz w:val="28"/>
          <w:szCs w:val="28"/>
          <w:rtl w:val="true"/>
          <w:lang w:bidi="fa-IR"/>
        </w:rPr>
        <w:t>نوع می‌دانند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در کنار وجوب، قسم دیگری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 کرده‌اند و در کنار حرمت،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کراهت تحریمی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برشمرده‌اند و بین آن و کراهت اصطلاحی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کراهت تنزیهی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فرق گذاشته‌اند و 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سنّت مؤکّده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سنّت غیرمؤکده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بحث استحباب مطرح کرده‌اند، که برخی از این اصطلاحات را بررسی می‌کنیم</w:t>
      </w:r>
      <w:r>
        <w:rPr>
          <w:rFonts w:eastAsia="IRNazanin" w:cs="IRNazanin"/>
          <w:color w:val="111111"/>
          <w:sz w:val="28"/>
          <w:szCs w:val="28"/>
          <w:rtl w:val="true"/>
          <w:lang w:bidi="fa-IR"/>
        </w:rPr>
        <w:t>.</w:t>
      </w:r>
    </w:p>
    <w:p>
      <w:pPr>
        <w:pStyle w:val="Heading4"/>
        <w:numPr>
          <w:ilvl w:val="3"/>
          <w:numId w:val="1"/>
        </w:numPr>
        <w:rPr/>
      </w:pPr>
      <w:bookmarkStart w:id="49" w:name="__RefHeading___Toc1510115_2281741623"/>
      <w:bookmarkStart w:id="50" w:name="_Toc19"/>
      <w:bookmarkEnd w:id="49"/>
      <w:r>
        <w:rPr>
          <w:rtl w:val="true"/>
        </w:rPr>
        <w:t>فرض</w:t>
      </w:r>
      <w:bookmarkEnd w:id="50"/>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لغت به معنای قطع و بریدن است، و دراصطلاح فقهی مذاهب اهل‌سنت، به معنای عملی است که با </w:t>
      </w:r>
      <w:bookmarkStart w:id="51" w:name="pg3848_38633"/>
    </w:p>
    <w:p>
      <w:pPr>
        <w:pStyle w:val="BookText"/>
        <w:rPr/>
      </w:pPr>
      <w:bookmarkEnd w:id="51"/>
      <w:r>
        <w:rPr>
          <w:rFonts w:ascii="IRNazanin" w:hAnsi="IRNazanin" w:eastAsia="IRNazanin"/>
          <w:color w:val="111111"/>
          <w:sz w:val="28"/>
          <w:sz w:val="28"/>
          <w:szCs w:val="28"/>
          <w:rtl w:val="true"/>
          <w:lang w:bidi="fa-IR"/>
        </w:rPr>
        <w:t>انجام آن، ثواب و پاداش نصیب انجام دهنده اش می شود و در صورت ترک آن، ترک کننده اش عقاب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معمولاً آن را مساوی و مرادف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فقه شیعه می دانند و رکن و فرض یک معنا را می رساند</w:t>
      </w:r>
      <w:r>
        <w:rPr>
          <w:rFonts w:eastAsia="IRNazanin" w:cs="IRNazanin"/>
          <w:color w:val="111111"/>
          <w:sz w:val="28"/>
          <w:szCs w:val="28"/>
          <w:rtl w:val="true"/>
          <w:lang w:bidi="fa-IR"/>
        </w:rPr>
        <w:t>.</w:t>
      </w:r>
      <w:r>
        <w:rPr>
          <w:rStyle w:val="FootnoteAnchor"/>
          <w:rtl w:val="true"/>
        </w:rPr>
        <w:footnoteReference w:id="22"/>
      </w:r>
    </w:p>
    <w:p>
      <w:pPr>
        <w:pStyle w:val="BookText"/>
        <w:rPr/>
      </w:pPr>
      <w:r>
        <w:rPr>
          <w:rFonts w:ascii="IRNazanin" w:hAnsi="IRNazanin" w:eastAsia="IRNazanin"/>
          <w:color w:val="111111"/>
          <w:sz w:val="28"/>
          <w:sz w:val="28"/>
          <w:szCs w:val="28"/>
          <w:rtl w:val="true"/>
          <w:lang w:bidi="fa-IR"/>
        </w:rPr>
        <w:t>رکن به معنای جزئی از عمل عبادی است که بدون آن، عمل مورد نظر تحقق پیدا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ازاینرو،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فرائض نماز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اجزایی است که نماز بدون آن ایجاد نمی‌شود</w:t>
      </w:r>
      <w:r>
        <w:rPr>
          <w:rFonts w:eastAsia="IRNazanin" w:cs="IRNazanin"/>
          <w:color w:val="111111"/>
          <w:sz w:val="28"/>
          <w:szCs w:val="28"/>
          <w:rtl w:val="true"/>
          <w:lang w:bidi="fa-IR"/>
        </w:rPr>
        <w:t>.</w:t>
      </w:r>
      <w:r>
        <w:rPr>
          <w:rStyle w:val="FootnoteAnchor"/>
          <w:rtl w:val="true"/>
        </w:rPr>
        <w:footnoteReference w:id="23"/>
      </w:r>
      <w:r>
        <w:rPr>
          <w:rFonts w:ascii="IRNazanin" w:hAnsi="IRNazanin" w:eastAsia="IRNazanin"/>
          <w:color w:val="111111"/>
          <w:sz w:val="28"/>
          <w:sz w:val="28"/>
          <w:szCs w:val="28"/>
          <w:rtl w:val="true"/>
          <w:lang w:bidi="fa-IR"/>
        </w:rPr>
        <w:t>بر این اساس می‌توان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اصطلاح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فقه اهل‌سنت، همان رکنی است که در فقه شیعه مورد نظر است؛ یعنی جزئی که اگر به طور عمدی یا سهوی، کم و زیاد شود، نماز باطل است</w:t>
      </w:r>
      <w:r>
        <w:rPr>
          <w:rFonts w:eastAsia="IRNazanin" w:cs="IRNazanin"/>
          <w:color w:val="111111"/>
          <w:sz w:val="28"/>
          <w:szCs w:val="28"/>
          <w:rtl w:val="true"/>
          <w:lang w:bidi="fa-IR"/>
        </w:rPr>
        <w:t>.</w:t>
      </w:r>
    </w:p>
    <w:p>
      <w:pPr>
        <w:pStyle w:val="Heading4"/>
        <w:numPr>
          <w:ilvl w:val="3"/>
          <w:numId w:val="1"/>
        </w:numPr>
        <w:rPr/>
      </w:pPr>
      <w:bookmarkStart w:id="52" w:name="__RefHeading___Toc1510117_2281741623"/>
      <w:bookmarkStart w:id="53" w:name="_Toc20"/>
      <w:bookmarkEnd w:id="52"/>
      <w:r>
        <w:rPr>
          <w:rtl w:val="true"/>
        </w:rPr>
        <w:t>واجب</w:t>
      </w:r>
      <w:bookmarkEnd w:id="53"/>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دیدگاه اهل‌سنت حنفی،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دو قسم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نخست سنت مؤکده که اصطلاح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برای آن به کار می‌برند که معمولاً در رتبه بعد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عبارت دیگر، واجب </w:t>
      </w:r>
    </w:p>
    <w:p>
      <w:pPr>
        <w:pStyle w:val="BookText"/>
        <w:rPr/>
      </w:pPr>
      <w:r>
        <w:rPr>
          <w:rFonts w:ascii="IRNazanin" w:hAnsi="IRNazanin" w:eastAsia="IRNazanin"/>
          <w:color w:val="111111"/>
          <w:sz w:val="28"/>
          <w:sz w:val="28"/>
          <w:szCs w:val="28"/>
          <w:rtl w:val="true"/>
          <w:lang w:bidi="fa-IR"/>
        </w:rPr>
        <w:t>چیزی است که با دلیل ثابت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عرصه عمل، واجب همان حکم فرض را دارد، ولی در اعتقاد چنین نیست و از آن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فرض عملی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برابر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فرض عملی و اعتقادی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تعبیر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مفهوم آن این است که انجامش پاداش و ترکش عقاب دارد؛ بدین معنا که اگر نمازگزار به طور عمدی آن را ترک گفت، واجب است نماز را اعاده کند، ولی اگر اعاده نکرد، نمازی که خوانده صحیح است، هرچند معصیت‌کار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سهواً آن را ترک نمود، واجب است بعد از سلام، با سجده سهو آن را جبران کند</w:t>
      </w:r>
      <w:r>
        <w:rPr>
          <w:rFonts w:eastAsia="IRNazanin" w:cs="IRNazanin"/>
          <w:color w:val="111111"/>
          <w:sz w:val="28"/>
          <w:szCs w:val="28"/>
          <w:rtl w:val="true"/>
          <w:lang w:bidi="fa-IR"/>
        </w:rPr>
        <w:t>.</w:t>
      </w:r>
      <w:r>
        <w:rPr>
          <w:rStyle w:val="FootnoteAnchor"/>
          <w:rtl w:val="true"/>
        </w:rPr>
        <w:footnoteReference w:id="24"/>
      </w:r>
      <w:r>
        <w:rPr>
          <w:rFonts w:ascii="IRNazanin" w:hAnsi="IRNazanin" w:eastAsia="IRNazanin"/>
          <w:color w:val="111111"/>
          <w:sz w:val="28"/>
          <w:sz w:val="28"/>
          <w:szCs w:val="28"/>
          <w:rtl w:val="true"/>
          <w:lang w:bidi="fa-IR"/>
        </w:rPr>
        <w:t>حنبلی‌ها همانند حنفی‌ها، واجبات را در مرتبه بعد از فرض می دانند؛ با این تفاوت که ترک واجب از روی عمد و علم، به هر صورت موجب بطلان عبادت می‌گردد، ولی ترک سهوی آن سبب باطل شدن نماز نمی شود و با سجده سهو جبران‌پذیر است</w:t>
      </w:r>
      <w:r>
        <w:rPr>
          <w:rFonts w:eastAsia="IRNazanin" w:cs="IRNazanin"/>
          <w:color w:val="111111"/>
          <w:sz w:val="28"/>
          <w:szCs w:val="28"/>
          <w:rtl w:val="true"/>
          <w:lang w:bidi="fa-IR"/>
        </w:rPr>
        <w:t>.</w:t>
      </w:r>
      <w:r>
        <w:rPr>
          <w:rStyle w:val="FootnoteAnchor"/>
          <w:rtl w:val="true"/>
        </w:rPr>
        <w:footnoteReference w:id="25"/>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قسم دوم از سنت، سنت غیرمؤکده است که از آن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مندوب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مستحب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می‌کنند، که انجامش ثواب و پاداش دارد و ترکش موجب عقاب نمی‌گردد</w:t>
      </w:r>
      <w:r>
        <w:rPr>
          <w:rFonts w:eastAsia="IRNazanin" w:cs="IRNazanin"/>
          <w:color w:val="111111"/>
          <w:sz w:val="28"/>
          <w:szCs w:val="28"/>
          <w:rtl w:val="true"/>
          <w:lang w:bidi="fa-IR"/>
        </w:rPr>
        <w:t xml:space="preserve">. </w:t>
      </w:r>
      <w:bookmarkStart w:id="54" w:name="pg3848_38635"/>
    </w:p>
    <w:p>
      <w:pPr>
        <w:pStyle w:val="Heading4"/>
        <w:numPr>
          <w:ilvl w:val="3"/>
          <w:numId w:val="1"/>
        </w:numPr>
        <w:rPr/>
      </w:pPr>
      <w:bookmarkStart w:id="55" w:name="__RefHeading___Toc1510119_2281741623"/>
      <w:bookmarkStart w:id="56" w:name="_Toc21"/>
      <w:bookmarkEnd w:id="54"/>
      <w:bookmarkEnd w:id="55"/>
      <w:r>
        <w:rPr>
          <w:rtl w:val="true"/>
        </w:rPr>
        <w:t>مندوب، مستحب و</w:t>
      </w:r>
      <w:r>
        <w:rPr>
          <w:rtl w:val="true"/>
        </w:rPr>
        <w:t>...</w:t>
      </w:r>
      <w:bookmarkEnd w:id="56"/>
    </w:p>
    <w:p>
      <w:pPr>
        <w:pStyle w:val="BookText"/>
        <w:rPr/>
      </w:pPr>
      <w:r>
        <w:rPr>
          <w:rFonts w:ascii="IRNazanin" w:hAnsi="IRNazanin" w:eastAsia="IRNazanin"/>
          <w:color w:val="111111"/>
          <w:sz w:val="28"/>
          <w:sz w:val="28"/>
          <w:szCs w:val="28"/>
          <w:rtl w:val="true"/>
          <w:lang w:bidi="fa-IR"/>
        </w:rPr>
        <w:t xml:space="preserve">چند اصطلاح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مندوب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مستحب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تطوّع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مذاهب امامیه، شافعی و حنبلی، الفاظ مشترک و مترادف‌اند و یک معنا را می‌رسانند، و آن عملی است که انجامش ثواب دارد، ولی ترکش عقاب و گناه شمرده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حنبلیها و شیعه، سنت و مستحب را به مؤکده و غیرمؤکده، ولی شافعی‌ها آن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سنت 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کفایه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تقسیم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از دید مالکی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است که شارع مقدس آن را خواسته و بر آن تأکید کرده و آن را عظیم شمرده، ولی دلیلی بر وجوب آن در دست نیست و از نظر حکم شرعی انجامش پاداش دارد، ولی ترکش عقاب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مستحب و مندوب از منظر این مذهب، آن است که شارع آن را خواسته، ولی بر آن تأکید ندارد</w:t>
      </w:r>
      <w:r>
        <w:rPr>
          <w:rFonts w:eastAsia="IRNazanin" w:cs="IRNazanin"/>
          <w:color w:val="111111"/>
          <w:sz w:val="28"/>
          <w:szCs w:val="28"/>
          <w:rtl w:val="true"/>
          <w:lang w:bidi="fa-IR"/>
        </w:rPr>
        <w:t>.</w:t>
      </w:r>
      <w:r>
        <w:rPr>
          <w:rStyle w:val="FootnoteAnchor"/>
          <w:rtl w:val="true"/>
        </w:rPr>
        <w:footnoteReference w:id="26"/>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یادآوری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اصطلاح و نام‌گذاری، نوعی قرارداد است و هر کس می‌تواند اصطلاحی برای خود داشته باشد و نزاعی نیز در نام‌گذاری و اصطلاح نیست</w:t>
      </w:r>
      <w:r>
        <w:rPr>
          <w:rFonts w:eastAsia="IRNazanin" w:cs="IRNazanin"/>
          <w:color w:val="111111"/>
          <w:sz w:val="28"/>
          <w:szCs w:val="28"/>
          <w:rtl w:val="true"/>
          <w:lang w:bidi="fa-IR"/>
        </w:rPr>
        <w:t>.</w:t>
      </w:r>
      <w:r>
        <w:rPr>
          <w:rStyle w:val="FootnoteAnchor"/>
          <w:rtl w:val="true"/>
        </w:rPr>
        <w:footnoteReference w:id="27"/>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57" w:name="pg3848_38637"/>
      <w:bookmarkStart w:id="58" w:name="pg3848_38637"/>
      <w:bookmarkEnd w:id="58"/>
    </w:p>
    <w:p>
      <w:pPr>
        <w:pStyle w:val="Heading2"/>
        <w:numPr>
          <w:ilvl w:val="1"/>
          <w:numId w:val="1"/>
        </w:numPr>
        <w:rPr/>
      </w:pPr>
      <w:bookmarkStart w:id="59" w:name="pg3848_38637"/>
      <w:bookmarkStart w:id="60" w:name="__RefHeading___Toc1510121_2281741623"/>
      <w:bookmarkStart w:id="61" w:name="_Toc22"/>
      <w:bookmarkEnd w:id="59"/>
      <w:bookmarkEnd w:id="60"/>
      <w:r>
        <w:rPr>
          <w:rtl w:val="true"/>
        </w:rPr>
        <w:t>بخش دوم</w:t>
      </w:r>
      <w:r>
        <w:rPr>
          <w:rtl w:val="true"/>
        </w:rPr>
        <w:t xml:space="preserve">: </w:t>
      </w:r>
      <w:r>
        <w:rPr>
          <w:rtl w:val="true"/>
        </w:rPr>
        <w:t>مقدمات نماز</w:t>
      </w:r>
      <w:bookmarkEnd w:id="61"/>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62" w:name="__RefHeading___Toc1510123_2281741623"/>
      <w:bookmarkStart w:id="63" w:name="_Toc23"/>
      <w:bookmarkEnd w:id="62"/>
      <w:r>
        <w:rPr>
          <w:rtl w:val="true"/>
        </w:rPr>
        <w:t>اشاره</w:t>
      </w:r>
      <w:bookmarkStart w:id="64" w:name="pg3848_38638"/>
      <w:bookmarkEnd w:id="63"/>
    </w:p>
    <w:p>
      <w:pPr>
        <w:pStyle w:val="Heading3"/>
        <w:numPr>
          <w:ilvl w:val="2"/>
          <w:numId w:val="1"/>
        </w:numPr>
        <w:rPr/>
      </w:pPr>
      <w:bookmarkStart w:id="65" w:name="__RefHeading___Toc1510125_2281741623"/>
      <w:bookmarkStart w:id="66" w:name="_Toc24"/>
      <w:bookmarkEnd w:id="64"/>
      <w:bookmarkEnd w:id="65"/>
      <w:r>
        <w:rPr>
          <w:rtl w:val="true"/>
        </w:rPr>
        <w:t>فصل اول</w:t>
      </w:r>
      <w:r>
        <w:rPr>
          <w:rtl w:val="true"/>
        </w:rPr>
        <w:t xml:space="preserve">: </w:t>
      </w:r>
      <w:r>
        <w:rPr>
          <w:rtl w:val="true"/>
        </w:rPr>
        <w:t>وضو</w:t>
      </w:r>
      <w:bookmarkEnd w:id="66"/>
    </w:p>
    <w:p>
      <w:pPr>
        <w:pStyle w:val="Heading4"/>
        <w:numPr>
          <w:ilvl w:val="3"/>
          <w:numId w:val="1"/>
        </w:numPr>
        <w:rPr/>
      </w:pPr>
      <w:bookmarkStart w:id="67" w:name="__RefHeading___Toc1510127_2281741623"/>
      <w:bookmarkStart w:id="68" w:name="_Toc25"/>
      <w:bookmarkEnd w:id="67"/>
      <w:r>
        <w:rPr>
          <w:rtl w:val="true"/>
        </w:rPr>
        <w:t>اشاره</w:t>
      </w:r>
      <w:bookmarkEnd w:id="6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طهارت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احکامی است که همه مسلمانان در وجوب و شرطیت آن برای نمازهای یومیه اتفاق نظر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گفته تمامی فقها، این طهارت اگر به وسیله غسل جنابت باشد، از وضو کفایت می کند و جایگزین آن می شود؛ یعنی کسی که غسل جنابت انجام داده، لازم نیست وضو بگیرد، ولی طهارت در شخصی که غسل جنابت بر او واجب نباشد، به وسیله وضو محقق می شود</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وضو، اسم مصدر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 آن توضّأ و مصدرش التوضّوء، یا وَضُوءَ و مصدرش وضائه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وضو در لغت اسم است برای نظافت و حسن</w:t>
      </w:r>
      <w:r>
        <w:rPr>
          <w:rFonts w:eastAsia="IRNazanin" w:cs="IRNazanin"/>
          <w:color w:val="111111"/>
          <w:sz w:val="28"/>
          <w:szCs w:val="28"/>
          <w:rtl w:val="true"/>
          <w:lang w:bidi="fa-IR"/>
        </w:rPr>
        <w:t>.</w:t>
      </w:r>
      <w:r>
        <w:rPr>
          <w:rStyle w:val="FootnoteAnchor"/>
          <w:rtl w:val="true"/>
        </w:rPr>
        <w:footnoteReference w:id="28"/>
      </w:r>
      <w:r>
        <w:rPr>
          <w:rFonts w:ascii="IRNazanin" w:hAnsi="IRNazanin" w:eastAsia="IRNazanin"/>
          <w:color w:val="111111"/>
          <w:sz w:val="28"/>
          <w:sz w:val="28"/>
          <w:szCs w:val="28"/>
          <w:rtl w:val="true"/>
          <w:lang w:bidi="fa-IR"/>
        </w:rPr>
        <w:t xml:space="preserve">در اصطلاح فقهی نیز به معنای شستن صورت و دست‌ها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غَسْلتان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مسح سر و پاها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مَسْحَتان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اساس دستور شارع مقدس اسلام است</w:t>
      </w:r>
      <w:r>
        <w:rPr>
          <w:rFonts w:eastAsia="IRNazanin" w:cs="IRNazanin"/>
          <w:color w:val="111111"/>
          <w:sz w:val="28"/>
          <w:szCs w:val="28"/>
          <w:rtl w:val="true"/>
          <w:lang w:bidi="fa-IR"/>
        </w:rPr>
        <w:t xml:space="preserve">. </w:t>
      </w:r>
      <w:bookmarkStart w:id="69" w:name="pg3848_38639"/>
    </w:p>
    <w:p>
      <w:pPr>
        <w:pStyle w:val="Heading4"/>
        <w:numPr>
          <w:ilvl w:val="3"/>
          <w:numId w:val="1"/>
        </w:numPr>
        <w:rPr/>
      </w:pPr>
      <w:bookmarkStart w:id="70" w:name="__RefHeading___Toc1510129_2281741623"/>
      <w:bookmarkStart w:id="71" w:name="_Toc26"/>
      <w:bookmarkEnd w:id="69"/>
      <w:bookmarkEnd w:id="70"/>
      <w:r>
        <w:rPr>
          <w:rtl w:val="true"/>
        </w:rPr>
        <w:t>منشأ اختلاف</w:t>
      </w:r>
      <w:bookmarkEnd w:id="71"/>
    </w:p>
    <w:p>
      <w:pPr>
        <w:pStyle w:val="BookText"/>
        <w:rPr/>
      </w:pPr>
      <w:r>
        <w:rPr>
          <w:rFonts w:ascii="IRNazanin" w:hAnsi="IRNazanin" w:eastAsia="IRNazanin"/>
          <w:color w:val="111111"/>
          <w:sz w:val="28"/>
          <w:sz w:val="28"/>
          <w:szCs w:val="28"/>
          <w:rtl w:val="true"/>
          <w:lang w:bidi="fa-IR"/>
        </w:rPr>
        <w:t xml:space="preserve">پس از تشریع نماز و اعلام مشروط بودن آن به طهارت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صلوة الاّ بطهور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29"/>
      </w:r>
      <w:r>
        <w:rPr>
          <w:rFonts w:ascii="IRNazanin" w:hAnsi="IRNazanin" w:eastAsia="IRNazanin"/>
          <w:color w:val="111111"/>
          <w:sz w:val="28"/>
          <w:sz w:val="28"/>
          <w:szCs w:val="28"/>
          <w:rtl w:val="true"/>
          <w:lang w:bidi="fa-IR"/>
        </w:rPr>
        <w:t>مسلمانان با هر مذهب و عقیده ای، به‌رغم اتفاق در لزوم طهارت، سالیانی نه چندان دور از عصر رسالت، در برخی از فروع آن اختلاف نظر پیدا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پرسش اساسی و قابل تأمل در این بحث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مسلمانان، در امری چونان وضو اختلاف کردند؛ امری که پیامبرشان در مدت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هر روز چندین بار در برابر دیدگان مسلمانان انجام می داد؟ مردمی که پیامبر صلی الله علیه و آله را الگوی خود می‌دانستند و به آثار وجودی ایشان تبرک می‌جستند و هر گاه حضرت وضو می‌ساخت، آب وضوی او بر زمین نمی‌افتاد،</w:t>
      </w:r>
      <w:r>
        <w:rPr>
          <w:rStyle w:val="FootnoteAnchor"/>
          <w:rtl w:val="true"/>
        </w:rPr>
        <w:footnoteReference w:id="30"/>
      </w:r>
      <w:r>
        <w:rPr>
          <w:rFonts w:ascii="IRNazanin" w:hAnsi="IRNazanin" w:eastAsia="IRNazanin"/>
          <w:color w:val="111111"/>
          <w:sz w:val="28"/>
          <w:sz w:val="28"/>
          <w:szCs w:val="28"/>
          <w:rtl w:val="true"/>
          <w:lang w:bidi="fa-IR"/>
        </w:rPr>
        <w:t>با این اوصاف، چگونه این عمل مشهور، دستخوش ابهام گردید؟</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برای رسیدن به پاسخ، نگاهی به تاریخچه این بحث، نکته‌های ناگفته ای را آشکار می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مسلّم است اینکه در عصر نبوی، مسلمانان به یک شیوه وضو می‌گرفتند و با اقتدا به </w:t>
      </w:r>
    </w:p>
    <w:p>
      <w:pPr>
        <w:pStyle w:val="BookText"/>
        <w:rPr/>
      </w:pPr>
      <w:r>
        <w:rPr>
          <w:rFonts w:ascii="IRNazanin" w:hAnsi="IRNazanin" w:eastAsia="IRNazanin"/>
          <w:color w:val="111111"/>
          <w:sz w:val="28"/>
          <w:sz w:val="28"/>
          <w:szCs w:val="28"/>
          <w:rtl w:val="true"/>
          <w:lang w:bidi="fa-IR"/>
        </w:rPr>
        <w:t>سیره عملی آن حضرت، یکسان وضو می‌ساختند و هیچ‌گونه آیه یا روایتی مبنی بر اینکه پیامبر مسح یا غَسل را به صورت تخییری انجام داده باشد، گزارش نشده است</w:t>
      </w:r>
      <w:r>
        <w:rPr>
          <w:rFonts w:eastAsia="IRNazanin" w:cs="IRNazanin"/>
          <w:color w:val="111111"/>
          <w:sz w:val="28"/>
          <w:szCs w:val="28"/>
          <w:rtl w:val="true"/>
          <w:lang w:bidi="fa-IR"/>
        </w:rPr>
        <w:t>.</w:t>
      </w:r>
      <w:r>
        <w:rPr>
          <w:rStyle w:val="FootnoteAnchor"/>
          <w:rtl w:val="true"/>
        </w:rPr>
        <w:footnoteReference w:id="31"/>
      </w:r>
    </w:p>
    <w:p>
      <w:pPr>
        <w:pStyle w:val="BookText"/>
        <w:rPr/>
      </w:pPr>
      <w:r>
        <w:rPr>
          <w:rFonts w:ascii="IRNazanin" w:hAnsi="IRNazanin" w:eastAsia="IRNazanin"/>
          <w:color w:val="111111"/>
          <w:sz w:val="28"/>
          <w:sz w:val="28"/>
          <w:szCs w:val="28"/>
          <w:rtl w:val="true"/>
          <w:lang w:bidi="fa-IR"/>
        </w:rPr>
        <w:t>نبود اختلاف بدان دلیل بود که پیامبر به عـنـوان قانون‌گذار برگزیده الهی در میان مردم، به آموزش و راهنمایی امت خویش که تازه با اسلام آشنا شـده بودند، می‌پرداخت و می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نماز بگزارید چونان که می بینید من نماز می گزارم</w:t>
      </w:r>
      <w:r>
        <w:rPr>
          <w:rFonts w:eastAsia="IRNazanin" w:cs="IRNazanin"/>
          <w:color w:val="111111"/>
          <w:sz w:val="28"/>
          <w:szCs w:val="28"/>
          <w:rtl w:val="true"/>
          <w:lang w:bidi="fa-IR"/>
        </w:rPr>
        <w:t>".</w:t>
      </w:r>
      <w:r>
        <w:rPr>
          <w:rStyle w:val="FootnoteAnchor"/>
          <w:rtl w:val="true"/>
        </w:rPr>
        <w:footnoteReference w:id="32"/>
      </w:r>
      <w:r>
        <w:rPr>
          <w:rFonts w:ascii="IRNazanin" w:hAnsi="IRNazanin" w:eastAsia="IRNazanin"/>
          <w:color w:val="111111"/>
          <w:sz w:val="28"/>
          <w:sz w:val="28"/>
          <w:szCs w:val="28"/>
          <w:rtl w:val="true"/>
          <w:lang w:bidi="fa-IR"/>
        </w:rPr>
        <w:t>بر این پایه، در میان مردمان اختلافی در این باره به وجود نیامد؛ به ویژه آنکه همه به یک شخص رجوع می کردند و احکام خویش را از او می‌گرفتند و از خداوند نـیـز چـنـیـن فـرمـان داشـتـنـد کـه اگـر در چـیـزی نـزاع کردید، آن را به خدا و پیامبر برگردانید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فإن تَنَازَعتُم فِی شَیءٍ فَرُدُّوهُ اِلی اللّه والرَّسُول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نساء</w:t>
      </w:r>
      <w:r>
        <w:rPr>
          <w:rFonts w:eastAsia="IRNazanin" w:cs="IRNazanin"/>
          <w:color w:val="111111"/>
          <w:sz w:val="28"/>
          <w:szCs w:val="28"/>
          <w:rtl w:val="true"/>
          <w:lang w:bidi="fa-IR"/>
        </w:rPr>
        <w:t xml:space="preserve">: </w:t>
      </w:r>
      <w:r>
        <w:rPr>
          <w:rFonts w:eastAsia="IRNazanin" w:cs="IRNazanin"/>
          <w:color w:val="111111"/>
          <w:sz w:val="28"/>
          <w:szCs w:val="28"/>
          <w:lang w:bidi="fa-IR"/>
        </w:rPr>
        <w:t>58</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همین دلیل، در عهد ابوبکر </w:t>
      </w:r>
      <w:r>
        <w:rPr>
          <w:rFonts w:eastAsia="IRNazanin" w:cs="IRNazanin"/>
          <w:color w:val="111111"/>
          <w:sz w:val="28"/>
          <w:szCs w:val="28"/>
          <w:rtl w:val="true"/>
          <w:lang w:bidi="fa-IR"/>
        </w:rPr>
        <w:t>(</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اختلافی در شیوه وضو گرفتن روایت نشده است؛ زیرا اگر در این خصوص اختلافی وجود داشت، معلوم می‌شد و برای نسل‌های بعدی می‌ماند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ابوبکر، عمر </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خلافت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w:t>
      </w:r>
    </w:p>
    <w:p>
      <w:pPr>
        <w:pStyle w:val="BookText"/>
        <w:rPr/>
      </w:pPr>
      <w:r>
        <w:rPr>
          <w:rFonts w:ascii="IRNazanin" w:hAnsi="IRNazanin" w:eastAsia="IRNazanin"/>
          <w:color w:val="111111"/>
          <w:sz w:val="28"/>
          <w:sz w:val="28"/>
          <w:szCs w:val="28"/>
          <w:rtl w:val="true"/>
          <w:lang w:bidi="fa-IR"/>
        </w:rPr>
        <w:t xml:space="preserve">عصر نیز اختلاف و مناقشه‌ای در کیفیت وضو گرفتن روایت نشده و تنها مسأله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مسح بر خُفّین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Style w:val="FootnoteAnchor"/>
          <w:rtl w:val="true"/>
        </w:rPr>
        <w:footnoteReference w:id="33"/>
      </w:r>
      <w:r>
        <w:rPr>
          <w:rFonts w:ascii="IRNazanin" w:hAnsi="IRNazanin" w:eastAsia="IRNazanin"/>
          <w:color w:val="111111"/>
          <w:sz w:val="28"/>
          <w:sz w:val="28"/>
          <w:szCs w:val="28"/>
          <w:rtl w:val="true"/>
          <w:lang w:bidi="fa-IR"/>
        </w:rPr>
        <w:t>که از سوی عمر مطرح شد و برخی از صحابه به مخالفت با او برخاستند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اختلاف هم به اندازه ای نبود که شکل یک مکتب به خود بـگـیـرد، بـلکه بیشتر روایت هایی که از خلیفه دوم درباره وضو رسیده، درباره مسأله‌ای جـزئی یـا در زمـینه حالتی از حالت های وضو است ودر این دوره به اختلاف های دیگری در میان صـحـابـه در مسأله وضو برنمی خوریم</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کـتاب‌های سیره و تاریخ نقل شده است که خلیفه دوم شلاق برمی داشت و در کوچه و بازار می گشت تا احکام و آدابی را که فراگرفتنش بر مردم لازم بود، به آنان بیاموزد</w:t>
      </w:r>
      <w:r>
        <w:rPr>
          <w:rFonts w:eastAsia="IRNazanin" w:cs="IRNazanin"/>
          <w:color w:val="111111"/>
          <w:sz w:val="28"/>
          <w:szCs w:val="28"/>
          <w:rtl w:val="true"/>
          <w:lang w:bidi="fa-IR"/>
        </w:rPr>
        <w:t>.</w:t>
      </w:r>
      <w:r>
        <w:rPr>
          <w:rStyle w:val="FootnoteAnchor"/>
          <w:rtl w:val="true"/>
        </w:rPr>
        <w:footnoteReference w:id="34"/>
      </w:r>
      <w:r>
        <w:rPr>
          <w:rFonts w:ascii="IRNazanin" w:hAnsi="IRNazanin" w:eastAsia="IRNazanin"/>
          <w:color w:val="111111"/>
          <w:sz w:val="28"/>
          <w:sz w:val="28"/>
          <w:szCs w:val="28"/>
          <w:rtl w:val="true"/>
          <w:lang w:bidi="fa-IR"/>
        </w:rPr>
        <w:t>همچنین آمده است که به مسائل فقه اهتمامی فـراوان داشـت و اگر مسأله‌ای دشوار در میان بود، بزرگان صحابه را فرامی خواند و با آنان رایزنی می کرد و آن‌گاه نتیجه فقهی مطلوب را از ایـن رایـزنـی بـیـرون مـی کـشید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نمونه، می بینیم که بحث‌های فقهی و علمی را با صحابیان معاصر چون علی بن </w:t>
      </w:r>
      <w:bookmarkStart w:id="72" w:name="pg3848_38642"/>
    </w:p>
    <w:p>
      <w:pPr>
        <w:pStyle w:val="BookText"/>
        <w:rPr/>
      </w:pPr>
      <w:bookmarkEnd w:id="72"/>
      <w:r>
        <w:rPr>
          <w:rFonts w:ascii="IRNazanin" w:hAnsi="IRNazanin" w:eastAsia="IRNazanin"/>
          <w:color w:val="111111"/>
          <w:sz w:val="28"/>
          <w:sz w:val="28"/>
          <w:szCs w:val="28"/>
          <w:rtl w:val="true"/>
          <w:lang w:bidi="fa-IR"/>
        </w:rPr>
        <w:t>ابی‌طالب علیه السلام ، عبداللّه بن عباس، زبیر، طلحه، عبداللّه بن مسعود و دیگران در میان می‌گذاشت و از آنان نظر می‌خواهد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اینکه خلیفه دوم بر لزوم آمـوخـتن وضو به مسلمانان تأکید نمی‌کرد، خود دلیل آن است که در دوران او، اختلاف مسلمانان در این باره اندک بود و هنوز بدان پایه نرسیده بود که دو شیوه جدای از هـم را ـ آن سـان کـه امروز دیده می‌شود ـ تشکیل دهد</w:t>
      </w:r>
      <w:r>
        <w:rPr>
          <w:rFonts w:eastAsia="IRNazanin" w:cs="IRNazanin"/>
          <w:color w:val="111111"/>
          <w:sz w:val="28"/>
          <w:szCs w:val="28"/>
          <w:rtl w:val="true"/>
          <w:lang w:bidi="fa-IR"/>
        </w:rPr>
        <w:t>.</w:t>
      </w:r>
      <w:r>
        <w:rPr>
          <w:rStyle w:val="FootnoteAnchor"/>
          <w:rtl w:val="true"/>
        </w:rPr>
        <w:footnoteReference w:id="35"/>
      </w:r>
    </w:p>
    <w:p>
      <w:pPr>
        <w:pStyle w:val="Heading4"/>
        <w:numPr>
          <w:ilvl w:val="3"/>
          <w:numId w:val="1"/>
        </w:numPr>
        <w:rPr/>
      </w:pPr>
      <w:bookmarkStart w:id="73" w:name="__RefHeading___Toc1510131_2281741623"/>
      <w:bookmarkStart w:id="74" w:name="_Toc27"/>
      <w:bookmarkEnd w:id="73"/>
      <w:r>
        <w:rPr>
          <w:rtl w:val="true"/>
        </w:rPr>
        <w:t>بنیان گذار اختلاف در وضو</w:t>
      </w:r>
      <w:bookmarkEnd w:id="74"/>
    </w:p>
    <w:p>
      <w:pPr>
        <w:pStyle w:val="BookText"/>
        <w:rPr/>
      </w:pPr>
      <w:r>
        <w:rPr>
          <w:rFonts w:ascii="IRNazanin" w:hAnsi="IRNazanin" w:eastAsia="IRNazanin"/>
          <w:color w:val="111111"/>
          <w:sz w:val="28"/>
          <w:sz w:val="28"/>
          <w:szCs w:val="28"/>
          <w:rtl w:val="true"/>
          <w:lang w:bidi="fa-IR"/>
        </w:rPr>
        <w:t xml:space="preserve">اگر چنین است، از چه زمانی و به دست چه کسی اختلاف در بحث وضو و تغییر در روش و سنت پیامبر پدیدار شد؟ بر پایه گزارش‌های تاریخی، انگشت اشاره به سمت عثمان بن عفان </w:t>
      </w:r>
      <w:r>
        <w:rPr>
          <w:rFonts w:eastAsia="IRNazanin" w:cs="IRNazanin"/>
          <w:color w:val="111111"/>
          <w:sz w:val="28"/>
          <w:szCs w:val="28"/>
          <w:rtl w:val="true"/>
          <w:lang w:bidi="fa-IR"/>
        </w:rPr>
        <w:t>(</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35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او در میان خلفای غاصب سه گانه، تنها کسی است که چگونگی وضوی پیامبر را با کیفیت جدیدی نقل کرد و غَسل رِجلین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شستن پاها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جزء وضو دانست و در بیش از بیست روایت، کیفیت وضوی پیامبر را برای مردم با نوعی تغییر حکایت نمود</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بخاری و مسلم از ابن‌شهاب چنین نقل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عثمان بن </w:t>
      </w:r>
    </w:p>
    <w:p>
      <w:pPr>
        <w:pStyle w:val="BookText"/>
        <w:rPr/>
      </w:pPr>
      <w:r>
        <w:rPr>
          <w:rFonts w:ascii="IRNazanin" w:hAnsi="IRNazanin" w:eastAsia="IRNazanin"/>
          <w:color w:val="111111"/>
          <w:sz w:val="28"/>
          <w:sz w:val="28"/>
          <w:szCs w:val="28"/>
          <w:rtl w:val="true"/>
          <w:lang w:bidi="fa-IR"/>
        </w:rPr>
        <w:t>عفان آهنگ وضو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دو دست خود را سه بار 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مضمضه و استنشاق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سه بار صورت خود را 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دست راست خود را تا مِرفق سه بار شست‌وشو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دست چپ خویش را به همین گونه 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سر خود را مسح کرد و سپس پای راست خویش را تا برآمدگی روی پا سـه بـار شـست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ازآن پای چپ خود را به همین گونه شست‌وشو داد و در پی آن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دیدم رسول خدا صلی الله علیه و آله وضویی همانند این وضوی من گرفت</w:t>
      </w:r>
      <w:r>
        <w:rPr>
          <w:rFonts w:eastAsia="IRNazanin" w:cs="IRNazanin"/>
          <w:color w:val="111111"/>
          <w:sz w:val="28"/>
          <w:szCs w:val="28"/>
          <w:rtl w:val="true"/>
          <w:lang w:bidi="fa-IR"/>
        </w:rPr>
        <w:t>.</w:t>
      </w:r>
      <w:r>
        <w:rPr>
          <w:rStyle w:val="FootnoteAnchor"/>
          <w:rtl w:val="true"/>
        </w:rPr>
        <w:footnoteReference w:id="36"/>
      </w:r>
    </w:p>
    <w:p>
      <w:pPr>
        <w:pStyle w:val="BookText"/>
        <w:rPr/>
      </w:pPr>
      <w:r>
        <w:rPr>
          <w:rFonts w:ascii="IRNazanin" w:hAnsi="IRNazanin" w:eastAsia="IRNazanin"/>
          <w:color w:val="111111"/>
          <w:sz w:val="28"/>
          <w:sz w:val="28"/>
          <w:szCs w:val="28"/>
          <w:rtl w:val="true"/>
          <w:lang w:bidi="fa-IR"/>
        </w:rPr>
        <w:t>در روایت دیگری، عثمان تصریح می‌کند که احادیث مردم درباره وضوی پیامبر را نپذیرفته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مـسـلـم در صـحـیـح خـود نقل کرده که حمران، خادم عثمان گـفـت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آبی برای وضو نزد عثمان بردم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وضو گرفت و سپس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مردم حدیث هایی از پیامبر خدا صلی الله علیه و آله نقل می کنند که نمی دانم چیست؛ جز آنکه دیدم رسول خدا صلی الله علیه و آله وضویی همانند این وضوی من گرفت و آن‌گاه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چنین وضو بگیرد، همه گناهان گذشته او آمرزیده می شود</w:t>
      </w:r>
      <w:r>
        <w:rPr>
          <w:rFonts w:eastAsia="IRNazanin" w:cs="IRNazanin"/>
          <w:color w:val="111111"/>
          <w:sz w:val="28"/>
          <w:szCs w:val="28"/>
          <w:rtl w:val="true"/>
          <w:lang w:bidi="fa-IR"/>
        </w:rPr>
        <w:t>.</w:t>
      </w:r>
      <w:r>
        <w:rPr>
          <w:rStyle w:val="FootnoteAnchor"/>
          <w:rtl w:val="true"/>
        </w:rPr>
        <w:footnoteReference w:id="37"/>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بنابراین، تنها عثمان است که ادعا می‌کند وضوی پیامبر را </w:t>
      </w:r>
    </w:p>
    <w:p>
      <w:pPr>
        <w:pStyle w:val="BookText"/>
        <w:rPr/>
      </w:pPr>
      <w:r>
        <w:rPr>
          <w:rFonts w:ascii="IRNazanin" w:hAnsi="IRNazanin" w:eastAsia="IRNazanin"/>
          <w:color w:val="111111"/>
          <w:sz w:val="28"/>
          <w:sz w:val="28"/>
          <w:szCs w:val="28"/>
          <w:rtl w:val="true"/>
          <w:lang w:bidi="fa-IR"/>
        </w:rPr>
        <w:t>چنین دیده که ایشان پاهای خویش را غَسل می‌کرده، در حالی که دیگر صحابه، چنین ادعایی نداشتند و در برخی موارد، با بیان‌های گوناگون، با نظر و رأی عثمان مخالفت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نمونه، امام علی علیه السلام در دوران خلافتش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وضو ساخت و پس از آن وضوی پیامبر را توصیف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وضوی کسی است که در دین نوساخته 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نیاورده است</w:t>
      </w:r>
      <w:r>
        <w:rPr>
          <w:rFonts w:eastAsia="IRNazanin" w:cs="IRNazanin"/>
          <w:color w:val="111111"/>
          <w:sz w:val="28"/>
          <w:szCs w:val="28"/>
          <w:rtl w:val="true"/>
          <w:lang w:bidi="fa-IR"/>
        </w:rPr>
        <w:t>.</w:t>
      </w:r>
      <w:r>
        <w:rPr>
          <w:rStyle w:val="FootnoteAnchor"/>
          <w:rtl w:val="true"/>
        </w:rPr>
        <w:footnoteReference w:id="38"/>
      </w:r>
      <w:r>
        <w:rPr>
          <w:rFonts w:ascii="IRNazanin" w:hAnsi="IRNazanin" w:eastAsia="IRNazanin"/>
          <w:color w:val="111111"/>
          <w:sz w:val="28"/>
          <w:sz w:val="28"/>
          <w:szCs w:val="28"/>
          <w:rtl w:val="true"/>
          <w:lang w:bidi="fa-IR"/>
        </w:rPr>
        <w:t xml:space="preserve">ابن‌عباس نیز در حدیث مشهوری بیان کرده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الوضوء غَسلتان و مَسحتان؛ وضو دارای دو غسل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صورت و دستان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دو مسح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 و پاها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Style w:val="FootnoteAnchor"/>
          <w:rtl w:val="true"/>
        </w:rPr>
        <w:footnoteReference w:id="39"/>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سرچشمه اختلاف در مسأله وضو و عامل ریـشه گسترانیدن این اختلاف، به خلیفه سوم بازمی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چرا عثمان چنین اختلافی را پی‌ریزی کرد و چه اهدافی از این کار داشت، سخنی است که در این مختصر نمی گنجد؛ تنها به سخنی از دکتر محمد سلام مدکور بسنده می‌کنیم و پژوهشگران محترم را به کتاب های نوشته شده در این زمینه، از جمله کتاب وضوء النبی شهرستانی ارجاع می دهیم</w:t>
      </w:r>
      <w:r>
        <w:rPr>
          <w:rFonts w:eastAsia="IRNazanin" w:cs="IRNazanin"/>
          <w:color w:val="111111"/>
          <w:sz w:val="28"/>
          <w:szCs w:val="28"/>
          <w:rtl w:val="true"/>
          <w:lang w:bidi="fa-IR"/>
        </w:rPr>
        <w:t xml:space="preserve">. </w:t>
      </w:r>
      <w:bookmarkStart w:id="75" w:name="pg3848_38645"/>
    </w:p>
    <w:p>
      <w:pPr>
        <w:pStyle w:val="BookText"/>
        <w:rPr/>
      </w:pPr>
      <w:bookmarkEnd w:id="75"/>
      <w:r>
        <w:rPr>
          <w:rFonts w:ascii="IRNazanin" w:hAnsi="IRNazanin" w:eastAsia="IRNazanin"/>
          <w:color w:val="111111"/>
          <w:sz w:val="28"/>
          <w:sz w:val="28"/>
          <w:szCs w:val="28"/>
          <w:rtl w:val="true"/>
          <w:lang w:bidi="fa-IR"/>
        </w:rPr>
        <w:t>دکتر مدکور 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دوران پیامبر و در زمانی که او خود میان مردم می‌زیست و برای آن قانون می گزارد و به ایشان رجـوع می کردند، هیچ راهی برای اختلاف نظر میان صحابه وجود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پس از درگذشت آن حـضـرت، زمـیـنـه هـا و عـوامـل گـوناگونی پدید آمد که به اختلاف نظر و در پیش گرفتن رویکردهای گوناگون انجامید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سیاست هم در این زمینه بی تأثیر نبود</w:t>
      </w:r>
      <w:r>
        <w:rPr>
          <w:rFonts w:eastAsia="IRNazanin" w:cs="IRNazanin"/>
          <w:color w:val="111111"/>
          <w:sz w:val="28"/>
          <w:szCs w:val="28"/>
          <w:rtl w:val="true"/>
          <w:lang w:bidi="fa-IR"/>
        </w:rPr>
        <w:t>!!</w:t>
      </w:r>
      <w:r>
        <w:rPr>
          <w:rStyle w:val="FootnoteAnchor"/>
          <w:rtl w:val="true"/>
        </w:rPr>
        <w:footnoteReference w:id="40"/>
      </w:r>
    </w:p>
    <w:p>
      <w:pPr>
        <w:pStyle w:val="Heading4"/>
        <w:numPr>
          <w:ilvl w:val="3"/>
          <w:numId w:val="1"/>
        </w:numPr>
        <w:rPr/>
      </w:pPr>
      <w:bookmarkStart w:id="76" w:name="__RefHeading___Toc1510133_2281741623"/>
      <w:bookmarkStart w:id="77" w:name="_Toc28"/>
      <w:bookmarkEnd w:id="76"/>
      <w:r>
        <w:rPr>
          <w:rtl w:val="true"/>
        </w:rPr>
        <w:t>موارد اختلافی در وضو</w:t>
      </w:r>
      <w:bookmarkEnd w:id="77"/>
    </w:p>
    <w:p>
      <w:pPr>
        <w:pStyle w:val="Heading5"/>
        <w:numPr>
          <w:ilvl w:val="4"/>
          <w:numId w:val="1"/>
        </w:numPr>
        <w:rPr/>
      </w:pPr>
      <w:bookmarkStart w:id="78" w:name="__RefHeading___Toc1510135_2281741623"/>
      <w:bookmarkStart w:id="79" w:name="_Toc29"/>
      <w:bookmarkEnd w:id="78"/>
      <w:r>
        <w:rPr>
          <w:rtl w:val="true"/>
        </w:rPr>
        <w:t>اشاره</w:t>
      </w:r>
      <w:bookmarkEnd w:id="79"/>
    </w:p>
    <w:p>
      <w:pPr>
        <w:pStyle w:val="BookText"/>
        <w:rPr/>
      </w:pPr>
      <w:r>
        <w:rPr>
          <w:rFonts w:ascii="IRNazanin" w:hAnsi="IRNazanin" w:eastAsia="IRNazanin"/>
          <w:color w:val="111111"/>
          <w:sz w:val="28"/>
          <w:sz w:val="28"/>
          <w:szCs w:val="28"/>
          <w:rtl w:val="true"/>
          <w:lang w:bidi="fa-IR"/>
        </w:rPr>
        <w:t>اکنون پس از این مقدمات، به چهار حکم از موارد مهم اختلافی در وضو بر مبنای مذاهب اسلامی اشاره می کنیم و سپس به توضیح و تبیین چند نکته می پردازیم</w:t>
      </w:r>
      <w:r>
        <w:rPr>
          <w:rFonts w:eastAsia="IRNazanin" w:cs="IRNazanin"/>
          <w:color w:val="111111"/>
          <w:sz w:val="28"/>
          <w:szCs w:val="28"/>
          <w:rtl w:val="true"/>
          <w:lang w:bidi="fa-IR"/>
        </w:rPr>
        <w:t>.</w:t>
      </w:r>
    </w:p>
    <w:p>
      <w:pPr>
        <w:pStyle w:val="Heading5"/>
        <w:numPr>
          <w:ilvl w:val="4"/>
          <w:numId w:val="1"/>
        </w:numPr>
        <w:rPr/>
      </w:pPr>
      <w:bookmarkStart w:id="80" w:name="__RefHeading___Toc1510137_2281741623"/>
      <w:bookmarkStart w:id="81" w:name="_Toc30"/>
      <w:bookmarkEnd w:id="80"/>
      <w:r>
        <w:rPr>
          <w:rtl w:val="true"/>
        </w:rPr>
        <w:t>الف</w:t>
      </w:r>
      <w:r>
        <w:rPr>
          <w:rtl w:val="true"/>
        </w:rPr>
        <w:t xml:space="preserve">) </w:t>
      </w:r>
      <w:r>
        <w:rPr>
          <w:rtl w:val="true"/>
        </w:rPr>
        <w:t>شستن صورت</w:t>
      </w:r>
      <w:bookmarkEnd w:id="81"/>
    </w:p>
    <w:p>
      <w:pPr>
        <w:pStyle w:val="BookText"/>
        <w:rPr/>
      </w:pPr>
      <w:r>
        <w:rPr>
          <w:rFonts w:ascii="IRNazanin" w:hAnsi="IRNazanin" w:eastAsia="IRNazanin"/>
          <w:color w:val="111111"/>
          <w:sz w:val="28"/>
          <w:sz w:val="28"/>
          <w:szCs w:val="28"/>
          <w:rtl w:val="true"/>
          <w:lang w:bidi="fa-IR"/>
        </w:rPr>
        <w:t>امامیه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بار شستن صورت از رستنگاه موی سر تا آخر چانه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طول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اندازه پهنای میان انگشت شست و میانه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عرض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واجب است</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حنبلیه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طول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شستن صورت از رستنگاه مو تا آخر چانه برای کسی که ریش ندارد و تمامی ریش ولو طولانی باشد، </w:t>
      </w:r>
    </w:p>
    <w:p>
      <w:pPr>
        <w:pStyle w:val="BookText"/>
        <w:rPr/>
      </w:pPr>
      <w:r>
        <w:rPr>
          <w:rFonts w:ascii="IRNazanin" w:hAnsi="IRNazanin" w:eastAsia="IRNazanin"/>
          <w:color w:val="111111"/>
          <w:sz w:val="28"/>
          <w:sz w:val="28"/>
          <w:szCs w:val="28"/>
          <w:rtl w:val="true"/>
          <w:lang w:bidi="fa-IR"/>
        </w:rPr>
        <w:t xml:space="preserve">برای کسی که ریش دارد واجب است، ولی شستن زیر چانه لازم نیست؛ 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عرض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پهنای صورت و حتی گوش‌ها و داخل دهان و بینی باید شسته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حنفیه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طول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شستن صورت از رستنگاه مو تا آخر چانه برای کسی که ریش ندارد واجب است، ولی کسی که ریش بلند دارد، لازم نیست ریش را بشوید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شستن زیر چانه لازم نیست، ولی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عرض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گوش تا گوش باید شسته شود، ولی شستن خود گوش لازم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شافعیه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طول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شستن صورت از رستنگاه مو تا زیر چانه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هم که ریش بلند دارد، باید تمامی آن را بشوید؛ ولی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عرض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شستن از گوش تا گوش واجب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مالکیه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شستن صورت از رستنگاه مو تا آخر چانه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طول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کسی که ریش ندارد و تمامی ریش برای کسی که ریش دارد، واجب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عرض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شستن از گوش تا گوش واجب می‌باشد</w:t>
      </w:r>
      <w:r>
        <w:rPr>
          <w:rFonts w:eastAsia="IRNazanin" w:cs="IRNazanin"/>
          <w:color w:val="111111"/>
          <w:sz w:val="28"/>
          <w:szCs w:val="28"/>
          <w:rtl w:val="true"/>
          <w:lang w:bidi="fa-IR"/>
        </w:rPr>
        <w:t>.</w:t>
      </w:r>
      <w:r>
        <w:rPr>
          <w:rStyle w:val="FootnoteAnchor"/>
          <w:rtl w:val="true"/>
        </w:rPr>
        <w:footnoteReference w:id="41"/>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فتوای علمای امامیه، شستن صورت از بالا به پایین </w:t>
      </w:r>
      <w:bookmarkStart w:id="82" w:name="pg3848_38647"/>
    </w:p>
    <w:p>
      <w:pPr>
        <w:pStyle w:val="BookText"/>
        <w:rPr/>
      </w:pPr>
      <w:bookmarkEnd w:id="82"/>
      <w:r>
        <w:rPr>
          <w:rFonts w:ascii="IRNazanin" w:hAnsi="IRNazanin" w:eastAsia="IRNazanin"/>
          <w:color w:val="111111"/>
          <w:sz w:val="28"/>
          <w:sz w:val="28"/>
          <w:szCs w:val="28"/>
          <w:rtl w:val="true"/>
          <w:lang w:bidi="fa-IR"/>
        </w:rPr>
        <w:t>واجب است و اگر به عکس بشوید، وضو باطل است؛ ولی مذاهب چهارگانه، شستن از بالا به پایینِ صورت را واجب نمی دانند و هر گونه شسته شود، کافی است</w:t>
      </w:r>
      <w:r>
        <w:rPr>
          <w:rFonts w:eastAsia="IRNazanin" w:cs="IRNazanin"/>
          <w:color w:val="111111"/>
          <w:sz w:val="28"/>
          <w:szCs w:val="28"/>
          <w:rtl w:val="true"/>
          <w:lang w:bidi="fa-IR"/>
        </w:rPr>
        <w:t>.</w:t>
      </w:r>
      <w:r>
        <w:rPr>
          <w:rStyle w:val="FootnoteAnchor"/>
          <w:rtl w:val="true"/>
        </w:rPr>
        <w:footnoteReference w:id="42"/>
      </w:r>
    </w:p>
    <w:p>
      <w:pPr>
        <w:pStyle w:val="Heading5"/>
        <w:numPr>
          <w:ilvl w:val="4"/>
          <w:numId w:val="1"/>
        </w:numPr>
        <w:rPr/>
      </w:pPr>
      <w:bookmarkStart w:id="83" w:name="__RefHeading___Toc1510139_2281741623"/>
      <w:bookmarkStart w:id="84" w:name="_Toc31"/>
      <w:bookmarkEnd w:id="83"/>
      <w:r>
        <w:rPr>
          <w:rtl w:val="true"/>
        </w:rPr>
        <w:t>ب</w:t>
      </w:r>
      <w:r>
        <w:rPr>
          <w:rtl w:val="true"/>
        </w:rPr>
        <w:t xml:space="preserve">) </w:t>
      </w:r>
      <w:r>
        <w:rPr>
          <w:rtl w:val="true"/>
        </w:rPr>
        <w:t>شستن دست ها</w:t>
      </w:r>
      <w:bookmarkEnd w:id="84"/>
    </w:p>
    <w:p>
      <w:pPr>
        <w:pStyle w:val="BookText"/>
        <w:rPr/>
      </w:pPr>
      <w:r>
        <w:rPr>
          <w:rFonts w:ascii="IRNazanin" w:hAnsi="IRNazanin" w:eastAsia="IRNazanin"/>
          <w:color w:val="111111"/>
          <w:sz w:val="28"/>
          <w:sz w:val="28"/>
          <w:szCs w:val="28"/>
          <w:rtl w:val="true"/>
          <w:lang w:bidi="fa-IR"/>
        </w:rPr>
        <w:t>از دیگر موارد اختلاف بحث وضو، کیفیت شستن دست 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شیعه امامیه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شستن دست ها از آرنج تا سر انگشتان، همراه با خودِ آرنج، و نیز مقدم داشتن دست راست بر دست چپ در شستن واجب است</w:t>
      </w:r>
      <w:r>
        <w:rPr>
          <w:rFonts w:eastAsia="IRNazanin" w:cs="IRNazanin"/>
          <w:color w:val="111111"/>
          <w:sz w:val="28"/>
          <w:szCs w:val="28"/>
          <w:rtl w:val="true"/>
          <w:lang w:bidi="fa-IR"/>
        </w:rPr>
        <w:t>.</w:t>
      </w:r>
      <w:r>
        <w:rPr>
          <w:rStyle w:val="FootnoteAnchor"/>
          <w:rtl w:val="true"/>
        </w:rPr>
        <w:footnoteReference w:id="43"/>
      </w:r>
      <w:r>
        <w:rPr>
          <w:rFonts w:ascii="IRNazanin" w:hAnsi="IRNazanin" w:eastAsia="IRNazanin"/>
          <w:color w:val="111111"/>
          <w:sz w:val="28"/>
          <w:sz w:val="28"/>
          <w:szCs w:val="28"/>
          <w:rtl w:val="true"/>
          <w:lang w:bidi="fa-IR"/>
        </w:rPr>
        <w:t>اما مذاهب چهارگانه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گونه شسته شود صحیح است، ولی بهتر این است که از انگشتان شروع و به آرنج ختم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شستن خودِ آرنج واجب است، ولی تقدیم دست راست بر دست چپ واجب نیست، اگرچه افضل است</w:t>
      </w:r>
      <w:r>
        <w:rPr>
          <w:rFonts w:eastAsia="IRNazanin" w:cs="IRNazanin"/>
          <w:color w:val="111111"/>
          <w:sz w:val="28"/>
          <w:szCs w:val="28"/>
          <w:rtl w:val="true"/>
          <w:lang w:bidi="fa-IR"/>
        </w:rPr>
        <w:t>.</w:t>
      </w:r>
      <w:r>
        <w:rPr>
          <w:rStyle w:val="FootnoteAnchor"/>
          <w:rtl w:val="true"/>
        </w:rPr>
        <w:footnoteReference w:id="44"/>
      </w:r>
    </w:p>
    <w:p>
      <w:pPr>
        <w:pStyle w:val="Heading5"/>
        <w:numPr>
          <w:ilvl w:val="4"/>
          <w:numId w:val="1"/>
        </w:numPr>
        <w:rPr/>
      </w:pPr>
      <w:bookmarkStart w:id="85" w:name="__RefHeading___Toc1510141_2281741623"/>
      <w:bookmarkStart w:id="86" w:name="_Toc32"/>
      <w:bookmarkEnd w:id="85"/>
      <w:r>
        <w:rPr>
          <w:rtl w:val="true"/>
        </w:rPr>
        <w:t>نقد و بررسی</w:t>
      </w:r>
      <w:bookmarkEnd w:id="86"/>
    </w:p>
    <w:p>
      <w:pPr>
        <w:pStyle w:val="Heading5"/>
        <w:numPr>
          <w:ilvl w:val="4"/>
          <w:numId w:val="1"/>
        </w:numPr>
        <w:rPr/>
      </w:pPr>
      <w:bookmarkStart w:id="87" w:name="__RefHeading___Toc1510143_2281741623"/>
      <w:bookmarkStart w:id="88" w:name="_Toc33"/>
      <w:bookmarkEnd w:id="87"/>
      <w:r>
        <w:rPr>
          <w:rtl w:val="true"/>
        </w:rPr>
        <w:t>دلایل اهل سنت</w:t>
      </w:r>
      <w:bookmarkEnd w:id="88"/>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اهل‌سنت برای جواز شستن دست از انگشتان و ختم به آرنج، به </w:t>
      </w:r>
    </w:p>
    <w:p>
      <w:pPr>
        <w:pStyle w:val="BookText"/>
        <w:rPr/>
      </w:pPr>
      <w:r>
        <w:rPr>
          <w:rFonts w:ascii="IRNazanin" w:hAnsi="IRNazanin" w:eastAsia="IRNazanin"/>
          <w:color w:val="111111"/>
          <w:sz w:val="28"/>
          <w:sz w:val="28"/>
          <w:szCs w:val="28"/>
          <w:rtl w:val="true"/>
          <w:lang w:bidi="fa-IR"/>
        </w:rPr>
        <w:t xml:space="preserve">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 المرافق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آیه ششم از سوره مائده تمسک می‌کنند و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مقتضای اطلاق امر به غَسل در آیه، جواز شستن دست از سر انگشتان تا آرنج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تعبیر ساده، وقتی به کسی می گویید دست خود را بشوی، او از آرنج نمی شوید، بلکه از انگشتان خواهد شست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فخر رازی در تفسیر این آیه 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مستحب است هنگام شستن دست‌ها در وضو، آب را به روی کف دست بریزد و از پایین به بالا بشوید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بر عکس شسته شود، یعنی ریختن آب از آرنج به کف دست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بالا به پایین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در این‌گونه شستن اشکال کرده اند؛ زیرا خداوند متعال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ایدیکم الی المرافق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مرافق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غایت و پایان غَسل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قرار دادن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مرفق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مبدأ و آغاز غَسل برخلاف آیه است، ولی جمهور فقها گفته اند این‌گونه شستن اشکال ندارد، گرچه بر خلاف استحباب عمل شده است</w:t>
      </w:r>
      <w:r>
        <w:rPr>
          <w:rFonts w:eastAsia="IRNazanin" w:cs="IRNazanin"/>
          <w:color w:val="111111"/>
          <w:sz w:val="28"/>
          <w:szCs w:val="28"/>
          <w:rtl w:val="true"/>
          <w:lang w:bidi="fa-IR"/>
        </w:rPr>
        <w:t>.</w:t>
      </w:r>
      <w:r>
        <w:rPr>
          <w:rStyle w:val="FootnoteAnchor"/>
          <w:rtl w:val="true"/>
        </w:rPr>
        <w:footnoteReference w:id="45"/>
      </w:r>
    </w:p>
    <w:p>
      <w:pPr>
        <w:pStyle w:val="BookText"/>
        <w:rPr/>
      </w:pPr>
      <w:r>
        <w:rPr>
          <w:rFonts w:ascii="IRNazanin" w:hAnsi="IRNazanin" w:eastAsia="IRNazanin"/>
          <w:color w:val="111111"/>
          <w:sz w:val="28"/>
          <w:sz w:val="28"/>
          <w:szCs w:val="28"/>
          <w:rtl w:val="true"/>
          <w:lang w:bidi="fa-IR"/>
        </w:rPr>
        <w:t>پاسخ های شیعه</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شیعه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آیه هیچ اشاره ای به آغاز و پایان شستن ندارد، بلکه فقط حد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محدوده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شستن را بیان می‌کند و تنها همین مقدار را می‌رساند که دست را با آرنج بشویید، ولی درباره </w:t>
      </w:r>
    </w:p>
    <w:p>
      <w:pPr>
        <w:pStyle w:val="BookText"/>
        <w:rPr/>
      </w:pPr>
      <w:r>
        <w:rPr>
          <w:rFonts w:ascii="IRNazanin" w:hAnsi="IRNazanin" w:eastAsia="IRNazanin"/>
          <w:color w:val="111111"/>
          <w:sz w:val="28"/>
          <w:sz w:val="28"/>
          <w:szCs w:val="28"/>
          <w:rtl w:val="true"/>
          <w:lang w:bidi="fa-IR"/>
        </w:rPr>
        <w:t>اینکه آیا از طرف آرنج باید آغاز کند یا از سر انگشتان، چیزی نمی‌فرماید و باید کیفیت آن را از سنت و سیره پیامبر به دست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بیان دیگر،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جمع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در زبان عربی برای چند قسمت از این عضو بدن به کار می‌رود؛ از جمله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انگشتان؛</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نوک انگشتان تا مچ دست؛</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نوک انگشتان تا مرفق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آرنج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نوک انگشتان تا کتف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اشتراک در معنا سبب شده خدای تعالی در کلام خود قرینه‌ای بیاورد تا یکی از این سه معنا را در بین معانی مشخص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قرینه،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 المرافق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تا بفهماند منظور از شستن دست‌ها هنگام وضو، شستن از نوک انگشتان تا مرفق است، نه تا مچ دست یا شانه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این توضیح روشن می‌شود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آیه، تنها برای بیان حدّ شستن است، نه کیفیت شستن؛ زیرا هنگامی که گفته شود دست را بشویید، ممکن است به ذهن چنین برسد که دست‌ها را تا مچ بشویید؛ زیرا غالباً این مقدار شسته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رفع این توهم می‌فرماید تا آرنج بشویید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 المرافق</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نوع تفسیر مربوط به خصوص این آیه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کلمات </w:t>
      </w:r>
    </w:p>
    <w:p>
      <w:pPr>
        <w:pStyle w:val="BookText"/>
        <w:rPr/>
      </w:pPr>
      <w:r>
        <w:rPr>
          <w:rFonts w:ascii="IRNazanin" w:hAnsi="IRNazanin" w:eastAsia="IRNazanin"/>
          <w:color w:val="111111"/>
          <w:sz w:val="28"/>
          <w:sz w:val="28"/>
          <w:szCs w:val="28"/>
          <w:rtl w:val="true"/>
          <w:lang w:bidi="fa-IR"/>
        </w:rPr>
        <w:t>روزمره ما نیز این نوع ترکیب‌ها که ناظر به بیان مقدار و اندازه است نه نحوه و کیفیت کار زیاد وارد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انسان به کارگری سفارش می‌کند دیوار اتاق را از کف تا یک متر رنگ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بدیهی است منظور این نیست که دیوار از پایین به بالا رنگ شود، بلکه منظور این است که این مقدار باید رنگ شود، نه بیشتر و نه کمتر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همین‌طور اگر به شما بگویند پاهایت را تا زانو بشوی، آیا این به ذهنتان می‌رسد که پاهایتان را بالا ببرید و از انگشتان به سمت زانوهایتان را بشویید؟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بنابراین، از نظر قواعد عربی،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 المرافق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قید برای موضوع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ایدیکم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نه برای حکم؛ یعنی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فاغسلوا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تعبیر فخر رازی، این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 المرافق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تحدید امر است؛</w:t>
      </w:r>
      <w:r>
        <w:rPr>
          <w:rStyle w:val="FootnoteAnchor"/>
          <w:rtl w:val="true"/>
        </w:rPr>
        <w:footnoteReference w:id="46"/>
      </w:r>
      <w:r>
        <w:rPr>
          <w:rFonts w:ascii="IRNazanin" w:hAnsi="IRNazanin" w:eastAsia="IRNazanin"/>
          <w:color w:val="111111"/>
          <w:sz w:val="28"/>
          <w:sz w:val="28"/>
          <w:szCs w:val="28"/>
          <w:rtl w:val="true"/>
          <w:lang w:bidi="fa-IR"/>
        </w:rPr>
        <w:t>برای روشن کردن مقدار شستن است و نه جهت شستن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چنانچه فرض کنیم کیفیت بیان شده است، جای این پرسش باقی می‌ماند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کجا معلوم که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آیه کف، دست باشد و کل اندام نباشد و این‌طور ترجمه نکنیم که از شانه تا آرنج خودتان را بشویید؟</w:t>
      </w:r>
      <w:r>
        <w:rPr>
          <w:rFonts w:eastAsia="IRNazanin" w:cs="IRNazanin"/>
          <w:color w:val="111111"/>
          <w:sz w:val="28"/>
          <w:szCs w:val="28"/>
          <w:rtl w:val="true"/>
          <w:lang w:bidi="fa-IR"/>
        </w:rPr>
        <w:t>!</w:t>
      </w:r>
      <w:r>
        <w:rPr>
          <w:rStyle w:val="FootnoteAnchor"/>
          <w:rtl w:val="true"/>
        </w:rPr>
        <w:footnoteReference w:id="47"/>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مراجعه به احادیث اهل بیت نیز بیانگر همین مبنای فقهی </w:t>
      </w:r>
      <w:bookmarkStart w:id="89" w:name="pg3848_38651"/>
    </w:p>
    <w:p>
      <w:pPr>
        <w:pStyle w:val="BookText"/>
        <w:rPr/>
      </w:pPr>
      <w:bookmarkEnd w:id="89"/>
      <w:r>
        <w:rPr>
          <w:rFonts w:ascii="IRNazanin" w:hAnsi="IRNazanin" w:eastAsia="IRNazanin"/>
          <w:color w:val="111111"/>
          <w:sz w:val="28"/>
          <w:sz w:val="28"/>
          <w:szCs w:val="28"/>
          <w:rtl w:val="true"/>
          <w:lang w:bidi="fa-IR"/>
        </w:rPr>
        <w:t>شیعه است؛ همان‌گونه که امام باقر علیه السلام درباره شیوه وضوی پیامبر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فَغَسَلَ یَدَهُ الیُمنَی مِنَ المِرفَقِ اِلَی الأصابِعِ وَ لَا یَرُدُّ المَاءَ اِلَی المِرفَقَینِ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دست راست خود را از آرنج تا نوک انگشتان شست و آب را به سوی آرنج ها بازنمی گرداند</w:t>
      </w:r>
      <w:r>
        <w:rPr>
          <w:rFonts w:eastAsia="IRNazanin" w:cs="IRNazanin"/>
          <w:color w:val="111111"/>
          <w:sz w:val="28"/>
          <w:szCs w:val="28"/>
          <w:rtl w:val="true"/>
          <w:lang w:bidi="fa-IR"/>
        </w:rPr>
        <w:t>.</w:t>
      </w:r>
      <w:r>
        <w:rPr>
          <w:rStyle w:val="FootnoteAnchor"/>
          <w:rtl w:val="true"/>
        </w:rPr>
        <w:footnoteReference w:id="48"/>
      </w:r>
    </w:p>
    <w:p>
      <w:pPr>
        <w:pStyle w:val="BookText"/>
        <w:rPr/>
      </w:pPr>
      <w:r>
        <w:rPr>
          <w:rFonts w:ascii="IRNazanin" w:hAnsi="IRNazanin" w:eastAsia="IRNazanin"/>
          <w:color w:val="111111"/>
          <w:sz w:val="28"/>
          <w:sz w:val="28"/>
          <w:szCs w:val="28"/>
          <w:rtl w:val="true"/>
          <w:lang w:bidi="fa-IR"/>
        </w:rPr>
        <w:t>ضمن اینکه به اعتراف فخر رازی،</w:t>
      </w:r>
      <w:r>
        <w:rPr>
          <w:rStyle w:val="FootnoteAnchor"/>
          <w:rtl w:val="true"/>
        </w:rPr>
        <w:footnoteReference w:id="49"/>
      </w:r>
      <w:r>
        <w:rPr>
          <w:rFonts w:ascii="IRNazanin" w:hAnsi="IRNazanin" w:eastAsia="IRNazanin"/>
          <w:color w:val="111111"/>
          <w:sz w:val="28"/>
          <w:sz w:val="28"/>
          <w:szCs w:val="28"/>
          <w:rtl w:val="true"/>
          <w:lang w:bidi="fa-IR"/>
        </w:rPr>
        <w:t>جمهور فقهای اهل‌سنت گفته اند شستن از بالا به پایین اشکال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شیوه شستن شیعه قطعاً صحیح است، ولی در شیوه وضوی اهل‌سنت احتمال خطا وجود دارد؛ زیرا در روایات وضوی پیامبر نیز چنین وضویی نقل نشده است</w:t>
      </w:r>
      <w:r>
        <w:rPr>
          <w:rFonts w:eastAsia="IRNazanin" w:cs="IRNazanin"/>
          <w:color w:val="111111"/>
          <w:sz w:val="28"/>
          <w:szCs w:val="28"/>
          <w:rtl w:val="true"/>
          <w:lang w:bidi="fa-IR"/>
        </w:rPr>
        <w:t>.</w:t>
      </w:r>
    </w:p>
    <w:p>
      <w:pPr>
        <w:pStyle w:val="Heading5"/>
        <w:numPr>
          <w:ilvl w:val="4"/>
          <w:numId w:val="1"/>
        </w:numPr>
        <w:rPr/>
      </w:pPr>
      <w:bookmarkStart w:id="90" w:name="__RefHeading___Toc1510145_2281741623"/>
      <w:bookmarkStart w:id="91" w:name="_Toc34"/>
      <w:bookmarkEnd w:id="90"/>
      <w:r>
        <w:rPr>
          <w:rtl w:val="true"/>
        </w:rPr>
        <w:t>ج</w:t>
      </w:r>
      <w:r>
        <w:rPr>
          <w:rtl w:val="true"/>
        </w:rPr>
        <w:t xml:space="preserve">) </w:t>
      </w:r>
      <w:r>
        <w:rPr>
          <w:rtl w:val="true"/>
        </w:rPr>
        <w:t>مسح سر</w:t>
      </w:r>
      <w:bookmarkEnd w:id="91"/>
    </w:p>
    <w:p>
      <w:pPr>
        <w:pStyle w:val="BookText"/>
        <w:rPr/>
      </w:pPr>
      <w:r>
        <w:rPr>
          <w:rFonts w:ascii="IRNazanin" w:hAnsi="IRNazanin" w:eastAsia="IRNazanin"/>
          <w:color w:val="111111"/>
          <w:sz w:val="28"/>
          <w:sz w:val="28"/>
          <w:szCs w:val="28"/>
          <w:rtl w:val="true"/>
          <w:lang w:bidi="fa-IR"/>
        </w:rPr>
        <w:t>از دیگر موارد اختلافی بین مذاهب اسلامی در بحث وضو، مسأله مسح سر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فقهای امامیه به وجوب مسح کردن قسمتی از جلوی سر فتوا داده و شستن و پاشیدن آب را، به جای مسح کافی نمی دانند</w:t>
      </w:r>
      <w:r>
        <w:rPr>
          <w:rFonts w:eastAsia="IRNazanin" w:cs="IRNazanin"/>
          <w:color w:val="111111"/>
          <w:sz w:val="28"/>
          <w:szCs w:val="28"/>
          <w:rtl w:val="true"/>
          <w:lang w:bidi="fa-IR"/>
        </w:rPr>
        <w:t>.</w:t>
      </w:r>
      <w:r>
        <w:rPr>
          <w:rStyle w:val="FootnoteAnchor"/>
          <w:rtl w:val="true"/>
        </w:rPr>
        <w:footnoteReference w:id="50"/>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حنبلی ها معتقدند مسح کردن تمام سر و گوش ها واجب و </w:t>
      </w:r>
    </w:p>
    <w:p>
      <w:pPr>
        <w:pStyle w:val="BookText"/>
        <w:rPr/>
      </w:pPr>
      <w:r>
        <w:rPr>
          <w:rFonts w:ascii="IRNazanin" w:hAnsi="IRNazanin" w:eastAsia="IRNazanin"/>
          <w:color w:val="111111"/>
          <w:sz w:val="28"/>
          <w:sz w:val="28"/>
          <w:szCs w:val="28"/>
          <w:rtl w:val="true"/>
          <w:lang w:bidi="fa-IR"/>
        </w:rPr>
        <w:t>فرض است و شستن به جای مسح کفایت می کند، به شرطی که روی همه سر دست بکشد</w:t>
      </w:r>
      <w:r>
        <w:rPr>
          <w:rFonts w:eastAsia="IRNazanin" w:cs="IRNazanin"/>
          <w:color w:val="111111"/>
          <w:sz w:val="28"/>
          <w:szCs w:val="28"/>
          <w:rtl w:val="true"/>
          <w:lang w:bidi="fa-IR"/>
        </w:rPr>
        <w:t>.</w:t>
      </w:r>
      <w:r>
        <w:rPr>
          <w:rStyle w:val="FootnoteAnchor"/>
          <w:rtl w:val="true"/>
        </w:rPr>
        <w:footnoteReference w:id="51"/>
      </w:r>
    </w:p>
    <w:p>
      <w:pPr>
        <w:pStyle w:val="BookText"/>
        <w:rPr/>
      </w:pPr>
      <w:r>
        <w:rPr>
          <w:rFonts w:ascii="IRNazanin" w:hAnsi="IRNazanin" w:eastAsia="IRNazanin"/>
          <w:color w:val="111111"/>
          <w:sz w:val="28"/>
          <w:sz w:val="28"/>
          <w:szCs w:val="28"/>
          <w:rtl w:val="true"/>
          <w:lang w:bidi="fa-IR"/>
        </w:rPr>
        <w:t>شافعی ها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مسح مقدار کمی از سر کافی است، مسح همه سر سنت است و شستن یا پاشیدن آب هم کفایت می‌کند</w:t>
      </w:r>
      <w:r>
        <w:rPr>
          <w:rFonts w:eastAsia="IRNazanin" w:cs="IRNazanin"/>
          <w:color w:val="111111"/>
          <w:sz w:val="28"/>
          <w:szCs w:val="28"/>
          <w:rtl w:val="true"/>
          <w:lang w:bidi="fa-IR"/>
        </w:rPr>
        <w:t>.</w:t>
      </w:r>
      <w:r>
        <w:rPr>
          <w:rStyle w:val="FootnoteAnchor"/>
          <w:rtl w:val="true"/>
        </w:rPr>
        <w:footnoteReference w:id="52"/>
      </w:r>
    </w:p>
    <w:p>
      <w:pPr>
        <w:pStyle w:val="BookText"/>
        <w:rPr/>
      </w:pPr>
      <w:r>
        <w:rPr>
          <w:rFonts w:ascii="IRNazanin" w:hAnsi="IRNazanin" w:eastAsia="IRNazanin"/>
          <w:color w:val="111111"/>
          <w:sz w:val="28"/>
          <w:sz w:val="28"/>
          <w:szCs w:val="28"/>
          <w:rtl w:val="true"/>
          <w:lang w:bidi="fa-IR"/>
        </w:rPr>
        <w:t>اما حنفیان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مسح کردن یک‌چهارم سر واجب، و مسح تمامی سر سنت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شستن یا پاشیدن آب بر سر نیز به جای مسح کفایت می کند</w:t>
      </w:r>
      <w:r>
        <w:rPr>
          <w:rFonts w:eastAsia="IRNazanin" w:cs="IRNazanin"/>
          <w:color w:val="111111"/>
          <w:sz w:val="28"/>
          <w:szCs w:val="28"/>
          <w:rtl w:val="true"/>
          <w:lang w:bidi="fa-IR"/>
        </w:rPr>
        <w:t>.</w:t>
      </w:r>
      <w:r>
        <w:rPr>
          <w:rStyle w:val="FootnoteAnchor"/>
          <w:rtl w:val="true"/>
        </w:rPr>
        <w:footnoteReference w:id="53"/>
      </w:r>
    </w:p>
    <w:p>
      <w:pPr>
        <w:pStyle w:val="BookText"/>
        <w:rPr/>
      </w:pPr>
      <w:r>
        <w:rPr>
          <w:rFonts w:ascii="IRNazanin" w:hAnsi="IRNazanin" w:eastAsia="IRNazanin"/>
          <w:color w:val="111111"/>
          <w:sz w:val="28"/>
          <w:sz w:val="28"/>
          <w:szCs w:val="28"/>
          <w:rtl w:val="true"/>
          <w:lang w:bidi="fa-IR"/>
        </w:rPr>
        <w:t>مالکیه هم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مسح تمام سر، به جز گوش ها فرض و واجب است</w:t>
      </w:r>
      <w:r>
        <w:rPr>
          <w:rFonts w:eastAsia="IRNazanin" w:cs="IRNazanin"/>
          <w:color w:val="111111"/>
          <w:sz w:val="28"/>
          <w:szCs w:val="28"/>
          <w:rtl w:val="true"/>
          <w:lang w:bidi="fa-IR"/>
        </w:rPr>
        <w:t>.</w:t>
      </w:r>
      <w:r>
        <w:rPr>
          <w:rStyle w:val="FootnoteAnchor"/>
          <w:rtl w:val="true"/>
        </w:rPr>
        <w:footnoteReference w:id="54"/>
      </w:r>
    </w:p>
    <w:p>
      <w:pPr>
        <w:pStyle w:val="BookText"/>
        <w:rPr/>
      </w:pPr>
      <w:r>
        <w:rPr>
          <w:rFonts w:ascii="IRNazanin" w:hAnsi="IRNazanin" w:eastAsia="IRNazanin"/>
          <w:color w:val="111111"/>
          <w:sz w:val="28"/>
          <w:sz w:val="28"/>
          <w:szCs w:val="28"/>
          <w:rtl w:val="true"/>
          <w:lang w:bidi="fa-IR"/>
        </w:rPr>
        <w:t>استدلال زیبایی از امام باقر علیه السلام</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باقر علیه السلام در استدلالی متین، در پاسخ از چرایی مسح بعض سر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اغسلوا وجوهکم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 این کلام به ما آموخت که تمام صورت را باید 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ایدیکم الی المرافق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حکم دست‌ها را به حکم صورت یعنی شستن ملحق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فهمیدیم که هر دو دست را باید از </w:t>
      </w:r>
      <w:bookmarkStart w:id="92" w:name="pg3848_38653"/>
    </w:p>
    <w:p>
      <w:pPr>
        <w:pStyle w:val="BookText"/>
        <w:rPr/>
      </w:pPr>
      <w:bookmarkEnd w:id="92"/>
      <w:r>
        <w:rPr>
          <w:rFonts w:ascii="IRNazanin" w:hAnsi="IRNazanin" w:eastAsia="IRNazanin"/>
          <w:color w:val="111111"/>
          <w:sz w:val="28"/>
          <w:sz w:val="28"/>
          <w:szCs w:val="28"/>
          <w:rtl w:val="true"/>
          <w:lang w:bidi="fa-IR"/>
        </w:rPr>
        <w:t>مرفق 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بین دو جمله تفصیل و فرق قائل شد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وامسحوا برؤوسکم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وقتی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برؤوسکم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ما آموخت که مسح با قسمتی از سر محقق می‌شود، به دلیل وجود باء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حکم پاها را نیز متصل به حکم رأس کرد، همان‌گونه که حکم دست‌ها را متصل به حکم صورت فرموده بود؛ لذا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ارجلکم الی الکعبین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هنگامی که حکم رجل را به حکم رأس متصل کرد، به ما فهماند که مسح قسمتی از پا کافی است</w:t>
      </w:r>
      <w:r>
        <w:rPr>
          <w:rFonts w:eastAsia="IRNazanin" w:cs="IRNazanin"/>
          <w:color w:val="111111"/>
          <w:sz w:val="28"/>
          <w:szCs w:val="28"/>
          <w:rtl w:val="true"/>
          <w:lang w:bidi="fa-IR"/>
        </w:rPr>
        <w:t>.</w:t>
      </w:r>
      <w:r>
        <w:rPr>
          <w:rStyle w:val="FootnoteAnchor"/>
          <w:rtl w:val="true"/>
        </w:rPr>
        <w:footnoteReference w:id="55"/>
      </w:r>
    </w:p>
    <w:p>
      <w:pPr>
        <w:pStyle w:val="Heading5"/>
        <w:numPr>
          <w:ilvl w:val="4"/>
          <w:numId w:val="1"/>
        </w:numPr>
        <w:rPr/>
      </w:pPr>
      <w:bookmarkStart w:id="93" w:name="__RefHeading___Toc1510147_2281741623"/>
      <w:bookmarkStart w:id="94" w:name="_Toc35"/>
      <w:bookmarkEnd w:id="93"/>
      <w:r>
        <w:rPr>
          <w:rtl w:val="true"/>
        </w:rPr>
        <w:t>د</w:t>
      </w:r>
      <w:r>
        <w:rPr>
          <w:rtl w:val="true"/>
        </w:rPr>
        <w:t xml:space="preserve">) </w:t>
      </w:r>
      <w:r>
        <w:rPr>
          <w:rtl w:val="true"/>
        </w:rPr>
        <w:t>مسح یا غسل پاها</w:t>
      </w:r>
      <w:bookmarkEnd w:id="94"/>
    </w:p>
    <w:p>
      <w:pPr>
        <w:pStyle w:val="BookText"/>
        <w:rPr/>
      </w:pPr>
      <w:r>
        <w:rPr>
          <w:rFonts w:ascii="IRNazanin" w:hAnsi="IRNazanin" w:eastAsia="IRNazanin"/>
          <w:color w:val="111111"/>
          <w:sz w:val="28"/>
          <w:sz w:val="28"/>
          <w:szCs w:val="28"/>
          <w:rtl w:val="true"/>
          <w:lang w:bidi="fa-IR"/>
        </w:rPr>
        <w:t xml:space="preserve">مهم ترین مسأله اختلافی در وضو، مسح یا شستن پاها هنگام وضو است که بر اساس نظر فقهای امامیه، پاها باید با رطوبت باقی‌مانده در دست‌ها مسح شود و شستن به جای مسح باطل است، ولی عموم فقهای مذاهب چهارگانه به وجوب شستن پاها تا کعبین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قوزک پا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فتوا داده اند</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نگاهی دقیق تر، در مسأله وجوب مسح یا غسل پاها در وضو، چهار نظر وجود دارد</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وجوب غَسل و شستن پاها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 ائمه چهارگانه و جمهور فقها و مفسران اهل‌سنت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وجوب مسح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شیعه امامیه، ابن‌عباس، انس بن مالک، عکرمه و شعبی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وجوب جمع بین غَسل و مسح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داود بن علی و ناصر حق از زیدیه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تخییر بین غَسل و مسح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بصری و محمد بن جریر طبری</w:t>
      </w:r>
      <w:r>
        <w:rPr>
          <w:rFonts w:eastAsia="IRNazanin" w:cs="IRNazanin"/>
          <w:color w:val="111111"/>
          <w:sz w:val="28"/>
          <w:szCs w:val="28"/>
          <w:rtl w:val="true"/>
          <w:lang w:bidi="fa-IR"/>
        </w:rPr>
        <w:t>).</w:t>
      </w:r>
      <w:r>
        <w:rPr>
          <w:rStyle w:val="FootnoteAnchor"/>
          <w:rtl w:val="true"/>
        </w:rPr>
        <w:footnoteReference w:id="56"/>
      </w:r>
    </w:p>
    <w:p>
      <w:pPr>
        <w:pStyle w:val="BookText"/>
        <w:rPr/>
      </w:pPr>
      <w:r>
        <w:rPr>
          <w:rFonts w:ascii="IRNazanin" w:hAnsi="IRNazanin" w:eastAsia="IRNazanin"/>
          <w:color w:val="111111"/>
          <w:sz w:val="28"/>
          <w:sz w:val="28"/>
          <w:szCs w:val="28"/>
          <w:rtl w:val="true"/>
          <w:lang w:bidi="fa-IR"/>
        </w:rPr>
        <w:t>دلایل شیعه</w:t>
      </w:r>
    </w:p>
    <w:p>
      <w:pPr>
        <w:pStyle w:val="BookText"/>
        <w:rPr/>
      </w:pPr>
      <w:r>
        <w:rPr>
          <w:rFonts w:ascii="IRNazanin" w:hAnsi="IRNazanin" w:eastAsia="IRNazanin"/>
          <w:color w:val="111111"/>
          <w:sz w:val="28"/>
          <w:sz w:val="28"/>
          <w:szCs w:val="28"/>
          <w:rtl w:val="true"/>
          <w:lang w:bidi="fa-IR"/>
        </w:rPr>
        <w:t>شیعه امامیه برای وجوب مسح، به دلایلی از کتاب و سنّت تمسک کرده است که به آن اشاره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أَیُّهَا الَّذِینَ آمَنُوا إِذَا قُمْتُمْ إِلَی الصَّلاةِ فَاغْسِلُوا وُجُوهَکُمْ وَ أَیْدِیَکُمْ إِلَی الْمَرَافِقِ وَ امْسَحُوا بِرُءُوسِکُمْ وَ أَرْجُلَکُمْ إِلَی الْکَعْبَیْنِ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 کسانی که ایمان آورده‌اید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نماز برخیزید، صورت و دست‌هایتان را تا آرنج بشویید و سر و پاهای خود را تا برآمدگی پیشین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دو پا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مسح کنید</w:t>
      </w:r>
      <w:r>
        <w:rPr>
          <w:rFonts w:eastAsia="IRNazanin" w:cs="IRNazanin"/>
          <w:color w:val="111111"/>
          <w:sz w:val="28"/>
          <w:szCs w:val="28"/>
          <w:rtl w:val="true"/>
          <w:lang w:bidi="fa-IR"/>
        </w:rPr>
        <w:t>.</w:t>
      </w:r>
      <w:r>
        <w:rPr>
          <w:rStyle w:val="FootnoteAnchor"/>
          <w:rtl w:val="true"/>
        </w:rPr>
        <w:footnoteReference w:id="57"/>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اختلاف در وظیفه متوضّی در مسح یا غَسل پاها، برگرفته از تفاوت نظری است که در قرائت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ارجلکم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وجود دارد؛ بدین معنا که </w:t>
      </w:r>
    </w:p>
    <w:p>
      <w:pPr>
        <w:pStyle w:val="BookText"/>
        <w:rPr/>
      </w:pPr>
      <w:r>
        <w:rPr>
          <w:rFonts w:ascii="IRNazanin" w:hAnsi="IRNazanin" w:eastAsia="IRNazanin"/>
          <w:color w:val="111111"/>
          <w:sz w:val="28"/>
          <w:sz w:val="28"/>
          <w:szCs w:val="28"/>
          <w:rtl w:val="true"/>
          <w:lang w:bidi="fa-IR"/>
        </w:rPr>
        <w:t xml:space="preserve">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ارجلکم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منصوب باشد، نظر شیعه تقویت می‌شود؛ زیرا در صورت نصب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ارجلکم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بر مفعول‌به، به محل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برؤوسکم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عطف شده است؛ نظیر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تنْبت بالدُّهن وصبغاً للآکلین</w:t>
      </w:r>
      <w:r>
        <w:rPr>
          <w:rFonts w:eastAsia="IRNazanin" w:cs="IRNazanin"/>
          <w:color w:val="111111"/>
          <w:sz w:val="28"/>
          <w:szCs w:val="28"/>
          <w:rtl w:val="true"/>
          <w:lang w:bidi="fa-IR"/>
        </w:rPr>
        <w:t>".</w:t>
      </w:r>
      <w:r>
        <w:rPr>
          <w:rStyle w:val="FootnoteAnchor"/>
          <w:rtl w:val="true"/>
        </w:rPr>
        <w:footnoteReference w:id="58"/>
      </w:r>
    </w:p>
    <w:p>
      <w:pPr>
        <w:pStyle w:val="BookText"/>
        <w:rPr/>
      </w:pPr>
      <w:r>
        <w:rPr>
          <w:rFonts w:ascii="IRNazanin" w:hAnsi="IRNazanin" w:eastAsia="IRNazanin"/>
          <w:color w:val="111111"/>
          <w:sz w:val="28"/>
          <w:sz w:val="28"/>
          <w:szCs w:val="28"/>
          <w:rtl w:val="true"/>
          <w:lang w:bidi="fa-IR"/>
        </w:rPr>
        <w:t xml:space="preserve">البته اهل‌سنّت، معتقدند نصب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ارجلکم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دلیل عطف آن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ایدیکم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نتیجه وجوب غَسل پاها خواهد بود، اما این احتمال به چند دلیل باطل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لازمه این احتمال، فاصله افتادن میان عاطف و معطوف علیه به جمله اجنبی است و این فاصله افتادن، در مفرد هم جایز نیست، چه رسد به جمله</w:t>
      </w:r>
      <w:r>
        <w:rPr>
          <w:rFonts w:eastAsia="IRNazanin" w:cs="IRNazanin"/>
          <w:color w:val="111111"/>
          <w:sz w:val="28"/>
          <w:szCs w:val="28"/>
          <w:rtl w:val="true"/>
          <w:lang w:bidi="fa-IR"/>
        </w:rPr>
        <w:t>.</w:t>
      </w:r>
      <w:r>
        <w:rPr>
          <w:rStyle w:val="FootnoteAnchor"/>
          <w:rtl w:val="true"/>
        </w:rPr>
        <w:footnoteReference w:id="59"/>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همان‌گونه که عامل نصب می‌تواند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اغسلوا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امسحوا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می‌تواند باشد و به گفته علمای نحو، هر گاه دو عامل صلاحیت عمل کردن در یک معمول را داشته باشد، عامل نزدیک‌تر مقدّم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امسحوا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دلیل نزدیکی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مقدّم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اغسلوا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Style w:val="FootnoteAnchor"/>
          <w:rtl w:val="true"/>
        </w:rPr>
        <w:footnoteReference w:id="60"/>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عطف خلاف فصاحت است؛ زیرا پیش از استیفای غرض، از یک جمله به جمله‌ای منتقل شده که ربطی به آن ندارد</w:t>
      </w:r>
      <w:r>
        <w:rPr>
          <w:rFonts w:eastAsia="IRNazanin" w:cs="IRNazanin"/>
          <w:color w:val="111111"/>
          <w:sz w:val="28"/>
          <w:szCs w:val="28"/>
          <w:rtl w:val="true"/>
          <w:lang w:bidi="fa-IR"/>
        </w:rPr>
        <w:t>.</w:t>
      </w:r>
      <w:r>
        <w:rPr>
          <w:rStyle w:val="FootnoteAnchor"/>
          <w:rtl w:val="true"/>
        </w:rPr>
        <w:footnoteReference w:id="61"/>
      </w:r>
      <w:bookmarkStart w:id="95" w:name="pg3848_38656"/>
    </w:p>
    <w:p>
      <w:pPr>
        <w:pStyle w:val="BookText"/>
        <w:rPr/>
      </w:pPr>
      <w:bookmarkEnd w:id="95"/>
      <w:r>
        <w:rPr>
          <w:rFonts w:ascii="IRNazanin" w:hAnsi="IRNazanin" w:eastAsia="IRNazanin"/>
          <w:color w:val="111111"/>
          <w:sz w:val="28"/>
          <w:sz w:val="28"/>
          <w:szCs w:val="28"/>
          <w:rtl w:val="true"/>
          <w:lang w:bidi="fa-IR"/>
        </w:rPr>
        <w:t xml:space="preserve">البته برخی احتمال داده‌اند قرائت نصب به دلیل عامل مقدّر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فاغسلوا ارجلکم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علفتها تبناً و ماءاً بارداً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سقیتها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w:t>
      </w:r>
    </w:p>
    <w:p>
      <w:pPr>
        <w:pStyle w:val="BookText"/>
        <w:rPr/>
      </w:pPr>
      <w:r>
        <w:rPr>
          <w:rFonts w:ascii="IRNazanin" w:hAnsi="IRNazanin" w:eastAsia="IRNazanin"/>
          <w:color w:val="111111"/>
          <w:sz w:val="28"/>
          <w:sz w:val="28"/>
          <w:szCs w:val="28"/>
          <w:rtl w:val="true"/>
          <w:lang w:bidi="fa-IR"/>
        </w:rPr>
        <w:t>تقریر است</w:t>
      </w:r>
      <w:r>
        <w:rPr>
          <w:rFonts w:eastAsia="IRNazanin" w:cs="IRNazanin"/>
          <w:color w:val="111111"/>
          <w:sz w:val="28"/>
          <w:szCs w:val="28"/>
          <w:rtl w:val="true"/>
          <w:lang w:bidi="fa-IR"/>
        </w:rPr>
        <w:t>.</w:t>
      </w:r>
      <w:r>
        <w:rPr>
          <w:rStyle w:val="FootnoteAnchor"/>
          <w:rtl w:val="true"/>
        </w:rPr>
        <w:footnoteReference w:id="62"/>
      </w:r>
      <w:r>
        <w:rPr>
          <w:rFonts w:ascii="IRNazanin" w:hAnsi="IRNazanin" w:eastAsia="IRNazanin"/>
          <w:color w:val="111111"/>
          <w:sz w:val="28"/>
          <w:sz w:val="28"/>
          <w:szCs w:val="28"/>
          <w:rtl w:val="true"/>
          <w:lang w:bidi="fa-IR"/>
        </w:rPr>
        <w:t>این احتمال نیز مردود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 تقدیر عامل، خلاف اصل است و تا آنجا که بتوان به عامل موجود استناد کرد، نوبت به عامل مقدر نمی‌رسد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ثانیاً، بر فرض تقدیر، می‌توان به قرینه نزدیکیِ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برؤوسکم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عامل مقدّر آن را 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امسحوا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نظر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هر حال، تقدیر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اغسلوا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تنها بر تقدیر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امسحوا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ترجیح ندارد، بلکه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امسحوا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برتر است</w:t>
      </w:r>
      <w:r>
        <w:rPr>
          <w:rFonts w:eastAsia="IRNazanin" w:cs="IRNazanin"/>
          <w:color w:val="111111"/>
          <w:sz w:val="28"/>
          <w:szCs w:val="28"/>
          <w:rtl w:val="true"/>
          <w:lang w:bidi="fa-IR"/>
        </w:rPr>
        <w:t>.</w:t>
      </w:r>
    </w:p>
    <w:p>
      <w:pPr>
        <w:pStyle w:val="Heading4"/>
        <w:numPr>
          <w:ilvl w:val="3"/>
          <w:numId w:val="1"/>
        </w:numPr>
        <w:rPr/>
      </w:pPr>
      <w:bookmarkStart w:id="96" w:name="__RefHeading___Toc1510149_2281741623"/>
      <w:bookmarkStart w:id="97" w:name="_Toc36"/>
      <w:bookmarkEnd w:id="96"/>
      <w:r>
        <w:rPr>
          <w:rtl w:val="true"/>
        </w:rPr>
        <w:t>نگاهی به قرائت به جر</w:t>
      </w:r>
      <w:bookmarkEnd w:id="97"/>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 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ارجلکم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عطف به ظاهر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برؤوسکم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خواهد بود که نتیجه آن، وجوب مسح پاها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مفسران اهل‌سنت، در توجیه قرائت جر گفته‌اند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ارجلکم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دلیل همسایگی و نزدیکی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رؤوسکم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لفظاً مجرور شده، ولی در واقع اعراب آن نصب و عامل آن 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اغسلوا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نتیجه، هر 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ارجلکم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مجرور است، چون عامل اصلی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اغسلوا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نتیجه، وجوب غَسل و شستن پاها خواهد بود و جر به جوار در کلام عرب و قرآن نیز نظایری دارد؛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حجر ضبٍ خربٍ،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کان </w:t>
      </w:r>
    </w:p>
    <w:p>
      <w:pPr>
        <w:pStyle w:val="BookText"/>
        <w:rPr/>
      </w:pPr>
      <w:r>
        <w:rPr>
          <w:rFonts w:ascii="IRNazanin" w:hAnsi="IRNazanin" w:eastAsia="IRNazanin"/>
          <w:color w:val="111111"/>
          <w:sz w:val="28"/>
          <w:sz w:val="28"/>
          <w:szCs w:val="28"/>
          <w:rtl w:val="true"/>
          <w:lang w:bidi="fa-IR"/>
        </w:rPr>
        <w:t xml:space="preserve">ثبیراً فی عرانین وَبله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کبیر اناس فی بجار مزمّل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عذاب یوم الیم</w:t>
      </w:r>
      <w:r>
        <w:rPr>
          <w:rFonts w:eastAsia="IRNazanin" w:cs="IRNazanin"/>
          <w:color w:val="111111"/>
          <w:sz w:val="28"/>
          <w:szCs w:val="28"/>
          <w:rtl w:val="true"/>
          <w:lang w:bidi="fa-IR"/>
        </w:rPr>
        <w:t>".</w:t>
      </w:r>
      <w:r>
        <w:rPr>
          <w:rStyle w:val="FootnoteAnchor"/>
          <w:rtl w:val="true"/>
        </w:rPr>
        <w:footnoteReference w:id="63"/>
      </w:r>
    </w:p>
    <w:p>
      <w:pPr>
        <w:pStyle w:val="BookText"/>
        <w:rPr/>
      </w:pPr>
      <w:r>
        <w:rPr>
          <w:rFonts w:ascii="IRNazanin" w:hAnsi="IRNazanin" w:eastAsia="IRNazanin"/>
          <w:color w:val="111111"/>
          <w:sz w:val="28"/>
          <w:sz w:val="28"/>
          <w:szCs w:val="28"/>
          <w:rtl w:val="true"/>
          <w:lang w:bidi="fa-IR"/>
        </w:rPr>
        <w:t>در پاسخ باید گفت جر به جوار، دو شرط اساسی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ایمنی از اشتباه، و دوم نبود حرف عطف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در آیه شریفه، هیچ‌کدام از این دو شرط رعایت نشده است؛ زیرا مجرور شدن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ارجلکم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مخاطب را به اشتباه می‌اندازد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ارجلکم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عطف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برؤوسکم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در حالی که غرض متکلم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طبق این احتمال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عطف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ایدیکم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علاوه در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ارجلکم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مسبوق به حرف عطف است؛ در حالی که در مثال‌های پیشین، حرف عطفی فاصله نشده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افزون بر اینکه قاعده جر به جوار، از سوی بیشتر اعراب رد شده و تنها در موارد بسیار ضروری کاربرد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تطبیق این قاعده بر آیه شریفه، با توجه به امکان دیگر توجیهاتِ معقول و مطابق با قواعد فصیح عربی، وجهی ندارد</w:t>
      </w:r>
      <w:r>
        <w:rPr>
          <w:rFonts w:eastAsia="IRNazanin" w:cs="IRNazanin"/>
          <w:color w:val="111111"/>
          <w:sz w:val="28"/>
          <w:szCs w:val="28"/>
          <w:rtl w:val="true"/>
          <w:lang w:bidi="fa-IR"/>
        </w:rPr>
        <w:t>.</w:t>
      </w:r>
      <w:r>
        <w:rPr>
          <w:rStyle w:val="FootnoteAnchor"/>
          <w:rtl w:val="true"/>
        </w:rPr>
        <w:footnoteReference w:id="64"/>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خلاصه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اختلاف قُرّاء در اینکه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ارجلکم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فتح یا کسره بخوانند، در دلالت آیه بر وجوب مسح تأثیر ندارد و هر دو قرائت بدون اشکال بر مسح منطبق می شود</w:t>
      </w:r>
      <w:r>
        <w:rPr>
          <w:rFonts w:eastAsia="IRNazanin" w:cs="IRNazanin"/>
          <w:color w:val="111111"/>
          <w:sz w:val="28"/>
          <w:szCs w:val="28"/>
          <w:rtl w:val="true"/>
          <w:lang w:bidi="fa-IR"/>
        </w:rPr>
        <w:t>.</w:t>
      </w:r>
      <w:r>
        <w:rPr>
          <w:rStyle w:val="FootnoteAnchor"/>
          <w:rtl w:val="true"/>
        </w:rPr>
        <w:footnoteReference w:id="65"/>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w:t>
      </w:r>
    </w:p>
    <w:p>
      <w:pPr>
        <w:pStyle w:val="BookText"/>
        <w:rPr/>
      </w:pPr>
      <w:r>
        <w:rPr>
          <w:rFonts w:ascii="IRNazanin" w:hAnsi="IRNazanin" w:eastAsia="IRNazanin"/>
          <w:color w:val="111111"/>
          <w:sz w:val="28"/>
          <w:sz w:val="28"/>
          <w:szCs w:val="28"/>
          <w:rtl w:val="true"/>
          <w:lang w:bidi="fa-IR"/>
        </w:rPr>
        <w:t>افزون بر آیه شریفه، روایات متعددی از کتاب‌های شیعه و سنی بر وجوب مسح در وضو دلالت دارد که تنها به ذکر دو نمونه بسنده 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رفاعة بن رافع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است که نزد پیامبر اکرم صلی الله علیه و آله نشسته بود و ایشان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راستی نماز هیچ‌کس درست نیست، مگر اینکه وضو را به کمال و تمام، همان‌گونه که خدای تعالی فرموده، به انجام رساند؛ یعنی صورت و دست‌هایش را تا مرفق بشوید و سر و پایش را تا کعبین مسح کند</w:t>
      </w:r>
      <w:r>
        <w:rPr>
          <w:rFonts w:eastAsia="IRNazanin" w:cs="IRNazanin"/>
          <w:color w:val="111111"/>
          <w:sz w:val="28"/>
          <w:szCs w:val="28"/>
          <w:rtl w:val="true"/>
          <w:lang w:bidi="fa-IR"/>
        </w:rPr>
        <w:t>.</w:t>
      </w:r>
      <w:r>
        <w:rPr>
          <w:rStyle w:val="FootnoteAnchor"/>
          <w:rtl w:val="true"/>
        </w:rPr>
        <w:footnoteReference w:id="66"/>
      </w:r>
    </w:p>
    <w:p>
      <w:pPr>
        <w:pStyle w:val="BookText"/>
        <w:rPr/>
      </w:pPr>
      <w:r>
        <w:rPr>
          <w:rFonts w:ascii="IRNazanin" w:hAnsi="IRNazanin" w:eastAsia="IRNazanin"/>
          <w:color w:val="111111"/>
          <w:sz w:val="28"/>
          <w:sz w:val="28"/>
          <w:szCs w:val="28"/>
          <w:rtl w:val="true"/>
          <w:lang w:bidi="fa-IR"/>
        </w:rPr>
        <w:t>امام باقر علیه السلام نیز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وضوی پیامبر را برایتان نقل کنم؟ سپس آن حضرت مشتی آب برداشت و بر صورتش ریخت و آن‌گاه مشتی آب را بر ذِراع راستش ریخت و بعد از آن همین کار را برای ذِراع دیگرش انجام داد و سپس سر و پاهایش را مسح کرد</w:t>
      </w:r>
      <w:r>
        <w:rPr>
          <w:rFonts w:eastAsia="IRNazanin" w:cs="IRNazanin"/>
          <w:color w:val="111111"/>
          <w:sz w:val="28"/>
          <w:szCs w:val="28"/>
          <w:rtl w:val="true"/>
          <w:lang w:bidi="fa-IR"/>
        </w:rPr>
        <w:t>.</w:t>
      </w:r>
      <w:r>
        <w:rPr>
          <w:rStyle w:val="FootnoteAnchor"/>
          <w:rtl w:val="true"/>
        </w:rPr>
        <w:footnoteReference w:id="67"/>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سیره</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بسیاری از صحابه و تابعین که اهل‌سنت قول ایشان را حجت می‌دانند، به مسح پاها معتقد بوده‌اند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برخی از ایشان عبارت‌اند </w:t>
      </w:r>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بن ابی‌طالب علیه السلام ،</w:t>
      </w:r>
      <w:r>
        <w:rPr>
          <w:rStyle w:val="FootnoteAnchor"/>
          <w:rtl w:val="true"/>
        </w:rPr>
        <w:footnoteReference w:id="68"/>
      </w:r>
      <w:r>
        <w:rPr>
          <w:rFonts w:ascii="IRNazanin" w:hAnsi="IRNazanin" w:eastAsia="IRNazanin"/>
          <w:color w:val="111111"/>
          <w:sz w:val="28"/>
          <w:sz w:val="28"/>
          <w:szCs w:val="28"/>
          <w:rtl w:val="true"/>
          <w:lang w:bidi="fa-IR"/>
        </w:rPr>
        <w:t>عثمان بن عفان،</w:t>
      </w:r>
      <w:r>
        <w:rPr>
          <w:rStyle w:val="FootnoteAnchor"/>
          <w:rtl w:val="true"/>
        </w:rPr>
        <w:footnoteReference w:id="69"/>
      </w:r>
      <w:r>
        <w:rPr>
          <w:rFonts w:ascii="IRNazanin" w:hAnsi="IRNazanin" w:eastAsia="IRNazanin"/>
          <w:color w:val="111111"/>
          <w:sz w:val="28"/>
          <w:sz w:val="28"/>
          <w:szCs w:val="28"/>
          <w:rtl w:val="true"/>
          <w:lang w:bidi="fa-IR"/>
        </w:rPr>
        <w:t>ابن‌عباس،</w:t>
      </w:r>
      <w:r>
        <w:rPr>
          <w:rStyle w:val="FootnoteAnchor"/>
          <w:rtl w:val="true"/>
        </w:rPr>
        <w:footnoteReference w:id="70"/>
      </w:r>
    </w:p>
    <w:p>
      <w:pPr>
        <w:pStyle w:val="BookText"/>
        <w:rPr/>
      </w:pPr>
      <w:r>
        <w:rPr>
          <w:rFonts w:ascii="IRNazanin" w:hAnsi="IRNazanin" w:eastAsia="IRNazanin"/>
          <w:color w:val="111111"/>
          <w:sz w:val="28"/>
          <w:sz w:val="28"/>
          <w:szCs w:val="28"/>
          <w:rtl w:val="true"/>
          <w:lang w:bidi="fa-IR"/>
        </w:rPr>
        <w:t>عکرمه،</w:t>
      </w:r>
      <w:r>
        <w:rPr>
          <w:rStyle w:val="FootnoteAnchor"/>
          <w:rtl w:val="true"/>
        </w:rPr>
        <w:footnoteReference w:id="71"/>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ناگفته نماند که اهل‌سنت برای وجوب غَسل پاها، افزون بر آیه شریفه سوره مائده، به دلایل دیگری نیز تمسک کرده‌اند که از جمله آنها می توان به روایات نبوی، دلیل احتیاط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مقتضای احتیاط، غَسل پاهاست؛ زیرا غَسل، مشتمل بر مسح است، ولی عکس آن صحیح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72"/>
      </w:r>
      <w:r>
        <w:rPr>
          <w:rFonts w:ascii="IRNazanin" w:hAnsi="IRNazanin" w:eastAsia="IRNazanin"/>
          <w:color w:val="111111"/>
          <w:sz w:val="28"/>
          <w:sz w:val="28"/>
          <w:szCs w:val="28"/>
          <w:rtl w:val="true"/>
          <w:lang w:bidi="fa-IR"/>
        </w:rPr>
        <w:t xml:space="preserve">استحسان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پاها بیشتر در معرض آلودگی‌ها و نجاسات هستند و شستن، موجب تطهیر آنها می‌شود</w:t>
      </w:r>
      <w:r>
        <w:rPr>
          <w:rFonts w:eastAsia="IRNazanin" w:cs="IRNazanin"/>
          <w:color w:val="111111"/>
          <w:sz w:val="28"/>
          <w:szCs w:val="28"/>
          <w:rtl w:val="true"/>
          <w:lang w:bidi="fa-IR"/>
        </w:rPr>
        <w:t>)</w:t>
      </w:r>
      <w:r>
        <w:rPr>
          <w:rStyle w:val="FootnoteAnchor"/>
          <w:rtl w:val="true"/>
        </w:rPr>
        <w:footnoteReference w:id="73"/>
      </w:r>
      <w:r>
        <w:rPr>
          <w:rFonts w:ascii="IRNazanin" w:hAnsi="IRNazanin" w:eastAsia="IRNazanin"/>
          <w:color w:val="111111"/>
          <w:sz w:val="28"/>
          <w:sz w:val="28"/>
          <w:szCs w:val="28"/>
          <w:rtl w:val="true"/>
          <w:lang w:bidi="fa-IR"/>
        </w:rPr>
        <w:t>اشاره کرد که همگی این توجیهات با ادله مُتقن مورد نقد و رد بزرگان قرار گرفته و بی‌پایه بودن این‌گونه مباحث روشن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 تمایل، علاقه مندان می توانند برای آگاهی از تفصیل و نقد و بررسی آنها، به کتاب‌های مربوطه، به ویژه درسنامه فقه مقارن آقای محمدرضا ضمیری مراجعه کنند</w:t>
      </w:r>
      <w:r>
        <w:rPr>
          <w:rFonts w:eastAsia="IRNazanin" w:cs="IRNazanin"/>
          <w:color w:val="111111"/>
          <w:sz w:val="28"/>
          <w:szCs w:val="28"/>
          <w:rtl w:val="true"/>
          <w:lang w:bidi="fa-IR"/>
        </w:rPr>
        <w:t xml:space="preserve">. </w:t>
      </w:r>
      <w:bookmarkStart w:id="98" w:name="pg3848_38660"/>
    </w:p>
    <w:p>
      <w:pPr>
        <w:pStyle w:val="Heading4"/>
        <w:numPr>
          <w:ilvl w:val="3"/>
          <w:numId w:val="1"/>
        </w:numPr>
        <w:rPr/>
      </w:pPr>
      <w:bookmarkStart w:id="99" w:name="__RefHeading___Toc1510151_2281741623"/>
      <w:bookmarkStart w:id="100" w:name="_Toc37"/>
      <w:bookmarkEnd w:id="98"/>
      <w:bookmarkEnd w:id="99"/>
      <w:r>
        <w:rPr>
          <w:rtl w:val="true"/>
        </w:rPr>
        <w:t>نگاهی به نواقض وضو</w:t>
      </w:r>
      <w:bookmarkEnd w:id="100"/>
    </w:p>
    <w:p>
      <w:pPr>
        <w:pStyle w:val="Heading5"/>
        <w:numPr>
          <w:ilvl w:val="4"/>
          <w:numId w:val="1"/>
        </w:numPr>
        <w:rPr/>
      </w:pPr>
      <w:bookmarkStart w:id="101" w:name="__RefHeading___Toc1510153_2281741623"/>
      <w:bookmarkStart w:id="102" w:name="_Toc38"/>
      <w:bookmarkEnd w:id="101"/>
      <w:r>
        <w:rPr>
          <w:rtl w:val="true"/>
        </w:rPr>
        <w:t>اشاره</w:t>
      </w:r>
      <w:bookmarkEnd w:id="102"/>
    </w:p>
    <w:p>
      <w:pPr>
        <w:pStyle w:val="BookText"/>
        <w:rPr/>
      </w:pPr>
      <w:r>
        <w:rPr>
          <w:rFonts w:ascii="IRNazanin" w:hAnsi="IRNazanin" w:eastAsia="IRNazanin"/>
          <w:color w:val="111111"/>
          <w:sz w:val="28"/>
          <w:sz w:val="28"/>
          <w:szCs w:val="28"/>
          <w:rtl w:val="true"/>
          <w:lang w:bidi="fa-IR"/>
        </w:rPr>
        <w:t>بجاست پایان بخش مباحث وضو را با نگاهی به عوامل باطل</w:t>
      </w:r>
    </w:p>
    <w:p>
      <w:pPr>
        <w:pStyle w:val="BookText"/>
        <w:rPr/>
      </w:pPr>
      <w:r>
        <w:rPr>
          <w:rFonts w:ascii="IRNazanin" w:hAnsi="IRNazanin" w:eastAsia="IRNazanin"/>
          <w:color w:val="111111"/>
          <w:sz w:val="28"/>
          <w:sz w:val="28"/>
          <w:szCs w:val="28"/>
          <w:rtl w:val="true"/>
          <w:lang w:bidi="fa-IR"/>
        </w:rPr>
        <w:t>شدن وضو</w:t>
      </w:r>
      <w:r>
        <w:rPr>
          <w:rStyle w:val="FootnoteAnchor"/>
          <w:rtl w:val="true"/>
        </w:rPr>
        <w:footnoteReference w:id="74"/>
      </w:r>
      <w:r>
        <w:rPr>
          <w:rFonts w:ascii="IRNazanin" w:hAnsi="IRNazanin" w:eastAsia="IRNazanin"/>
          <w:color w:val="111111"/>
          <w:sz w:val="28"/>
          <w:sz w:val="28"/>
          <w:szCs w:val="28"/>
          <w:rtl w:val="true"/>
          <w:lang w:bidi="fa-IR"/>
        </w:rPr>
        <w:t xml:space="preserve">که در کتب فقها از آن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نواقض وضو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تعبیر می‌شود، بپردازیم و موارد اتفاق و اختلاف آن را به اجمال بررسی کنیم</w:t>
      </w:r>
      <w:r>
        <w:rPr>
          <w:rFonts w:eastAsia="IRNazanin" w:cs="IRNazanin"/>
          <w:color w:val="111111"/>
          <w:sz w:val="28"/>
          <w:szCs w:val="28"/>
          <w:rtl w:val="true"/>
          <w:lang w:bidi="fa-IR"/>
        </w:rPr>
        <w:t>.</w:t>
      </w:r>
    </w:p>
    <w:p>
      <w:pPr>
        <w:pStyle w:val="Heading5"/>
        <w:numPr>
          <w:ilvl w:val="4"/>
          <w:numId w:val="1"/>
        </w:numPr>
        <w:rPr/>
      </w:pPr>
      <w:bookmarkStart w:id="103" w:name="__RefHeading___Toc1510155_2281741623"/>
      <w:bookmarkStart w:id="104" w:name="_Toc39"/>
      <w:bookmarkEnd w:id="103"/>
      <w:r>
        <w:rPr/>
        <w:t>1</w:t>
      </w:r>
      <w:r>
        <w:rPr>
          <w:rtl w:val="true"/>
        </w:rPr>
        <w:t xml:space="preserve">. </w:t>
      </w:r>
      <w:r>
        <w:rPr>
          <w:rtl w:val="true"/>
        </w:rPr>
        <w:t>بول و غائط و</w:t>
      </w:r>
      <w:r>
        <w:rPr>
          <w:rtl w:val="true"/>
        </w:rPr>
        <w:t>...</w:t>
      </w:r>
      <w:bookmarkEnd w:id="104"/>
    </w:p>
    <w:p>
      <w:pPr>
        <w:pStyle w:val="BookText"/>
        <w:rPr/>
      </w:pPr>
      <w:r>
        <w:rPr>
          <w:rFonts w:ascii="IRNazanin" w:hAnsi="IRNazanin" w:eastAsia="IRNazanin"/>
          <w:color w:val="111111"/>
          <w:sz w:val="28"/>
          <w:sz w:val="28"/>
          <w:szCs w:val="28"/>
          <w:rtl w:val="true"/>
          <w:lang w:bidi="fa-IR"/>
        </w:rPr>
        <w:t>همه فقهای مذاهب اسلامی در ناقض بودن ادرار، مدفوع و باد معده اتفاق نظر دارند،</w:t>
      </w:r>
      <w:r>
        <w:rPr>
          <w:rStyle w:val="FootnoteAnchor"/>
          <w:rtl w:val="true"/>
        </w:rPr>
        <w:footnoteReference w:id="75"/>
      </w:r>
      <w:r>
        <w:rPr>
          <w:rFonts w:ascii="IRNazanin" w:hAnsi="IRNazanin" w:eastAsia="IRNazanin"/>
          <w:color w:val="111111"/>
          <w:sz w:val="28"/>
          <w:sz w:val="28"/>
          <w:szCs w:val="28"/>
          <w:rtl w:val="true"/>
          <w:lang w:bidi="fa-IR"/>
        </w:rPr>
        <w:t>ولی در دیگر موارد اختلاف‌نظرهایی وجود دارد که به بررسی آنها می پردازیم</w:t>
      </w:r>
      <w:r>
        <w:rPr>
          <w:rFonts w:eastAsia="IRNazanin" w:cs="IRNazanin"/>
          <w:color w:val="111111"/>
          <w:sz w:val="28"/>
          <w:szCs w:val="28"/>
          <w:rtl w:val="true"/>
          <w:lang w:bidi="fa-IR"/>
        </w:rPr>
        <w:t>.</w:t>
      </w:r>
    </w:p>
    <w:p>
      <w:pPr>
        <w:pStyle w:val="Heading5"/>
        <w:numPr>
          <w:ilvl w:val="4"/>
          <w:numId w:val="1"/>
        </w:numPr>
        <w:rPr/>
      </w:pPr>
      <w:bookmarkStart w:id="105" w:name="__RefHeading___Toc1510157_2281741623"/>
      <w:bookmarkStart w:id="106" w:name="_Toc40"/>
      <w:bookmarkEnd w:id="105"/>
      <w:r>
        <w:rPr/>
        <w:t>2</w:t>
      </w:r>
      <w:r>
        <w:rPr>
          <w:rtl w:val="true"/>
        </w:rPr>
        <w:t xml:space="preserve">. </w:t>
      </w:r>
      <w:r>
        <w:rPr>
          <w:rtl w:val="true"/>
        </w:rPr>
        <w:t>مذی و ودی</w:t>
      </w:r>
      <w:bookmarkEnd w:id="106"/>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گفته بزرگان امامیه، بیرون آمدن مذی و ودی</w:t>
      </w:r>
      <w:r>
        <w:rPr>
          <w:rStyle w:val="FootnoteAnchor"/>
          <w:rtl w:val="true"/>
        </w:rPr>
        <w:footnoteReference w:id="76"/>
      </w:r>
      <w:r>
        <w:rPr>
          <w:rFonts w:ascii="IRNazanin" w:hAnsi="IRNazanin" w:eastAsia="IRNazanin"/>
          <w:color w:val="111111"/>
          <w:sz w:val="28"/>
          <w:sz w:val="28"/>
          <w:szCs w:val="28"/>
          <w:rtl w:val="true"/>
          <w:lang w:bidi="fa-IR"/>
        </w:rPr>
        <w:t>ناقض وضو نیست، ولی مذاهب چهارگانه مذی و ودی را موجب بطلان وضو می دانند</w:t>
      </w:r>
      <w:r>
        <w:rPr>
          <w:rFonts w:eastAsia="IRNazanin" w:cs="IRNazanin"/>
          <w:color w:val="111111"/>
          <w:sz w:val="28"/>
          <w:szCs w:val="28"/>
          <w:rtl w:val="true"/>
          <w:lang w:bidi="fa-IR"/>
        </w:rPr>
        <w:t>.</w:t>
      </w:r>
      <w:r>
        <w:rPr>
          <w:rStyle w:val="FootnoteAnchor"/>
          <w:rtl w:val="true"/>
        </w:rPr>
        <w:footnoteReference w:id="77"/>
      </w:r>
      <w:bookmarkStart w:id="107" w:name="pg3848_38661"/>
    </w:p>
    <w:p>
      <w:pPr>
        <w:pStyle w:val="Heading5"/>
        <w:numPr>
          <w:ilvl w:val="4"/>
          <w:numId w:val="1"/>
        </w:numPr>
        <w:rPr/>
      </w:pPr>
      <w:bookmarkStart w:id="108" w:name="__RefHeading___Toc1510159_2281741623"/>
      <w:bookmarkStart w:id="109" w:name="_Toc41"/>
      <w:bookmarkEnd w:id="107"/>
      <w:bookmarkEnd w:id="108"/>
      <w:r>
        <w:rPr/>
        <w:t>3</w:t>
      </w:r>
      <w:r>
        <w:rPr>
          <w:rtl w:val="true"/>
        </w:rPr>
        <w:t xml:space="preserve">. </w:t>
      </w:r>
      <w:r>
        <w:rPr>
          <w:rtl w:val="true"/>
        </w:rPr>
        <w:t>خواب</w:t>
      </w:r>
      <w:bookmarkEnd w:id="109"/>
    </w:p>
    <w:p>
      <w:pPr>
        <w:pStyle w:val="BookText"/>
        <w:rPr/>
      </w:pPr>
      <w:r>
        <w:rPr>
          <w:rFonts w:ascii="IRNazanin" w:hAnsi="IRNazanin" w:eastAsia="IRNazanin"/>
          <w:color w:val="111111"/>
          <w:sz w:val="28"/>
          <w:sz w:val="28"/>
          <w:szCs w:val="28"/>
          <w:rtl w:val="true"/>
          <w:lang w:bidi="fa-IR"/>
        </w:rPr>
        <w:t>به فتوای فقهای امامیه، خواب به گونه ای که چشم نبیند و گوش نشود، ناقض وضو است؛ کم باشد، یا زیاد، در حال ایستاده باشد، یا نشسته، به پهلو باشد، یا در حال راه رفتن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به شرط اینکه خواب به قلب و چشم و گوش او چیره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بر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چرت زدنی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به این حد از خواب نرسد، وضو را باطل نمی‌کند</w:t>
      </w:r>
      <w:r>
        <w:rPr>
          <w:rFonts w:eastAsia="IRNazanin" w:cs="IRNazanin"/>
          <w:color w:val="111111"/>
          <w:sz w:val="28"/>
          <w:szCs w:val="28"/>
          <w:rtl w:val="true"/>
          <w:lang w:bidi="fa-IR"/>
        </w:rPr>
        <w:t>.</w:t>
      </w:r>
      <w:r>
        <w:rPr>
          <w:rStyle w:val="FootnoteAnchor"/>
          <w:rtl w:val="true"/>
        </w:rPr>
        <w:footnoteReference w:id="78"/>
      </w:r>
    </w:p>
    <w:p>
      <w:pPr>
        <w:pStyle w:val="BookText"/>
        <w:rPr/>
      </w:pPr>
      <w:r>
        <w:rPr>
          <w:rFonts w:ascii="IRNazanin" w:hAnsi="IRNazanin" w:eastAsia="IRNazanin"/>
          <w:color w:val="111111"/>
          <w:sz w:val="28"/>
          <w:sz w:val="28"/>
          <w:szCs w:val="28"/>
          <w:rtl w:val="true"/>
          <w:lang w:bidi="fa-IR"/>
        </w:rPr>
        <w:t>حنبلی ها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خواب ناقض وضو است، در هر حالتی که باشد، مگر اینکه از نظر عرف خواب اندکی باشد که وضو را باطل نمی‌کند</w:t>
      </w:r>
      <w:r>
        <w:rPr>
          <w:rFonts w:eastAsia="IRNazanin" w:cs="IRNazanin"/>
          <w:color w:val="111111"/>
          <w:sz w:val="28"/>
          <w:szCs w:val="28"/>
          <w:rtl w:val="true"/>
          <w:lang w:bidi="fa-IR"/>
        </w:rPr>
        <w:t>.</w:t>
      </w:r>
      <w:r>
        <w:rPr>
          <w:rStyle w:val="FootnoteAnchor"/>
          <w:rtl w:val="true"/>
        </w:rPr>
        <w:footnoteReference w:id="79"/>
      </w:r>
    </w:p>
    <w:p>
      <w:pPr>
        <w:pStyle w:val="BookText"/>
        <w:rPr/>
      </w:pPr>
      <w:r>
        <w:rPr>
          <w:rFonts w:ascii="IRNazanin" w:hAnsi="IRNazanin" w:eastAsia="IRNazanin"/>
          <w:color w:val="111111"/>
          <w:sz w:val="28"/>
          <w:sz w:val="28"/>
          <w:szCs w:val="28"/>
          <w:rtl w:val="true"/>
          <w:lang w:bidi="fa-IR"/>
        </w:rPr>
        <w:t>شافعی ها نیز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خواب ناقض وضو است، اگرچه یقین داشته باشد حدثی دیگر از او صادر نشده است</w:t>
      </w:r>
      <w:r>
        <w:rPr>
          <w:rFonts w:eastAsia="IRNazanin" w:cs="IRNazanin"/>
          <w:color w:val="111111"/>
          <w:sz w:val="28"/>
          <w:szCs w:val="28"/>
          <w:rtl w:val="true"/>
          <w:lang w:bidi="fa-IR"/>
        </w:rPr>
        <w:t>.</w:t>
      </w:r>
      <w:r>
        <w:rPr>
          <w:rStyle w:val="FootnoteAnchor"/>
          <w:rtl w:val="true"/>
        </w:rPr>
        <w:footnoteReference w:id="80"/>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ولی حنفی ها معتقدند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خواب ناقض وضو نیست، مگر آن‌گاه </w:t>
      </w:r>
      <w:bookmarkStart w:id="110" w:name="pg3848_38662"/>
    </w:p>
    <w:p>
      <w:pPr>
        <w:pStyle w:val="BookText"/>
        <w:rPr/>
      </w:pPr>
      <w:bookmarkEnd w:id="110"/>
      <w:r>
        <w:rPr>
          <w:rFonts w:ascii="IRNazanin" w:hAnsi="IRNazanin" w:eastAsia="IRNazanin"/>
          <w:color w:val="111111"/>
          <w:sz w:val="28"/>
          <w:sz w:val="28"/>
          <w:szCs w:val="28"/>
          <w:rtl w:val="true"/>
          <w:lang w:bidi="fa-IR"/>
        </w:rPr>
        <w:t xml:space="preserve">که به پهلو یا به پشت خوابیده باشد؛ یا خواب نشسته‌ای که یک پا را از زیر بدن خارج نماید و بر یک پا تکیه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کنترل نداشته باشد</w:t>
      </w:r>
      <w:r>
        <w:rPr>
          <w:rFonts w:eastAsia="IRNazanin" w:cs="IRNazanin"/>
          <w:color w:val="111111"/>
          <w:sz w:val="28"/>
          <w:szCs w:val="28"/>
          <w:rtl w:val="true"/>
          <w:lang w:bidi="fa-IR"/>
        </w:rPr>
        <w:t>).</w:t>
      </w:r>
      <w:r>
        <w:rPr>
          <w:rStyle w:val="FootnoteAnchor"/>
          <w:rtl w:val="true"/>
        </w:rPr>
        <w:footnoteReference w:id="81"/>
      </w:r>
    </w:p>
    <w:p>
      <w:pPr>
        <w:pStyle w:val="BookText"/>
        <w:rPr/>
      </w:pPr>
      <w:r>
        <w:rPr>
          <w:rFonts w:ascii="IRNazanin" w:hAnsi="IRNazanin" w:eastAsia="IRNazanin"/>
          <w:color w:val="111111"/>
          <w:sz w:val="28"/>
          <w:sz w:val="28"/>
          <w:szCs w:val="28"/>
          <w:rtl w:val="true"/>
          <w:lang w:bidi="fa-IR"/>
        </w:rPr>
        <w:t xml:space="preserve">فقهای مالکی نیز معتقدند خواب سبک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کوتاه باشد یا بلند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موجب نقض و بطلان وضو نیست، ولی خواب سنگین، در هر حال ناقض وضو است</w:t>
      </w:r>
      <w:r>
        <w:rPr>
          <w:rFonts w:eastAsia="IRNazanin" w:cs="IRNazanin"/>
          <w:color w:val="111111"/>
          <w:sz w:val="28"/>
          <w:szCs w:val="28"/>
          <w:rtl w:val="true"/>
          <w:lang w:bidi="fa-IR"/>
        </w:rPr>
        <w:t>.</w:t>
      </w:r>
      <w:r>
        <w:rPr>
          <w:rStyle w:val="FootnoteAnchor"/>
          <w:rtl w:val="true"/>
        </w:rPr>
        <w:footnoteReference w:id="82"/>
      </w:r>
    </w:p>
    <w:p>
      <w:pPr>
        <w:pStyle w:val="Heading5"/>
        <w:numPr>
          <w:ilvl w:val="4"/>
          <w:numId w:val="1"/>
        </w:numPr>
        <w:rPr/>
      </w:pPr>
      <w:bookmarkStart w:id="111" w:name="__RefHeading___Toc1510161_2281741623"/>
      <w:bookmarkStart w:id="112" w:name="_Toc42"/>
      <w:bookmarkEnd w:id="111"/>
      <w:r>
        <w:rPr/>
        <w:t>4</w:t>
      </w:r>
      <w:r>
        <w:rPr>
          <w:rtl w:val="true"/>
        </w:rPr>
        <w:t xml:space="preserve">. </w:t>
      </w:r>
      <w:r>
        <w:rPr>
          <w:rtl w:val="true"/>
        </w:rPr>
        <w:t>زوال  عقل</w:t>
      </w:r>
      <w:bookmarkEnd w:id="112"/>
    </w:p>
    <w:p>
      <w:pPr>
        <w:pStyle w:val="BookText"/>
        <w:rPr/>
      </w:pPr>
      <w:r>
        <w:rPr>
          <w:rFonts w:ascii="IRNazanin" w:hAnsi="IRNazanin" w:eastAsia="IRNazanin"/>
          <w:color w:val="111111"/>
          <w:sz w:val="28"/>
          <w:sz w:val="28"/>
          <w:szCs w:val="28"/>
          <w:rtl w:val="true"/>
          <w:lang w:bidi="fa-IR"/>
        </w:rPr>
        <w:t>به اتفاق مذاهب اسلامی، دیوانگی، بیهوشی و مستی که عقل را از بین می برد، ناقض وضو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شافعی در مسأله مستی دو قول دارد که در یکی از آنها به عدم نقض قائل شده است</w:t>
      </w:r>
      <w:r>
        <w:rPr>
          <w:rFonts w:eastAsia="IRNazanin" w:cs="IRNazanin"/>
          <w:color w:val="111111"/>
          <w:sz w:val="28"/>
          <w:szCs w:val="28"/>
          <w:rtl w:val="true"/>
          <w:lang w:bidi="fa-IR"/>
        </w:rPr>
        <w:t>.</w:t>
      </w:r>
      <w:r>
        <w:rPr>
          <w:rStyle w:val="FootnoteAnchor"/>
          <w:rtl w:val="true"/>
        </w:rPr>
        <w:footnoteReference w:id="83"/>
      </w:r>
    </w:p>
    <w:p>
      <w:pPr>
        <w:pStyle w:val="Heading5"/>
        <w:numPr>
          <w:ilvl w:val="4"/>
          <w:numId w:val="1"/>
        </w:numPr>
        <w:rPr/>
      </w:pPr>
      <w:bookmarkStart w:id="113" w:name="__RefHeading___Toc1510163_2281741623"/>
      <w:bookmarkStart w:id="114" w:name="_Toc43"/>
      <w:bookmarkEnd w:id="113"/>
      <w:r>
        <w:rPr/>
        <w:t>5</w:t>
      </w:r>
      <w:r>
        <w:rPr>
          <w:rtl w:val="true"/>
        </w:rPr>
        <w:t xml:space="preserve">. </w:t>
      </w:r>
      <w:r>
        <w:rPr>
          <w:rtl w:val="true"/>
        </w:rPr>
        <w:t>مسّ عورت</w:t>
      </w:r>
      <w:bookmarkEnd w:id="114"/>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فتاوای ویژه اهل‌سنت در نواقض وضو، بطلان آن با دست زدن به عورت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حنبلیه و شافعیه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 عورتین خود یا دیگری، زن یا مرد، اگر با باطن و کف دست باشد، ناقض وضو است، ولی حنفیه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 عورت اگرچه </w:t>
      </w:r>
      <w:bookmarkStart w:id="115" w:name="pg3848_38663"/>
    </w:p>
    <w:p>
      <w:pPr>
        <w:pStyle w:val="BookText"/>
        <w:rPr/>
      </w:pPr>
      <w:bookmarkEnd w:id="115"/>
      <w:r>
        <w:rPr>
          <w:rFonts w:ascii="IRNazanin" w:hAnsi="IRNazanin" w:eastAsia="IRNazanin"/>
          <w:color w:val="111111"/>
          <w:sz w:val="28"/>
          <w:sz w:val="28"/>
          <w:szCs w:val="28"/>
          <w:rtl w:val="true"/>
          <w:lang w:bidi="fa-IR"/>
        </w:rPr>
        <w:t>از روی شهوت، ناقض وضو نیست</w:t>
      </w:r>
      <w:r>
        <w:rPr>
          <w:rFonts w:eastAsia="IRNazanin" w:cs="IRNazanin"/>
          <w:color w:val="111111"/>
          <w:sz w:val="28"/>
          <w:szCs w:val="28"/>
          <w:rtl w:val="true"/>
          <w:lang w:bidi="fa-IR"/>
        </w:rPr>
        <w:t>.</w:t>
      </w:r>
      <w:r>
        <w:rPr>
          <w:rStyle w:val="FootnoteAnchor"/>
          <w:rtl w:val="true"/>
        </w:rPr>
        <w:footnoteReference w:id="84"/>
      </w:r>
    </w:p>
    <w:p>
      <w:pPr>
        <w:pStyle w:val="BookText"/>
        <w:rPr/>
      </w:pPr>
      <w:r>
        <w:rPr>
          <w:rFonts w:ascii="IRNazanin" w:hAnsi="IRNazanin" w:eastAsia="IRNazanin"/>
          <w:color w:val="111111"/>
          <w:sz w:val="28"/>
          <w:sz w:val="28"/>
          <w:szCs w:val="28"/>
          <w:rtl w:val="true"/>
          <w:lang w:bidi="fa-IR"/>
        </w:rPr>
        <w:t>مالکیه نیز معتقدند مسّ قُبُلِ خود، با کف دست، تنها برای مردان ناقض وضو است، ولی مسّ دُبُر مطلقاً و مسّ فرج برای زنان ناقض وضو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فقهای امامیه، دست زدن به عورتین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 یا دُبُر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موجب نقض وضو نمی دانند</w:t>
      </w:r>
      <w:r>
        <w:rPr>
          <w:rFonts w:eastAsia="IRNazanin" w:cs="IRNazanin"/>
          <w:color w:val="111111"/>
          <w:sz w:val="28"/>
          <w:szCs w:val="28"/>
          <w:rtl w:val="true"/>
          <w:lang w:bidi="fa-IR"/>
        </w:rPr>
        <w:t>.</w:t>
      </w:r>
      <w:r>
        <w:rPr>
          <w:rStyle w:val="FootnoteAnchor"/>
          <w:rtl w:val="true"/>
        </w:rPr>
        <w:footnoteReference w:id="85"/>
      </w:r>
    </w:p>
    <w:p>
      <w:pPr>
        <w:pStyle w:val="Heading5"/>
        <w:numPr>
          <w:ilvl w:val="4"/>
          <w:numId w:val="1"/>
        </w:numPr>
        <w:rPr/>
      </w:pPr>
      <w:bookmarkStart w:id="116" w:name="__RefHeading___Toc1510165_2281741623"/>
      <w:bookmarkStart w:id="117" w:name="_Toc44"/>
      <w:bookmarkEnd w:id="116"/>
      <w:r>
        <w:rPr/>
        <w:t>6</w:t>
      </w:r>
      <w:r>
        <w:rPr>
          <w:rtl w:val="true"/>
        </w:rPr>
        <w:t xml:space="preserve">. </w:t>
      </w:r>
      <w:r>
        <w:rPr>
          <w:rtl w:val="true"/>
        </w:rPr>
        <w:t>تماس بدنی</w:t>
      </w:r>
      <w:bookmarkEnd w:id="117"/>
    </w:p>
    <w:p>
      <w:pPr>
        <w:pStyle w:val="BookText"/>
        <w:rPr/>
      </w:pPr>
      <w:r>
        <w:rPr>
          <w:rFonts w:ascii="Amiri" w:hAnsi="Amiri" w:eastAsia="Amiri" w:cs="Amiri"/>
          <w:color w:val="111111"/>
          <w:sz w:val="28"/>
          <w:sz w:val="28"/>
          <w:szCs w:val="28"/>
          <w:rtl w:val="true"/>
          <w:lang w:bidi="ar-SA"/>
        </w:rPr>
        <w:t>اهل‌سنت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جز حنفی 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 تمسک به آیه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کُنْتُمْ مَرْضَی أَوْ عَلَی سَفَر أَوْ جَاءَ أَحَدٌ مِنْکُمْ مِنَ الْغَائِطِ أَوْ لامَسْتُمُ النِّسَاءَ فَلَمْ تَجِدُوا مَاءً فَتَیَمَّمُوا صَعِیدًا طَیِّبًا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86"/>
      </w:r>
      <w:r>
        <w:rPr>
          <w:rFonts w:ascii="IRNazanin" w:hAnsi="IRNazanin" w:eastAsia="IRNazanin"/>
          <w:color w:val="111111"/>
          <w:sz w:val="28"/>
          <w:sz w:val="28"/>
          <w:szCs w:val="28"/>
          <w:rtl w:val="true"/>
          <w:lang w:bidi="fa-IR"/>
        </w:rPr>
        <w:t>گفته اند لمس بدون حایل بدن زن از سوی مرد و بالعکس، مَحرم باشد یا اجنبی، ناقض وضو است</w:t>
      </w:r>
      <w:r>
        <w:rPr>
          <w:rFonts w:eastAsia="IRNazanin" w:cs="IRNazanin"/>
          <w:color w:val="111111"/>
          <w:sz w:val="28"/>
          <w:szCs w:val="28"/>
          <w:rtl w:val="true"/>
          <w:lang w:bidi="fa-IR"/>
        </w:rPr>
        <w:t>.</w:t>
      </w:r>
      <w:r>
        <w:rPr>
          <w:rStyle w:val="FootnoteAnchor"/>
          <w:rtl w:val="true"/>
        </w:rPr>
        <w:footnoteReference w:id="87"/>
      </w:r>
      <w:r>
        <w:rPr>
          <w:rFonts w:ascii="IRNazanin" w:hAnsi="IRNazanin" w:eastAsia="IRNazanin"/>
          <w:color w:val="111111"/>
          <w:sz w:val="28"/>
          <w:sz w:val="28"/>
          <w:szCs w:val="28"/>
          <w:rtl w:val="true"/>
          <w:lang w:bidi="fa-IR"/>
        </w:rPr>
        <w:t>در حالی که به نظر می‌رسد منظور از لمس در این آیه، مباشرت جنسی است، نه تماس بدنی صرف</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علامه طباطبایی در تفسیر آیه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لامَسْتُمُ النِساءَ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مائده</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لمس زنان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کنایه از نزدیکی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سبب </w:t>
      </w:r>
    </w:p>
    <w:p>
      <w:pPr>
        <w:pStyle w:val="BookText"/>
        <w:rPr/>
      </w:pPr>
      <w:r>
        <w:rPr>
          <w:rFonts w:ascii="IRNazanin" w:hAnsi="IRNazanin" w:eastAsia="IRNazanin"/>
          <w:color w:val="111111"/>
          <w:sz w:val="28"/>
          <w:sz w:val="28"/>
          <w:szCs w:val="28"/>
          <w:rtl w:val="true"/>
          <w:lang w:bidi="fa-IR"/>
        </w:rPr>
        <w:t>رعایت ادب و حفظ زبان از چیزی که طبع‌ها از تصریح به آن دوری می‌کند، آن را آشکارا بیان نکرده است</w:t>
      </w:r>
      <w:r>
        <w:rPr>
          <w:rFonts w:eastAsia="IRNazanin" w:cs="IRNazanin"/>
          <w:color w:val="111111"/>
          <w:sz w:val="28"/>
          <w:szCs w:val="28"/>
          <w:rtl w:val="true"/>
          <w:lang w:bidi="fa-IR"/>
        </w:rPr>
        <w:t>.</w:t>
      </w:r>
      <w:r>
        <w:rPr>
          <w:rStyle w:val="FootnoteAnchor"/>
          <w:rtl w:val="true"/>
        </w:rPr>
        <w:footnoteReference w:id="88"/>
      </w:r>
      <w:r>
        <w:rPr>
          <w:rFonts w:ascii="IRNazanin" w:hAnsi="IRNazanin" w:eastAsia="IRNazanin"/>
          <w:color w:val="111111"/>
          <w:sz w:val="28"/>
          <w:sz w:val="28"/>
          <w:szCs w:val="28"/>
          <w:rtl w:val="true"/>
          <w:lang w:bidi="fa-IR"/>
        </w:rPr>
        <w:t xml:space="preserve">از این رو، وقتی از امام جعفر صادق علیه السلام از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لامَسْتُمْ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پرسیدند،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هو الجماع، و لکن الله ستیر یحب الستر فلم یسم کما تسمون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منظور جماع است، ولی خداوندِ باحیا و پوشاننده که پوشش را دوست دارد، آن‌گونه که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صراحت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می‌برید، نام نمی‌برد</w:t>
      </w:r>
      <w:r>
        <w:rPr>
          <w:rFonts w:eastAsia="IRNazanin" w:cs="IRNazanin"/>
          <w:color w:val="111111"/>
          <w:sz w:val="28"/>
          <w:szCs w:val="28"/>
          <w:rtl w:val="true"/>
          <w:lang w:bidi="fa-IR"/>
        </w:rPr>
        <w:t>.</w:t>
      </w:r>
      <w:r>
        <w:rPr>
          <w:rStyle w:val="FootnoteAnchor"/>
          <w:rtl w:val="true"/>
        </w:rPr>
        <w:footnoteReference w:id="89"/>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افزون بر این، اختلاف‌هایی در برخی نواقض وضو وجود دارد که علاقه‌مندان می‌توانند به کتاب‌های مربوط در این زمینه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خلال مباحث ذکر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مراجعه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این مسائل می توان موارد زیر را برشمرد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استفراغ، بیرون آمدن خون و چرک، قهقهه زدن، ارتداد، خوردن گوشت شتر و خون استحاضه قلیله در زنان</w:t>
      </w:r>
      <w:r>
        <w:rPr>
          <w:rFonts w:eastAsia="IRNazanin" w:cs="IRNazanin"/>
          <w:color w:val="111111"/>
          <w:sz w:val="28"/>
          <w:szCs w:val="28"/>
          <w:rtl w:val="true"/>
          <w:lang w:bidi="fa-IR"/>
        </w:rPr>
        <w:t>.</w:t>
      </w:r>
      <w:r>
        <w:rPr>
          <w:rStyle w:val="FootnoteAnchor"/>
          <w:rtl w:val="true"/>
        </w:rPr>
        <w:footnoteReference w:id="90"/>
      </w:r>
      <w:bookmarkStart w:id="118" w:name="pg3848_38665"/>
    </w:p>
    <w:p>
      <w:pPr>
        <w:pStyle w:val="Heading4"/>
        <w:numPr>
          <w:ilvl w:val="3"/>
          <w:numId w:val="1"/>
        </w:numPr>
        <w:rPr/>
      </w:pPr>
      <w:bookmarkStart w:id="119" w:name="__RefHeading___Toc1510167_2281741623"/>
      <w:bookmarkStart w:id="120" w:name="_Toc45"/>
      <w:bookmarkEnd w:id="118"/>
      <w:bookmarkEnd w:id="119"/>
      <w:r>
        <w:rPr>
          <w:rtl w:val="true"/>
        </w:rPr>
        <w:t>سه نکته پایانی</w:t>
      </w:r>
      <w:bookmarkEnd w:id="120"/>
    </w:p>
    <w:p>
      <w:pPr>
        <w:pStyle w:val="Heading5"/>
        <w:numPr>
          <w:ilvl w:val="4"/>
          <w:numId w:val="1"/>
        </w:numPr>
        <w:rPr/>
      </w:pPr>
      <w:bookmarkStart w:id="121" w:name="__RefHeading___Toc1510169_2281741623"/>
      <w:bookmarkStart w:id="122" w:name="_Toc46"/>
      <w:bookmarkEnd w:id="121"/>
      <w:r>
        <w:rPr>
          <w:rtl w:val="true"/>
        </w:rPr>
        <w:t>یک</w:t>
      </w:r>
      <w:r>
        <w:rPr>
          <w:rtl w:val="true"/>
        </w:rPr>
        <w:t xml:space="preserve">- </w:t>
      </w:r>
      <w:r>
        <w:rPr>
          <w:rtl w:val="true"/>
        </w:rPr>
        <w:t>نیت وضو</w:t>
      </w:r>
      <w:bookmarkEnd w:id="122"/>
    </w:p>
    <w:p>
      <w:pPr>
        <w:pStyle w:val="BookText"/>
        <w:rPr/>
      </w:pPr>
      <w:r>
        <w:rPr>
          <w:rFonts w:ascii="IRNazanin" w:hAnsi="IRNazanin" w:eastAsia="IRNazanin"/>
          <w:color w:val="111111"/>
          <w:sz w:val="28"/>
          <w:sz w:val="28"/>
          <w:szCs w:val="28"/>
          <w:rtl w:val="true"/>
          <w:lang w:bidi="fa-IR"/>
        </w:rPr>
        <w:t>شیعه امامیه و سه مذهب از مذاهب چهارگانه اهل‌سنت می</w:t>
      </w:r>
      <w:r>
        <w:rPr>
          <w:rFonts w:eastAsia="IRNazanin" w:cs="IRNazanin"/>
          <w:color w:val="111111"/>
          <w:sz w:val="28"/>
          <w:szCs w:val="28"/>
          <w:rtl w:val="true"/>
          <w:lang w:bidi="fa-IR"/>
        </w:rPr>
        <w:softHyphen/>
      </w:r>
    </w:p>
    <w:p>
      <w:pPr>
        <w:pStyle w:val="BookText"/>
        <w:rPr/>
      </w:pPr>
      <w:r>
        <w:rPr>
          <w:rFonts w:ascii="IRNazanin" w:hAnsi="IRNazanin" w:eastAsia="IRNazanin"/>
          <w:color w:val="111111"/>
          <w:sz w:val="28"/>
          <w:sz w:val="28"/>
          <w:szCs w:val="28"/>
          <w:rtl w:val="true"/>
          <w:lang w:bidi="fa-IR"/>
        </w:rPr>
        <w:t xml:space="preserve">گویند که در وضو نیت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قصد فعل به انگیزه اطاعت و امتثال امر خداوند متعال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حنفی ها معتقدند نیت، مانند ترتیب و موالات، شرط وضو نیست و وضو بدون نیت نیز جایز و صحیح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ابوحنیفه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وضو نیت واجب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آدمی به قصد خنک شدن یا نظافت، تمامی اعضای وضو را بشوید و با آن نماز بخواند، نمازش صحیح است؛ چون مقصود از وضو، طهارت و پاکیزگی است و این با شستن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بدون نیت 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حاصل می شود</w:t>
      </w:r>
      <w:r>
        <w:rPr>
          <w:rFonts w:eastAsia="IRNazanin" w:cs="IRNazanin"/>
          <w:color w:val="111111"/>
          <w:sz w:val="28"/>
          <w:szCs w:val="28"/>
          <w:rtl w:val="true"/>
          <w:lang w:bidi="fa-IR"/>
        </w:rPr>
        <w:t>.</w:t>
      </w:r>
      <w:r>
        <w:rPr>
          <w:rStyle w:val="FootnoteAnchor"/>
          <w:rtl w:val="true"/>
        </w:rPr>
        <w:footnoteReference w:id="91"/>
      </w:r>
      <w:r>
        <w:rPr>
          <w:rFonts w:ascii="IRNazanin" w:hAnsi="IRNazanin" w:eastAsia="IRNazanin"/>
          <w:color w:val="111111"/>
          <w:sz w:val="28"/>
          <w:sz w:val="28"/>
          <w:szCs w:val="28"/>
          <w:rtl w:val="true"/>
          <w:lang w:bidi="fa-IR"/>
        </w:rPr>
        <w:t>به گفته نویسنده کتاب الفقه علی المذاهب الاربعه، ابوحنیفه نیت را در وضو مستحب می دانسته است</w:t>
      </w:r>
      <w:r>
        <w:rPr>
          <w:rFonts w:eastAsia="IRNazanin" w:cs="IRNazanin"/>
          <w:color w:val="111111"/>
          <w:sz w:val="28"/>
          <w:szCs w:val="28"/>
          <w:rtl w:val="true"/>
          <w:lang w:bidi="fa-IR"/>
        </w:rPr>
        <w:t>.</w:t>
      </w:r>
      <w:r>
        <w:rPr>
          <w:rStyle w:val="FootnoteAnchor"/>
          <w:rtl w:val="true"/>
        </w:rPr>
        <w:footnoteReference w:id="92"/>
      </w:r>
    </w:p>
    <w:p>
      <w:pPr>
        <w:pStyle w:val="Heading5"/>
        <w:numPr>
          <w:ilvl w:val="4"/>
          <w:numId w:val="1"/>
        </w:numPr>
        <w:rPr/>
      </w:pPr>
      <w:bookmarkStart w:id="123" w:name="__RefHeading___Toc1510171_2281741623"/>
      <w:bookmarkStart w:id="124" w:name="_Toc47"/>
      <w:bookmarkEnd w:id="123"/>
      <w:r>
        <w:rPr>
          <w:rtl w:val="true"/>
        </w:rPr>
        <w:t>دو</w:t>
      </w:r>
      <w:r>
        <w:rPr>
          <w:rtl w:val="true"/>
        </w:rPr>
        <w:t xml:space="preserve">- </w:t>
      </w:r>
      <w:r>
        <w:rPr>
          <w:rtl w:val="true"/>
        </w:rPr>
        <w:t>ترتیب</w:t>
      </w:r>
      <w:bookmarkEnd w:id="124"/>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امامیه، شافعیه و حنابله معتقدند در وضو ترتیب لازم است، به همان صورتی که آیه بیان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ابتدا صورت، بعد </w:t>
      </w:r>
      <w:bookmarkStart w:id="125" w:name="pg3848_38666"/>
    </w:p>
    <w:p>
      <w:pPr>
        <w:pStyle w:val="BookText"/>
        <w:rPr/>
      </w:pPr>
      <w:bookmarkEnd w:id="125"/>
      <w:r>
        <w:rPr>
          <w:rFonts w:ascii="IRNazanin" w:hAnsi="IRNazanin" w:eastAsia="IRNazanin"/>
          <w:color w:val="111111"/>
          <w:sz w:val="28"/>
          <w:sz w:val="28"/>
          <w:szCs w:val="28"/>
          <w:rtl w:val="true"/>
          <w:lang w:bidi="fa-IR"/>
        </w:rPr>
        <w:t>دست‌ها، سپس مسح سر و در انتها مسح پاها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ترتیب واجب و شرط در صحت وضو است، ولی حنفیه و مالکیه بر این باورند که ترتیب لازم نیست و می توان ابتدا پاها را شست و سپس صورت را</w:t>
      </w:r>
      <w:r>
        <w:rPr>
          <w:rFonts w:eastAsia="IRNazanin" w:cs="IRNazanin"/>
          <w:color w:val="111111"/>
          <w:sz w:val="28"/>
          <w:szCs w:val="28"/>
          <w:rtl w:val="true"/>
          <w:lang w:bidi="fa-IR"/>
        </w:rPr>
        <w:t>!</w:t>
      </w:r>
      <w:r>
        <w:rPr>
          <w:rStyle w:val="FootnoteAnchor"/>
          <w:rtl w:val="true"/>
        </w:rPr>
        <w:footnoteReference w:id="93"/>
      </w:r>
    </w:p>
    <w:p>
      <w:pPr>
        <w:pStyle w:val="Heading5"/>
        <w:numPr>
          <w:ilvl w:val="4"/>
          <w:numId w:val="1"/>
        </w:numPr>
        <w:rPr/>
      </w:pPr>
      <w:bookmarkStart w:id="126" w:name="__RefHeading___Toc1510173_2281741623"/>
      <w:bookmarkStart w:id="127" w:name="_Toc48"/>
      <w:bookmarkEnd w:id="126"/>
      <w:r>
        <w:rPr>
          <w:rtl w:val="true"/>
        </w:rPr>
        <w:t>سه</w:t>
      </w:r>
      <w:r>
        <w:rPr>
          <w:rtl w:val="true"/>
        </w:rPr>
        <w:t xml:space="preserve">- </w:t>
      </w:r>
      <w:r>
        <w:rPr>
          <w:rtl w:val="true"/>
        </w:rPr>
        <w:t>موالات</w:t>
      </w:r>
      <w:bookmarkEnd w:id="127"/>
    </w:p>
    <w:p>
      <w:pPr>
        <w:pStyle w:val="BookText"/>
        <w:rPr/>
      </w:pPr>
      <w:r>
        <w:rPr>
          <w:rFonts w:ascii="IRNazanin" w:hAnsi="IRNazanin" w:eastAsia="IRNazanin"/>
          <w:color w:val="111111"/>
          <w:sz w:val="28"/>
          <w:sz w:val="28"/>
          <w:szCs w:val="28"/>
          <w:rtl w:val="true"/>
          <w:lang w:bidi="fa-IR"/>
        </w:rPr>
        <w:t>امامیه و حنابله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موالات در وضو لازم است؛ یعنی بعد از شستن صورت، فوراً شستن دست‌ها و سپس مسح سر و پا لازم است، ولی حنفیه و شافعیه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موالات در وضو لازم نیست، لیکن تفریق بین غَسل اعضای وضو بدون عذر کراهت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مالکیه نیز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حالت طبیعی، رعایت موالات لازم است، ولی اگر اتفاق پیش‌بینی نشده‌ای بیفتد، مثل اینکه وقتی صورت خود را شست، آب وضو بریزد، می تواند دوباره آب تهیه کند و بقیه وضو را انجام دهد، اگرچه فاصله طولانی شود</w:t>
      </w:r>
      <w:r>
        <w:rPr>
          <w:rFonts w:eastAsia="IRNazanin" w:cs="IRNazanin"/>
          <w:color w:val="111111"/>
          <w:sz w:val="28"/>
          <w:szCs w:val="28"/>
          <w:rtl w:val="true"/>
          <w:lang w:bidi="fa-IR"/>
        </w:rPr>
        <w:t>.</w:t>
      </w:r>
      <w:r>
        <w:rPr>
          <w:rStyle w:val="FootnoteAnchor"/>
          <w:rtl w:val="true"/>
        </w:rPr>
        <w:footnoteReference w:id="94"/>
      </w:r>
    </w:p>
    <w:p>
      <w:pPr>
        <w:pStyle w:val="BookText"/>
        <w:rPr/>
      </w:pPr>
      <w:r>
        <w:rPr>
          <w:rFonts w:ascii="IRNazanin" w:hAnsi="IRNazanin" w:eastAsia="IRNazanin"/>
          <w:color w:val="111111"/>
          <w:sz w:val="28"/>
          <w:sz w:val="28"/>
          <w:szCs w:val="28"/>
          <w:rtl w:val="true"/>
          <w:lang w:bidi="fa-IR"/>
        </w:rPr>
        <w:t>یک روایت هشدار دهنده</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الرجل لیعبدالله اربعین سنه و ما یطیعه فی الوضوء لانه یغسل ما امرالله بمسح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ممکن است آدمی چهل سال خدا </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 عبادت کند، ولی وضویش صحیح نباشد؛ زیرا به جای مسح روی پاها، آن را می شوید، در حالی که خداوند به مسح آن فرمان داده است</w:t>
      </w:r>
      <w:r>
        <w:rPr>
          <w:rFonts w:eastAsia="IRNazanin" w:cs="IRNazanin"/>
          <w:color w:val="111111"/>
          <w:sz w:val="28"/>
          <w:szCs w:val="28"/>
          <w:rtl w:val="true"/>
          <w:lang w:bidi="fa-IR"/>
        </w:rPr>
        <w:t>.</w:t>
      </w:r>
      <w:r>
        <w:rPr>
          <w:rStyle w:val="FootnoteAnchor"/>
          <w:rtl w:val="true"/>
        </w:rPr>
        <w:footnoteReference w:id="95"/>
      </w:r>
      <w:bookmarkStart w:id="128" w:name="pg3848_38668"/>
    </w:p>
    <w:p>
      <w:pPr>
        <w:pStyle w:val="Heading3"/>
        <w:numPr>
          <w:ilvl w:val="2"/>
          <w:numId w:val="1"/>
        </w:numPr>
        <w:rPr/>
      </w:pPr>
      <w:bookmarkStart w:id="129" w:name="__RefHeading___Toc1510175_2281741623"/>
      <w:bookmarkStart w:id="130" w:name="_Toc49"/>
      <w:bookmarkEnd w:id="128"/>
      <w:bookmarkEnd w:id="129"/>
      <w:r>
        <w:rPr>
          <w:rtl w:val="true"/>
        </w:rPr>
        <w:t>فصل دوم</w:t>
      </w:r>
      <w:r>
        <w:rPr>
          <w:rtl w:val="true"/>
        </w:rPr>
        <w:t xml:space="preserve">: </w:t>
      </w:r>
      <w:r>
        <w:rPr>
          <w:rtl w:val="true"/>
        </w:rPr>
        <w:t>از قبله تا سُتره</w:t>
      </w:r>
      <w:bookmarkEnd w:id="130"/>
    </w:p>
    <w:p>
      <w:pPr>
        <w:pStyle w:val="Heading4"/>
        <w:numPr>
          <w:ilvl w:val="3"/>
          <w:numId w:val="1"/>
        </w:numPr>
        <w:rPr/>
      </w:pPr>
      <w:bookmarkStart w:id="131" w:name="__RefHeading___Toc1510177_2281741623"/>
      <w:bookmarkStart w:id="132" w:name="_Toc50"/>
      <w:bookmarkEnd w:id="131"/>
      <w:r>
        <w:rPr/>
        <w:t>1</w:t>
      </w:r>
      <w:r>
        <w:rPr>
          <w:rtl w:val="true"/>
        </w:rPr>
        <w:t xml:space="preserve">. </w:t>
      </w:r>
      <w:r>
        <w:rPr>
          <w:rtl w:val="true"/>
        </w:rPr>
        <w:t>قبله</w:t>
      </w:r>
      <w:bookmarkEnd w:id="132"/>
    </w:p>
    <w:p>
      <w:pPr>
        <w:pStyle w:val="BookText"/>
        <w:rPr/>
      </w:pPr>
      <w:r>
        <w:rPr>
          <w:rFonts w:ascii="IRNazanin" w:hAnsi="IRNazanin" w:eastAsia="IRNazanin"/>
          <w:color w:val="111111"/>
          <w:sz w:val="28"/>
          <w:sz w:val="28"/>
          <w:szCs w:val="28"/>
          <w:rtl w:val="true"/>
          <w:lang w:bidi="fa-IR"/>
        </w:rPr>
        <w:t xml:space="preserve">پیامبر اکرم صلی الله علیه و آله </w:t>
      </w:r>
      <w:r>
        <w:rPr>
          <w:rFonts w:eastAsia="IRNazanin" w:cs="IRNazanin"/>
          <w:color w:val="111111"/>
          <w:sz w:val="28"/>
          <w:szCs w:val="28"/>
          <w:rtl w:val="true"/>
          <w:lang w:bidi="fa-IR"/>
        </w:rPr>
        <w:t>_ _</w:t>
      </w:r>
      <w:r>
        <w:rPr>
          <w:rFonts w:ascii="IRNazanin" w:hAnsi="IRNazanin" w:eastAsia="IRNazanin"/>
          <w:color w:val="111111"/>
          <w:sz w:val="28"/>
          <w:sz w:val="28"/>
          <w:szCs w:val="28"/>
          <w:rtl w:val="true"/>
          <w:lang w:bidi="fa-IR"/>
        </w:rPr>
        <w:t>سیزده سال تمام در مکه، به سوی بیت‌المقدس نماز می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مهاجرت به مدینه، دستور الهی این بود که همچنان به سوی بیت المقدس نماز گزارد، ولی رشد و ترقی مسلمانان سبب شد خوف و ترس محافل یهودی را فراگیرد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ازاینرو، آنها به کارشکنی پرداختند و سرزنش پیامبر اسلام را آغاز نمودند که از جمله جریان قبله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یهودی ها 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صلی الله علیه و آله مدعی است که دین مستقلی آورده است و شریعت او ناسخ آیین گذشته هاست؛ در حالی که قبله مستقلی ندارد</w:t>
      </w:r>
      <w:r>
        <w:rPr>
          <w:rFonts w:eastAsia="IRNazanin" w:cs="IRNazanin"/>
          <w:color w:val="111111"/>
          <w:sz w:val="28"/>
          <w:szCs w:val="28"/>
          <w:rtl w:val="true"/>
          <w:lang w:bidi="fa-IR"/>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قبله، اسم نوع است به معنای جهت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جمله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قبلة المصلی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جهتی که نمازگزاران بدان سو نماز خوانند</w:t>
      </w:r>
      <w:r>
        <w:rPr>
          <w:rFonts w:eastAsia="IRNazanin" w:cs="IRNazanin"/>
          <w:color w:val="111111"/>
          <w:sz w:val="28"/>
          <w:szCs w:val="28"/>
          <w:rtl w:val="true"/>
          <w:lang w:bidi="fa-IR"/>
        </w:rPr>
        <w:t>.</w:t>
      </w:r>
      <w:r>
        <w:rPr>
          <w:rStyle w:val="FootnoteAnchor"/>
          <w:rtl w:val="true"/>
        </w:rPr>
        <w:footnoteReference w:id="96"/>
      </w:r>
      <w:r>
        <w:rPr>
          <w:rFonts w:ascii="IRNazanin" w:hAnsi="IRNazanin" w:eastAsia="IRNazanin"/>
          <w:color w:val="111111"/>
          <w:sz w:val="28"/>
          <w:sz w:val="28"/>
          <w:szCs w:val="28"/>
          <w:rtl w:val="true"/>
          <w:lang w:bidi="fa-IR"/>
        </w:rPr>
        <w:t xml:space="preserve">در اصطلاح فقها نیز قبله به همین معناست؛ یعنی جهتی که </w:t>
      </w:r>
    </w:p>
    <w:p>
      <w:pPr>
        <w:pStyle w:val="BookText"/>
        <w:rPr/>
      </w:pPr>
      <w:r>
        <w:rPr>
          <w:rFonts w:ascii="IRNazanin" w:hAnsi="IRNazanin" w:eastAsia="IRNazanin"/>
          <w:color w:val="111111"/>
          <w:sz w:val="28"/>
          <w:sz w:val="28"/>
          <w:szCs w:val="28"/>
          <w:rtl w:val="true"/>
          <w:lang w:bidi="fa-IR"/>
        </w:rPr>
        <w:t>نمازگزاران نماز می خوانند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خبر به پیامبر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با حالت نگرانی شب ها از خانه بیرون می آمد و به آسمان می نگریست و در انتظار نزول وحی در این باره بود، تا اینکه این آیه نازل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قَدْ نَری تَقَلُّبَ وَجْهِکَ فِی السَّماءِفَلَنُوَلِّیَنَّکَ قِبْلَةً تَرْضاها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یعنی نگاه‌های انتظارآمیز تو را به سوی آسمان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تعیین قبله نهایی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بینیم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تو را به سوی قبله ای که از آن خشنود باشی بازمی‌گردانیم</w:t>
      </w:r>
      <w:r>
        <w:rPr>
          <w:rFonts w:eastAsia="IRNazanin" w:cs="IRNazanin"/>
          <w:color w:val="111111"/>
          <w:sz w:val="28"/>
          <w:szCs w:val="28"/>
          <w:rtl w:val="true"/>
          <w:lang w:bidi="fa-IR"/>
        </w:rPr>
        <w:t>.</w:t>
      </w:r>
      <w:r>
        <w:rPr>
          <w:rStyle w:val="FootnoteAnchor"/>
          <w:rtl w:val="true"/>
        </w:rPr>
        <w:footnoteReference w:id="97"/>
      </w:r>
      <w:r>
        <w:rPr>
          <w:rFonts w:ascii="IRNazanin" w:hAnsi="IRNazanin" w:eastAsia="IRNazanin"/>
          <w:color w:val="111111"/>
          <w:sz w:val="28"/>
          <w:sz w:val="28"/>
          <w:szCs w:val="28"/>
          <w:rtl w:val="true"/>
          <w:lang w:bidi="fa-IR"/>
        </w:rPr>
        <w:t>سرانجام روزی در حالی که پیامبر دو رکعت نماز ظهر را خوانده بود، امین وحی فرود آمد و ایشان را مأمور کرد به سوی مسجدالحرام روی گرداند</w:t>
      </w:r>
      <w:r>
        <w:rPr>
          <w:rFonts w:eastAsia="IRNazanin" w:cs="IRNazanin"/>
          <w:color w:val="111111"/>
          <w:sz w:val="28"/>
          <w:szCs w:val="28"/>
          <w:rtl w:val="true"/>
          <w:lang w:bidi="fa-IR"/>
        </w:rPr>
        <w:t>.</w:t>
      </w:r>
      <w:r>
        <w:rPr>
          <w:rStyle w:val="FootnoteAnchor"/>
          <w:rtl w:val="true"/>
        </w:rPr>
        <w:footnoteReference w:id="98"/>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معاویة بن عمار از امام صادق علیه السلام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چه زمانی رسول الله صلی الله علیه و آله کعبه را قبله خود قرار داد؟حضرت پاسخ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بعد رجوعه من بدر و کان یصلی فی المدینة الی بیت المقدس سبعة عشر شهرا ثم اعید الی الکعبة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از اینکه حضرت از جنگ بدر برگشت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حضرت در مدینه هفده ماه به سوی بیت‌المقدس نماز می خواند تا اینکه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ازسوی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کعبه برگردانده شد</w:t>
      </w:r>
      <w:r>
        <w:rPr>
          <w:rFonts w:eastAsia="IRNazanin" w:cs="IRNazanin"/>
          <w:color w:val="111111"/>
          <w:sz w:val="28"/>
          <w:szCs w:val="28"/>
          <w:rtl w:val="true"/>
          <w:lang w:bidi="fa-IR"/>
        </w:rPr>
        <w:t>.</w:t>
      </w:r>
      <w:r>
        <w:rPr>
          <w:rStyle w:val="FootnoteAnchor"/>
          <w:rtl w:val="true"/>
        </w:rPr>
        <w:footnoteReference w:id="99"/>
      </w:r>
      <w:bookmarkStart w:id="133" w:name="pg3848_38670"/>
    </w:p>
    <w:p>
      <w:pPr>
        <w:pStyle w:val="BookText"/>
        <w:rPr/>
      </w:pPr>
      <w:bookmarkEnd w:id="133"/>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قبله، نماد توجه قلب‌ها به خداست تا در پنهان و آشکار به سوی یک نقطه روی کنند و نهایت بندگی را تجسم بخشند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طرفی، این توجه لطیف‌ترین روحی است که می تواند مردمان را با همه اختلاف‌ها در زمان و مکان و روش‌هایشان، به امتی متحد و اجتماعی منسجم تبدیل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 به قبله بودن هنگام قرائت قرآن، یادآوری این نکته به انسان فراموش‌کار و غافل است که خواندن قرآن، یعنی دیدار با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ازاینرو، در میان همه مسلمانان، عملی شایسته و نیکوست و نزد فقیهان عالی‌مقام شیعه، بلکه فقهای همه مذاهب اسلامی، رو به قبله بودن هنگام قرائت قرآن استحباب دارد</w:t>
      </w:r>
      <w:r>
        <w:rPr>
          <w:rFonts w:eastAsia="IRNazanin" w:cs="IRNazanin"/>
          <w:color w:val="111111"/>
          <w:sz w:val="28"/>
          <w:szCs w:val="28"/>
          <w:rtl w:val="true"/>
          <w:lang w:bidi="fa-IR"/>
        </w:rPr>
        <w:t>.</w:t>
      </w:r>
      <w:r>
        <w:rPr>
          <w:rStyle w:val="FootnoteAnchor"/>
          <w:rtl w:val="true"/>
        </w:rPr>
        <w:footnoteReference w:id="100"/>
      </w:r>
    </w:p>
    <w:p>
      <w:pPr>
        <w:pStyle w:val="Heading4"/>
        <w:numPr>
          <w:ilvl w:val="3"/>
          <w:numId w:val="1"/>
        </w:numPr>
        <w:rPr/>
      </w:pPr>
      <w:bookmarkStart w:id="134" w:name="__RefHeading___Toc1510179_2281741623"/>
      <w:bookmarkStart w:id="135" w:name="_Toc51"/>
      <w:bookmarkEnd w:id="134"/>
      <w:r>
        <w:rPr>
          <w:rtl w:val="true"/>
        </w:rPr>
        <w:t>حکم قبله</w:t>
      </w:r>
      <w:bookmarkEnd w:id="135"/>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موارد اتفاق نظر مذاهب اسلامی، در بحث قبله است که همگی رو به قبله بودن را در حال نماز از شرایط و مقدمات آن می دانند و به وجوب آن حکم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مستند آنان نیز آیه شریفه پیش‌گفته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نَرَی تَقَلُّبَ وَجْهِکَ فِی السَّمَاءِ فَوَلِّ وَجهَکَ شَطْرَ الْمَسجِدِ الْحَرَامِ</w:t>
      </w:r>
      <w:r>
        <w:rPr>
          <w:rFonts w:eastAsia="IRNazanin" w:cs="IRNazanin"/>
          <w:color w:val="111111"/>
          <w:sz w:val="28"/>
          <w:szCs w:val="28"/>
          <w:rtl w:val="true"/>
          <w:lang w:bidi="fa-IR"/>
        </w:rPr>
        <w:t>)</w:t>
      </w:r>
      <w:r>
        <w:rPr>
          <w:rStyle w:val="FootnoteAnchor"/>
          <w:rtl w:val="true"/>
        </w:rPr>
        <w:footnoteReference w:id="101"/>
      </w:r>
      <w:r>
        <w:rPr>
          <w:rFonts w:ascii="IRNazanin" w:hAnsi="IRNazanin" w:eastAsia="IRNazanin"/>
          <w:color w:val="111111"/>
          <w:sz w:val="28"/>
          <w:sz w:val="28"/>
          <w:szCs w:val="28"/>
          <w:rtl w:val="true"/>
          <w:lang w:bidi="fa-IR"/>
        </w:rPr>
        <w:t>و روایات زیادی است که گویای این وجوب است</w:t>
      </w:r>
      <w:r>
        <w:rPr>
          <w:rFonts w:eastAsia="IRNazanin" w:cs="IRNazanin"/>
          <w:color w:val="111111"/>
          <w:sz w:val="28"/>
          <w:szCs w:val="28"/>
          <w:rtl w:val="true"/>
          <w:lang w:bidi="fa-IR"/>
        </w:rPr>
        <w:t>.</w:t>
      </w:r>
      <w:r>
        <w:rPr>
          <w:rStyle w:val="FootnoteAnchor"/>
          <w:rtl w:val="true"/>
        </w:rPr>
        <w:footnoteReference w:id="102"/>
      </w:r>
    </w:p>
    <w:p>
      <w:pPr>
        <w:pStyle w:val="BookText"/>
        <w:rPr/>
      </w:pPr>
      <w:r>
        <w:rPr>
          <w:rFonts w:ascii="IRNazanin" w:hAnsi="IRNazanin" w:eastAsia="IRNazanin"/>
          <w:color w:val="111111"/>
          <w:sz w:val="28"/>
          <w:sz w:val="28"/>
          <w:szCs w:val="28"/>
          <w:rtl w:val="true"/>
          <w:lang w:bidi="fa-IR"/>
        </w:rPr>
        <w:t>اسامه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 النبی صلی الله علیه و آله صلی قبل الکعبة وقال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هذه القبلة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رسول الله صلی الله علیه و آله رو به روی کعبه دو رکعت نماز خواند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قبله این است</w:t>
      </w:r>
      <w:r>
        <w:rPr>
          <w:rFonts w:eastAsia="IRNazanin" w:cs="IRNazanin"/>
          <w:color w:val="111111"/>
          <w:sz w:val="28"/>
          <w:szCs w:val="28"/>
          <w:rtl w:val="true"/>
          <w:lang w:bidi="fa-IR"/>
        </w:rPr>
        <w:t>.</w:t>
      </w:r>
      <w:r>
        <w:rPr>
          <w:rStyle w:val="FootnoteAnchor"/>
          <w:rtl w:val="true"/>
        </w:rPr>
        <w:footnoteReference w:id="103"/>
      </w:r>
    </w:p>
    <w:p>
      <w:pPr>
        <w:pStyle w:val="BookText"/>
        <w:rPr/>
      </w:pPr>
      <w:r>
        <w:rPr>
          <w:rFonts w:ascii="IRNazanin" w:hAnsi="IRNazanin" w:eastAsia="IRNazanin"/>
          <w:color w:val="111111"/>
          <w:sz w:val="28"/>
          <w:sz w:val="28"/>
          <w:szCs w:val="28"/>
          <w:rtl w:val="true"/>
          <w:lang w:bidi="fa-IR"/>
        </w:rPr>
        <w:t>امام باقر علیه السلام نیز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در نماز واجب می شود، عبارت است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 نماز، طهارت، قبله، توجه داشتن، رکوع، سجود و دعا</w:t>
      </w:r>
      <w:r>
        <w:rPr>
          <w:rFonts w:eastAsia="IRNazanin" w:cs="IRNazanin"/>
          <w:color w:val="111111"/>
          <w:sz w:val="28"/>
          <w:szCs w:val="28"/>
          <w:rtl w:val="true"/>
          <w:lang w:bidi="fa-IR"/>
        </w:rPr>
        <w:t>.</w:t>
      </w:r>
      <w:r>
        <w:rPr>
          <w:rStyle w:val="FootnoteAnchor"/>
          <w:rtl w:val="true"/>
        </w:rPr>
        <w:footnoteReference w:id="104"/>
      </w:r>
    </w:p>
    <w:p>
      <w:pPr>
        <w:pStyle w:val="BookText"/>
        <w:rPr/>
      </w:pPr>
      <w:r>
        <w:rPr>
          <w:rFonts w:ascii="IRNazanin" w:hAnsi="IRNazanin" w:eastAsia="IRNazanin"/>
          <w:color w:val="111111"/>
          <w:sz w:val="28"/>
          <w:sz w:val="28"/>
          <w:szCs w:val="28"/>
          <w:rtl w:val="true"/>
          <w:lang w:bidi="fa-IR"/>
        </w:rPr>
        <w:t>نیز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صحیح نیست، مگر اینکه به سوی قبله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زراره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 قبله 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میان مشرق و مغرب همه‌اش قبله است</w:t>
      </w:r>
      <w:r>
        <w:rPr>
          <w:rFonts w:eastAsia="IRNazanin" w:cs="IRNazanin"/>
          <w:color w:val="111111"/>
          <w:sz w:val="28"/>
          <w:szCs w:val="28"/>
          <w:rtl w:val="true"/>
          <w:lang w:bidi="fa-IR"/>
        </w:rPr>
        <w:t>.</w:t>
      </w:r>
      <w:r>
        <w:rPr>
          <w:rStyle w:val="FootnoteAnchor"/>
          <w:rtl w:val="true"/>
        </w:rPr>
        <w:footnoteReference w:id="105"/>
      </w:r>
    </w:p>
    <w:p>
      <w:pPr>
        <w:pStyle w:val="BookText"/>
        <w:rPr/>
      </w:pPr>
      <w:r>
        <w:rPr>
          <w:rFonts w:ascii="IRNazanin" w:hAnsi="IRNazanin" w:eastAsia="IRNazanin"/>
          <w:color w:val="111111"/>
          <w:sz w:val="28"/>
          <w:sz w:val="28"/>
          <w:szCs w:val="28"/>
          <w:rtl w:val="true"/>
          <w:lang w:bidi="fa-IR"/>
        </w:rPr>
        <w:t>علمای امامیه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قبله همان عین کعبه است که صرف محاذات عرفی در آن کافی است و نمازگزار هر چه دورتر باشد، محاذات گسترش می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ازاینرو، قبله برای افراد دور، جهت و سمت کعبه است</w:t>
      </w:r>
      <w:r>
        <w:rPr>
          <w:rFonts w:eastAsia="IRNazanin" w:cs="IRNazanin"/>
          <w:color w:val="111111"/>
          <w:sz w:val="28"/>
          <w:szCs w:val="28"/>
          <w:rtl w:val="true"/>
          <w:lang w:bidi="fa-IR"/>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مذاهب چهارگانه معتقدند کسی که مقیم مکه یا نزدیک به آن است، در صورت امکان باید به سمت عین کعبه نماز بخواند و عین کعبه، قبله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اگرچه استقبال فضای محاذی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مقابل و </w:t>
      </w:r>
      <w:bookmarkStart w:id="136" w:name="pg3848_38672"/>
    </w:p>
    <w:p>
      <w:pPr>
        <w:pStyle w:val="BookText"/>
        <w:rPr/>
      </w:pPr>
      <w:bookmarkEnd w:id="136"/>
      <w:r>
        <w:rPr>
          <w:rFonts w:ascii="IRNazanin" w:hAnsi="IRNazanin" w:eastAsia="IRNazanin"/>
          <w:color w:val="111111"/>
          <w:sz w:val="28"/>
          <w:sz w:val="28"/>
          <w:szCs w:val="28"/>
          <w:rtl w:val="true"/>
          <w:lang w:bidi="fa-IR"/>
        </w:rPr>
        <w:t>رو به روی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عین کعبه از بالای کعبه، برای کسی که در جای مرتفع است یا پایین کعبه، برای کسی که زیر زمین نماز می خواند، کافی است، ولی قبله کسانی که دور از مکه زندگی می‌کنند، جهت کعبه است</w:t>
      </w:r>
      <w:r>
        <w:rPr>
          <w:rFonts w:eastAsia="IRNazanin" w:cs="IRNazanin"/>
          <w:color w:val="111111"/>
          <w:sz w:val="28"/>
          <w:szCs w:val="28"/>
          <w:rtl w:val="true"/>
          <w:lang w:bidi="fa-IR"/>
        </w:rPr>
        <w:t>.</w:t>
      </w:r>
      <w:r>
        <w:rPr>
          <w:rStyle w:val="FootnoteAnchor"/>
          <w:rtl w:val="true"/>
        </w:rPr>
        <w:footnoteReference w:id="106"/>
      </w:r>
    </w:p>
    <w:p>
      <w:pPr>
        <w:pStyle w:val="Heading4"/>
        <w:numPr>
          <w:ilvl w:val="3"/>
          <w:numId w:val="1"/>
        </w:numPr>
        <w:rPr/>
      </w:pPr>
      <w:bookmarkStart w:id="137" w:name="__RefHeading___Toc1510181_2281741623"/>
      <w:bookmarkStart w:id="138" w:name="_Toc52"/>
      <w:bookmarkEnd w:id="137"/>
      <w:r>
        <w:rPr/>
        <w:t>2</w:t>
      </w:r>
      <w:r>
        <w:rPr>
          <w:rtl w:val="true"/>
        </w:rPr>
        <w:t xml:space="preserve">. </w:t>
      </w:r>
      <w:r>
        <w:rPr>
          <w:rtl w:val="true"/>
        </w:rPr>
        <w:t>لباس نمازگزار</w:t>
      </w:r>
      <w:bookmarkEnd w:id="138"/>
    </w:p>
    <w:p>
      <w:pPr>
        <w:pStyle w:val="BookText"/>
        <w:rPr/>
      </w:pPr>
      <w:r>
        <w:rPr>
          <w:rFonts w:ascii="IRNazanin" w:hAnsi="IRNazanin" w:eastAsia="IRNazanin"/>
          <w:color w:val="111111"/>
          <w:sz w:val="28"/>
          <w:sz w:val="28"/>
          <w:szCs w:val="28"/>
          <w:rtl w:val="true"/>
          <w:lang w:bidi="fa-IR"/>
        </w:rPr>
        <w:t>یکی از مقدمات لازم برای نمازگزار، انتخاب پوشش مناسب است که نماز بدون آن باطل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ازاینرو، آگاهی از احکام، شرایط، کیفیت و مقدار لازم پوشش در نماز ضروری است که در این مجال بدان اشاره ای گذرا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اجماع مذاهب اسلامی، ستر عورت در نماز واجب و یکی از شروط صحت نماز است</w:t>
      </w:r>
      <w:r>
        <w:rPr>
          <w:rFonts w:eastAsia="IRNazanin" w:cs="IRNazanin"/>
          <w:color w:val="111111"/>
          <w:sz w:val="28"/>
          <w:szCs w:val="28"/>
          <w:rtl w:val="true"/>
          <w:lang w:bidi="fa-IR"/>
        </w:rPr>
        <w:t>.</w:t>
      </w:r>
      <w:r>
        <w:rPr>
          <w:rStyle w:val="FootnoteAnchor"/>
          <w:rtl w:val="true"/>
        </w:rPr>
        <w:footnoteReference w:id="107"/>
      </w:r>
      <w:r>
        <w:rPr>
          <w:rFonts w:ascii="IRNazanin" w:hAnsi="IRNazanin" w:eastAsia="IRNazanin"/>
          <w:color w:val="111111"/>
          <w:sz w:val="28"/>
          <w:sz w:val="28"/>
          <w:szCs w:val="28"/>
          <w:rtl w:val="true"/>
          <w:lang w:bidi="fa-IR"/>
        </w:rPr>
        <w:t>اما افزون بر این حکم کلی، باید به حدّ عورت و پوشش در نمازها اشاره کنیم</w:t>
      </w:r>
      <w:r>
        <w:rPr>
          <w:rFonts w:eastAsia="IRNazanin" w:cs="IRNazanin"/>
          <w:color w:val="111111"/>
          <w:sz w:val="28"/>
          <w:szCs w:val="28"/>
          <w:rtl w:val="true"/>
          <w:lang w:bidi="fa-IR"/>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عورتِ مرد، قُبُل و دُبُر است و عورت زن، جمیع بدن اوست به جز صورت و کفّین، ولی پوشاندن قدم برای زن در </w:t>
      </w:r>
    </w:p>
    <w:p>
      <w:pPr>
        <w:pStyle w:val="BookText"/>
        <w:rPr/>
      </w:pPr>
      <w:r>
        <w:rPr>
          <w:rFonts w:ascii="IRNazanin" w:hAnsi="IRNazanin" w:eastAsia="IRNazanin"/>
          <w:color w:val="111111"/>
          <w:sz w:val="28"/>
          <w:sz w:val="28"/>
          <w:szCs w:val="28"/>
          <w:rtl w:val="true"/>
          <w:lang w:bidi="fa-IR"/>
        </w:rPr>
        <w:t>نماز، اگر نامحرم حضور ندارد، واجب نیست</w:t>
      </w:r>
      <w:r>
        <w:rPr>
          <w:rFonts w:eastAsia="IRNazanin" w:cs="IRNazanin"/>
          <w:color w:val="111111"/>
          <w:sz w:val="28"/>
          <w:szCs w:val="28"/>
          <w:rtl w:val="true"/>
          <w:lang w:bidi="fa-IR"/>
        </w:rPr>
        <w:t>.</w:t>
      </w:r>
      <w:r>
        <w:rPr>
          <w:rStyle w:val="FootnoteAnchor"/>
          <w:rtl w:val="true"/>
        </w:rPr>
        <w:footnoteReference w:id="108"/>
      </w:r>
    </w:p>
    <w:p>
      <w:pPr>
        <w:pStyle w:val="BookText"/>
        <w:rPr/>
      </w:pPr>
      <w:r>
        <w:rPr>
          <w:rFonts w:ascii="IRNazanin" w:hAnsi="IRNazanin" w:eastAsia="IRNazanin"/>
          <w:color w:val="111111"/>
          <w:sz w:val="28"/>
          <w:sz w:val="28"/>
          <w:szCs w:val="28"/>
          <w:rtl w:val="true"/>
          <w:lang w:bidi="fa-IR"/>
        </w:rPr>
        <w:t>حنبلیه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 عورت برای مرد بین ناف و زانوست، ولی خود ناف و زانو را شامل نمی شود و عورت زن، تمامی بدن او به استثنای صورت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حنفیه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 عورت مرد برای نماز، از ناف تا زانوست و حدّ عورت زن، تمام بدن او به استثنای باطن کفین و ظاهر قدمین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شافعیه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 عورت مرد از ناف و زانوست، ولی خود زانو و ناف را شامل نمی شود و عورت زن، تمام بدن به استثنای وجه وکفین است</w:t>
      </w:r>
      <w:r>
        <w:rPr>
          <w:rFonts w:eastAsia="IRNazanin" w:cs="IRNazanin"/>
          <w:color w:val="111111"/>
          <w:sz w:val="28"/>
          <w:szCs w:val="28"/>
          <w:rtl w:val="true"/>
          <w:lang w:bidi="fa-IR"/>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مالکیه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عورت و حدّ پوشش برای نماز دو قسم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مغلظه و مخففّه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عورت مغلظه در مرد، تنها قُبُل و دُبُر است و مخففه از ناف و زانوست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زن، عورتِ مغلظه تمام بدن، به جز اطراف و سینه و محاذات سینه از پشت است و عورت مخففه سینه و محاذات آن است و ذراعین و گردن و رأس و زانو تا قدم است، ولی وجه و کفین عورت به شمار نمی‌آید</w:t>
      </w:r>
      <w:r>
        <w:rPr>
          <w:rFonts w:eastAsia="IRNazanin" w:cs="IRNazanin"/>
          <w:color w:val="111111"/>
          <w:sz w:val="28"/>
          <w:szCs w:val="28"/>
          <w:rtl w:val="true"/>
          <w:lang w:bidi="fa-IR"/>
        </w:rPr>
        <w:t>.</w:t>
      </w:r>
      <w:r>
        <w:rPr>
          <w:rStyle w:val="FootnoteAnchor"/>
          <w:rtl w:val="true"/>
        </w:rPr>
        <w:footnoteReference w:id="109"/>
      </w:r>
      <w:bookmarkStart w:id="139" w:name="pg3848_38674"/>
    </w:p>
    <w:p>
      <w:pPr>
        <w:pStyle w:val="BookText"/>
        <w:rPr/>
      </w:pPr>
      <w:bookmarkEnd w:id="139"/>
      <w:r>
        <w:rPr>
          <w:rFonts w:ascii="IRNazanin" w:hAnsi="IRNazanin" w:eastAsia="IRNazanin"/>
          <w:color w:val="111111"/>
          <w:sz w:val="28"/>
          <w:sz w:val="28"/>
          <w:szCs w:val="28"/>
          <w:rtl w:val="true"/>
          <w:lang w:bidi="fa-IR"/>
        </w:rPr>
        <w:t>یادآوری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رعایت ستر عورت مغلظه را نکند؛ بدون عذر و با توجه، بنا بر نظر مالکیه نمازش باطل است، ولی عدم رعایت پوشش مخففه مبطل نماز نیست اگرچه کشف آن حرام و در نماز مکروه است</w:t>
      </w:r>
      <w:r>
        <w:rPr>
          <w:rFonts w:eastAsia="IRNazanin" w:cs="IRNazanin"/>
          <w:color w:val="111111"/>
          <w:sz w:val="28"/>
          <w:szCs w:val="28"/>
          <w:rtl w:val="true"/>
          <w:lang w:bidi="fa-IR"/>
        </w:rPr>
        <w:t>.</w:t>
      </w:r>
      <w:r>
        <w:rPr>
          <w:rStyle w:val="FootnoteAnchor"/>
          <w:rtl w:val="true"/>
        </w:rPr>
        <w:footnoteReference w:id="110"/>
      </w:r>
    </w:p>
    <w:p>
      <w:pPr>
        <w:pStyle w:val="Heading4"/>
        <w:numPr>
          <w:ilvl w:val="3"/>
          <w:numId w:val="1"/>
        </w:numPr>
        <w:rPr/>
      </w:pPr>
      <w:bookmarkStart w:id="140" w:name="__RefHeading___Toc1510183_2281741623"/>
      <w:bookmarkStart w:id="141" w:name="_Toc53"/>
      <w:bookmarkEnd w:id="140"/>
      <w:r>
        <w:rPr>
          <w:rtl w:val="true"/>
        </w:rPr>
        <w:t>شرایط لباس نمازگزار</w:t>
      </w:r>
      <w:bookmarkEnd w:id="141"/>
    </w:p>
    <w:p>
      <w:pPr>
        <w:pStyle w:val="BookText"/>
        <w:rPr/>
      </w:pPr>
      <w:r>
        <w:rPr>
          <w:rFonts w:ascii="IRNazanin" w:hAnsi="IRNazanin" w:eastAsia="IRNazanin"/>
          <w:color w:val="111111"/>
          <w:sz w:val="28"/>
          <w:sz w:val="28"/>
          <w:szCs w:val="28"/>
          <w:rtl w:val="true"/>
          <w:lang w:bidi="fa-IR"/>
        </w:rPr>
        <w:t>به اتفاق مذاهب اسلامی، شرایط لباس نمازگزار عبارت است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پاک بودن، نازک نبودن، غصبی نبودن، و حریر خالص نبودن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مردان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طبق مذهب امامیه اگر لباس نمازگزار از حیوان غیرمأکول‌اللحم باشد، حکم به بطلان آن خواهد شد</w:t>
      </w:r>
      <w:r>
        <w:rPr>
          <w:rFonts w:eastAsia="IRNazanin" w:cs="IRNazanin"/>
          <w:color w:val="111111"/>
          <w:sz w:val="28"/>
          <w:szCs w:val="28"/>
          <w:rtl w:val="true"/>
          <w:lang w:bidi="fa-IR"/>
        </w:rPr>
        <w:t>.</w:t>
      </w:r>
      <w:r>
        <w:rPr>
          <w:rStyle w:val="FootnoteAnchor"/>
          <w:rtl w:val="true"/>
        </w:rPr>
        <w:footnoteReference w:id="111"/>
      </w:r>
    </w:p>
    <w:p>
      <w:pPr>
        <w:pStyle w:val="Heading4"/>
        <w:numPr>
          <w:ilvl w:val="3"/>
          <w:numId w:val="1"/>
        </w:numPr>
        <w:rPr/>
      </w:pPr>
      <w:bookmarkStart w:id="142" w:name="__RefHeading___Toc1510185_2281741623"/>
      <w:bookmarkStart w:id="143" w:name="_Toc54"/>
      <w:bookmarkEnd w:id="142"/>
      <w:r>
        <w:rPr/>
        <w:t>3</w:t>
      </w:r>
      <w:r>
        <w:rPr>
          <w:rtl w:val="true"/>
        </w:rPr>
        <w:t xml:space="preserve">. </w:t>
      </w:r>
      <w:r>
        <w:rPr>
          <w:rtl w:val="true"/>
        </w:rPr>
        <w:t>مکان نمازگزار</w:t>
      </w:r>
      <w:bookmarkEnd w:id="143"/>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گفته فقهای امامیه، از شرایط اصلی مکان نمازگزار عبارت </w:t>
      </w:r>
    </w:p>
    <w:p>
      <w:pPr>
        <w:pStyle w:val="BookText"/>
        <w:rPr/>
      </w:pPr>
      <w:r>
        <w:rPr>
          <w:rFonts w:ascii="IRNazanin" w:hAnsi="IRNazanin" w:eastAsia="IRNazanin"/>
          <w:color w:val="111111"/>
          <w:sz w:val="28"/>
          <w:sz w:val="28"/>
          <w:szCs w:val="28"/>
          <w:rtl w:val="true"/>
          <w:lang w:bidi="fa-IR"/>
        </w:rPr>
        <w:t>است از</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غصبی نبودن مکان؛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پاک بودن محل سجده از مطلق نجاست و پاک بودن محلّ دیگر اعضا از نجاست متعدّی؛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بی‌حرکت بودن مکان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بزرگان مذاهب چهارگانه می گویند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نظر اهل‌سنت، پاک بودن مکان از نجاست متعدّی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 و مُسری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غیرمتعدّی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شرط است، اگرچه حنفیه به طهارت محل جَبهه و قدمین بسنده کرده اند</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اهل‌سنت، نماز در مکان غصبی، باطل نیست، اگرچه گناه است</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حنبلیه و شافعیه و مالکیه، نماز بر روی چهارپایان در حال غیرضرورت نیز جایز است، اگر تمامی شرایط را به جا آورد، ولی حنفیه مانند امامیه معتقدند محل نمازگزار باید بی‌حرکت و آرام باشد</w:t>
      </w:r>
      <w:r>
        <w:rPr>
          <w:rFonts w:eastAsia="IRNazanin" w:cs="IRNazanin"/>
          <w:color w:val="111111"/>
          <w:sz w:val="28"/>
          <w:szCs w:val="28"/>
          <w:rtl w:val="true"/>
          <w:lang w:bidi="fa-IR"/>
        </w:rPr>
        <w:t>.</w:t>
      </w:r>
      <w:r>
        <w:rPr>
          <w:rStyle w:val="FootnoteAnchor"/>
          <w:rtl w:val="true"/>
        </w:rPr>
        <w:footnoteReference w:id="112"/>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یادآوری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بی حرکت بودن مکان نماز، استقرار و آرامش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اگر مسافر در قطار، هواپیما یا کشتی، آرامش و استقرار داشته باشد، با مراعات بقیه شرایط، نمازش از نظر امامیه بی اشکال است</w:t>
      </w:r>
      <w:r>
        <w:rPr>
          <w:rFonts w:eastAsia="IRNazanin" w:cs="IRNazanin"/>
          <w:color w:val="111111"/>
          <w:sz w:val="28"/>
          <w:szCs w:val="28"/>
          <w:rtl w:val="true"/>
          <w:lang w:bidi="fa-IR"/>
        </w:rPr>
        <w:t xml:space="preserve">. </w:t>
      </w:r>
      <w:bookmarkStart w:id="144" w:name="pg3848_38676"/>
    </w:p>
    <w:p>
      <w:pPr>
        <w:pStyle w:val="Heading4"/>
        <w:numPr>
          <w:ilvl w:val="3"/>
          <w:numId w:val="1"/>
        </w:numPr>
        <w:rPr/>
      </w:pPr>
      <w:bookmarkStart w:id="145" w:name="__RefHeading___Toc1510187_2281741623"/>
      <w:bookmarkStart w:id="146" w:name="_Toc55"/>
      <w:bookmarkEnd w:id="144"/>
      <w:bookmarkEnd w:id="145"/>
      <w:r>
        <w:rPr/>
        <w:t>4</w:t>
      </w:r>
      <w:r>
        <w:rPr>
          <w:rtl w:val="true"/>
        </w:rPr>
        <w:t xml:space="preserve">. </w:t>
      </w:r>
      <w:r>
        <w:rPr>
          <w:rtl w:val="true"/>
        </w:rPr>
        <w:t>قرار دادن سُتره</w:t>
      </w:r>
      <w:bookmarkEnd w:id="146"/>
    </w:p>
    <w:p>
      <w:pPr>
        <w:pStyle w:val="BookText"/>
        <w:rPr/>
      </w:pPr>
      <w:r>
        <w:rPr>
          <w:rFonts w:ascii="IRNazanin" w:hAnsi="IRNazanin" w:eastAsia="IRNazanin"/>
          <w:color w:val="111111"/>
          <w:sz w:val="28"/>
          <w:sz w:val="28"/>
          <w:szCs w:val="28"/>
          <w:rtl w:val="true"/>
          <w:lang w:bidi="fa-IR"/>
        </w:rPr>
        <w:t>مذاهب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مقابل نمازگزار دیوار یا صف دیگری نیست، مستحب است چیزی ولو ریسمان یا چوب و عصا در مقابل خود قرار دهد تا میان او و عبور کننده حایل و مانع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چنین چیزی در روایات و کتب فقهی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گویند و قرار دادن آن، نوعی احترام و تعظیم نماز و توجه به خالق و انقطاع از مخلوق است</w:t>
      </w:r>
      <w:r>
        <w:rPr>
          <w:rFonts w:eastAsia="IRNazanin" w:cs="IRNazanin"/>
          <w:color w:val="111111"/>
          <w:sz w:val="28"/>
          <w:szCs w:val="28"/>
          <w:rtl w:val="true"/>
          <w:lang w:bidi="fa-IR"/>
        </w:rPr>
        <w:t>.</w:t>
      </w:r>
      <w:r>
        <w:rPr>
          <w:rStyle w:val="FootnoteAnchor"/>
          <w:rtl w:val="true"/>
        </w:rPr>
        <w:footnoteReference w:id="113"/>
      </w:r>
    </w:p>
    <w:p>
      <w:pPr>
        <w:pStyle w:val="Heading4"/>
        <w:numPr>
          <w:ilvl w:val="3"/>
          <w:numId w:val="1"/>
        </w:numPr>
        <w:rPr/>
      </w:pPr>
      <w:bookmarkStart w:id="147" w:name="__RefHeading___Toc1510189_2281741623"/>
      <w:bookmarkStart w:id="148" w:name="_Toc56"/>
      <w:bookmarkEnd w:id="147"/>
      <w:r>
        <w:rPr>
          <w:rtl w:val="true"/>
        </w:rPr>
        <w:t>عبور از مقابل نمازگزار</w:t>
      </w:r>
      <w:bookmarkEnd w:id="148"/>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فتوای بزرگان تشیع، عبور از مقابل نمازگزار، حرمت ندارد و قاطع نماز نیست؛ چه عابر انسان باشد و چه حیوان، دور باشد یا نزدیک، ستره ای باشد یا نباشد، و نمازگزار عابر را دفع کند یا دفع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اگرچه ظاهر بعضی کلمات آن است که عبور مضر به کمال نماز است و موجب مرجوحیت نماز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جواهر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روایات را مُشیر به این مطلب و برخی دیگر را ظاهر در آن دانسته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نظر وی، غرض از وضع ستره، رفع </w:t>
      </w:r>
    </w:p>
    <w:p>
      <w:pPr>
        <w:pStyle w:val="BookText"/>
        <w:rPr/>
      </w:pPr>
      <w:r>
        <w:rPr>
          <w:rFonts w:ascii="IRNazanin" w:hAnsi="IRNazanin" w:eastAsia="IRNazanin"/>
          <w:color w:val="111111"/>
          <w:sz w:val="28"/>
          <w:sz w:val="28"/>
          <w:szCs w:val="28"/>
          <w:rtl w:val="true"/>
          <w:lang w:bidi="fa-IR"/>
        </w:rPr>
        <w:t>مرجوحیت یاد شده به وسیله ستره است</w:t>
      </w:r>
      <w:r>
        <w:rPr>
          <w:rFonts w:eastAsia="IRNazanin" w:cs="IRNazanin"/>
          <w:color w:val="111111"/>
          <w:sz w:val="28"/>
          <w:szCs w:val="28"/>
          <w:rtl w:val="true"/>
          <w:lang w:bidi="fa-IR"/>
        </w:rPr>
        <w:t>.</w:t>
      </w:r>
      <w:r>
        <w:rPr>
          <w:rStyle w:val="FootnoteAnchor"/>
          <w:rtl w:val="true"/>
        </w:rPr>
        <w:footnoteReference w:id="114"/>
      </w:r>
    </w:p>
    <w:p>
      <w:pPr>
        <w:pStyle w:val="BookText"/>
        <w:rPr/>
      </w:pPr>
      <w:r>
        <w:rPr>
          <w:rFonts w:ascii="IRNazanin" w:hAnsi="IRNazanin" w:eastAsia="IRNazanin"/>
          <w:color w:val="111111"/>
          <w:sz w:val="28"/>
          <w:sz w:val="28"/>
          <w:szCs w:val="28"/>
          <w:rtl w:val="true"/>
          <w:lang w:bidi="fa-IR"/>
        </w:rPr>
        <w:t>اما بزرگان اهل‌سنت، نکات و احکام جالبی در این باره ذکر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حنبلی ها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شخصی مندوحه دارد و می‌تواند از راه دیگر برود، ولی از برابر نمازگزار عبور کند، گناهکار است و اگر نمازگزار در جایی بایستد که مردم نیازمند عبورند، عملش مکروه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باور علمای حنفی و مالکی، عبور کردن از مقابل نمازگزار 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نمازگزاردن بدون ستره، در جایی که مردم عبور می کنند، حرام است</w:t>
      </w:r>
      <w:r>
        <w:rPr>
          <w:rFonts w:eastAsia="IRNazanin" w:cs="IRNazanin"/>
          <w:color w:val="111111"/>
          <w:sz w:val="28"/>
          <w:szCs w:val="28"/>
          <w:rtl w:val="true"/>
          <w:lang w:bidi="fa-IR"/>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ولی شافعی ها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عبور از مقابل نمازگزار حرام نیست، مگر اینکه ستره گذاشته باشد و مکروه است نمازگزار در جایی بایستد که محل عبور دیگران است</w:t>
      </w:r>
      <w:r>
        <w:rPr>
          <w:rFonts w:eastAsia="IRNazanin" w:cs="IRNazanin"/>
          <w:color w:val="111111"/>
          <w:sz w:val="28"/>
          <w:szCs w:val="28"/>
          <w:rtl w:val="true"/>
          <w:lang w:bidi="fa-IR"/>
        </w:rPr>
        <w:t>.</w:t>
      </w:r>
      <w:r>
        <w:rPr>
          <w:rStyle w:val="FootnoteAnchor"/>
          <w:rtl w:val="true"/>
        </w:rPr>
        <w:footnoteReference w:id="115"/>
      </w:r>
      <w:r>
        <w:rPr>
          <w:rFonts w:ascii="IRNazanin" w:hAnsi="IRNazanin" w:eastAsia="IRNazanin"/>
          <w:color w:val="111111"/>
          <w:sz w:val="28"/>
          <w:sz w:val="28"/>
          <w:szCs w:val="28"/>
          <w:rtl w:val="true"/>
          <w:lang w:bidi="fa-IR"/>
        </w:rPr>
        <w:t>به عبارت دیگر، آنان معتقدند اگر نمازگزار ستره گذاشته باشد، عبور از مقابل او حرام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اوج فتاوای مذاهب چهارگانه در مسأله عبور از جلوی نمازگزار، روایاتی است که عبور برخی چیزهای خاص مانند زن، سگ سیاه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هم تراز یکدیگر و مبطل نماز می 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ابوحامد و اصحاب گفته‌اند این قول عامه اهل علم است، به جز حسن بصری که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عبور الاغ و سگ سیاه مبطل است، و احمد و اسحاق گفته‌اند فقط عبور سگ سیاه مبطل است</w:t>
      </w:r>
      <w:r>
        <w:rPr>
          <w:rFonts w:eastAsia="IRNazanin" w:cs="IRNazanin"/>
          <w:color w:val="111111"/>
          <w:sz w:val="28"/>
          <w:szCs w:val="28"/>
          <w:rtl w:val="true"/>
          <w:lang w:bidi="fa-IR"/>
        </w:rPr>
        <w:t>.</w:t>
      </w:r>
      <w:r>
        <w:rPr>
          <w:rStyle w:val="FootnoteAnchor"/>
          <w:rtl w:val="true"/>
        </w:rPr>
        <w:footnoteReference w:id="116"/>
      </w:r>
    </w:p>
    <w:p>
      <w:pPr>
        <w:pStyle w:val="BookText"/>
        <w:rPr/>
      </w:pPr>
      <w:r>
        <w:rPr>
          <w:rFonts w:ascii="IRNazanin" w:hAnsi="IRNazanin" w:eastAsia="IRNazanin"/>
          <w:color w:val="111111"/>
          <w:sz w:val="28"/>
          <w:sz w:val="28"/>
          <w:szCs w:val="28"/>
          <w:rtl w:val="true"/>
          <w:lang w:bidi="fa-IR"/>
        </w:rPr>
        <w:t>ابن‌قدامه در مغنی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مشهور از احمد بن حنبل آن است که نماز را فقط عبور سگ سیاهی که هیچ رنگ دیگری در بدن او نیست، باطل می کند و نقل دیگری نیز هست که او عبور سگ سیاه و الاغ را قاطع نماز می دانسته است</w:t>
      </w:r>
      <w:r>
        <w:rPr>
          <w:rFonts w:eastAsia="IRNazanin" w:cs="IRNazanin"/>
          <w:color w:val="111111"/>
          <w:sz w:val="28"/>
          <w:szCs w:val="28"/>
          <w:rtl w:val="true"/>
          <w:lang w:bidi="fa-IR"/>
        </w:rPr>
        <w:t>.</w:t>
      </w:r>
      <w:r>
        <w:rPr>
          <w:rStyle w:val="FootnoteAnchor"/>
          <w:rtl w:val="true"/>
        </w:rPr>
        <w:footnoteReference w:id="117"/>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همچنین ابن‌تیمیه قائل به بطلان نماز به عبور هر سه شده و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متّجه آن است که همه آنها نماز را باطل می کنند، ولی بین عبور و توقف فرق است؛ همان‌گونه که عبور مرد سبب نقصان ثواب نماز است، نه توقّف او</w:t>
      </w:r>
      <w:r>
        <w:rPr>
          <w:rFonts w:eastAsia="IRNazanin" w:cs="IRNazanin"/>
          <w:color w:val="111111"/>
          <w:sz w:val="28"/>
          <w:szCs w:val="28"/>
          <w:rtl w:val="true"/>
          <w:lang w:bidi="fa-IR"/>
        </w:rPr>
        <w:t>.</w:t>
      </w:r>
      <w:r>
        <w:rPr>
          <w:rStyle w:val="FootnoteAnchor"/>
          <w:rtl w:val="true"/>
        </w:rPr>
        <w:footnoteReference w:id="118"/>
      </w:r>
      <w:r>
        <w:rPr>
          <w:rFonts w:ascii="IRNazanin" w:hAnsi="IRNazanin" w:eastAsia="IRNazanin"/>
          <w:color w:val="111111"/>
          <w:sz w:val="28"/>
          <w:sz w:val="28"/>
          <w:szCs w:val="28"/>
          <w:rtl w:val="true"/>
          <w:lang w:bidi="fa-IR"/>
        </w:rPr>
        <w:t>البانی نیز در تمام المنه همین قول را پذیرفته</w:t>
      </w:r>
      <w:r>
        <w:rPr>
          <w:rStyle w:val="FootnoteAnchor"/>
          <w:rtl w:val="true"/>
        </w:rPr>
        <w:footnoteReference w:id="119"/>
      </w:r>
      <w:r>
        <w:rPr>
          <w:rFonts w:ascii="IRNazanin" w:hAnsi="IRNazanin" w:eastAsia="IRNazanin"/>
          <w:color w:val="111111"/>
          <w:sz w:val="28"/>
          <w:sz w:val="28"/>
          <w:szCs w:val="28"/>
          <w:rtl w:val="true"/>
          <w:lang w:bidi="fa-IR"/>
        </w:rPr>
        <w:t xml:space="preserve">و شوکانی در نیل الاوطار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12</w:t>
      </w:r>
      <w:r>
        <w:rPr>
          <w:rFonts w:eastAsia="IRNazanin" w:cs="IRNazanin"/>
          <w:color w:val="111111"/>
          <w:sz w:val="28"/>
          <w:szCs w:val="28"/>
          <w:rtl w:val="true"/>
          <w:lang w:bidi="fa-IR"/>
        </w:rPr>
        <w:t xml:space="preserve">) </w:t>
      </w:r>
      <w:bookmarkStart w:id="149" w:name="pg3848_38679"/>
    </w:p>
    <w:p>
      <w:pPr>
        <w:pStyle w:val="BookText"/>
        <w:rPr/>
      </w:pPr>
      <w:bookmarkEnd w:id="149"/>
      <w:r>
        <w:rPr>
          <w:rFonts w:ascii="IRNazanin" w:hAnsi="IRNazanin" w:eastAsia="IRNazanin"/>
          <w:color w:val="111111"/>
          <w:sz w:val="28"/>
          <w:sz w:val="28"/>
          <w:szCs w:val="28"/>
          <w:rtl w:val="true"/>
          <w:lang w:bidi="fa-IR"/>
        </w:rPr>
        <w:t>مفاد احادیث را همین دانسته است</w:t>
      </w:r>
      <w:r>
        <w:rPr>
          <w:rFonts w:eastAsia="IRNazanin" w:cs="IRNazanin"/>
          <w:color w:val="111111"/>
          <w:sz w:val="28"/>
          <w:szCs w:val="28"/>
          <w:rtl w:val="true"/>
          <w:lang w:bidi="fa-IR"/>
        </w:rPr>
        <w:t>.</w:t>
      </w:r>
      <w:r>
        <w:rPr>
          <w:rStyle w:val="FootnoteAnchor"/>
          <w:rtl w:val="true"/>
        </w:rPr>
        <w:footnoteReference w:id="120"/>
      </w:r>
    </w:p>
    <w:p>
      <w:pPr>
        <w:pStyle w:val="Heading4"/>
        <w:numPr>
          <w:ilvl w:val="3"/>
          <w:numId w:val="1"/>
        </w:numPr>
        <w:rPr/>
      </w:pPr>
      <w:bookmarkStart w:id="150" w:name="__RefHeading___Toc1510191_2281741623"/>
      <w:bookmarkStart w:id="151" w:name="_Toc57"/>
      <w:bookmarkEnd w:id="150"/>
      <w:r>
        <w:rPr>
          <w:rtl w:val="true"/>
        </w:rPr>
        <w:t>دو روایت متفاوت</w:t>
      </w:r>
      <w:bookmarkEnd w:id="151"/>
    </w:p>
    <w:p>
      <w:p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را عبور هیچ چیز قطع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لیکن ستره ای بگذارید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نگذارید هم اشکالی ندارد؛ زیرا آن‌که نمازگزار برای او نماز می خواند، نزدیک تر است به او از عابر، ولی این کار ادب نماز و توقیر آن است</w:t>
      </w:r>
      <w:r>
        <w:rPr>
          <w:rFonts w:eastAsia="IRNazanin" w:cs="IRNazanin"/>
          <w:color w:val="111111"/>
          <w:sz w:val="28"/>
          <w:szCs w:val="28"/>
          <w:rtl w:val="true"/>
          <w:lang w:bidi="fa-IR"/>
        </w:rPr>
        <w:t>.</w:t>
      </w:r>
      <w:r>
        <w:rPr>
          <w:rStyle w:val="FootnoteAnchor"/>
          <w:rtl w:val="true"/>
        </w:rPr>
        <w:footnoteReference w:id="121"/>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عبدالله بن صامت از ابوذر روایت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إذا قام أحدکم یصلی، فإنه یستره إذا کان بین یدیه مثل آخرة الرحل، فإذا لم یکن بین یدیه مثل آخرة الرحل فإنه یقطع صلاته الحمار والمرأة و الکلب الأسود،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أبا 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مابال الکلب الأسود من الکلب الأحمر من الکلب الأصفر؟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ابن أخی، سألت رسول الله کما سألتنی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الکلب الأسود شیطان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هرگاه یکی از شما برای نماز ایستاد و در جلویش چیزی مانند پشتی پالان شتر وجود داشت، برای او ستره به شمار می‌آید، و اگر در جلویش چیز مانند پشتی پالان شتر وجود نداشت، عبور خر، زن و سگ سیاه نمازش را باطل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صامت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ابوذر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سگ </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سیاه با سگ سرخ و زرد چه تفاوتی دارد؟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برادرزاده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سؤالی را که از من کردی من از پیامبر پرسیدم،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سگ سیاه شیطان است</w:t>
      </w:r>
      <w:r>
        <w:rPr>
          <w:rFonts w:eastAsia="IRNazanin" w:cs="IRNazanin"/>
          <w:color w:val="111111"/>
          <w:sz w:val="28"/>
          <w:szCs w:val="28"/>
          <w:rtl w:val="true"/>
          <w:lang w:bidi="fa-IR"/>
        </w:rPr>
        <w:t>.</w:t>
      </w:r>
      <w:r>
        <w:rPr>
          <w:rStyle w:val="FootnoteAnchor"/>
          <w:rtl w:val="true"/>
        </w:rPr>
        <w:footnoteReference w:id="122"/>
      </w:r>
      <w:r>
        <w:rPr>
          <w:rFonts w:ascii="IRNazanin" w:hAnsi="IRNazanin" w:eastAsia="IRNazanin"/>
          <w:color w:val="111111"/>
          <w:sz w:val="28"/>
          <w:sz w:val="28"/>
          <w:szCs w:val="28"/>
          <w:rtl w:val="true"/>
          <w:lang w:bidi="fa-IR"/>
        </w:rPr>
        <w:t>قضاوت با شما</w:t>
      </w:r>
      <w:r>
        <w:rPr>
          <w:rFonts w:eastAsia="IRNazanin" w:cs="IRNazanin"/>
          <w:color w:val="111111"/>
          <w:sz w:val="28"/>
          <w:szCs w:val="28"/>
          <w:rtl w:val="true"/>
          <w:lang w:bidi="fa-IR"/>
        </w:rPr>
        <w:t xml:space="preserve">!! </w:t>
      </w:r>
      <w:bookmarkStart w:id="152" w:name="pg3848_38681"/>
    </w:p>
    <w:p>
      <w:pPr>
        <w:pStyle w:val="Heading3"/>
        <w:numPr>
          <w:ilvl w:val="2"/>
          <w:numId w:val="1"/>
        </w:numPr>
        <w:rPr/>
      </w:pPr>
      <w:bookmarkStart w:id="153" w:name="__RefHeading___Toc1510193_2281741623"/>
      <w:bookmarkStart w:id="154" w:name="_Toc58"/>
      <w:bookmarkEnd w:id="152"/>
      <w:bookmarkEnd w:id="153"/>
      <w:r>
        <w:rPr>
          <w:rtl w:val="true"/>
        </w:rPr>
        <w:t>فصل سوم</w:t>
      </w:r>
      <w:r>
        <w:rPr>
          <w:rtl w:val="true"/>
        </w:rPr>
        <w:t xml:space="preserve">: </w:t>
      </w:r>
      <w:r>
        <w:rPr>
          <w:rtl w:val="true"/>
        </w:rPr>
        <w:t>اذان و اقامه</w:t>
      </w:r>
      <w:bookmarkEnd w:id="154"/>
    </w:p>
    <w:p>
      <w:pPr>
        <w:pStyle w:val="Heading4"/>
        <w:numPr>
          <w:ilvl w:val="3"/>
          <w:numId w:val="1"/>
        </w:numPr>
        <w:rPr/>
      </w:pPr>
      <w:bookmarkStart w:id="155" w:name="__RefHeading___Toc1510195_2281741623"/>
      <w:bookmarkStart w:id="156" w:name="_Toc59"/>
      <w:bookmarkEnd w:id="155"/>
      <w:r>
        <w:rPr>
          <w:rtl w:val="true"/>
        </w:rPr>
        <w:t>جایگاه اذان و اقامه</w:t>
      </w:r>
      <w:bookmarkEnd w:id="156"/>
    </w:p>
    <w:p>
      <w:pPr>
        <w:pStyle w:val="BookText"/>
        <w:rPr/>
      </w:pPr>
      <w:r>
        <w:rPr>
          <w:rFonts w:ascii="IRNazanin" w:hAnsi="IRNazanin" w:eastAsia="IRNazanin"/>
          <w:color w:val="111111"/>
          <w:sz w:val="28"/>
          <w:sz w:val="28"/>
          <w:szCs w:val="28"/>
          <w:rtl w:val="true"/>
          <w:lang w:bidi="fa-IR"/>
        </w:rPr>
        <w:t>اذان، دعوتی زنده است که انسان را به حیات معنوی از دریچه اتصال با پروردگار فرامی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مؤمن با شنیدن صدای اذان، احساس سرزندگی و حرارت معنوی می یابد و مشتاق دیدار محبوب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گویی ترنم ندای اذان، زمین و آسمان را به هم پیوند داده، شور بندگی او را تحریک کرده و شوق عبادت را بیدار ساخته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اعظم صلی الله علیه و آله نیز هم‌زمان با وقت نماز، با شنیدن صدای اذان، نشاط و سرزندگی می‌یافت و به مؤذن پاک‌دل خویش می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اَرِحنَا یا بلال</w:t>
      </w:r>
      <w:r>
        <w:rPr>
          <w:rFonts w:eastAsia="IRNazanin" w:cs="IRNazanin"/>
          <w:color w:val="111111"/>
          <w:sz w:val="28"/>
          <w:szCs w:val="28"/>
          <w:rtl w:val="true"/>
          <w:lang w:bidi="fa-IR"/>
        </w:rPr>
        <w:t>".</w:t>
      </w:r>
      <w:r>
        <w:rPr>
          <w:rStyle w:val="FootnoteAnchor"/>
          <w:rtl w:val="true"/>
        </w:rPr>
        <w:footnoteReference w:id="123"/>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سخن پیرامون آثار و برکات اذان بسیار است و در این مختصر نمی گنجد؛ تنها به ذکر روایتی از امام رضا علیه السلام درباره فلسفه و حکمت اذان بسنده می‌کنیم</w:t>
      </w:r>
      <w:r>
        <w:rPr>
          <w:rFonts w:eastAsia="IRNazanin" w:cs="IRNazanin"/>
          <w:color w:val="111111"/>
          <w:sz w:val="28"/>
          <w:szCs w:val="28"/>
          <w:rtl w:val="true"/>
          <w:lang w:bidi="fa-IR"/>
        </w:rPr>
        <w:t xml:space="preserve">: </w:t>
      </w:r>
      <w:bookmarkStart w:id="157" w:name="pg3848_38682"/>
    </w:p>
    <w:p>
      <w:pPr>
        <w:pStyle w:val="BookText"/>
        <w:rPr/>
      </w:pPr>
      <w:bookmarkEnd w:id="157"/>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آن کس را که فراموش‌کار است، یادآور باشد و آن کس را که غافل است، متنبه سازد؛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وقت نماز را اعلام می‌کند؛</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مردم را به پرستش خالق یکتا ترغیب و تشویق می‌سازد؛</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اذان‌گو، اقرار به توحید دارد و ایمان را آشکار می‌سازد و اسلام را اعلان می‌کند</w:t>
      </w:r>
      <w:r>
        <w:rPr>
          <w:rFonts w:eastAsia="IRNazanin" w:cs="IRNazanin"/>
          <w:color w:val="111111"/>
          <w:sz w:val="28"/>
          <w:szCs w:val="28"/>
          <w:rtl w:val="true"/>
          <w:lang w:bidi="fa-IR"/>
        </w:rPr>
        <w:t>.</w:t>
      </w:r>
      <w:r>
        <w:rPr>
          <w:rStyle w:val="FootnoteAnchor"/>
          <w:rtl w:val="true"/>
        </w:rPr>
        <w:footnoteReference w:id="124"/>
      </w:r>
    </w:p>
    <w:p>
      <w:pPr>
        <w:pStyle w:val="BookText"/>
        <w:rPr/>
      </w:pPr>
      <w:r>
        <w:rPr>
          <w:rFonts w:ascii="IRNazanin" w:hAnsi="IRNazanin" w:eastAsia="IRNazanin"/>
          <w:color w:val="111111"/>
          <w:sz w:val="28"/>
          <w:sz w:val="28"/>
          <w:szCs w:val="28"/>
          <w:rtl w:val="true"/>
          <w:lang w:bidi="fa-IR"/>
        </w:rPr>
        <w:t xml:space="preserve">همچنین، در آیه </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مائده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إِذَا نَادَیتُمْ إلَی الصَّلاةِ اتَّخَذُوهَا هُزُواً وَ لَعَباً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آیه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جمعه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أَیُّهَا الَّذینَ ءَامَنُوا إِذَا نُودِیَ لِلصَّلاةِ مِن یَومِ الجُمُعَةِ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لفظ ندا، به اذان اشاره شده است</w:t>
      </w:r>
      <w:r>
        <w:rPr>
          <w:rFonts w:eastAsia="IRNazanin" w:cs="IRNazanin"/>
          <w:color w:val="111111"/>
          <w:sz w:val="28"/>
          <w:szCs w:val="28"/>
          <w:rtl w:val="true"/>
          <w:lang w:bidi="fa-IR"/>
        </w:rPr>
        <w:t>.</w:t>
      </w:r>
    </w:p>
    <w:p>
      <w:pPr>
        <w:pStyle w:val="Heading4"/>
        <w:numPr>
          <w:ilvl w:val="3"/>
          <w:numId w:val="1"/>
        </w:numPr>
        <w:rPr/>
      </w:pPr>
      <w:bookmarkStart w:id="158" w:name="__RefHeading___Toc1510197_2281741623"/>
      <w:bookmarkStart w:id="159" w:name="_Toc60"/>
      <w:bookmarkEnd w:id="158"/>
      <w:r>
        <w:rPr>
          <w:rtl w:val="true"/>
        </w:rPr>
        <w:t>بررسی موارد اختلافی</w:t>
      </w:r>
      <w:bookmarkEnd w:id="159"/>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اذان یکی از مسایل عبادی است که همه مذاهب اسلامی در اعتبار و مشروعیت آن اتفاق عقیده دارند و کسی در استحباب آن پیش از هر نماز واجب تردید نکرده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بسیاری از بندهای آن اتفاق‌نظر وجود دارد، ولی در چهار بند آن، اختلاف‌هایی میان فقیهان مذاهب اسلامی به چشم می‌خورد که به نقد و بررسی اجمالی آن خواهیم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مسائل عبارت است از</w:t>
      </w:r>
      <w:r>
        <w:rPr>
          <w:rFonts w:eastAsia="IRNazanin" w:cs="IRNazanin"/>
          <w:color w:val="111111"/>
          <w:sz w:val="28"/>
          <w:szCs w:val="28"/>
          <w:rtl w:val="true"/>
          <w:lang w:bidi="fa-IR"/>
        </w:rPr>
        <w:t xml:space="preserve">: </w:t>
      </w:r>
      <w:bookmarkStart w:id="160" w:name="pg3848_38683"/>
    </w:p>
    <w:p>
      <w:pPr>
        <w:pStyle w:val="BookText"/>
        <w:rPr/>
      </w:pPr>
      <w:bookmarkEnd w:id="160"/>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کیفیت تشریع اذان؛</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تثویب در اذان صبح؛</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حیّ علی خیرالعمل؛</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شهادت ثالثه</w:t>
      </w:r>
      <w:r>
        <w:rPr>
          <w:rFonts w:eastAsia="IRNazanin" w:cs="IRNazanin"/>
          <w:color w:val="111111"/>
          <w:sz w:val="28"/>
          <w:szCs w:val="28"/>
          <w:rtl w:val="true"/>
          <w:lang w:bidi="fa-IR"/>
        </w:rPr>
        <w:t>.</w:t>
      </w:r>
    </w:p>
    <w:p>
      <w:pPr>
        <w:pStyle w:val="Heading4"/>
        <w:numPr>
          <w:ilvl w:val="3"/>
          <w:numId w:val="1"/>
        </w:numPr>
        <w:rPr/>
      </w:pPr>
      <w:bookmarkStart w:id="161" w:name="__RefHeading___Toc1510199_2281741623"/>
      <w:bookmarkStart w:id="162" w:name="_Toc61"/>
      <w:bookmarkEnd w:id="161"/>
      <w:r>
        <w:rPr>
          <w:rtl w:val="true"/>
        </w:rPr>
        <w:t>مسأله اول</w:t>
      </w:r>
      <w:r>
        <w:rPr>
          <w:rtl w:val="true"/>
        </w:rPr>
        <w:t xml:space="preserve">: </w:t>
      </w:r>
      <w:r>
        <w:rPr>
          <w:rtl w:val="true"/>
        </w:rPr>
        <w:t>کیفیت تشریع اذان</w:t>
      </w:r>
      <w:bookmarkEnd w:id="162"/>
    </w:p>
    <w:p>
      <w:pPr>
        <w:pStyle w:val="Heading5"/>
        <w:numPr>
          <w:ilvl w:val="4"/>
          <w:numId w:val="1"/>
        </w:numPr>
        <w:rPr/>
      </w:pPr>
      <w:bookmarkStart w:id="163" w:name="__RefHeading___Toc1510201_2281741623"/>
      <w:bookmarkStart w:id="164" w:name="_Toc62"/>
      <w:bookmarkEnd w:id="163"/>
      <w:r>
        <w:rPr>
          <w:rtl w:val="true"/>
        </w:rPr>
        <w:t>معنای لغوی و شرعی اذان</w:t>
      </w:r>
      <w:bookmarkEnd w:id="164"/>
    </w:p>
    <w:p>
      <w:pPr>
        <w:pStyle w:val="BookText"/>
        <w:rPr/>
      </w:pPr>
      <w:r>
        <w:rPr>
          <w:rFonts w:ascii="IRNazanin" w:hAnsi="IRNazanin" w:eastAsia="IRNazanin"/>
          <w:color w:val="111111"/>
          <w:sz w:val="28"/>
          <w:sz w:val="28"/>
          <w:szCs w:val="28"/>
          <w:rtl w:val="true"/>
          <w:lang w:bidi="fa-IR"/>
        </w:rPr>
        <w:t xml:space="preserve">اذان در لغت 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اعلام کردن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قرآن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أذانٌ مِن اللّه و رسوله إلی الناس یومَ الحجّ الأکبر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این، اعلامی است از ناحیه خداوند و پیامبرش به مردم در روز حج اکبر</w:t>
      </w:r>
      <w:r>
        <w:rPr>
          <w:rFonts w:eastAsia="IRNazanin" w:cs="IRNazanin"/>
          <w:color w:val="111111"/>
          <w:sz w:val="28"/>
          <w:szCs w:val="28"/>
          <w:rtl w:val="true"/>
          <w:lang w:bidi="fa-IR"/>
        </w:rPr>
        <w:t>.</w:t>
      </w:r>
      <w:r>
        <w:rPr>
          <w:rStyle w:val="FootnoteAnchor"/>
          <w:rtl w:val="true"/>
        </w:rPr>
        <w:footnoteReference w:id="125"/>
      </w:r>
      <w:r>
        <w:rPr>
          <w:rFonts w:ascii="IRNazanin" w:hAnsi="IRNazanin" w:eastAsia="IRNazanin"/>
          <w:color w:val="111111"/>
          <w:sz w:val="28"/>
          <w:sz w:val="28"/>
          <w:szCs w:val="28"/>
          <w:rtl w:val="true"/>
          <w:lang w:bidi="fa-IR"/>
        </w:rPr>
        <w:t>اما در شرع به معنای اعلام دخول وقت نماز و اسم برای عبارات خاصی است که می‌شناسیم</w:t>
      </w:r>
      <w:r>
        <w:rPr>
          <w:rFonts w:eastAsia="IRNazanin" w:cs="IRNazanin"/>
          <w:color w:val="111111"/>
          <w:sz w:val="28"/>
          <w:szCs w:val="28"/>
          <w:rtl w:val="true"/>
          <w:lang w:bidi="fa-IR"/>
        </w:rPr>
        <w:t>.</w:t>
      </w:r>
    </w:p>
    <w:p>
      <w:pPr>
        <w:pStyle w:val="Heading5"/>
        <w:numPr>
          <w:ilvl w:val="4"/>
          <w:numId w:val="1"/>
        </w:numPr>
        <w:rPr/>
      </w:pPr>
      <w:bookmarkStart w:id="165" w:name="__RefHeading___Toc1510203_2281741623"/>
      <w:bookmarkStart w:id="166" w:name="_Toc63"/>
      <w:bookmarkEnd w:id="165"/>
      <w:r>
        <w:rPr>
          <w:rtl w:val="true"/>
        </w:rPr>
        <w:t>تشریع اذان</w:t>
      </w:r>
      <w:bookmarkEnd w:id="166"/>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از هجرت رسول اکرم صلی الله علیه و آله به مدینه، مهاجر و انصار، اندک اندک در اطراف پیامبر اجتماع و حکومت اسلامی را بر پا کردند؛ مسجد ساختند و نماز جماعت بر پا نمودند و روز به روز بر عظمت و شکوه دین اسلام افزوده شد و بدین ترتیب، مسلمانان </w:t>
      </w:r>
    </w:p>
    <w:p>
      <w:pPr>
        <w:pStyle w:val="BookText"/>
        <w:rPr/>
      </w:pPr>
      <w:r>
        <w:rPr>
          <w:rFonts w:ascii="IRNazanin" w:hAnsi="IRNazanin" w:eastAsia="IRNazanin"/>
          <w:color w:val="111111"/>
          <w:sz w:val="28"/>
          <w:sz w:val="28"/>
          <w:szCs w:val="28"/>
          <w:rtl w:val="true"/>
          <w:lang w:bidi="fa-IR"/>
        </w:rPr>
        <w:t>نیازمند وسیله‌ای شدند تا مردم را هنگام نماز آگاه 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پیشنهادهای مختلفی به پیامبر داده شد، ولی حضرت هیچ‌کدام را نپذیرفت؛ زیرا بعضی از پیشنهادها رسم یهودیان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در اولین سال هجرت، به فرمان خداوند، اذان، از سوی جبرئیل بر پیامبر نازل گردید</w:t>
      </w:r>
      <w:r>
        <w:rPr>
          <w:rFonts w:eastAsia="IRNazanin" w:cs="IRNazanin"/>
          <w:color w:val="111111"/>
          <w:sz w:val="28"/>
          <w:szCs w:val="28"/>
          <w:rtl w:val="true"/>
          <w:lang w:bidi="fa-IR"/>
        </w:rPr>
        <w:t>.</w:t>
      </w:r>
      <w:r>
        <w:rPr>
          <w:rStyle w:val="FootnoteAnchor"/>
          <w:rtl w:val="true"/>
        </w:rPr>
        <w:footnoteReference w:id="126"/>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تشریع اذان، یعنی زمانی که خداوند اذان را در قانون اسلام گنجاند و اذان مشروعیت پیدا کرد، برای نماز صبح بود</w:t>
      </w:r>
      <w:r>
        <w:rPr>
          <w:rStyle w:val="FootnoteAnchor"/>
          <w:rtl w:val="true"/>
        </w:rPr>
        <w:footnoteReference w:id="127"/>
      </w:r>
      <w:r>
        <w:rPr>
          <w:rFonts w:ascii="IRNazanin" w:hAnsi="IRNazanin" w:eastAsia="IRNazanin"/>
          <w:color w:val="111111"/>
          <w:sz w:val="28"/>
          <w:sz w:val="28"/>
          <w:szCs w:val="28"/>
          <w:rtl w:val="true"/>
          <w:lang w:bidi="fa-IR"/>
        </w:rPr>
        <w:t>و بلال بن رباح، معروف به بلال حبشی نخستین کسی بود</w:t>
      </w:r>
      <w:r>
        <w:rPr>
          <w:rStyle w:val="FootnoteAnchor"/>
          <w:rtl w:val="true"/>
        </w:rPr>
        <w:footnoteReference w:id="128"/>
      </w:r>
      <w:r>
        <w:rPr>
          <w:rFonts w:ascii="IRNazanin" w:hAnsi="IRNazanin" w:eastAsia="IRNazanin"/>
          <w:color w:val="111111"/>
          <w:sz w:val="28"/>
          <w:sz w:val="28"/>
          <w:szCs w:val="28"/>
          <w:rtl w:val="true"/>
          <w:lang w:bidi="fa-IR"/>
        </w:rPr>
        <w:t>که بر روی خانه شخصی به نام نوار اُمّ زید بن ثابت این کار را انجام داد</w:t>
      </w:r>
      <w:r>
        <w:rPr>
          <w:rFonts w:eastAsia="IRNazanin" w:cs="IRNazanin"/>
          <w:color w:val="111111"/>
          <w:sz w:val="28"/>
          <w:szCs w:val="28"/>
          <w:rtl w:val="true"/>
          <w:lang w:bidi="fa-IR"/>
        </w:rPr>
        <w:t>.</w:t>
      </w:r>
      <w:r>
        <w:rPr>
          <w:rStyle w:val="FootnoteAnchor"/>
          <w:rtl w:val="true"/>
        </w:rPr>
        <w:footnoteReference w:id="129"/>
      </w:r>
      <w:r>
        <w:rPr>
          <w:rFonts w:ascii="IRNazanin" w:hAnsi="IRNazanin" w:eastAsia="IRNazanin"/>
          <w:color w:val="111111"/>
          <w:sz w:val="28"/>
          <w:sz w:val="28"/>
          <w:szCs w:val="28"/>
          <w:rtl w:val="true"/>
          <w:lang w:bidi="fa-IR"/>
        </w:rPr>
        <w:t>اولین کسی که در آسمان اذان گفت، جبرئیل علیه السلام بود</w:t>
      </w:r>
      <w:r>
        <w:rPr>
          <w:rStyle w:val="FootnoteAnchor"/>
          <w:rtl w:val="true"/>
        </w:rPr>
        <w:footnoteReference w:id="130"/>
      </w:r>
      <w:r>
        <w:rPr>
          <w:rFonts w:ascii="IRNazanin" w:hAnsi="IRNazanin" w:eastAsia="IRNazanin"/>
          <w:color w:val="111111"/>
          <w:sz w:val="28"/>
          <w:sz w:val="28"/>
          <w:szCs w:val="28"/>
          <w:rtl w:val="true"/>
          <w:lang w:bidi="fa-IR"/>
        </w:rPr>
        <w:t>که هنگام معراج رسول خدا صلی الله علیه و آله ، در بیت‌المعمور جبرئیل اذان و میکائیل اقامه گفتند</w:t>
      </w:r>
      <w:r>
        <w:rPr>
          <w:rFonts w:eastAsia="IRNazanin" w:cs="IRNazanin"/>
          <w:color w:val="111111"/>
          <w:sz w:val="28"/>
          <w:szCs w:val="28"/>
          <w:rtl w:val="true"/>
          <w:lang w:bidi="fa-IR"/>
        </w:rPr>
        <w:t>.</w:t>
      </w:r>
      <w:r>
        <w:rPr>
          <w:rStyle w:val="FootnoteAnchor"/>
          <w:rtl w:val="true"/>
        </w:rPr>
        <w:footnoteReference w:id="131"/>
      </w:r>
      <w:bookmarkStart w:id="167" w:name="pg3848_38685"/>
    </w:p>
    <w:p>
      <w:pPr>
        <w:pStyle w:val="Heading5"/>
        <w:numPr>
          <w:ilvl w:val="4"/>
          <w:numId w:val="1"/>
        </w:numPr>
        <w:rPr/>
      </w:pPr>
      <w:bookmarkStart w:id="168" w:name="__RefHeading___Toc1510205_2281741623"/>
      <w:bookmarkStart w:id="169" w:name="_Toc64"/>
      <w:bookmarkEnd w:id="167"/>
      <w:bookmarkEnd w:id="168"/>
      <w:r>
        <w:rPr>
          <w:rtl w:val="true"/>
        </w:rPr>
        <w:t>بررسی دو دیدگاه در تشریع اذان</w:t>
      </w:r>
      <w:bookmarkEnd w:id="169"/>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دیدگاه شیعه</w:t>
      </w:r>
    </w:p>
    <w:p>
      <w:pPr>
        <w:pStyle w:val="BookText"/>
        <w:rPr/>
      </w:pPr>
      <w:r>
        <w:rPr>
          <w:rFonts w:ascii="IRNazanin" w:hAnsi="IRNazanin" w:eastAsia="IRNazanin"/>
          <w:color w:val="111111"/>
          <w:sz w:val="28"/>
          <w:sz w:val="28"/>
          <w:szCs w:val="28"/>
          <w:rtl w:val="true"/>
          <w:lang w:bidi="fa-IR"/>
        </w:rPr>
        <w:t>در کتاب‌های شیعه و سنی، روایات فراوانی درباره چگونگی تشریع اذان وارد و موجب بروز دو نظریه متفاوت در کیفیت تشریع اذان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شیعیان معتقدند اذان، عملی عبادی است که منشأ پیدایش آن به وحی برمی‌گردد و نخستین‌بار، اصل اذان و کیفیت آن در شب معراج به پیامبر وحی شد و آن را به مردم ابلاغ فرمود و بلال را به همان شیوه آموزش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امر از نظر پیشوایان معصوم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 بوده و روایات و سخنان آنها در این زمینه فراوان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مثال، مرحوم کلینی به سند صحیح از زراره و فضیل، از امام باقر علیه السلام روایت کرده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لمّا أُسری برسول اللّه صلی الله علیه و آله إلی السماء فبلغ البیت المعمور، و حضرت الصلاة، فأذّن جبرئیل علیه السلام و أَقام فتقدم رسول اللّه صلی الله علیه و آله و صفّ الملائکة و النّبیّون خلف محمّد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وقتی رسول خدا صلی الله علیه و آله در سفر معراج به بیت‌المعمور رسید، هنگام نماز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اذان و اقامه گفت و رسول خدا صلی الله علیه و آله جلو ایستاد و فرشتگان و پیامبران پشت سر محمد صلی الله علیه و آله به صف ایستادند</w:t>
      </w:r>
      <w:r>
        <w:rPr>
          <w:rFonts w:eastAsia="IRNazanin" w:cs="IRNazanin"/>
          <w:color w:val="111111"/>
          <w:sz w:val="28"/>
          <w:szCs w:val="28"/>
          <w:rtl w:val="true"/>
          <w:lang w:bidi="fa-IR"/>
        </w:rPr>
        <w:t>.</w:t>
      </w:r>
      <w:r>
        <w:rPr>
          <w:rStyle w:val="FootnoteAnchor"/>
          <w:rtl w:val="true"/>
        </w:rPr>
        <w:footnoteReference w:id="132"/>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نیز از امام صادق علیه السلام چنین روایت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جبرئیل </w:t>
      </w:r>
    </w:p>
    <w:p>
      <w:pPr>
        <w:pStyle w:val="BookText"/>
        <w:rPr/>
      </w:pPr>
      <w:r>
        <w:rPr>
          <w:rFonts w:ascii="IRNazanin" w:hAnsi="IRNazanin" w:eastAsia="IRNazanin"/>
          <w:color w:val="111111"/>
          <w:sz w:val="28"/>
          <w:sz w:val="28"/>
          <w:szCs w:val="28"/>
          <w:rtl w:val="true"/>
          <w:lang w:bidi="fa-IR"/>
        </w:rPr>
        <w:t>اذان را بر رسول خدا صلی الله علیه و آله فرود آورد، سر او در دامان علی علیه السلام بود و جبرئیل اذان و اقامه گفت</w:t>
      </w:r>
      <w:r>
        <w:rPr>
          <w:rFonts w:eastAsia="IRNazanin" w:cs="IRNazanin"/>
          <w:color w:val="111111"/>
          <w:sz w:val="28"/>
          <w:szCs w:val="28"/>
          <w:rtl w:val="true"/>
          <w:lang w:bidi="fa-IR"/>
        </w:rPr>
        <w:t>.</w:t>
      </w:r>
      <w:r>
        <w:rPr>
          <w:rStyle w:val="FootnoteAnchor"/>
          <w:rtl w:val="true"/>
        </w:rPr>
        <w:footnoteReference w:id="133"/>
      </w:r>
      <w:r>
        <w:rPr>
          <w:rFonts w:ascii="IRNazanin" w:hAnsi="IRNazanin" w:eastAsia="IRNazanin"/>
          <w:color w:val="111111"/>
          <w:sz w:val="28"/>
          <w:sz w:val="28"/>
          <w:szCs w:val="28"/>
          <w:rtl w:val="true"/>
          <w:lang w:bidi="fa-IR"/>
        </w:rPr>
        <w:t>وقتی رسول خدا صلی الله علیه و آله بیدار شد،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شنیدی؟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w:t>
      </w:r>
      <w:r>
        <w:rPr>
          <w:rStyle w:val="FootnoteAnchor"/>
          <w:rtl w:val="true"/>
        </w:rPr>
        <w:footnoteReference w:id="134"/>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حفظ کردی؟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بلال را فراخوان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هم بلال را فراخواند و پیامبر اذان را به او آموخت</w:t>
      </w:r>
      <w:r>
        <w:rPr>
          <w:rFonts w:eastAsia="IRNazanin" w:cs="IRNazanin"/>
          <w:color w:val="111111"/>
          <w:sz w:val="28"/>
          <w:szCs w:val="28"/>
          <w:rtl w:val="true"/>
          <w:lang w:bidi="fa-IR"/>
        </w:rPr>
        <w:t>.</w:t>
      </w:r>
      <w:r>
        <w:rPr>
          <w:rStyle w:val="FootnoteAnchor"/>
          <w:rtl w:val="true"/>
        </w:rPr>
        <w:footnoteReference w:id="135"/>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فقها و بزرگان شیعه نیز به پیروی از اهل‌بیت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همین حکم تبعیت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همان‌گونه که امام صادق علیه السلام افرادی را که پنداشتند رسول خدا صلی الله علیه و آله اذان را از عبداللّه بن زید اقتباس کرده، لعنت نمود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وحی بر پیامبرتان نازل می‌شود، آن‌گاه گمان می‌برید ایشان اذان را از عبداللّه بن زید گرفته است</w:t>
      </w:r>
      <w:r>
        <w:rPr>
          <w:rFonts w:eastAsia="IRNazanin" w:cs="IRNazanin"/>
          <w:color w:val="111111"/>
          <w:sz w:val="28"/>
          <w:szCs w:val="28"/>
          <w:rtl w:val="true"/>
          <w:lang w:bidi="fa-IR"/>
        </w:rPr>
        <w:t>.</w:t>
      </w:r>
      <w:r>
        <w:rPr>
          <w:rStyle w:val="FootnoteAnchor"/>
          <w:rtl w:val="true"/>
        </w:rPr>
        <w:footnoteReference w:id="136"/>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دیدگاه اهل سنت</w:t>
      </w:r>
    </w:p>
    <w:p>
      <w:pPr>
        <w:pStyle w:val="BookText"/>
        <w:rPr/>
      </w:pPr>
      <w:r>
        <w:rPr>
          <w:rFonts w:ascii="IRNazanin" w:hAnsi="IRNazanin" w:eastAsia="IRNazanin"/>
          <w:color w:val="111111"/>
          <w:sz w:val="28"/>
          <w:sz w:val="28"/>
          <w:szCs w:val="28"/>
          <w:rtl w:val="true"/>
          <w:lang w:bidi="fa-IR"/>
        </w:rPr>
        <w:t>برخلاف نظر شیعیان، در روایاتی که از طرق اهل تسنن نقل شده، مطالب شگفت انگیزی درباره تشریع اذان دیده می شود که با مبانی فکری و اعتقادی اسلامی سازگار نیست و توهینی به مقام شامخ پیامبر شمرده می شود؛ زیرا در این روایات، حضرت به جای تکیه بر وحی، بر خواب های افراد تکیه می کند و مبانی دستورات دین خود را بر خواب افراد قرار می دهد</w:t>
      </w:r>
      <w:r>
        <w:rPr>
          <w:rFonts w:eastAsia="IRNazanin" w:cs="IRNazanin"/>
          <w:color w:val="111111"/>
          <w:sz w:val="28"/>
          <w:szCs w:val="28"/>
          <w:rtl w:val="true"/>
          <w:lang w:bidi="fa-IR"/>
        </w:rPr>
        <w:t>.</w:t>
      </w:r>
      <w:r>
        <w:rPr>
          <w:rStyle w:val="FootnoteAnchor"/>
          <w:rtl w:val="true"/>
        </w:rPr>
        <w:footnoteReference w:id="137"/>
      </w:r>
    </w:p>
    <w:p>
      <w:pPr>
        <w:pStyle w:val="BookText"/>
        <w:rPr/>
      </w:pPr>
      <w:r>
        <w:rPr>
          <w:rFonts w:ascii="IRNazanin" w:hAnsi="IRNazanin" w:eastAsia="IRNazanin"/>
          <w:color w:val="111111"/>
          <w:sz w:val="28"/>
          <w:sz w:val="28"/>
          <w:szCs w:val="28"/>
          <w:rtl w:val="true"/>
          <w:lang w:bidi="fa-IR"/>
        </w:rPr>
        <w:t>بیشتر اهل‌سنت بر این باورند که پیامبر برای آگاهی دادن مردم به حضور وقت نماز، دچار شگفتی و سردرگمی شد و هر یک از اصحاب، راهی را پیشنهاد کردند و در مجموع چند روش پیشنهاد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دسته نخست می‌گفتند برای آگاهی مسلمانان به وقت نماز، از ناقوس کلیسا استفاده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دسته دوم گفتند از بوق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شیپور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یهودی‌ها استفاده گردد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دسته سوم اظهار کردند هنگام فرارسیدن وقت نماز، پرچمی نصب گردد تا مردم بدین وسیله، یکدیگر را برای نماز خبر دهند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دسته چهارم معتقد بودند تعدادی چوب فراهم گردد و </w:t>
      </w:r>
    </w:p>
    <w:p>
      <w:pPr>
        <w:pStyle w:val="BookText"/>
        <w:rPr/>
      </w:pPr>
      <w:r>
        <w:rPr>
          <w:rFonts w:ascii="IRNazanin" w:hAnsi="IRNazanin" w:eastAsia="IRNazanin"/>
          <w:color w:val="111111"/>
          <w:sz w:val="28"/>
          <w:sz w:val="28"/>
          <w:szCs w:val="28"/>
          <w:rtl w:val="true"/>
          <w:lang w:bidi="fa-IR"/>
        </w:rPr>
        <w:t>هنگام وقت نماز، آنها را به یکدیگر بزنند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دسته پنجم گفته بودند برای این کار، آتشی روشن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همین حال بودند تا اینکه شخصی به نام عبداللّه بن زید در خواب دید منادی به او اذان را آموزش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جریان خواب خود را به پیامبر اطلاع داد و حضرت هم آن را پذیرفت و از آن پس، مسلمانان بر مبنای همان خواب در پنج وقت اذان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برخی روایات آمده که خلیفه دوم گفته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بیست روز قبل از عبداللّه بن زید همان خواب را دیده بودم، ولی به دلیل حیا و خجالت، آن را به پیامبر نگفتم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اینک دو نمونه از این روایات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نخست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به دنبال راهی برای فراخوانی مردم به نماز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فردی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نماز پرچمی برافراز تا وقتی مردم آن را ببینند، دیگران را خبر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این پیشنهاد را نپسندید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دیگر از شیپور یهودیان یاد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این پیشنهاد را نیز نپسندید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سنت یهود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دیگر از ناقوس نام بردند،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ناقوس از مسیحیان است</w:t>
      </w:r>
      <w:r>
        <w:rPr>
          <w:rFonts w:eastAsia="IRNazanin" w:cs="IRNazanin"/>
          <w:color w:val="111111"/>
          <w:sz w:val="28"/>
          <w:szCs w:val="28"/>
          <w:rtl w:val="true"/>
          <w:lang w:bidi="fa-IR"/>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عبداللّه بن زید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ابن‌عبدربه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این دغدغه رسول خدا صلی الله علیه و آله برایش اهمیت داشت، به خانه آمد و اذان را در خواب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صبح روز بعد نزد پیامبر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بین خواب و </w:t>
      </w:r>
    </w:p>
    <w:p>
      <w:pPr>
        <w:pStyle w:val="BookText"/>
        <w:rPr/>
      </w:pPr>
      <w:r>
        <w:rPr>
          <w:rFonts w:ascii="IRNazanin" w:hAnsi="IRNazanin" w:eastAsia="IRNazanin"/>
          <w:color w:val="111111"/>
          <w:sz w:val="28"/>
          <w:sz w:val="28"/>
          <w:szCs w:val="28"/>
          <w:rtl w:val="true"/>
          <w:lang w:bidi="fa-IR"/>
        </w:rPr>
        <w:t>بیداری بودم که فردی نزدم آمد و اذان را به من آموخت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بن خطاب نیز پیش از او چنین رؤیایی را دیده بود، ولی بیست روز از افشای آن خودداری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که خواب خود را برای پیامبر نقل کرد، حضرت به او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 باعث شد که مرا از آن آگاه نکنی؟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زید از من پیشی گرفت و من دیگر حیا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رسول خدا صلی الله علیه و آله به بلال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بایست و بنگر عبداللّه بن زید به تو چه فرمان می‌دهد، آن را انجام 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پس بلال اذان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ابوبشر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ابوعمیر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انصار چنین می‌پندارند اگر عبداللّه بن زید در آن روز بیمار نبود، پیامبر او را در مقام مؤذّن نصب می‌کرد</w:t>
      </w:r>
      <w:r>
        <w:rPr>
          <w:rFonts w:eastAsia="IRNazanin" w:cs="IRNazanin"/>
          <w:color w:val="111111"/>
          <w:sz w:val="28"/>
          <w:szCs w:val="28"/>
          <w:rtl w:val="true"/>
          <w:lang w:bidi="fa-IR"/>
        </w:rPr>
        <w:t>.</w:t>
      </w:r>
      <w:r>
        <w:rPr>
          <w:rStyle w:val="FootnoteAnchor"/>
          <w:rtl w:val="true"/>
        </w:rPr>
        <w:footnoteReference w:id="138"/>
      </w:r>
    </w:p>
    <w:p>
      <w:pPr>
        <w:pStyle w:val="BookText"/>
        <w:rPr/>
      </w:pPr>
      <w:r>
        <w:rPr>
          <w:rFonts w:ascii="IRNazanin" w:hAnsi="IRNazanin" w:eastAsia="IRNazanin"/>
          <w:color w:val="111111"/>
          <w:sz w:val="28"/>
          <w:sz w:val="28"/>
          <w:szCs w:val="28"/>
          <w:rtl w:val="true"/>
          <w:lang w:bidi="fa-IR"/>
        </w:rPr>
        <w:t>روایت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زید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رسول خدا صلی الله علیه و آله دستور داد ناقوسی بسازند تا با صدا در آوردن آن، مردم را برای نماز گرد هم آورند، در خواب دیدم که مردی ناقوس بر دست، دور من چرخید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ناقوس را می‌فروشی؟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 چه می‌کنی؟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 مردم را برای نماز فرامی‌خوانم</w:t>
      </w:r>
      <w:r>
        <w:rPr>
          <w:rFonts w:eastAsia="IRNazanin" w:cs="IRNazanin"/>
          <w:color w:val="111111"/>
          <w:sz w:val="28"/>
          <w:szCs w:val="28"/>
          <w:rtl w:val="true"/>
          <w:lang w:bidi="fa-IR"/>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تو را به چیزی بهتر از آن راهنمایی کنم؟ به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 أکبر، اللّه أکبر، اللّه أکبر، اللّه أکبر، أشهد أن لااله إلاّاللّه، </w:t>
      </w:r>
    </w:p>
    <w:p>
      <w:pPr>
        <w:pStyle w:val="BookText"/>
        <w:rPr/>
      </w:pPr>
      <w:r>
        <w:rPr>
          <w:rFonts w:ascii="IRNazanin" w:hAnsi="IRNazanin" w:eastAsia="IRNazanin"/>
          <w:color w:val="111111"/>
          <w:sz w:val="28"/>
          <w:sz w:val="28"/>
          <w:szCs w:val="28"/>
          <w:rtl w:val="true"/>
          <w:lang w:bidi="fa-IR"/>
        </w:rPr>
        <w:t>أشهد أن لااله إلاّاللّه، أشهد أنّ محمداً رسول اللّه، أشهد أنّ محمداً رسول اللّه، حیّ علی الصلاة، حیّ علی الصلاة، حیّ علی الفلاح، حیّ علی الفلاح، اللّه اکبر،اللّه اکبر، لاإله إلاّ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اندکی از من دور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اقامه نماز چنین می‌گویی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أکبر، اللّه أکبر، اشهد أن لاإله إلاّ اللّه، أشهد أنّ محمداً رسول اللّه، حیّ علی الصلاة، حیّ علی الفلاح، قد قامت الصلاة، قد قامت الصلاة، اللّه أکبر، اللّه أکبر، لاإله إلاّ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صبح روز بعد نزد رسول خدا صلی الله علیه و آله رفتم و آنچه را دیده بودم، نقل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دیدی رؤیای صادقه است، ان شاء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برخیز و نزد بلال برو و آنچه را در خواب دیده‌ای، به او بگو تا او با آن الفاظ اذان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صدای او از صدای تو رساتر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آنچه را در خواب دیده بودم، به بلال القا کردم و او هم آن را تکرار کرد</w:t>
      </w:r>
      <w:r>
        <w:rPr>
          <w:rFonts w:eastAsia="IRNazanin" w:cs="IRNazanin"/>
          <w:color w:val="111111"/>
          <w:sz w:val="28"/>
          <w:szCs w:val="28"/>
          <w:rtl w:val="true"/>
          <w:lang w:bidi="fa-IR"/>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راوی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در خانه خود صدای اذان را شنید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خانه خارج شد و در حالی که عبایش را می‌کشید،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به آن‌که تو را به حق به پیامبری برگزید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همانند آنچه او در خواب دید، من نیز 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فللّه الحمد</w:t>
      </w:r>
      <w:r>
        <w:rPr>
          <w:rFonts w:eastAsia="IRNazanin" w:cs="IRNazanin"/>
          <w:color w:val="111111"/>
          <w:sz w:val="28"/>
          <w:szCs w:val="28"/>
          <w:rtl w:val="true"/>
          <w:lang w:bidi="fa-IR"/>
        </w:rPr>
        <w:t>.</w:t>
      </w:r>
      <w:r>
        <w:rPr>
          <w:rStyle w:val="FootnoteAnchor"/>
          <w:rtl w:val="true"/>
        </w:rPr>
        <w:footnoteReference w:id="139"/>
      </w:r>
    </w:p>
    <w:p>
      <w:pPr>
        <w:pStyle w:val="BookText"/>
        <w:rPr/>
      </w:pPr>
      <w:r>
        <w:rPr>
          <w:rFonts w:ascii="IRNazanin" w:hAnsi="IRNazanin" w:eastAsia="IRNazanin"/>
          <w:color w:val="111111"/>
          <w:sz w:val="28"/>
          <w:sz w:val="28"/>
          <w:szCs w:val="28"/>
          <w:rtl w:val="true"/>
          <w:lang w:bidi="fa-IR"/>
        </w:rPr>
        <w:t>نقد و بررسی</w:t>
      </w:r>
    </w:p>
    <w:p>
      <w:pPr>
        <w:pStyle w:val="BookText"/>
        <w:rPr/>
      </w:pPr>
      <w:r>
        <w:rPr>
          <w:rFonts w:ascii="IRNazanin" w:hAnsi="IRNazanin" w:eastAsia="IRNazanin"/>
          <w:color w:val="111111"/>
          <w:sz w:val="28"/>
          <w:sz w:val="28"/>
          <w:szCs w:val="28"/>
          <w:rtl w:val="true"/>
          <w:lang w:bidi="fa-IR"/>
        </w:rPr>
        <w:t>چکیده دو نظریه این خواهد بود که بر اساس نظریه نخست، منشأ اذان بسان دیگر امور عبادی، مستند به وحی است؛ در حالی که طبق نظریه دوم، منشأ اذان امری بشری است و پیامبر اذان را تنها به استناد همان خواب تشریع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اساس، بزرگان شیعه در مقام نقد علمی به شیوه تشریع اذان اهل تسنن، به نکات فراوانی اشاره کرده و اشکالات سندی مانند مجهول بودن عبدالله بن زید و ضعف سندی روایت عبدالله بن زید، و نیز نقدهای دلالی بسیاری مانند ناسازگاری روایات با مقام نبوت نبی اکرم صلی الله علیه و آله ، تعارض روایات با یکدیگر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آن وارد کرده اند که محققان محترم می توانند تفصیل آن را در کتاب‌های معرفی شده در پاورقی بیابند</w:t>
      </w:r>
      <w:r>
        <w:rPr>
          <w:rFonts w:eastAsia="IRNazanin" w:cs="IRNazanin"/>
          <w:color w:val="111111"/>
          <w:sz w:val="28"/>
          <w:szCs w:val="28"/>
          <w:rtl w:val="true"/>
          <w:lang w:bidi="fa-IR"/>
        </w:rPr>
        <w:t>.</w:t>
      </w:r>
      <w:r>
        <w:rPr>
          <w:rStyle w:val="FootnoteAnchor"/>
          <w:rtl w:val="true"/>
        </w:rPr>
        <w:footnoteReference w:id="140"/>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قسمت از بحث را با روایتی از امام صادق علیه السلام به پایان می بریم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گروه چه می‌گویند؟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چه موردی؟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اذانشان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می‌گویند ابیّ بن کعب آن را در خواب 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کذبوا فانّ دین اللّه أعزّ مِنْ أن یُری فی النوم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دروغ می‌گویند؛ زیرا دین خداوند عزیزتر از آن است که در </w:t>
      </w:r>
      <w:bookmarkStart w:id="170" w:name="pg3848_38692"/>
    </w:p>
    <w:p>
      <w:pPr>
        <w:pStyle w:val="BookText"/>
        <w:rPr/>
      </w:pPr>
      <w:bookmarkEnd w:id="170"/>
      <w:r>
        <w:rPr>
          <w:rFonts w:ascii="IRNazanin" w:hAnsi="IRNazanin" w:eastAsia="IRNazanin"/>
          <w:color w:val="111111"/>
          <w:sz w:val="28"/>
          <w:sz w:val="28"/>
          <w:szCs w:val="28"/>
          <w:rtl w:val="true"/>
          <w:lang w:bidi="fa-IR"/>
        </w:rPr>
        <w:t>خواب دیده شود</w:t>
      </w:r>
      <w:r>
        <w:rPr>
          <w:rFonts w:eastAsia="IRNazanin" w:cs="IRNazanin"/>
          <w:color w:val="111111"/>
          <w:sz w:val="28"/>
          <w:szCs w:val="28"/>
          <w:rtl w:val="true"/>
          <w:lang w:bidi="fa-IR"/>
        </w:rPr>
        <w:t>.</w:t>
      </w:r>
      <w:r>
        <w:rPr>
          <w:rStyle w:val="FootnoteAnchor"/>
          <w:rtl w:val="true"/>
        </w:rPr>
        <w:footnoteReference w:id="141"/>
      </w:r>
    </w:p>
    <w:p>
      <w:pPr>
        <w:pStyle w:val="Heading5"/>
        <w:numPr>
          <w:ilvl w:val="4"/>
          <w:numId w:val="1"/>
        </w:numPr>
        <w:rPr/>
      </w:pPr>
      <w:bookmarkStart w:id="171" w:name="__RefHeading___Toc1510207_2281741623"/>
      <w:bookmarkStart w:id="172" w:name="_Toc65"/>
      <w:bookmarkEnd w:id="171"/>
      <w:r>
        <w:rPr>
          <w:rtl w:val="true"/>
        </w:rPr>
        <w:t>بررسی جزئیات اذان و اقامه</w:t>
      </w:r>
      <w:bookmarkEnd w:id="172"/>
    </w:p>
    <w:p>
      <w:pPr>
        <w:pStyle w:val="BookText"/>
        <w:rPr/>
      </w:pPr>
      <w:r>
        <w:rPr>
          <w:rFonts w:ascii="IRNazanin" w:hAnsi="IRNazanin" w:eastAsia="IRNazanin"/>
          <w:color w:val="111111"/>
          <w:sz w:val="28"/>
          <w:sz w:val="28"/>
          <w:szCs w:val="28"/>
          <w:rtl w:val="true"/>
          <w:lang w:bidi="fa-IR"/>
        </w:rPr>
        <w:t>پیش از این اشاره کردیم که در بسیاری از بخش های اذان و اقامه، اختلافی بین مذاهب اسلامی دیده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به بررسی جزئی تر این مسأله با ذکر موارد اختلاف می پردازیم</w:t>
      </w:r>
      <w:r>
        <w:rPr>
          <w:rFonts w:eastAsia="IRNazanin" w:cs="IRNazanin"/>
          <w:color w:val="111111"/>
          <w:sz w:val="28"/>
          <w:szCs w:val="28"/>
          <w:rtl w:val="true"/>
          <w:lang w:bidi="fa-IR"/>
        </w:rPr>
        <w:t>.</w:t>
      </w:r>
    </w:p>
    <w:p>
      <w:pPr>
        <w:pStyle w:val="Heading5"/>
        <w:numPr>
          <w:ilvl w:val="4"/>
          <w:numId w:val="1"/>
        </w:numPr>
        <w:rPr/>
      </w:pPr>
      <w:bookmarkStart w:id="173" w:name="__RefHeading___Toc1510209_2281741623"/>
      <w:bookmarkStart w:id="174" w:name="_Toc66"/>
      <w:bookmarkEnd w:id="173"/>
      <w:r>
        <w:rPr>
          <w:rtl w:val="true"/>
        </w:rPr>
        <w:t>موارد اتفاقی</w:t>
      </w:r>
      <w:bookmarkEnd w:id="174"/>
    </w:p>
    <w:p>
      <w:pPr>
        <w:pStyle w:val="BookText"/>
        <w:rPr/>
      </w:pPr>
      <w:r>
        <w:rPr>
          <w:rFonts w:ascii="IRNazanin" w:hAnsi="IRNazanin" w:eastAsia="IRNazanin"/>
          <w:color w:val="111111"/>
          <w:sz w:val="28"/>
          <w:sz w:val="28"/>
          <w:szCs w:val="28"/>
          <w:rtl w:val="true"/>
          <w:lang w:bidi="fa-IR"/>
        </w:rPr>
        <w:t>فصول مورد اتفاق همه مذاهب در الفاظ اذان عبارت است از</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اکبر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چهار بار، به جز مالکیه که آن را دو بار می دانند؛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أَشهَدُ اَن لا اِلهَ اِلاَّ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بار؛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أَشهَدُ اَنَّ مُحَمَّداً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بار؛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 عَلَی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بار؛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 عَلَی الفَلاح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بار؛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اکبر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بار؛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لااله الاالله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مذاهب چهارگانه یک بار</w:t>
      </w:r>
      <w:r>
        <w:rPr>
          <w:rFonts w:eastAsia="IRNazanin" w:cs="IRNazanin"/>
          <w:color w:val="111111"/>
          <w:sz w:val="28"/>
          <w:szCs w:val="28"/>
          <w:rtl w:val="true"/>
          <w:lang w:bidi="fa-IR"/>
        </w:rPr>
        <w:t>.</w:t>
      </w:r>
      <w:r>
        <w:rPr>
          <w:rStyle w:val="FootnoteAnchor"/>
          <w:rtl w:val="true"/>
        </w:rPr>
        <w:footnoteReference w:id="142"/>
      </w:r>
    </w:p>
    <w:p>
      <w:pPr>
        <w:pStyle w:val="Heading5"/>
        <w:numPr>
          <w:ilvl w:val="4"/>
          <w:numId w:val="1"/>
        </w:numPr>
        <w:rPr/>
      </w:pPr>
      <w:bookmarkStart w:id="175" w:name="__RefHeading___Toc1510211_2281741623"/>
      <w:bookmarkStart w:id="176" w:name="_Toc67"/>
      <w:bookmarkEnd w:id="175"/>
      <w:r>
        <w:rPr>
          <w:rtl w:val="true"/>
        </w:rPr>
        <w:t>موارد اختلافی</w:t>
      </w:r>
      <w:bookmarkEnd w:id="176"/>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گفته علمای امامیه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 عَلی خَیرِ العَمَل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بار بعد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 عَلَی الفَلاح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جزء اذان است؛ همچنین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اِلهَ اِلاَّ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پایان اذان دو بار گفته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مذاهب چهارگانه نیز در اذان صبح بعد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 عَلَی الفَلاح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دو بار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الصلاة خیر مِنَ النَّوم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 مندوب و ترک آن را مکروه </w:t>
      </w:r>
      <w:bookmarkStart w:id="177" w:name="pg3848_38693"/>
    </w:p>
    <w:p>
      <w:pPr>
        <w:pStyle w:val="BookText"/>
        <w:rPr/>
      </w:pPr>
      <w:bookmarkEnd w:id="177"/>
      <w:r>
        <w:rPr>
          <w:rFonts w:ascii="IRNazanin" w:hAnsi="IRNazanin" w:eastAsia="IRNazanin"/>
          <w:color w:val="111111"/>
          <w:sz w:val="28"/>
          <w:sz w:val="28"/>
          <w:szCs w:val="28"/>
          <w:rtl w:val="true"/>
          <w:lang w:bidi="fa-IR"/>
        </w:rPr>
        <w:t>می دانند که در صفحات آینده به نقد و بررسی آن خواهیم پرداخت</w:t>
      </w:r>
      <w:r>
        <w:rPr>
          <w:rFonts w:eastAsia="IRNazanin" w:cs="IRNazanin"/>
          <w:color w:val="111111"/>
          <w:sz w:val="28"/>
          <w:szCs w:val="28"/>
          <w:rtl w:val="true"/>
          <w:lang w:bidi="fa-IR"/>
        </w:rPr>
        <w:t>.</w:t>
      </w:r>
    </w:p>
    <w:p>
      <w:pPr>
        <w:pStyle w:val="Heading5"/>
        <w:numPr>
          <w:ilvl w:val="4"/>
          <w:numId w:val="1"/>
        </w:numPr>
        <w:rPr/>
      </w:pPr>
      <w:bookmarkStart w:id="178" w:name="__RefHeading___Toc1510213_2281741623"/>
      <w:bookmarkStart w:id="179" w:name="_Toc68"/>
      <w:bookmarkEnd w:id="178"/>
      <w:r>
        <w:rPr>
          <w:rtl w:val="true"/>
        </w:rPr>
        <w:t>حکم اقامه</w:t>
      </w:r>
      <w:bookmarkEnd w:id="179"/>
    </w:p>
    <w:p>
      <w:pPr>
        <w:pStyle w:val="BookText"/>
        <w:rPr/>
      </w:pPr>
      <w:r>
        <w:rPr>
          <w:rFonts w:ascii="IRNazanin" w:hAnsi="IRNazanin" w:eastAsia="IRNazanin"/>
          <w:color w:val="111111"/>
          <w:sz w:val="28"/>
          <w:sz w:val="28"/>
          <w:szCs w:val="28"/>
          <w:rtl w:val="true"/>
          <w:lang w:bidi="fa-IR"/>
        </w:rPr>
        <w:t>حکم اقامه نیز همانند اذان است با این تفاوت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 اکبر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بار، به جز حنفیه که آن را چهار بار می دانند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أَشهَدُ اَن لا اِلهَ اِلاَّ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شافعیه، مالکیه و حنابله، یک بار؛ امامیه و حنفیه دو 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أَشهَدُ اَنَّ مُحَمَّداً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شافعیه، مالکیه و حنابله، یک بار؛ امامیه و حنفیه دو 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حَیَّ عَلَی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شافعیه، مالکیه و حنابله، یک بار؛ امامیه و حنفیه دو بار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حَیَّ عَلَی الفَلاح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شافعیه، مالکیه و حنابله، یک بار؛ امامیه و حنفیه دو بار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حی علی خیر العمل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بار فقط نزد امامیه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قدقامت الصلاه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دو بار، به جز مالکیه یک بار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 اکبر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بار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لااله الاالله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مذاهب چهارگانه یک بار</w:t>
      </w:r>
      <w:r>
        <w:rPr>
          <w:rFonts w:eastAsia="IRNazanin" w:cs="IRNazanin"/>
          <w:color w:val="111111"/>
          <w:sz w:val="28"/>
          <w:szCs w:val="28"/>
          <w:rtl w:val="true"/>
          <w:lang w:bidi="fa-IR"/>
        </w:rPr>
        <w:t>.</w:t>
      </w:r>
      <w:r>
        <w:rPr>
          <w:rStyle w:val="FootnoteAnchor"/>
          <w:rtl w:val="true"/>
        </w:rPr>
        <w:footnoteReference w:id="143"/>
      </w:r>
    </w:p>
    <w:p>
      <w:pPr>
        <w:pStyle w:val="Heading4"/>
        <w:numPr>
          <w:ilvl w:val="3"/>
          <w:numId w:val="1"/>
        </w:numPr>
        <w:rPr/>
      </w:pPr>
      <w:bookmarkStart w:id="180" w:name="__RefHeading___Toc1510215_2281741623"/>
      <w:bookmarkStart w:id="181" w:name="_Toc69"/>
      <w:bookmarkEnd w:id="180"/>
      <w:r>
        <w:rPr>
          <w:rtl w:val="true"/>
        </w:rPr>
        <w:t>مسأله دوم</w:t>
      </w:r>
      <w:r>
        <w:rPr>
          <w:rtl w:val="true"/>
        </w:rPr>
        <w:t xml:space="preserve">: </w:t>
      </w:r>
      <w:r>
        <w:rPr>
          <w:rtl w:val="true"/>
        </w:rPr>
        <w:t>تثویب در اذان صبح</w:t>
      </w:r>
      <w:bookmarkEnd w:id="181"/>
    </w:p>
    <w:p>
      <w:pPr>
        <w:pStyle w:val="Heading5"/>
        <w:numPr>
          <w:ilvl w:val="4"/>
          <w:numId w:val="1"/>
        </w:numPr>
        <w:rPr/>
      </w:pPr>
      <w:bookmarkStart w:id="182" w:name="__RefHeading___Toc1510217_2281741623"/>
      <w:bookmarkStart w:id="183" w:name="_Toc70"/>
      <w:bookmarkEnd w:id="182"/>
      <w:r>
        <w:rPr>
          <w:rtl w:val="true"/>
        </w:rPr>
        <w:t>اشاره</w:t>
      </w:r>
      <w:bookmarkEnd w:id="183"/>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اهل‌سنت،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الصلاة خیر من النوم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که از آن به تثویب تعبیر می‌شود، جزء اذان صبح و قرائت آن را مستحب می‌دانند، ولی </w:t>
      </w:r>
    </w:p>
    <w:p>
      <w:pPr>
        <w:pStyle w:val="BookText"/>
        <w:rPr/>
      </w:pPr>
      <w:r>
        <w:rPr>
          <w:rFonts w:ascii="IRNazanin" w:hAnsi="IRNazanin" w:eastAsia="IRNazanin"/>
          <w:color w:val="111111"/>
          <w:sz w:val="28"/>
          <w:sz w:val="28"/>
          <w:szCs w:val="28"/>
          <w:rtl w:val="true"/>
          <w:lang w:bidi="fa-IR"/>
        </w:rPr>
        <w:t>شیعه امامیه، نه تنها آن را جزء اذان نمی‌داند، بلکه ذکرش را به عنوان جزء، مبطل نماز و آن را بدعت در دین به شمار می‌آورد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ابتدا نگاهی به معنای تثویب خواهیم داشت و سپس دیدگاه های بزرگان شیعه و سنی را بررسی 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ابن‌اثیر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تثویب از ریشه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ثاب یثوب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بازگشت و رجوع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معنای تثویب، بازگشت به دستوری است که به نماز فرامی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مؤذّن می‌گوید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 علی الصلاة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مردم را به نماز فراخوانده است و وقتی در چند جمله بعد می‌گوید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الصلاة خیرٌ من النوم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معنایش بازگشت به فراخوان نماز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فیروزآبادی در قاموس، تثویب را به معانی گوناگونی تفسیر کرده است؛ از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فراخواندن به نماز، دو بار فراخواندن، و اینکه در اذان نماز صبح دو بار گفته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الصلاة خیرٌ من النوم</w:t>
      </w:r>
      <w:r>
        <w:rPr>
          <w:rFonts w:eastAsia="IRNazanin" w:cs="IRNazanin"/>
          <w:color w:val="111111"/>
          <w:sz w:val="28"/>
          <w:szCs w:val="28"/>
          <w:rtl w:val="true"/>
          <w:lang w:bidi="fa-IR"/>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المغرب هم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تثویب، ابتدا به این معنا بوده که مؤذّن در اذان صبح دو بار بگوید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الصلاة خیر من النوم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در معنای جدیدش به معنای گفتن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الصلاة،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قامت، قامت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Style w:val="FootnoteAnchor"/>
          <w:rtl w:val="true"/>
        </w:rPr>
        <w:footnoteReference w:id="144"/>
      </w:r>
      <w:bookmarkStart w:id="184" w:name="pg3848_38695"/>
    </w:p>
    <w:p>
      <w:pPr>
        <w:pStyle w:val="BookText"/>
        <w:rPr/>
      </w:pPr>
      <w:bookmarkEnd w:id="184"/>
      <w:r>
        <w:rPr>
          <w:rFonts w:ascii="IRNazanin" w:hAnsi="IRNazanin" w:eastAsia="IRNazanin"/>
          <w:color w:val="111111"/>
          <w:sz w:val="28"/>
          <w:sz w:val="28"/>
          <w:szCs w:val="28"/>
          <w:rtl w:val="true"/>
          <w:lang w:bidi="fa-IR"/>
        </w:rPr>
        <w:t xml:space="preserve">اینک با روشن شدن معنای تثویب، باید به تبیین حکم گفتن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الصلاة خیر من النوم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اذان نماز صبح بپردازیم و دریابیم که آیا گفتن این جمله در اذان صبح، مشروع است یا بدعتی است که بعد از پیامبر و در اثر خوشایند برخی از مردم در اذان گنجانده شد</w:t>
      </w:r>
      <w:r>
        <w:rPr>
          <w:rFonts w:eastAsia="IRNazanin" w:cs="IRNazanin"/>
          <w:color w:val="111111"/>
          <w:sz w:val="28"/>
          <w:szCs w:val="28"/>
          <w:rtl w:val="true"/>
          <w:lang w:bidi="fa-IR"/>
        </w:rPr>
        <w:t>.</w:t>
      </w:r>
    </w:p>
    <w:p>
      <w:pPr>
        <w:pStyle w:val="Heading5"/>
        <w:numPr>
          <w:ilvl w:val="4"/>
          <w:numId w:val="1"/>
        </w:numPr>
        <w:rPr/>
      </w:pPr>
      <w:bookmarkStart w:id="185" w:name="__RefHeading___Toc1510219_2281741623"/>
      <w:bookmarkStart w:id="186" w:name="_Toc71"/>
      <w:bookmarkEnd w:id="185"/>
      <w:r>
        <w:rPr>
          <w:rtl w:val="true"/>
        </w:rPr>
        <w:t>دیدگاه اهل سنت</w:t>
      </w:r>
      <w:bookmarkEnd w:id="186"/>
    </w:p>
    <w:p>
      <w:pPr>
        <w:pStyle w:val="BookText"/>
        <w:rPr/>
      </w:pPr>
      <w:r>
        <w:rPr>
          <w:rFonts w:ascii="IRNazanin" w:hAnsi="IRNazanin" w:eastAsia="IRNazanin"/>
          <w:color w:val="111111"/>
          <w:sz w:val="28"/>
          <w:sz w:val="28"/>
          <w:szCs w:val="28"/>
          <w:rtl w:val="true"/>
          <w:lang w:bidi="fa-IR"/>
        </w:rPr>
        <w:t xml:space="preserve">اهل‌سنت، با استناد به روایات فراوانی که در کتاب‌های روایی و سنن آنان نقل شده است، تثویب و گفتن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الصلاة خیر من النوم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جزء اذان صبح و گفتن آن را در اذان صبح مستحب می‌دانند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نمونه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بلال نزد پیامبرآمد تا نماز صبح را به او اطلاع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خواب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بلال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الصلاة خیر من النوم، الصلاة خیر من النوم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پس، این عبارت در اذان صبح جای گرفت و بر همین منوال تثبیت شد</w:t>
      </w:r>
      <w:r>
        <w:rPr>
          <w:rFonts w:eastAsia="IRNazanin" w:cs="IRNazanin"/>
          <w:color w:val="111111"/>
          <w:sz w:val="28"/>
          <w:szCs w:val="28"/>
          <w:rtl w:val="true"/>
          <w:lang w:bidi="fa-IR"/>
        </w:rPr>
        <w:t>.</w:t>
      </w:r>
      <w:r>
        <w:rPr>
          <w:rStyle w:val="FootnoteAnchor"/>
          <w:rtl w:val="true"/>
        </w:rPr>
        <w:footnoteReference w:id="145"/>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همچنین ابو‌محذوره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رسول خدا صلی الله علیه و آله اذان می‌گفتم و در اذان نماز صبح چنین می‌گفتم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 علی الفلاح، الصلاة خیر من النوم، الصلاة خیر من النوم، اللّه اکبر، اللّه اکبر، لااله إلاّ اللّه</w:t>
      </w:r>
      <w:r>
        <w:rPr>
          <w:rFonts w:eastAsia="IRNazanin" w:cs="IRNazanin"/>
          <w:color w:val="111111"/>
          <w:sz w:val="28"/>
          <w:szCs w:val="28"/>
          <w:rtl w:val="true"/>
          <w:lang w:bidi="fa-IR"/>
        </w:rPr>
        <w:t>.</w:t>
      </w:r>
      <w:r>
        <w:rPr>
          <w:rStyle w:val="FootnoteAnchor"/>
          <w:rtl w:val="true"/>
        </w:rPr>
        <w:footnoteReference w:id="146"/>
      </w:r>
      <w:bookmarkStart w:id="187" w:name="pg3848_38696"/>
    </w:p>
    <w:p>
      <w:pPr>
        <w:pStyle w:val="Heading5"/>
        <w:numPr>
          <w:ilvl w:val="4"/>
          <w:numId w:val="1"/>
        </w:numPr>
        <w:rPr/>
      </w:pPr>
      <w:bookmarkStart w:id="188" w:name="__RefHeading___Toc1510221_2281741623"/>
      <w:bookmarkStart w:id="189" w:name="_Toc72"/>
      <w:bookmarkEnd w:id="187"/>
      <w:bookmarkEnd w:id="188"/>
      <w:r>
        <w:rPr>
          <w:rtl w:val="true"/>
        </w:rPr>
        <w:t>دیدگاه شیعه</w:t>
      </w:r>
      <w:bookmarkEnd w:id="189"/>
    </w:p>
    <w:p>
      <w:pPr>
        <w:pStyle w:val="BookText"/>
        <w:rPr/>
      </w:pPr>
      <w:r>
        <w:rPr>
          <w:rFonts w:ascii="IRNazanin" w:hAnsi="IRNazanin" w:eastAsia="IRNazanin"/>
          <w:color w:val="111111"/>
          <w:sz w:val="28"/>
          <w:sz w:val="28"/>
          <w:szCs w:val="28"/>
          <w:rtl w:val="true"/>
          <w:lang w:bidi="fa-IR"/>
        </w:rPr>
        <w:t>از دیدگاه شیعه، تثویب جزء اذان صبح نیست و خواندن آن به</w:t>
      </w:r>
    </w:p>
    <w:p>
      <w:pPr>
        <w:pStyle w:val="BookText"/>
        <w:rPr/>
      </w:pPr>
      <w:r>
        <w:rPr>
          <w:rFonts w:ascii="IRNazanin" w:hAnsi="IRNazanin" w:eastAsia="IRNazanin"/>
          <w:color w:val="111111"/>
          <w:sz w:val="28"/>
          <w:sz w:val="28"/>
          <w:szCs w:val="28"/>
          <w:rtl w:val="true"/>
          <w:lang w:bidi="fa-IR"/>
        </w:rPr>
        <w:t>عنوان جزئیت، بدعت شمرده می‌شود و علما و  بزرگان نامدار شیعه مانند سید مرتضی،</w:t>
      </w:r>
      <w:r>
        <w:rPr>
          <w:rStyle w:val="FootnoteAnchor"/>
          <w:rtl w:val="true"/>
        </w:rPr>
        <w:footnoteReference w:id="147"/>
      </w:r>
      <w:r>
        <w:rPr>
          <w:rFonts w:ascii="IRNazanin" w:hAnsi="IRNazanin" w:eastAsia="IRNazanin"/>
          <w:color w:val="111111"/>
          <w:sz w:val="28"/>
          <w:sz w:val="28"/>
          <w:szCs w:val="28"/>
          <w:rtl w:val="true"/>
          <w:lang w:bidi="fa-IR"/>
        </w:rPr>
        <w:t>شهید اول،</w:t>
      </w:r>
      <w:r>
        <w:rPr>
          <w:rStyle w:val="FootnoteAnchor"/>
          <w:rtl w:val="true"/>
        </w:rPr>
        <w:footnoteReference w:id="148"/>
      </w:r>
      <w:r>
        <w:rPr>
          <w:rFonts w:ascii="IRNazanin" w:hAnsi="IRNazanin" w:eastAsia="IRNazanin"/>
          <w:color w:val="111111"/>
          <w:sz w:val="28"/>
          <w:sz w:val="28"/>
          <w:szCs w:val="28"/>
          <w:rtl w:val="true"/>
          <w:lang w:bidi="fa-IR"/>
        </w:rPr>
        <w:t>علامه حلی</w:t>
      </w:r>
      <w:r>
        <w:rPr>
          <w:rStyle w:val="FootnoteAnchor"/>
          <w:rtl w:val="true"/>
        </w:rPr>
        <w:footnoteReference w:id="149"/>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حرمت آن تصریح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بزرگان تشیع مانند موارد مشابه، بر این گفته خود ادله و شواهدی بیان کرده‌اند؛ مثل توقیفی بودن عبادات و احکام،</w:t>
      </w:r>
      <w:r>
        <w:rPr>
          <w:rStyle w:val="FootnoteAnchor"/>
          <w:rtl w:val="true"/>
        </w:rPr>
        <w:footnoteReference w:id="150"/>
      </w:r>
      <w:r>
        <w:rPr>
          <w:rFonts w:ascii="IRNazanin" w:hAnsi="IRNazanin" w:eastAsia="IRNazanin"/>
          <w:color w:val="111111"/>
          <w:sz w:val="28"/>
          <w:sz w:val="28"/>
          <w:szCs w:val="28"/>
          <w:rtl w:val="true"/>
          <w:lang w:bidi="fa-IR"/>
        </w:rPr>
        <w:t>اجماع</w:t>
      </w:r>
      <w:r>
        <w:rPr>
          <w:rStyle w:val="FootnoteAnchor"/>
          <w:rtl w:val="true"/>
        </w:rPr>
        <w:footnoteReference w:id="151"/>
      </w:r>
      <w:r>
        <w:rPr>
          <w:rFonts w:ascii="IRNazanin" w:hAnsi="IRNazanin" w:eastAsia="IRNazanin"/>
          <w:color w:val="111111"/>
          <w:sz w:val="28"/>
          <w:sz w:val="28"/>
          <w:szCs w:val="28"/>
          <w:rtl w:val="true"/>
          <w:lang w:bidi="fa-IR"/>
        </w:rPr>
        <w:t>و روایات اهل‌بیت عصمت و طهارت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همان‌گونه که شیخ طوسی با سند صحیح از معاویة بن وهب چنین نقل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از تثویب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آن را نمی‌شناسیم و قبول نداریم</w:t>
      </w:r>
      <w:r>
        <w:rPr>
          <w:rFonts w:eastAsia="IRNazanin" w:cs="IRNazanin"/>
          <w:color w:val="111111"/>
          <w:sz w:val="28"/>
          <w:szCs w:val="28"/>
          <w:rtl w:val="true"/>
          <w:lang w:bidi="fa-IR"/>
        </w:rPr>
        <w:t>."</w:t>
      </w:r>
      <w:r>
        <w:rPr>
          <w:rStyle w:val="FootnoteAnchor"/>
          <w:rtl w:val="true"/>
        </w:rPr>
        <w:footnoteReference w:id="152"/>
      </w:r>
    </w:p>
    <w:p>
      <w:pPr>
        <w:pStyle w:val="Heading5"/>
        <w:numPr>
          <w:ilvl w:val="4"/>
          <w:numId w:val="1"/>
        </w:numPr>
        <w:rPr/>
      </w:pPr>
      <w:bookmarkStart w:id="190" w:name="__RefHeading___Toc1510223_2281741623"/>
      <w:bookmarkStart w:id="191" w:name="_Toc73"/>
      <w:bookmarkEnd w:id="190"/>
      <w:r>
        <w:rPr>
          <w:rtl w:val="true"/>
        </w:rPr>
        <w:t>نقد و بررسی</w:t>
      </w:r>
      <w:bookmarkEnd w:id="191"/>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استاد محقق، آیت‌الله سبحانی، در کتاب الاعتصام بالکتاب و </w:t>
      </w:r>
    </w:p>
    <w:p>
      <w:pPr>
        <w:pStyle w:val="BookText"/>
        <w:rPr/>
      </w:pPr>
      <w:r>
        <w:rPr>
          <w:rFonts w:ascii="Amiri" w:hAnsi="Amiri" w:eastAsia="Amiri" w:cs="Amiri"/>
          <w:color w:val="111111"/>
          <w:sz w:val="28"/>
          <w:sz w:val="28"/>
          <w:szCs w:val="28"/>
          <w:rtl w:val="true"/>
          <w:lang w:bidi="ar-SA"/>
        </w:rPr>
        <w:t>السنة</w:t>
      </w:r>
      <w:r>
        <w:rPr>
          <w:rStyle w:val="FootnoteAnchor"/>
          <w:rtl w:val="true"/>
        </w:rPr>
        <w:footnoteReference w:id="153"/>
      </w:r>
      <w:r>
        <w:rPr>
          <w:rFonts w:ascii="IRNazanin" w:hAnsi="IRNazanin" w:eastAsia="IRNazanin"/>
          <w:color w:val="111111"/>
          <w:sz w:val="28"/>
          <w:sz w:val="28"/>
          <w:szCs w:val="28"/>
          <w:rtl w:val="true"/>
          <w:lang w:bidi="fa-IR"/>
        </w:rPr>
        <w:t>پس از بررسی روایات باب تثویب 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حاصل بررسی روایات باب تثویب این است که آنها جداً با یکدیگر متعارض‌اند و نمی‌توان به معنای واحدی ارجاعشان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روایات پنج قسم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برخی روایات دلالت دارد بر اینکه تثویب را عبداللّه بن زید در اذان خواب دیده و از همان آغاز جزء اذان بوده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روایاتی که دلالت دارد بر اینکه بلال، تثویب را در اذان داخل و پیامبر این کار را تقریر کرده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برخی روایات، بیانگر آن است که عمر بن خطاب به مؤذن امر کرد آن را در اذان صبح قرار دهد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برخی دیگر دلالت دارند بر اینکه پیامبر آن را به ابو محذوره، یکی از مؤذنانش تعلیم داده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بعضی روایات تصریح دارند که بلال در اذان صبح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 علی خیر العمل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می‌گفت، ولی پیامبر دستور داد به جای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الصلاة خیر من النوم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قرار دهد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 علی خیر العمل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ترک کند</w:t>
      </w:r>
      <w:r>
        <w:rPr>
          <w:rFonts w:eastAsia="IRNazanin" w:cs="IRNazanin"/>
          <w:color w:val="111111"/>
          <w:sz w:val="28"/>
          <w:szCs w:val="28"/>
          <w:rtl w:val="true"/>
          <w:lang w:bidi="fa-IR"/>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ایشان چنین نتیجه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 تعارض آشکار، به هیچ یک از این روایات نمی‌توان اعتماد کرد و چون امر این روایات، امر بین سنت و بدعت است، ترک آن متعیّن است؛ زیرا </w:t>
      </w:r>
    </w:p>
    <w:p>
      <w:pPr>
        <w:pStyle w:val="BookText"/>
        <w:rPr/>
      </w:pPr>
      <w:r>
        <w:rPr>
          <w:rFonts w:ascii="IRNazanin" w:hAnsi="IRNazanin" w:eastAsia="IRNazanin"/>
          <w:color w:val="111111"/>
          <w:sz w:val="28"/>
          <w:sz w:val="28"/>
          <w:szCs w:val="28"/>
          <w:rtl w:val="true"/>
          <w:lang w:bidi="fa-IR"/>
        </w:rPr>
        <w:t>عقابی در ترک آنها نیست، بر خلاف اینکه آنها بدعت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ضمن اینکه برخی از بزرگان اهل‌سنت نیز بر ساختگی و بدعت بودن آن تصریح کرده اند که نمونه های ذیل گواه روشنی</w:t>
      </w:r>
    </w:p>
    <w:p>
      <w:pPr>
        <w:pStyle w:val="BookText"/>
        <w:rPr/>
      </w:pPr>
      <w:r>
        <w:rPr>
          <w:rFonts w:ascii="IRNazanin" w:hAnsi="IRNazanin" w:eastAsia="IRNazanin"/>
          <w:color w:val="111111"/>
          <w:sz w:val="28"/>
          <w:sz w:val="28"/>
          <w:szCs w:val="28"/>
          <w:rtl w:val="true"/>
          <w:lang w:bidi="fa-IR"/>
        </w:rPr>
        <w:t>بر این مطلب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مالک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 الْمُؤَذِّنُ جاءَ الی عُمَرَ بنَ الْخَطّابَ یُؤْذنه لِصَلاة الصّبح، فَوَجَدَهُ نائِماً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الصَّلاةُ خَیرٌ مِنَ النَّومِ فَامَرَهُ عُمَرُ أن یجعَلَها فی نِداء الصّبح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مؤذن نزد عمر بن خطاب آمد تا او را برای نماز صبح خبر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در خواب دید و بدین‌گونه صدا زد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الصلاة خیر من النوم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دستور داد این جمله را برای ندای صبح جزء اذان قرار دهند</w:t>
      </w:r>
      <w:r>
        <w:rPr>
          <w:rFonts w:eastAsia="IRNazanin" w:cs="IRNazanin"/>
          <w:color w:val="111111"/>
          <w:sz w:val="28"/>
          <w:szCs w:val="28"/>
          <w:rtl w:val="true"/>
          <w:lang w:bidi="fa-IR"/>
        </w:rPr>
        <w:t>.</w:t>
      </w:r>
      <w:r>
        <w:rPr>
          <w:rStyle w:val="FootnoteAnchor"/>
          <w:rtl w:val="true"/>
        </w:rPr>
        <w:footnoteReference w:id="154"/>
      </w:r>
      <w:r>
        <w:rPr>
          <w:rFonts w:ascii="IRNazanin" w:hAnsi="IRNazanin" w:eastAsia="IRNazanin"/>
          <w:color w:val="111111"/>
          <w:sz w:val="28"/>
          <w:sz w:val="28"/>
          <w:szCs w:val="28"/>
          <w:rtl w:val="true"/>
          <w:lang w:bidi="fa-IR"/>
        </w:rPr>
        <w:t>سعید بن مسیب هم با صراحت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ادخلت هذه الکلمة فی صلاة الفجر</w:t>
      </w:r>
      <w:r>
        <w:rPr>
          <w:rFonts w:eastAsia="IRNazanin" w:cs="IRNazanin"/>
          <w:color w:val="111111"/>
          <w:sz w:val="28"/>
          <w:szCs w:val="28"/>
          <w:rtl w:val="true"/>
          <w:lang w:bidi="fa-IR"/>
        </w:rPr>
        <w:t>".</w:t>
      </w:r>
      <w:r>
        <w:rPr>
          <w:rStyle w:val="FootnoteAnchor"/>
          <w:rtl w:val="true"/>
        </w:rPr>
        <w:footnoteReference w:id="155"/>
      </w:r>
    </w:p>
    <w:p>
      <w:pPr>
        <w:pStyle w:val="BookText"/>
        <w:rPr/>
      </w:pPr>
      <w:r>
        <w:rPr>
          <w:rFonts w:ascii="IRNazanin" w:hAnsi="IRNazanin" w:eastAsia="IRNazanin"/>
          <w:color w:val="111111"/>
          <w:sz w:val="28"/>
          <w:sz w:val="28"/>
          <w:szCs w:val="28"/>
          <w:rtl w:val="true"/>
          <w:lang w:bidi="fa-IR"/>
        </w:rPr>
        <w:t>ابنحزم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این جمله را در اذان نمی‌گوییم؛ زیرا از پیامبر به ما نرسیده است</w:t>
      </w:r>
      <w:r>
        <w:rPr>
          <w:rFonts w:eastAsia="IRNazanin" w:cs="IRNazanin"/>
          <w:color w:val="111111"/>
          <w:sz w:val="28"/>
          <w:szCs w:val="28"/>
          <w:rtl w:val="true"/>
          <w:lang w:bidi="fa-IR"/>
        </w:rPr>
        <w:t>.</w:t>
      </w:r>
      <w:r>
        <w:rPr>
          <w:rStyle w:val="FootnoteAnchor"/>
          <w:rtl w:val="true"/>
        </w:rPr>
        <w:footnoteReference w:id="156"/>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جامع المسانید از حماد از ابراهیم نقل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ابوحنیفه درباره تثویب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پاسخ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تثویب را مردم خود ساخته‌اند، ولی در میان خودساخته‌های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بدعت 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w:t>
      </w:r>
      <w:bookmarkStart w:id="192" w:name="pg3848_38699"/>
    </w:p>
    <w:p>
      <w:pPr>
        <w:pStyle w:val="BookText"/>
        <w:rPr/>
      </w:pPr>
      <w:bookmarkEnd w:id="192"/>
      <w:r>
        <w:rPr>
          <w:rFonts w:ascii="IRNazanin" w:hAnsi="IRNazanin" w:eastAsia="IRNazanin"/>
          <w:color w:val="111111"/>
          <w:sz w:val="28"/>
          <w:sz w:val="28"/>
          <w:szCs w:val="28"/>
          <w:rtl w:val="true"/>
          <w:lang w:bidi="fa-IR"/>
        </w:rPr>
        <w:t>کار خوبی است</w:t>
      </w:r>
      <w:r>
        <w:rPr>
          <w:rFonts w:eastAsia="IRNazanin" w:cs="IRNazanin"/>
          <w:color w:val="111111"/>
          <w:sz w:val="28"/>
          <w:szCs w:val="28"/>
          <w:rtl w:val="true"/>
          <w:lang w:bidi="fa-IR"/>
        </w:rPr>
        <w:t>.</w:t>
      </w:r>
      <w:r>
        <w:rPr>
          <w:rStyle w:val="FootnoteAnchor"/>
          <w:rtl w:val="true"/>
        </w:rPr>
        <w:footnoteReference w:id="157"/>
      </w:r>
    </w:p>
    <w:p>
      <w:pPr>
        <w:pStyle w:val="BookText"/>
        <w:rPr/>
      </w:pPr>
      <w:r>
        <w:rPr>
          <w:rFonts w:ascii="IRNazanin" w:hAnsi="IRNazanin" w:eastAsia="IRNazanin"/>
          <w:color w:val="111111"/>
          <w:sz w:val="28"/>
          <w:sz w:val="28"/>
          <w:szCs w:val="28"/>
          <w:rtl w:val="true"/>
          <w:lang w:bidi="fa-IR"/>
        </w:rPr>
        <w:t>لیث از مجاهد نقل می‌کند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 پسر عمر بودم و شنیدم که مردی در مسجد تثویب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نزد این بدعت‌گذار خارج شویم</w:t>
      </w:r>
      <w:r>
        <w:rPr>
          <w:rFonts w:eastAsia="IRNazanin" w:cs="IRNazanin"/>
          <w:color w:val="111111"/>
          <w:sz w:val="28"/>
          <w:szCs w:val="28"/>
          <w:rtl w:val="true"/>
          <w:lang w:bidi="fa-IR"/>
        </w:rPr>
        <w:t>.</w:t>
      </w:r>
      <w:r>
        <w:rPr>
          <w:rStyle w:val="FootnoteAnchor"/>
          <w:rtl w:val="true"/>
        </w:rPr>
        <w:footnoteReference w:id="158"/>
      </w:r>
      <w:r>
        <w:rPr>
          <w:rFonts w:ascii="IRNazanin" w:hAnsi="IRNazanin" w:eastAsia="IRNazanin"/>
          <w:color w:val="111111"/>
          <w:sz w:val="28"/>
          <w:sz w:val="28"/>
          <w:szCs w:val="28"/>
          <w:rtl w:val="true"/>
          <w:lang w:bidi="fa-IR"/>
        </w:rPr>
        <w:t>شوکانی هم از بحر ذخائر نقل می‌کند که تثویب را عمر برساخت و فرزندش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بدعت است</w:t>
      </w:r>
      <w:r>
        <w:rPr>
          <w:rFonts w:eastAsia="IRNazanin" w:cs="IRNazanin"/>
          <w:color w:val="111111"/>
          <w:sz w:val="28"/>
          <w:szCs w:val="28"/>
          <w:rtl w:val="true"/>
          <w:lang w:bidi="fa-IR"/>
        </w:rPr>
        <w:t>.</w:t>
      </w:r>
      <w:r>
        <w:rPr>
          <w:rStyle w:val="FootnoteAnchor"/>
          <w:rtl w:val="true"/>
        </w:rPr>
        <w:footnoteReference w:id="159"/>
      </w:r>
    </w:p>
    <w:p>
      <w:pPr>
        <w:pStyle w:val="BookText"/>
        <w:rPr/>
      </w:pPr>
      <w:r>
        <w:rPr>
          <w:rFonts w:ascii="IRNazanin" w:hAnsi="IRNazanin" w:eastAsia="IRNazanin"/>
          <w:color w:val="111111"/>
          <w:sz w:val="28"/>
          <w:sz w:val="28"/>
          <w:szCs w:val="28"/>
          <w:rtl w:val="true"/>
          <w:lang w:bidi="fa-IR"/>
        </w:rPr>
        <w:t>برخی نیز چنین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تثویب را پیامبر در اذانی که به بلال تعلیم فرمود، بیان کرد و در زمان خلیفه اول، ابوبکر نیز گفتن تثویب در مساجد مرسوم نبود تا آنکه وقتی عمر به خلافت رسید، این بند را وارد اذان کرد</w:t>
      </w:r>
      <w:r>
        <w:rPr>
          <w:rFonts w:eastAsia="IRNazanin" w:cs="IRNazanin"/>
          <w:color w:val="111111"/>
          <w:sz w:val="28"/>
          <w:szCs w:val="28"/>
          <w:rtl w:val="true"/>
          <w:lang w:bidi="fa-IR"/>
        </w:rPr>
        <w:t>.</w:t>
      </w:r>
      <w:r>
        <w:rPr>
          <w:rStyle w:val="FootnoteAnchor"/>
          <w:rtl w:val="true"/>
        </w:rPr>
        <w:footnoteReference w:id="160"/>
      </w:r>
    </w:p>
    <w:p>
      <w:pPr>
        <w:pStyle w:val="Heading4"/>
        <w:numPr>
          <w:ilvl w:val="3"/>
          <w:numId w:val="1"/>
        </w:numPr>
        <w:rPr/>
      </w:pPr>
      <w:bookmarkStart w:id="193" w:name="__RefHeading___Toc1510225_2281741623"/>
      <w:bookmarkStart w:id="194" w:name="_Toc74"/>
      <w:bookmarkEnd w:id="193"/>
      <w:r>
        <w:rPr>
          <w:rtl w:val="true"/>
        </w:rPr>
        <w:t>مسأله سوم</w:t>
      </w:r>
      <w:r>
        <w:rPr>
          <w:rtl w:val="true"/>
        </w:rPr>
        <w:t xml:space="preserve">: </w:t>
      </w:r>
      <w:r>
        <w:rPr>
          <w:rtl w:val="true"/>
        </w:rPr>
        <w:t>حیّ علی خیر العمل</w:t>
      </w:r>
      <w:bookmarkEnd w:id="194"/>
    </w:p>
    <w:p>
      <w:pPr>
        <w:pStyle w:val="Heading5"/>
        <w:numPr>
          <w:ilvl w:val="4"/>
          <w:numId w:val="1"/>
        </w:numPr>
        <w:rPr/>
      </w:pPr>
      <w:bookmarkStart w:id="195" w:name="__RefHeading___Toc1510227_2281741623"/>
      <w:bookmarkStart w:id="196" w:name="_Toc75"/>
      <w:bookmarkEnd w:id="195"/>
      <w:r>
        <w:rPr>
          <w:rtl w:val="true"/>
        </w:rPr>
        <w:t>اشاره</w:t>
      </w:r>
      <w:bookmarkEnd w:id="196"/>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اذان شیعـه، پس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حـیّ عَلی الفلاح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دو بـار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حَـیّ عَلی خیر العمـل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گفتـه می‌شـود، ولی در اذان کنونی اهل‌سنت چنین جمله‌ای نیست؛ در حالی که بررسی تاریخ اذان و اقامه، به روشنی ثابت </w:t>
      </w:r>
      <w:bookmarkStart w:id="197" w:name="pg3848_38700"/>
    </w:p>
    <w:p>
      <w:pPr>
        <w:pStyle w:val="BookText"/>
        <w:rPr/>
      </w:pPr>
      <w:bookmarkEnd w:id="197"/>
      <w:r>
        <w:rPr>
          <w:rFonts w:ascii="IRNazanin" w:hAnsi="IRNazanin" w:eastAsia="IRNazanin"/>
          <w:color w:val="111111"/>
          <w:sz w:val="28"/>
          <w:sz w:val="28"/>
          <w:szCs w:val="28"/>
          <w:rtl w:val="true"/>
          <w:lang w:bidi="fa-IR"/>
        </w:rPr>
        <w:t xml:space="preserve">می‌کند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 عَلی خیر العمل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بندهای قطعی اذان بوده است و مؤذنان در عصر پیامبر و مدتی پس از آن حضرت، این جمله را در کنار دیگر بندهای اذان می‌گفتند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متقی هندی در کنزالعمال از معجم طبرانی نقل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بلال در اذان صبح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 عَلی خیر العمل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می‌گفت</w:t>
      </w:r>
      <w:r>
        <w:rPr>
          <w:rFonts w:eastAsia="IRNazanin" w:cs="IRNazanin"/>
          <w:color w:val="111111"/>
          <w:sz w:val="28"/>
          <w:szCs w:val="28"/>
          <w:rtl w:val="true"/>
          <w:lang w:bidi="fa-IR"/>
        </w:rPr>
        <w:t>.</w:t>
      </w:r>
      <w:r>
        <w:rPr>
          <w:rStyle w:val="FootnoteAnchor"/>
          <w:rtl w:val="true"/>
        </w:rPr>
        <w:footnoteReference w:id="161"/>
      </w:r>
      <w:r>
        <w:rPr>
          <w:rFonts w:ascii="IRNazanin" w:hAnsi="IRNazanin" w:eastAsia="IRNazanin"/>
          <w:color w:val="111111"/>
          <w:sz w:val="28"/>
          <w:sz w:val="28"/>
          <w:szCs w:val="28"/>
          <w:rtl w:val="true"/>
          <w:lang w:bidi="fa-IR"/>
        </w:rPr>
        <w:t>ابومحذوره صحابی رسول خدا صلی الله علیه و آله چنین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به من اذان آموخت و یکی از بندهای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 عَلی خیر العمل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w:t>
      </w:r>
      <w:r>
        <w:rPr>
          <w:rStyle w:val="FootnoteAnchor"/>
          <w:rtl w:val="true"/>
        </w:rPr>
        <w:footnoteReference w:id="162"/>
      </w:r>
      <w:r>
        <w:rPr>
          <w:rFonts w:ascii="IRNazanin" w:hAnsi="IRNazanin" w:eastAsia="IRNazanin"/>
          <w:color w:val="111111"/>
          <w:sz w:val="28"/>
          <w:sz w:val="28"/>
          <w:szCs w:val="28"/>
          <w:rtl w:val="true"/>
          <w:lang w:bidi="fa-IR"/>
        </w:rPr>
        <w:t xml:space="preserve">از نافع روایت شده که عبدالله بن عمر همیشه بعد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 علی الفلاح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اذانش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 علی خیر العمل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اضافه می کرد</w:t>
      </w:r>
      <w:r>
        <w:rPr>
          <w:rStyle w:val="FootnoteAnchor"/>
          <w:rtl w:val="true"/>
        </w:rPr>
        <w:footnoteReference w:id="163"/>
      </w:r>
      <w:r>
        <w:rPr>
          <w:rFonts w:ascii="IRNazanin" w:hAnsi="IRNazanin" w:eastAsia="IRNazanin"/>
          <w:color w:val="111111"/>
          <w:sz w:val="28"/>
          <w:sz w:val="28"/>
          <w:szCs w:val="28"/>
          <w:rtl w:val="true"/>
          <w:lang w:bidi="fa-IR"/>
        </w:rPr>
        <w:t xml:space="preserve">و همین گفتن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 علی خیر العمل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ابواُمامه، سهل بن حنیف</w:t>
      </w:r>
      <w:r>
        <w:rPr>
          <w:rStyle w:val="FootnoteAnchor"/>
          <w:rtl w:val="true"/>
        </w:rPr>
        <w:footnoteReference w:id="164"/>
      </w:r>
      <w:r>
        <w:rPr>
          <w:rFonts w:ascii="IRNazanin" w:hAnsi="IRNazanin" w:eastAsia="IRNazanin"/>
          <w:color w:val="111111"/>
          <w:sz w:val="28"/>
          <w:sz w:val="28"/>
          <w:szCs w:val="28"/>
          <w:rtl w:val="true"/>
          <w:lang w:bidi="fa-IR"/>
        </w:rPr>
        <w:t>و دیگران نیز روایت شده است</w:t>
      </w:r>
      <w:r>
        <w:rPr>
          <w:rFonts w:eastAsia="IRNazanin" w:cs="IRNazanin"/>
          <w:color w:val="111111"/>
          <w:sz w:val="28"/>
          <w:szCs w:val="28"/>
          <w:rtl w:val="true"/>
          <w:lang w:bidi="fa-IR"/>
        </w:rPr>
        <w:t>.</w:t>
      </w:r>
    </w:p>
    <w:p>
      <w:pPr>
        <w:pStyle w:val="Heading5"/>
        <w:numPr>
          <w:ilvl w:val="4"/>
          <w:numId w:val="1"/>
        </w:numPr>
        <w:rPr/>
      </w:pPr>
      <w:bookmarkStart w:id="198" w:name="__RefHeading___Toc1510229_2281741623"/>
      <w:bookmarkStart w:id="199" w:name="_Toc76"/>
      <w:bookmarkEnd w:id="198"/>
      <w:r>
        <w:rPr>
          <w:rtl w:val="true"/>
        </w:rPr>
        <w:t>نقد و بررسی</w:t>
      </w:r>
      <w:bookmarkEnd w:id="199"/>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سیره‌نویسان نیز اتفاق نظر دارند که پیامبر اذان را پس از بازگشت از جنگ حنین به بلال آموخت</w:t>
      </w:r>
      <w:r>
        <w:rPr>
          <w:rStyle w:val="FootnoteAnchor"/>
          <w:rtl w:val="true"/>
        </w:rPr>
        <w:footnoteReference w:id="165"/>
      </w:r>
      <w:r>
        <w:rPr>
          <w:rFonts w:ascii="IRNazanin" w:hAnsi="IRNazanin" w:eastAsia="IRNazanin"/>
          <w:color w:val="111111"/>
          <w:sz w:val="28"/>
          <w:sz w:val="28"/>
          <w:szCs w:val="28"/>
          <w:rtl w:val="true"/>
          <w:lang w:bidi="fa-IR"/>
        </w:rPr>
        <w:t xml:space="preserve">و می دانیم غزوه حنین </w:t>
      </w:r>
    </w:p>
    <w:p>
      <w:pPr>
        <w:pStyle w:val="BookText"/>
        <w:rPr/>
      </w:pPr>
      <w:r>
        <w:rPr>
          <w:rFonts w:ascii="IRNazanin" w:hAnsi="IRNazanin" w:eastAsia="IRNazanin"/>
          <w:color w:val="111111"/>
          <w:sz w:val="28"/>
          <w:sz w:val="28"/>
          <w:szCs w:val="28"/>
          <w:rtl w:val="true"/>
          <w:lang w:bidi="fa-IR"/>
        </w:rPr>
        <w:t>در اواخر سال هشتم هجری، پس از فتح مکه رخ داد و این حاکی است که این بند از اذان، تا آن روز جزء این فریضه الهی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همچنین شرف‌الدین معروف به سیاغی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1221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 الروض النضیر</w:t>
      </w:r>
      <w:r>
        <w:rPr>
          <w:rStyle w:val="FootnoteAnchor"/>
          <w:rtl w:val="true"/>
        </w:rPr>
        <w:footnoteReference w:id="166"/>
      </w:r>
      <w:r>
        <w:rPr>
          <w:rFonts w:ascii="IRNazanin" w:hAnsi="IRNazanin" w:eastAsia="IRNazanin"/>
          <w:color w:val="111111"/>
          <w:sz w:val="28"/>
          <w:sz w:val="28"/>
          <w:szCs w:val="28"/>
          <w:rtl w:val="true"/>
          <w:lang w:bidi="fa-IR"/>
        </w:rPr>
        <w:t>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 آن است که اذان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 عَلی خیر العمل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تشریع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گذشته از این، همگان اتفاق نظر دارند بر اینکه در روز خندق، این جمله جزو اذان بوده است</w:t>
      </w:r>
      <w:r>
        <w:rPr>
          <w:rFonts w:eastAsia="IRNazanin" w:cs="IRNazanin"/>
          <w:color w:val="111111"/>
          <w:sz w:val="28"/>
          <w:szCs w:val="28"/>
          <w:rtl w:val="true"/>
          <w:lang w:bidi="fa-IR"/>
        </w:rPr>
        <w:t>.</w:t>
      </w:r>
      <w:r>
        <w:rPr>
          <w:rStyle w:val="FootnoteAnchor"/>
          <w:rtl w:val="true"/>
        </w:rPr>
        <w:footnoteReference w:id="167"/>
      </w:r>
    </w:p>
    <w:p>
      <w:pPr>
        <w:pStyle w:val="BookText"/>
        <w:rPr/>
      </w:pPr>
      <w:r>
        <w:rPr>
          <w:rFonts w:ascii="IRNazanin" w:hAnsi="IRNazanin" w:eastAsia="IRNazanin"/>
          <w:color w:val="111111"/>
          <w:sz w:val="28"/>
          <w:sz w:val="28"/>
          <w:szCs w:val="28"/>
          <w:rtl w:val="true"/>
          <w:lang w:bidi="fa-IR"/>
        </w:rPr>
        <w:t>بنابراین، از دیدگاه منابع اهل‌سنت، این جمله در اذان اصلی منقول از پیامبر اعظم صلی الله علیه و آله وجود داشته است؛ اگرچه برخی ادعای نسخ این جمله و جایگزینی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الصلاة خیر من النوم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کرده اند،</w:t>
      </w:r>
      <w:r>
        <w:rPr>
          <w:rStyle w:val="FootnoteAnchor"/>
          <w:rtl w:val="true"/>
        </w:rPr>
        <w:footnoteReference w:id="168"/>
      </w:r>
      <w:r>
        <w:rPr>
          <w:rFonts w:ascii="IRNazanin" w:hAnsi="IRNazanin" w:eastAsia="IRNazanin"/>
          <w:color w:val="111111"/>
          <w:sz w:val="28"/>
          <w:sz w:val="28"/>
          <w:szCs w:val="28"/>
          <w:rtl w:val="true"/>
          <w:lang w:bidi="fa-IR"/>
        </w:rPr>
        <w:t>تاریخ گواه آن است که خلیفه دوم عامل حذف این جمله بوده است</w:t>
      </w:r>
      <w:r>
        <w:rPr>
          <w:rFonts w:eastAsia="IRNazanin" w:cs="IRNazanin"/>
          <w:color w:val="111111"/>
          <w:sz w:val="28"/>
          <w:szCs w:val="28"/>
          <w:rtl w:val="true"/>
          <w:lang w:bidi="fa-IR"/>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هنگامی که عمر زمام خلافت را به دست گرفت،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دَعوا حیَّ عَلی خیرِ العَمل لِئلا یشتغل الناس عن الجهاد فکان أوّل من ترکها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گفتن حیّ علی خیر العمل را ترک کنید تا مردم به بهانه اینکه نماز </w:t>
      </w:r>
    </w:p>
    <w:p>
      <w:pPr>
        <w:pStyle w:val="BookText"/>
        <w:rPr/>
      </w:pPr>
      <w:r>
        <w:rPr>
          <w:rFonts w:ascii="IRNazanin" w:hAnsi="IRNazanin" w:eastAsia="IRNazanin"/>
          <w:color w:val="111111"/>
          <w:sz w:val="28"/>
          <w:sz w:val="28"/>
          <w:szCs w:val="28"/>
          <w:rtl w:val="true"/>
          <w:lang w:bidi="fa-IR"/>
        </w:rPr>
        <w:t>بهترین عمل است، جهاد را ترک نکنند</w:t>
      </w:r>
      <w:r>
        <w:rPr>
          <w:rFonts w:eastAsia="IRNazanin" w:cs="IRNazanin"/>
          <w:color w:val="111111"/>
          <w:sz w:val="28"/>
          <w:szCs w:val="28"/>
          <w:rtl w:val="true"/>
          <w:lang w:bidi="fa-IR"/>
        </w:rPr>
        <w:t>.</w:t>
      </w:r>
      <w:r>
        <w:rPr>
          <w:rStyle w:val="FootnoteAnchor"/>
          <w:rtl w:val="true"/>
        </w:rPr>
        <w:footnoteReference w:id="169"/>
      </w:r>
    </w:p>
    <w:p>
      <w:pPr>
        <w:pStyle w:val="BookText"/>
        <w:rPr/>
      </w:pPr>
      <w:r>
        <w:rPr>
          <w:rFonts w:ascii="IRNazanin" w:hAnsi="IRNazanin" w:eastAsia="IRNazanin"/>
          <w:color w:val="111111"/>
          <w:sz w:val="28"/>
          <w:sz w:val="28"/>
          <w:szCs w:val="28"/>
          <w:rtl w:val="true"/>
          <w:lang w:bidi="fa-IR"/>
        </w:rPr>
        <w:t>ناگفته روشن است که این تعلیل نادرست است؛ زیرا ضرورت جهاد و دفاع در زمان رسول خدا صلی الله علیه و آله بیشتر احساس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حضرت در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غزوه شرکت کرد و نزدیک به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سریّه و گروه رزمی فرستاد؛ در حالی که اذان گفتن با این جمله در عصر او، سبب سستی در جهاد و تخلف از جنگ نشد و از آن نهی نفرمود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ضمن اینکه بر فرض درستی این مصحلت‌اندیشی که نوعی اجتهاد در مقابل نص به شمار می‌آید، تنها برای خلیفه حجت است، نه دیگران و آیندگان؛ زیرا در زمانی که جنگ نیست، این دلیل هم منتفی خواهد شد و باید به اصل اذان که جزئیت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 علی خیر العمل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اثبات شده، بازگشت؛ در حالی که پس خلیفه دوم، این روش سنت شد و جالب تر آنکه به نام سنت پیامبر بر آن پای فشرده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ازاینرو، حکایات و روایاتی نقل کرده اند که بلال نیز چنین می گفته است</w:t>
      </w:r>
      <w:r>
        <w:rPr>
          <w:rFonts w:eastAsia="IRNazanin" w:cs="IRNazanin"/>
          <w:color w:val="111111"/>
          <w:sz w:val="28"/>
          <w:szCs w:val="28"/>
          <w:rtl w:val="true"/>
          <w:lang w:bidi="fa-IR"/>
        </w:rPr>
        <w:t>.</w:t>
      </w:r>
      <w:r>
        <w:rPr>
          <w:rStyle w:val="FootnoteAnchor"/>
          <w:rtl w:val="true"/>
        </w:rPr>
        <w:footnoteReference w:id="170"/>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جالب آنکه، خود خلیفه نیز به بدعت بودن آن تصریح و حقیقت ماجرا را آشکار می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در بخشی از سخنرانی خود </w:t>
      </w:r>
      <w:bookmarkStart w:id="200" w:name="pg3848_38703"/>
    </w:p>
    <w:p>
      <w:pPr>
        <w:pStyle w:val="BookText"/>
        <w:rPr/>
      </w:pPr>
      <w:bookmarkEnd w:id="200"/>
      <w:r>
        <w:rPr>
          <w:rFonts w:ascii="IRNazanin" w:hAnsi="IRNazanin" w:eastAsia="IRNazanin"/>
          <w:color w:val="111111"/>
          <w:sz w:val="28"/>
          <w:sz w:val="28"/>
          <w:szCs w:val="28"/>
          <w:rtl w:val="true"/>
          <w:lang w:bidi="fa-IR"/>
        </w:rPr>
        <w:t>چنین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چیز در عهد رسول خدا صلی الله علیه و آله رسمی بود و من از آنها بازمی‌دارم و انجام دهنده آن را بازخواست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متعه زنان، متعه حج و گفتن حَیّ عَلی خَیر العمل</w:t>
      </w:r>
      <w:r>
        <w:rPr>
          <w:rFonts w:eastAsia="IRNazanin" w:cs="IRNazanin"/>
          <w:color w:val="111111"/>
          <w:sz w:val="28"/>
          <w:szCs w:val="28"/>
          <w:rtl w:val="true"/>
          <w:lang w:bidi="fa-IR"/>
        </w:rPr>
        <w:t>.</w:t>
      </w:r>
      <w:r>
        <w:rPr>
          <w:rStyle w:val="FootnoteAnchor"/>
          <w:rtl w:val="true"/>
        </w:rPr>
        <w:footnoteReference w:id="171"/>
      </w:r>
    </w:p>
    <w:p>
      <w:pPr>
        <w:pStyle w:val="Heading5"/>
        <w:numPr>
          <w:ilvl w:val="4"/>
          <w:numId w:val="1"/>
        </w:numPr>
        <w:rPr/>
      </w:pPr>
      <w:bookmarkStart w:id="201" w:name="__RefHeading___Toc1510231_2281741623"/>
      <w:bookmarkStart w:id="202" w:name="_Toc77"/>
      <w:bookmarkEnd w:id="201"/>
      <w:r>
        <w:rPr>
          <w:rtl w:val="true"/>
        </w:rPr>
        <w:t>پشت پرده سیاسی ماجرا</w:t>
      </w:r>
      <w:bookmarkEnd w:id="202"/>
    </w:p>
    <w:p>
      <w:pPr>
        <w:pStyle w:val="BookText"/>
        <w:rPr/>
      </w:pPr>
      <w:r>
        <w:rPr>
          <w:rFonts w:ascii="IRNazanin" w:hAnsi="IRNazanin" w:eastAsia="IRNazanin"/>
          <w:color w:val="111111"/>
          <w:sz w:val="28"/>
          <w:sz w:val="28"/>
          <w:szCs w:val="28"/>
          <w:rtl w:val="true"/>
          <w:lang w:bidi="fa-IR"/>
        </w:rPr>
        <w:t>از آنجا که پی‌جویی دلیل و فلسفه حذف این جمله از اذان، چندان با فضای این نوشتار هماهنگ به نظر نمی رسد، به ذکر روایتی از امام کاظم علیه السلام بسنده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ابن‌ابی‌عمیر از آن حضرت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چه علت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 علی خیر العمل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اذان حذف شد؟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ظاهری آن را می خواهی بدانی یا علت واقعی و باطنی اش را؟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علت ظاهری اش آن است که مردم با تمسک به آن، از جهاد سر باز نزنند و نگویند بهترین عمل نماز است و جهاد نروند؛ ولی علت حقیقی آن است که چون بهترین عمل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کسی که این عبارت را از اذان حذف کرده، خواسته مردم به سوی آن کشیده نشوند</w:t>
      </w:r>
      <w:r>
        <w:rPr>
          <w:rFonts w:eastAsia="IRNazanin" w:cs="IRNazanin"/>
          <w:color w:val="111111"/>
          <w:sz w:val="28"/>
          <w:szCs w:val="28"/>
          <w:rtl w:val="true"/>
          <w:lang w:bidi="fa-IR"/>
        </w:rPr>
        <w:t>.</w:t>
      </w:r>
      <w:r>
        <w:rPr>
          <w:rStyle w:val="FootnoteAnchor"/>
          <w:rtl w:val="true"/>
        </w:rPr>
        <w:footnoteReference w:id="172"/>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همین دلیل، جهت گیری های سیاسی در حذف و اضافه این جمله، همواره بروز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همان‌گونه که برهان‌الدین حلبی در سیره خود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عبداللّه ابن عمر و علی بن الحسین علیه السلام </w:t>
      </w:r>
      <w:bookmarkStart w:id="203" w:name="pg3848_38704"/>
    </w:p>
    <w:p>
      <w:pPr>
        <w:pStyle w:val="BookText"/>
        <w:rPr/>
      </w:pPr>
      <w:bookmarkEnd w:id="203"/>
      <w:r>
        <w:rPr>
          <w:rFonts w:ascii="IRNazanin" w:hAnsi="IRNazanin" w:eastAsia="IRNazanin"/>
          <w:color w:val="111111"/>
          <w:sz w:val="28"/>
          <w:sz w:val="28"/>
          <w:szCs w:val="28"/>
          <w:rtl w:val="true"/>
          <w:lang w:bidi="fa-IR"/>
        </w:rPr>
        <w:t>در اذان پس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 علی الفلاح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 علی خیر العمل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می‌گفتند</w:t>
      </w:r>
      <w:r>
        <w:rPr>
          <w:rStyle w:val="FootnoteAnchor"/>
          <w:rtl w:val="true"/>
        </w:rPr>
        <w:footnoteReference w:id="173"/>
      </w:r>
      <w:r>
        <w:rPr>
          <w:rFonts w:ascii="IRNazanin" w:hAnsi="IRNazanin" w:eastAsia="IRNazanin"/>
          <w:color w:val="111111"/>
          <w:sz w:val="28"/>
          <w:sz w:val="28"/>
          <w:szCs w:val="28"/>
          <w:rtl w:val="true"/>
          <w:lang w:bidi="fa-IR"/>
        </w:rPr>
        <w:t>یا در انتفاضة حسنی‌ها، آن‌گاه که صاحب فخ</w:t>
      </w:r>
      <w:r>
        <w:rPr>
          <w:rStyle w:val="FootnoteAnchor"/>
          <w:rtl w:val="true"/>
        </w:rPr>
        <w:footnoteReference w:id="174"/>
      </w:r>
      <w:r>
        <w:rPr>
          <w:rFonts w:ascii="IRNazanin" w:hAnsi="IRNazanin" w:eastAsia="IRNazanin"/>
          <w:color w:val="111111"/>
          <w:sz w:val="28"/>
          <w:sz w:val="28"/>
          <w:szCs w:val="28"/>
          <w:rtl w:val="true"/>
          <w:lang w:bidi="fa-IR"/>
        </w:rPr>
        <w:t>بر مدینه مسلط شد، عبداللّه بن حسن أفطس بر بالای مناره‌ای که روی مرقد پیامبر گرامی است، قرار گرفت و به مؤذن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 علی خیر العمل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مؤذن نیز این جمله را به زبان راند</w:t>
      </w:r>
      <w:r>
        <w:rPr>
          <w:rFonts w:eastAsia="IRNazanin" w:cs="IRNazanin"/>
          <w:color w:val="111111"/>
          <w:sz w:val="28"/>
          <w:szCs w:val="28"/>
          <w:rtl w:val="true"/>
          <w:lang w:bidi="fa-IR"/>
        </w:rPr>
        <w:t>.</w:t>
      </w:r>
      <w:r>
        <w:rPr>
          <w:rStyle w:val="FootnoteAnchor"/>
          <w:rtl w:val="true"/>
        </w:rPr>
        <w:footnoteReference w:id="175"/>
      </w:r>
      <w:r>
        <w:rPr>
          <w:rFonts w:ascii="IRNazanin" w:hAnsi="IRNazanin" w:eastAsia="IRNazanin"/>
          <w:color w:val="111111"/>
          <w:sz w:val="28"/>
          <w:sz w:val="28"/>
          <w:szCs w:val="28"/>
          <w:rtl w:val="true"/>
          <w:lang w:bidi="fa-IR"/>
        </w:rPr>
        <w:t xml:space="preserve">نیز در دولت آل‌بویه که تمایلات شیعی داشتند، شعار شیعیان بغداد در اذان‌ها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 عَلی خیر العمل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بود، و آن‌گاه که سلجوقی‌ها در سال </w:t>
      </w:r>
      <w:r>
        <w:rPr>
          <w:rFonts w:eastAsia="IRNazanin" w:cs="IRNazanin"/>
          <w:color w:val="111111"/>
          <w:sz w:val="28"/>
          <w:szCs w:val="28"/>
          <w:lang w:bidi="fa-IR"/>
        </w:rPr>
        <w:t>448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کار آمدند، این شعار ممنوع گردید و فرمان دادند در اذان صبح،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الصلاة خیر من النوم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بگویند</w:t>
      </w:r>
      <w:r>
        <w:rPr>
          <w:rFonts w:eastAsia="IRNazanin" w:cs="IRNazanin"/>
          <w:color w:val="111111"/>
          <w:sz w:val="28"/>
          <w:szCs w:val="28"/>
          <w:rtl w:val="true"/>
          <w:lang w:bidi="fa-IR"/>
        </w:rPr>
        <w:t>.</w:t>
      </w:r>
      <w:r>
        <w:rPr>
          <w:rStyle w:val="FootnoteAnchor"/>
          <w:rtl w:val="true"/>
        </w:rPr>
        <w:footnoteReference w:id="176"/>
      </w:r>
    </w:p>
    <w:p>
      <w:pPr>
        <w:pStyle w:val="BookText"/>
        <w:rPr/>
      </w:pPr>
      <w:r>
        <w:rPr>
          <w:rFonts w:ascii="IRNazanin" w:hAnsi="IRNazanin" w:eastAsia="IRNazanin"/>
          <w:color w:val="111111"/>
          <w:sz w:val="28"/>
          <w:sz w:val="28"/>
          <w:szCs w:val="28"/>
          <w:rtl w:val="true"/>
          <w:lang w:bidi="fa-IR"/>
        </w:rPr>
        <w:t>بنابراین، این مسأله بیش از آنکه به سیره پیامبر و مسائل شرعی پیرامون اذان و اقامه ربط داشته باشد، به مسائل سیاسی و اختلاف مبانی شیعه و سنی برمی گردد و متأسفانه، دستاویزی برای اعلان موافقت و مخالفت شده است</w:t>
      </w:r>
      <w:r>
        <w:rPr>
          <w:rFonts w:eastAsia="IRNazanin" w:cs="IRNazanin"/>
          <w:color w:val="111111"/>
          <w:sz w:val="28"/>
          <w:szCs w:val="28"/>
          <w:rtl w:val="true"/>
          <w:lang w:bidi="fa-IR"/>
        </w:rPr>
        <w:t>.</w:t>
      </w:r>
    </w:p>
    <w:p>
      <w:pPr>
        <w:pStyle w:val="Heading4"/>
        <w:numPr>
          <w:ilvl w:val="3"/>
          <w:numId w:val="1"/>
        </w:numPr>
        <w:rPr/>
      </w:pPr>
      <w:bookmarkStart w:id="204" w:name="__RefHeading___Toc1510233_2281741623"/>
      <w:bookmarkStart w:id="205" w:name="_Toc78"/>
      <w:bookmarkEnd w:id="204"/>
      <w:r>
        <w:rPr>
          <w:rtl w:val="true"/>
        </w:rPr>
        <w:t>مسأله چهارم</w:t>
      </w:r>
      <w:r>
        <w:rPr>
          <w:rtl w:val="true"/>
        </w:rPr>
        <w:t xml:space="preserve">: </w:t>
      </w:r>
      <w:r>
        <w:rPr>
          <w:rtl w:val="true"/>
        </w:rPr>
        <w:t>شهادت ثالثه</w:t>
      </w:r>
      <w:bookmarkEnd w:id="205"/>
    </w:p>
    <w:p>
      <w:pPr>
        <w:pStyle w:val="Heading5"/>
        <w:numPr>
          <w:ilvl w:val="4"/>
          <w:numId w:val="1"/>
        </w:numPr>
        <w:rPr/>
      </w:pPr>
      <w:bookmarkStart w:id="206" w:name="__RefHeading___Toc1510235_2281741623"/>
      <w:bookmarkStart w:id="207" w:name="_Toc79"/>
      <w:bookmarkEnd w:id="206"/>
      <w:r>
        <w:rPr>
          <w:rtl w:val="true"/>
        </w:rPr>
        <w:t>اشاره</w:t>
      </w:r>
      <w:bookmarkEnd w:id="207"/>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چهارمین مسأله اختلافی در اذان، بحث شهادت ثالثه است که </w:t>
      </w:r>
      <w:bookmarkStart w:id="208" w:name="pg3848_38705"/>
    </w:p>
    <w:p>
      <w:pPr>
        <w:pStyle w:val="BookText"/>
        <w:rPr/>
      </w:pPr>
      <w:bookmarkEnd w:id="208"/>
      <w:r>
        <w:rPr>
          <w:rFonts w:ascii="IRNazanin" w:hAnsi="IRNazanin" w:eastAsia="IRNazanin"/>
          <w:color w:val="111111"/>
          <w:sz w:val="28"/>
          <w:sz w:val="28"/>
          <w:szCs w:val="28"/>
          <w:rtl w:val="true"/>
          <w:lang w:bidi="fa-IR"/>
        </w:rPr>
        <w:t>شیعیان پس از شهادت به نبوت پیامبر خاتم صلی الله علیه و آله ، به وصایت و ولایت امیرمؤمنان علی علیه السلام نیز شهادت می دهند، ولی اهل‌سنت به این دلیل که چنین جمله ای در تشریع اذان و اذانِ منقول از پیامبر اعظم صلی الله علیه و آله نبوده، گفتن آن را بدعت می شمارند؛ در حالی که از نظر فقهای شیعه، شهادت ثالثه جزء اذان و اقامه نیست، بلکه آنان این شهادت را با نیت قصد قربت مطلقه، به عنوان شعار تشیع و به قصد تبرّک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ازاینرو، هنگامی که بندهای اذان را می شمارند، آن را هیجده فصل بیشتر نمی دانند که عبارت است از</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تکبیر،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 شهادت بر وحدانیت خدا،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 شهادت بر رسالت پیامبر،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 علی الصلاة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 علی الفلاح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 علی خیر العمل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تکبیر و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تهلیل</w:t>
      </w:r>
      <w:r>
        <w:rPr>
          <w:rFonts w:eastAsia="IRNazanin" w:cs="IRNazanin"/>
          <w:color w:val="111111"/>
          <w:sz w:val="28"/>
          <w:szCs w:val="28"/>
          <w:rtl w:val="true"/>
          <w:lang w:bidi="fa-IR"/>
        </w:rPr>
        <w:t>.</w:t>
      </w:r>
    </w:p>
    <w:p>
      <w:pPr>
        <w:pStyle w:val="Heading5"/>
        <w:numPr>
          <w:ilvl w:val="4"/>
          <w:numId w:val="1"/>
        </w:numPr>
        <w:rPr/>
      </w:pPr>
      <w:bookmarkStart w:id="209" w:name="__RefHeading___Toc1510237_2281741623"/>
      <w:bookmarkStart w:id="210" w:name="_Toc80"/>
      <w:bookmarkEnd w:id="209"/>
      <w:r>
        <w:rPr>
          <w:rtl w:val="true"/>
        </w:rPr>
        <w:t>برخی از ادله شیعه</w:t>
      </w:r>
      <w:bookmarkEnd w:id="210"/>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علت اینکه فقهای شیعه گفتن شهادت ثالثه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بدون قصد جزئیت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جایز و مستحب می شمارند، آن است که در برخی روایات به نحو مطلق آمده که هر گاه به توحید و رسالت شهادت دادید، به ولایت علی بن ابی‌طالب علیه السلام نیز شهادت بدهید</w:t>
      </w:r>
      <w:r>
        <w:rPr>
          <w:rFonts w:eastAsia="IRNazanin" w:cs="IRNazanin"/>
          <w:color w:val="111111"/>
          <w:sz w:val="28"/>
          <w:szCs w:val="28"/>
          <w:rtl w:val="true"/>
          <w:lang w:bidi="fa-IR"/>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قاسم بن معاویه، از یاران امام صادق و امام کاظم علیهما السلام ، از آن حضرت چنین نقل کرده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قَالَ أَحدکُمْ لا إِلهَ الّا اللّه مُحَمَّدٌ رَسُولُ اللّه، فَلْیَقُل عَلیٌّ وَلِیُ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گاه کسی از شما به وحدانیت خدا و رسالت پیامبر گواهی داد، برای تکمیل شهادت به ولایت </w:t>
      </w:r>
    </w:p>
    <w:p>
      <w:pPr>
        <w:pStyle w:val="BookText"/>
        <w:rPr/>
      </w:pPr>
      <w:r>
        <w:rPr>
          <w:rFonts w:ascii="IRNazanin" w:hAnsi="IRNazanin" w:eastAsia="IRNazanin"/>
          <w:color w:val="111111"/>
          <w:sz w:val="28"/>
          <w:sz w:val="28"/>
          <w:szCs w:val="28"/>
          <w:rtl w:val="true"/>
          <w:lang w:bidi="fa-IR"/>
        </w:rPr>
        <w:t>علی علیه السلام نیز گواهی دهد</w:t>
      </w:r>
      <w:r>
        <w:rPr>
          <w:rFonts w:eastAsia="IRNazanin" w:cs="IRNazanin"/>
          <w:color w:val="111111"/>
          <w:sz w:val="28"/>
          <w:szCs w:val="28"/>
          <w:rtl w:val="true"/>
          <w:lang w:bidi="fa-IR"/>
        </w:rPr>
        <w:t>".</w:t>
      </w:r>
      <w:r>
        <w:rPr>
          <w:rStyle w:val="FootnoteAnchor"/>
          <w:rtl w:val="true"/>
        </w:rPr>
        <w:footnoteReference w:id="177"/>
      </w:r>
      <w:r>
        <w:rPr>
          <w:rFonts w:ascii="IRNazanin" w:hAnsi="IRNazanin" w:eastAsia="IRNazanin"/>
          <w:color w:val="111111"/>
          <w:sz w:val="28"/>
          <w:sz w:val="28"/>
          <w:szCs w:val="28"/>
          <w:rtl w:val="true"/>
          <w:lang w:bidi="fa-IR"/>
        </w:rPr>
        <w:t>از آنجا که گستره اطلاق این روایات اذان را هم دربرمی‌گیرد، شیعیان در اذان و اقامه خود بدان عمل می‌کنند و شهادت ثالثه را بر زبان جاری می‌سازند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عده ای نیز این شهادت را نوعی پیروی عملی از سخنان پیامبر درباره ولایت امیرمؤمنان علی علیه السلام می‌دانند و به روایات چندی استناد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اینکه پس از واقعه غدیر خم و در حال حیات پیامبر، سلمان فارسی در اذان و اقامه پس از شهادت به توحید و رسالت، به ولایت امیرمؤمنان علی</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شهادت می‌داد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روزی یکی از اصحاب به محضر حضرت رسول اکرم صلی الله علیه و آله رسید و عرض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سلمان قد یشهد فی أذانه بعد الشهادة بالرسالة، الشهادة بالولایة لعلی علیه السلام ، قال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خیرا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موضوعی را شنیدم که پیش‌تر نشنیده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موضوع چیست؟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دیدم سلمان در اذان پس از شهادتین، به ولایت علی</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شهادت داد و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اشهد ان علیاً ولی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در پاسخ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خوبی شنیدی</w:t>
      </w:r>
      <w:r>
        <w:rPr>
          <w:rFonts w:eastAsia="IRNazanin" w:cs="IRNazanin"/>
          <w:color w:val="111111"/>
          <w:sz w:val="28"/>
          <w:szCs w:val="28"/>
          <w:rtl w:val="true"/>
          <w:lang w:bidi="fa-IR"/>
        </w:rPr>
        <w:t>.</w:t>
      </w:r>
      <w:r>
        <w:rPr>
          <w:rStyle w:val="FootnoteAnchor"/>
          <w:rtl w:val="true"/>
        </w:rPr>
        <w:footnoteReference w:id="178"/>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نیز در روایت دیگری چنین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اصحاب نزد </w:t>
      </w:r>
    </w:p>
    <w:p>
      <w:pPr>
        <w:pStyle w:val="BookText"/>
        <w:rPr/>
      </w:pPr>
      <w:r>
        <w:rPr>
          <w:rFonts w:ascii="IRNazanin" w:hAnsi="IRNazanin" w:eastAsia="IRNazanin"/>
          <w:color w:val="111111"/>
          <w:sz w:val="28"/>
          <w:sz w:val="28"/>
          <w:szCs w:val="28"/>
          <w:rtl w:val="true"/>
          <w:lang w:bidi="fa-IR"/>
        </w:rPr>
        <w:t>پیامبر رفت و عرض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یا رسول الله إنّ أبا ذر یذکر فی الأذان بعد الشهادة بالرسالة الشهادة بالولایة لعلی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ابوذر در اذان و اقامه پس از شهادت به رسالت، به ولایت نیز شهادت می‌دهد 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اشهد ان علیاً ولی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اکرم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همین‌طور است و پس با حالت عتاب‌آمیزی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اَوَنستیم قولی فی غدیرخم من کنت مولاه فعلی مولاه فمن ینکث فانما ینکث علی نفسه</w:t>
      </w:r>
      <w:r>
        <w:rPr>
          <w:rFonts w:eastAsia="IRNazanin" w:cs="IRNazanin"/>
          <w:color w:val="111111"/>
          <w:sz w:val="28"/>
          <w:szCs w:val="28"/>
          <w:rtl w:val="true"/>
          <w:lang w:bidi="fa-IR"/>
        </w:rPr>
        <w:t>".</w:t>
      </w:r>
      <w:r>
        <w:rPr>
          <w:rStyle w:val="FootnoteAnchor"/>
          <w:rtl w:val="true"/>
        </w:rPr>
        <w:footnoteReference w:id="179"/>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برخی نیز این شهادت را نوعی شعار شیعه برای زنده نگه داشتن ولایت امیرمؤمنان علیه السلام می دانند که در طول تاریخ مورد هجمه دشمنان قرار گرفت و قصد هدم آن را در سر می پروراندند؛ ولایتی که در قرآن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 روایات نبوی</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برای آن حضرت تصریح و تثبیت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استاد عبدالمحسن عبداللّه سراوی، مستبصر سوری، با اشاره به </w:t>
      </w:r>
      <w:bookmarkStart w:id="211" w:name="pg3848_38708"/>
    </w:p>
    <w:p>
      <w:pPr>
        <w:pStyle w:val="BookText"/>
        <w:rPr/>
      </w:pPr>
      <w:bookmarkEnd w:id="211"/>
      <w:r>
        <w:rPr>
          <w:rFonts w:ascii="IRNazanin" w:hAnsi="IRNazanin" w:eastAsia="IRNazanin"/>
          <w:color w:val="111111"/>
          <w:sz w:val="28"/>
          <w:sz w:val="28"/>
          <w:szCs w:val="28"/>
          <w:rtl w:val="true"/>
          <w:lang w:bidi="fa-IR"/>
        </w:rPr>
        <w:t>همین نکته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شیعه در اذان، شهادت به ولایت را به قصد جزئیت نمی‌گوید، بلکه از زمانی که معاویه لعن بر علی بن ابی‌طالب علیه السلام را بر بالای منبرها و مأذنه‌ها آشکار کرد، شیعه امامیه به این فکر افتاد که برای جلوگیری از بدعت و مکتوم نشدن ولایت امیرمؤمنان علیه السلام ، شهادت به آن را به قصد تبرک در اذان‌ها اعلام دارد؛ همان‌گونه که خداوند متعال این امر را مکتوم نکرده و در قرآن، به ولایت امام علی علیه السلام شهادت داده است</w:t>
      </w:r>
      <w:r>
        <w:rPr>
          <w:rFonts w:eastAsia="IRNazanin" w:cs="IRNazanin"/>
          <w:color w:val="111111"/>
          <w:sz w:val="28"/>
          <w:szCs w:val="28"/>
          <w:rtl w:val="true"/>
          <w:lang w:bidi="fa-IR"/>
        </w:rPr>
        <w:t>.</w:t>
      </w:r>
      <w:r>
        <w:rPr>
          <w:rStyle w:val="FootnoteAnchor"/>
          <w:rtl w:val="true"/>
        </w:rPr>
        <w:footnoteReference w:id="180"/>
      </w:r>
    </w:p>
    <w:p>
      <w:pPr>
        <w:pStyle w:val="Heading4"/>
        <w:numPr>
          <w:ilvl w:val="3"/>
          <w:numId w:val="1"/>
        </w:numPr>
        <w:rPr/>
      </w:pPr>
      <w:bookmarkStart w:id="212" w:name="__RefHeading___Toc1510239_2281741623"/>
      <w:bookmarkStart w:id="213" w:name="_Toc81"/>
      <w:bookmarkEnd w:id="212"/>
      <w:r>
        <w:rPr>
          <w:rtl w:val="true"/>
        </w:rPr>
        <w:t>نتیجه گیری</w:t>
      </w:r>
      <w:bookmarkEnd w:id="213"/>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گفتن شهادت ثالثه در اذان نه تنها بدعت نیست، بلکه آثار و فوایدی نیز بر آن مترتّب است و دلایل عقلی و روایی نیز با آن هماهنگ و همسوست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ضمن اینکه به فرموده علامه شرف‌الدین، مؤذنان در اسلام، کلمه ای مقدم بر اذان ذکر و به آن متصل می کردند،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وقل الحمدلله الذی الذی ما اتخذ صاحبة و لا ولدا</w:t>
      </w:r>
      <w:r>
        <w:rPr>
          <w:rFonts w:eastAsia="IRNazanin" w:cs="IRNazanin"/>
          <w:color w:val="111111"/>
          <w:sz w:val="28"/>
          <w:szCs w:val="28"/>
          <w:rtl w:val="true"/>
          <w:lang w:bidi="fa-IR"/>
        </w:rPr>
        <w:t>..."</w:t>
      </w:r>
      <w:r>
        <w:rPr>
          <w:rStyle w:val="FootnoteAnchor"/>
          <w:rtl w:val="true"/>
        </w:rPr>
        <w:footnoteReference w:id="181"/>
      </w:r>
      <w:r>
        <w:rPr>
          <w:rFonts w:ascii="IRNazanin" w:hAnsi="IRNazanin" w:eastAsia="IRNazanin"/>
          <w:color w:val="111111"/>
          <w:sz w:val="28"/>
          <w:sz w:val="28"/>
          <w:szCs w:val="28"/>
          <w:rtl w:val="true"/>
          <w:lang w:bidi="fa-IR"/>
        </w:rPr>
        <w:t>یا نظیر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آنان سخنی را به اذان ملحق می کنند و به دنبال آن می آورند، 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الصلاة والسلام علیک 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نظیر آن</w:t>
      </w:r>
      <w:r>
        <w:rPr>
          <w:rFonts w:eastAsia="IRNazanin" w:cs="IRNazanin"/>
          <w:color w:val="111111"/>
          <w:sz w:val="28"/>
          <w:szCs w:val="28"/>
          <w:rtl w:val="true"/>
          <w:lang w:bidi="fa-IR"/>
        </w:rPr>
        <w:t xml:space="preserve">. </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در حالی است که اینها به یقین اذان مأثور از شارع نیست، ولی با این حال بدعت شمرده نمی‌شود و افزودن اینها، قطعاً حرام نیست؛ زیرا مؤذنان اینها را از بندهای اذان نمی دانند و فقط آن را بر اساس ادله عامه می 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شهادت برای علی علیه السلام در اذان نیز بر اساس دلیل عام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وانگهی، سخن کوتاه از کلامِ آدمی، موجب بطلان اذان و اقامه نمی شود و از این رو، گفتن آن در اثنای اذان و اقامه حرام نیست</w:t>
      </w:r>
      <w:r>
        <w:rPr>
          <w:rFonts w:eastAsia="IRNazanin" w:cs="IRNazanin"/>
          <w:color w:val="111111"/>
          <w:sz w:val="28"/>
          <w:szCs w:val="28"/>
          <w:rtl w:val="true"/>
          <w:lang w:bidi="fa-IR"/>
        </w:rPr>
        <w:t>.</w:t>
      </w:r>
      <w:r>
        <w:rPr>
          <w:rStyle w:val="FootnoteAnchor"/>
          <w:rtl w:val="true"/>
        </w:rPr>
        <w:footnoteReference w:id="182"/>
      </w:r>
      <w:bookmarkStart w:id="214" w:name="pg3848_38710"/>
    </w:p>
    <w:p>
      <w:pPr>
        <w:pStyle w:val="Heading3"/>
        <w:numPr>
          <w:ilvl w:val="2"/>
          <w:numId w:val="1"/>
        </w:numPr>
        <w:rPr/>
      </w:pPr>
      <w:bookmarkStart w:id="215" w:name="__RefHeading___Toc1510241_2281741623"/>
      <w:bookmarkStart w:id="216" w:name="_Toc82"/>
      <w:bookmarkEnd w:id="214"/>
      <w:bookmarkEnd w:id="215"/>
      <w:r>
        <w:rPr>
          <w:rtl w:val="true"/>
        </w:rPr>
        <w:t>فصل چهارم</w:t>
      </w:r>
      <w:r>
        <w:rPr>
          <w:rtl w:val="true"/>
        </w:rPr>
        <w:t xml:space="preserve">: </w:t>
      </w:r>
      <w:r>
        <w:rPr>
          <w:rtl w:val="true"/>
        </w:rPr>
        <w:t>اوقات نماز</w:t>
      </w:r>
      <w:bookmarkEnd w:id="216"/>
    </w:p>
    <w:p>
      <w:pPr>
        <w:pStyle w:val="Heading4"/>
        <w:numPr>
          <w:ilvl w:val="3"/>
          <w:numId w:val="1"/>
        </w:numPr>
        <w:rPr/>
      </w:pPr>
      <w:bookmarkStart w:id="217" w:name="__RefHeading___Toc1510243_2281741623"/>
      <w:bookmarkStart w:id="218" w:name="_Toc83"/>
      <w:bookmarkEnd w:id="217"/>
      <w:r>
        <w:rPr>
          <w:rtl w:val="true"/>
        </w:rPr>
        <w:t>اشاره</w:t>
      </w:r>
      <w:bookmarkEnd w:id="218"/>
    </w:p>
    <w:p>
      <w:pPr>
        <w:pStyle w:val="BookText"/>
        <w:rPr/>
      </w:pPr>
      <w:r>
        <w:rPr>
          <w:rFonts w:ascii="IRNazanin" w:hAnsi="IRNazanin" w:eastAsia="IRNazanin"/>
          <w:color w:val="111111"/>
          <w:sz w:val="28"/>
          <w:sz w:val="28"/>
          <w:szCs w:val="28"/>
          <w:rtl w:val="true"/>
          <w:lang w:bidi="fa-IR"/>
        </w:rPr>
        <w:t>اگرچه نقد و بررسی مسأله جمع بین صلاتین از فروعات بحث اوقات نماز است، با توجه به اختصار نوشتار حاضر، در ضمن بحث جمع بین الصلاتین بدان نیز می‌پردازیم</w:t>
      </w:r>
      <w:r>
        <w:rPr>
          <w:rFonts w:eastAsia="IRNazanin" w:cs="IRNazanin"/>
          <w:color w:val="111111"/>
          <w:sz w:val="28"/>
          <w:szCs w:val="28"/>
          <w:rtl w:val="true"/>
          <w:lang w:bidi="fa-IR"/>
        </w:rPr>
        <w:t>.</w:t>
      </w:r>
    </w:p>
    <w:p>
      <w:pPr>
        <w:pStyle w:val="Heading4"/>
        <w:numPr>
          <w:ilvl w:val="3"/>
          <w:numId w:val="1"/>
        </w:numPr>
        <w:rPr/>
      </w:pPr>
      <w:bookmarkStart w:id="219" w:name="__RefHeading___Toc1510245_2281741623"/>
      <w:bookmarkStart w:id="220" w:name="_Toc84"/>
      <w:bookmarkEnd w:id="219"/>
      <w:r>
        <w:rPr>
          <w:rtl w:val="true"/>
        </w:rPr>
        <w:t>نقد و بررسی جمع بین صلاتین</w:t>
      </w:r>
      <w:bookmarkEnd w:id="220"/>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یکی از مسائل مهم و اختلافی فقهی، مسالۀ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 بین صلاتین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به تصور عامۀ اهل‌سنت، جمع بین دو نماز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ظهر و عصر، و مغرب و عشا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مسأله‌ای غیرشرعی است و مدرکی از سنت بر آن اقامه نشده و جز در موارد خاص و استثنایی، جمع میان آنها جایز نیست؛ در حالی که شیعیان معتقدند می توان نمازهای ظهر و عصر را پس از زوال خورشید و در یک وقت با مراعات ترتیب اقامه کرد؛ یعنی پشت سر هم خواندن ظهر و عصر و مغرب و عشا اشکال ندارد</w:t>
      </w:r>
      <w:r>
        <w:rPr>
          <w:rFonts w:eastAsia="IRNazanin" w:cs="IRNazanin"/>
          <w:color w:val="111111"/>
          <w:sz w:val="28"/>
          <w:szCs w:val="28"/>
          <w:rtl w:val="true"/>
          <w:lang w:bidi="fa-IR"/>
        </w:rPr>
        <w:t xml:space="preserve">. </w:t>
      </w:r>
      <w:bookmarkStart w:id="221" w:name="pg3848_38711"/>
    </w:p>
    <w:p>
      <w:pPr>
        <w:pStyle w:val="Heading4"/>
        <w:numPr>
          <w:ilvl w:val="3"/>
          <w:numId w:val="1"/>
        </w:numPr>
        <w:rPr/>
      </w:pPr>
      <w:bookmarkStart w:id="222" w:name="__RefHeading___Toc1510247_2281741623"/>
      <w:bookmarkStart w:id="223" w:name="_Toc85"/>
      <w:bookmarkEnd w:id="221"/>
      <w:bookmarkEnd w:id="222"/>
      <w:r>
        <w:rPr>
          <w:rtl w:val="true"/>
        </w:rPr>
        <w:t>منشأ اختلاف</w:t>
      </w:r>
      <w:bookmarkEnd w:id="223"/>
    </w:p>
    <w:p>
      <w:pPr>
        <w:pStyle w:val="BookText"/>
        <w:rPr/>
      </w:pPr>
      <w:r>
        <w:rPr>
          <w:rFonts w:ascii="IRNazanin" w:hAnsi="IRNazanin" w:eastAsia="IRNazanin"/>
          <w:color w:val="111111"/>
          <w:sz w:val="28"/>
          <w:sz w:val="28"/>
          <w:szCs w:val="28"/>
          <w:rtl w:val="true"/>
          <w:lang w:bidi="fa-IR"/>
        </w:rPr>
        <w:t xml:space="preserve">بنا بر نظر فقهای شیعه، هر یک از نمازهای ظهر و عصر و نمازهای مغرب و عشا، 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 خاص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دارند و 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 مشترک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 خاص نماز ظهر، از آغاز ظهر شرعی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 زوال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تا مقدار زمانی که چهار رکعت نماز خوانده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مدّت محدود، تنها نماز ظهر را می توان به جا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 خاصّ نماز عصر، زمانی است که از آن لحظه تا وقت غروب، تنها به اندازه مدّت خواندن نماز عصر فرصت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 مشترک بین دو نماز ظهر و عصر، از انتهای وقت خاص نماز ظهر، تا ابتدای وقت خاص نماز عصر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سخن شیعه آن است که در تمام این وقت مشترک، می توان نماز ظهر و عصر را با هم و بدون فاصله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اهل‌سنت به دلیل دیدگاه خاصی که در تقسیم وقت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زوال تا غروب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دارند، هیچ‌گاه به وقت مشترک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میان ظهر و عصر 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قائل نیستند؛ زیرا معتقدند از اوّل زوال تا وقتی سایه شاخص به اندازه آن گردد، وقت مختص نماز ظهر است و نمی توان نماز عصر را در این وقت به جا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به بعد وقت نماز عصر آغاز می شود تا غروب، و مختص به آن است</w:t>
      </w:r>
      <w:r>
        <w:rPr>
          <w:rFonts w:eastAsia="IRNazanin" w:cs="IRNazanin"/>
          <w:color w:val="111111"/>
          <w:sz w:val="28"/>
          <w:szCs w:val="28"/>
          <w:rtl w:val="true"/>
          <w:lang w:bidi="fa-IR"/>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چنین دیدگاهی، هرگز نمی توان بین دو نماز جمع کرد؛ زیرا </w:t>
      </w:r>
      <w:bookmarkStart w:id="224" w:name="pg3848_38712"/>
    </w:p>
    <w:p>
      <w:pPr>
        <w:pStyle w:val="BookText"/>
        <w:rPr/>
      </w:pPr>
      <w:bookmarkEnd w:id="224"/>
      <w:r>
        <w:rPr>
          <w:rFonts w:ascii="IRNazanin" w:hAnsi="IRNazanin" w:eastAsia="IRNazanin"/>
          <w:color w:val="111111"/>
          <w:sz w:val="28"/>
          <w:sz w:val="28"/>
          <w:szCs w:val="28"/>
          <w:rtl w:val="true"/>
          <w:lang w:bidi="fa-IR"/>
        </w:rPr>
        <w:t>لازمه آن، این است که انجام یکی از آن در غیر وقت خود باشد، ولی شیعیان معتقدند این تقسیم‌بندی، به وقت فضیلت هر دو نماز بازمی‌گردد، نه وقت اجزاء؛ یعنی بهتر است نماز عصر را زمانی خواند که سایه شاخص به اندازه آن باشد، ولی اگر کسی پیش از آن هم بخواند، مُجزی است و نماز در وقت خوانده شده است</w:t>
      </w:r>
      <w:r>
        <w:rPr>
          <w:rFonts w:eastAsia="IRNazanin" w:cs="IRNazanin"/>
          <w:color w:val="111111"/>
          <w:sz w:val="28"/>
          <w:szCs w:val="28"/>
          <w:rtl w:val="true"/>
          <w:lang w:bidi="fa-IR"/>
        </w:rPr>
        <w:t>.</w:t>
      </w:r>
      <w:r>
        <w:rPr>
          <w:rStyle w:val="FootnoteAnchor"/>
          <w:rtl w:val="true"/>
        </w:rPr>
        <w:footnoteReference w:id="183"/>
      </w:r>
    </w:p>
    <w:p>
      <w:pPr>
        <w:pStyle w:val="Heading4"/>
        <w:numPr>
          <w:ilvl w:val="3"/>
          <w:numId w:val="1"/>
        </w:numPr>
        <w:rPr/>
      </w:pPr>
      <w:bookmarkStart w:id="225" w:name="__RefHeading___Toc1510249_2281741623"/>
      <w:bookmarkStart w:id="226" w:name="_Toc86"/>
      <w:bookmarkEnd w:id="225"/>
      <w:r>
        <w:rPr>
          <w:rtl w:val="true"/>
        </w:rPr>
        <w:t>دو نکته</w:t>
      </w:r>
      <w:bookmarkEnd w:id="226"/>
    </w:p>
    <w:p>
      <w:pPr>
        <w:pStyle w:val="BookText"/>
        <w:rPr/>
      </w:pPr>
      <w:r>
        <w:rPr>
          <w:rFonts w:ascii="IRNazanin" w:hAnsi="IRNazanin" w:eastAsia="IRNazanin"/>
          <w:color w:val="111111"/>
          <w:sz w:val="28"/>
          <w:sz w:val="28"/>
          <w:szCs w:val="28"/>
          <w:rtl w:val="true"/>
          <w:lang w:bidi="fa-IR"/>
        </w:rPr>
        <w:t>پیش از بررسی ادله و روایات شیعه و سنی، ذکر دو نکته ضروری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از نظر تمام مذاهب اسلامی، خواندن نماز ظهر و عصر به صورت جمع در عرفات جایز است؛ چنان‌که جایز است در مشعر الحرام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مُزدلفه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مغرب وعشا بدون فاصله خوانده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از دیدگاه تمام مذاهب اسلامی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جز حنفی‌ها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هم خواندن نماز ظهر و عصر و مغرب و عشا در مسافرت جایز است</w:t>
      </w:r>
      <w:r>
        <w:rPr>
          <w:rFonts w:eastAsia="IRNazanin" w:cs="IRNazanin"/>
          <w:color w:val="111111"/>
          <w:sz w:val="28"/>
          <w:szCs w:val="28"/>
          <w:rtl w:val="true"/>
          <w:lang w:bidi="fa-IR"/>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bookmarkStart w:id="227" w:name="pg3848_38713"/>
    </w:p>
    <w:p>
      <w:pPr>
        <w:pStyle w:val="BookText"/>
        <w:rPr/>
      </w:pPr>
      <w:bookmarkEnd w:id="227"/>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نظر فقهای شیعه، خواندن نمازهای یومیه در پنج وقت برتر و بهتر است، ولی جمع بین ظهر و عصر و مغرب و عشا جایز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نمونه، شیخ مفید می 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والفرق بین الصلاتین فی سائر الایام مع الاختیار و عدم العوارض افضل و به ثبتت السنة الا فی یوم الجمعه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تفریق بین دو نماز با اختیار و عدم عوارض و موانع برتر است و بر آن سنت ثابت است، مگر در روز جمعه که جمع برتر و سنت است و</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Heading4"/>
        <w:numPr>
          <w:ilvl w:val="3"/>
          <w:numId w:val="1"/>
        </w:numPr>
        <w:rPr/>
      </w:pPr>
      <w:bookmarkStart w:id="228" w:name="__RefHeading___Toc1510251_2281741623"/>
      <w:bookmarkStart w:id="229" w:name="_Toc87"/>
      <w:bookmarkEnd w:id="228"/>
      <w:r>
        <w:rPr>
          <w:rtl w:val="true"/>
        </w:rPr>
        <w:t>بررسی روایات</w:t>
      </w:r>
      <w:bookmarkEnd w:id="229"/>
    </w:p>
    <w:p>
      <w:pPr>
        <w:pStyle w:val="Heading5"/>
        <w:numPr>
          <w:ilvl w:val="4"/>
          <w:numId w:val="1"/>
        </w:numPr>
        <w:rPr/>
      </w:pPr>
      <w:bookmarkStart w:id="230" w:name="__RefHeading___Toc1510253_2281741623"/>
      <w:bookmarkStart w:id="231" w:name="_Toc88"/>
      <w:bookmarkEnd w:id="230"/>
      <w:r>
        <w:rPr>
          <w:rtl w:val="true"/>
        </w:rPr>
        <w:t>روایات اهل سنت</w:t>
      </w:r>
      <w:bookmarkEnd w:id="231"/>
    </w:p>
    <w:p>
      <w:pPr>
        <w:pStyle w:val="BookText"/>
        <w:rPr/>
      </w:pPr>
      <w:r>
        <w:rPr>
          <w:rFonts w:ascii="IRNazanin" w:hAnsi="IRNazanin" w:eastAsia="IRNazanin"/>
          <w:color w:val="111111"/>
          <w:sz w:val="28"/>
          <w:sz w:val="28"/>
          <w:szCs w:val="28"/>
          <w:rtl w:val="true"/>
          <w:lang w:bidi="fa-IR"/>
        </w:rPr>
        <w:t>بهترین مدرک و مستند برای گام نهادن در مسیر معین شده از سوی پیامبر خاتم صلی الله علیه و آله  بررسی سیره و سخن ایشان است که در روایات اهل‌سنت و شیعه بدان اشاره شده است</w:t>
      </w:r>
      <w:r>
        <w:rPr>
          <w:rFonts w:eastAsia="IRNazanin" w:cs="IRNazanin"/>
          <w:color w:val="111111"/>
          <w:sz w:val="28"/>
          <w:szCs w:val="28"/>
          <w:rtl w:val="true"/>
          <w:lang w:bidi="fa-IR"/>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بخاری در صحیح خود که به باور اهل‌سنت، برترین کتاب پس از قرآن کریم است، در باب ویژه ای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تأخیرِ الظُّهر الی العَصْرِ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مسأله پرداخته و سنت و سیره پیامبر را بررسی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می 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النَّبِیّ صلی الله علیه و آله صَلّی بِالْمَدینَةِ سَبْعاً وَثَمانِیاً، الظُّهرَ وَالْعَصْرَ، وَالْمَغْرِبَ وَالْعِشاءَ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پیامبر هفت رکعت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نماز </w:t>
      </w:r>
    </w:p>
    <w:p>
      <w:pPr>
        <w:pStyle w:val="BookText"/>
        <w:rPr/>
      </w:pPr>
      <w:r>
        <w:rPr>
          <w:rFonts w:ascii="IRNazanin" w:hAnsi="IRNazanin" w:eastAsia="IRNazanin"/>
          <w:color w:val="111111"/>
          <w:sz w:val="28"/>
          <w:sz w:val="28"/>
          <w:szCs w:val="28"/>
          <w:rtl w:val="true"/>
          <w:lang w:bidi="fa-IR"/>
        </w:rPr>
        <w:t>مغرب و عشا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هشت رکعت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 ظهر و عصر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مدینه به جای آورد</w:t>
      </w:r>
      <w:r>
        <w:rPr>
          <w:rFonts w:eastAsia="IRNazanin" w:cs="IRNazanin"/>
          <w:color w:val="111111"/>
          <w:sz w:val="28"/>
          <w:szCs w:val="28"/>
          <w:rtl w:val="true"/>
          <w:lang w:bidi="fa-IR"/>
        </w:rPr>
        <w:t>.</w:t>
      </w:r>
      <w:r>
        <w:rPr>
          <w:rStyle w:val="FootnoteAnchor"/>
          <w:rtl w:val="true"/>
        </w:rPr>
        <w:footnoteReference w:id="184"/>
      </w:r>
    </w:p>
    <w:p>
      <w:pPr>
        <w:pStyle w:val="BookText"/>
        <w:rPr/>
      </w:pPr>
      <w:r>
        <w:rPr>
          <w:rFonts w:ascii="IRNazanin" w:hAnsi="IRNazanin" w:eastAsia="IRNazanin"/>
          <w:color w:val="111111"/>
          <w:sz w:val="28"/>
          <w:sz w:val="28"/>
          <w:szCs w:val="28"/>
          <w:rtl w:val="true"/>
          <w:lang w:bidi="fa-IR"/>
        </w:rPr>
        <w:t xml:space="preserve">از این روایت به خوبی روشن می شود که می توان نماز ظهر را به تأخیر انداخت و در وقت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فضیلت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نماز عصر، هر دو را با هم ادا کرد و همچنین نماز مغرب را نیز به تأخیر انداخت و در وقت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فضیلت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عشا به جای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نیز چنین نقل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عمر، ابوایّوب انصاری و عبداللّه بن عباس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دو نماز مغرب و عشا را با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بدون فاصله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جا آورد؛</w:t>
      </w:r>
      <w:r>
        <w:rPr>
          <w:rStyle w:val="FootnoteAnchor"/>
          <w:rtl w:val="true"/>
        </w:rPr>
        <w:footnoteReference w:id="185"/>
      </w:r>
      <w:r>
        <w:rPr>
          <w:rFonts w:ascii="IRNazanin" w:hAnsi="IRNazanin" w:eastAsia="IRNazanin"/>
          <w:color w:val="111111"/>
          <w:sz w:val="28"/>
          <w:sz w:val="28"/>
          <w:szCs w:val="28"/>
          <w:rtl w:val="true"/>
          <w:lang w:bidi="fa-IR"/>
        </w:rPr>
        <w:t>بدین معنا که پیامبر گرامی نماز مغرب و عشا را با هم خواند؛ وگرنه معلوم است که پیامبر نماز مغرب و عشا را می خوانده است</w:t>
      </w:r>
      <w:r>
        <w:rPr>
          <w:rFonts w:eastAsia="IRNazanin" w:cs="IRNazanin"/>
          <w:color w:val="111111"/>
          <w:sz w:val="28"/>
          <w:szCs w:val="28"/>
          <w:rtl w:val="true"/>
          <w:lang w:bidi="fa-IR"/>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بخاری در جای دیگری 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اباامامه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نماز ظهر را با عمر بن عبدالعزیز خواندیم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از مسجد خارج شدیم تا اینکه به انس بن مالک برخوردیم که نماز عصر می‌خواند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روی شگفتی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عمو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چه نمازی است که خواندی؟ او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نماز عصر را خواندم و این همان </w:t>
      </w:r>
    </w:p>
    <w:p>
      <w:pPr>
        <w:pStyle w:val="BookText"/>
        <w:rPr/>
      </w:pPr>
      <w:r>
        <w:rPr>
          <w:rFonts w:ascii="IRNazanin" w:hAnsi="IRNazanin" w:eastAsia="IRNazanin"/>
          <w:color w:val="111111"/>
          <w:sz w:val="28"/>
          <w:sz w:val="28"/>
          <w:szCs w:val="28"/>
          <w:rtl w:val="true"/>
          <w:lang w:bidi="fa-IR"/>
        </w:rPr>
        <w:t>نمازی است که همواره با پیامبر اکرم صلی الله علیه و آله می‌خواندیم</w:t>
      </w:r>
      <w:r>
        <w:rPr>
          <w:rFonts w:eastAsia="IRNazanin" w:cs="IRNazanin"/>
          <w:color w:val="111111"/>
          <w:sz w:val="28"/>
          <w:szCs w:val="28"/>
          <w:rtl w:val="true"/>
          <w:lang w:bidi="fa-IR"/>
        </w:rPr>
        <w:t>.</w:t>
      </w:r>
      <w:r>
        <w:rPr>
          <w:rStyle w:val="FootnoteAnchor"/>
          <w:rtl w:val="true"/>
        </w:rPr>
        <w:footnoteReference w:id="186"/>
      </w:r>
    </w:p>
    <w:p>
      <w:pPr>
        <w:pStyle w:val="BookText"/>
        <w:rPr/>
      </w:pPr>
      <w:r>
        <w:rPr>
          <w:rFonts w:ascii="IRNazanin" w:hAnsi="IRNazanin" w:eastAsia="IRNazanin"/>
          <w:color w:val="111111"/>
          <w:sz w:val="28"/>
          <w:sz w:val="28"/>
          <w:szCs w:val="28"/>
          <w:rtl w:val="true"/>
          <w:lang w:bidi="fa-IR"/>
        </w:rPr>
        <w:t>مسلم بن حجّاج از بزرگان و موثّقان اهل‌سنت نیز در صحیح خود نقل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به ابن‌عباس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سخنی نگفت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دوباره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ابن‌عباس سکوت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پاسخی نداد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چهارمین بار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برآشفت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بی‌مادر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تو می خواهی نماز را به ما بیاموزی؟ در حالی که ما با پیامبر، بین دو نماز جمع می‌کردیم و هر دو را با هم به جا می‌آوردیم</w:t>
      </w:r>
      <w:r>
        <w:rPr>
          <w:rFonts w:eastAsia="IRNazanin" w:cs="IRNazanin"/>
          <w:color w:val="111111"/>
          <w:sz w:val="28"/>
          <w:szCs w:val="28"/>
          <w:rtl w:val="true"/>
          <w:lang w:bidi="fa-IR"/>
        </w:rPr>
        <w:t>.</w:t>
      </w:r>
      <w:r>
        <w:rPr>
          <w:rStyle w:val="FootnoteAnchor"/>
          <w:rtl w:val="true"/>
        </w:rPr>
        <w:footnoteReference w:id="187"/>
      </w:r>
    </w:p>
    <w:p>
      <w:pPr>
        <w:pStyle w:val="BookText"/>
        <w:rPr/>
      </w:pPr>
      <w:r>
        <w:rPr>
          <w:rFonts w:ascii="IRNazanin" w:hAnsi="IRNazanin" w:eastAsia="IRNazanin"/>
          <w:color w:val="111111"/>
          <w:sz w:val="28"/>
          <w:sz w:val="28"/>
          <w:szCs w:val="28"/>
          <w:rtl w:val="true"/>
          <w:lang w:bidi="fa-IR"/>
        </w:rPr>
        <w:t xml:space="preserve">همو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جَمَعَ رَسوُل اللَّهِ صلی الله علیه و آله بَیْنَ الظُّهْر وَ الْعَصرِ، وَ بَیْنَ الْمَغْرِبِ وَ الْعِشاءِ بِالْمَدینَةِ مِنْ غَیْرِ خَوْفٍ وَلا مَطَرٍ قالَ فَقیلَ لاِبْنِ عَبَّاس ما اَرادَ بِذالِکَ؟ قالَ اَرادَ اَنْ لا یُحْرِجَ اُمَّتَهُ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پیامبر خدا صلی الله علیه و آله بین نماز ظهر و عصر و مغرب و عشا در شهر مدینه جمع کرد، در حالی که نه ترسی بود و نه بارانی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ابن‌عباس 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پیامبر از این کار چه بود؟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 بود که امتش را به زحمت و حَرَج نیفکند</w:t>
      </w:r>
      <w:r>
        <w:rPr>
          <w:rFonts w:eastAsia="IRNazanin" w:cs="IRNazanin"/>
          <w:color w:val="111111"/>
          <w:sz w:val="28"/>
          <w:szCs w:val="28"/>
          <w:rtl w:val="true"/>
          <w:lang w:bidi="fa-IR"/>
        </w:rPr>
        <w:t>.</w:t>
      </w:r>
      <w:r>
        <w:rPr>
          <w:rStyle w:val="FootnoteAnchor"/>
          <w:rtl w:val="true"/>
        </w:rPr>
        <w:footnoteReference w:id="188"/>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افزون بر آنچه اشاره کردیم، دیگر بزرگان اهل‌سنت نیز بر این شیوه پیامبر اعظم صلی الله علیه و آله مُعترف اند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عبدالله بن عباس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نماز ظهر و عصر و مغرب و عشا را با هم خواند، بدون اینکه ترسی یا سفری در پیش باشد</w:t>
      </w:r>
      <w:r>
        <w:rPr>
          <w:rFonts w:eastAsia="IRNazanin" w:cs="IRNazanin"/>
          <w:color w:val="111111"/>
          <w:sz w:val="28"/>
          <w:szCs w:val="28"/>
          <w:rtl w:val="true"/>
          <w:lang w:bidi="fa-IR"/>
        </w:rPr>
        <w:t>.</w:t>
      </w:r>
      <w:r>
        <w:rPr>
          <w:rStyle w:val="FootnoteAnchor"/>
          <w:rtl w:val="true"/>
        </w:rPr>
        <w:footnoteReference w:id="189"/>
      </w:r>
      <w:r>
        <w:rPr>
          <w:rFonts w:ascii="IRNazanin" w:hAnsi="IRNazanin" w:eastAsia="IRNazanin"/>
          <w:color w:val="111111"/>
          <w:sz w:val="28"/>
          <w:sz w:val="28"/>
          <w:szCs w:val="28"/>
          <w:rtl w:val="true"/>
          <w:lang w:bidi="fa-IR"/>
        </w:rPr>
        <w:t>احمد بن حنبل در مسند خود از عبدالله بن شقیق چنین روایت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یکی از روزها ابن‌عباس بعد از نماز عصر سخنرانی کرد تا اینکه خورشید غروب کرد و ستارگان آشکار شد و مردم ندای نماز دادند و در آن میان مردی از بنی‌تمیم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نماز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ابن‌عباس خشمگین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تو می‌خواهی سنت پیامبر را به من بیاموزی؟ من شاهد بودم که رسول خدا صلی الله علیه و آله بین ظهر و عصر و بین مغرب و عشا جمع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شقیق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دل تردید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ازاینرو، با ابوهریره ملاقات کردم و از او پرسیدم و ابوهریره سخن ابن‌عباس را تأیید کرد</w:t>
      </w:r>
      <w:r>
        <w:rPr>
          <w:rFonts w:eastAsia="IRNazanin" w:cs="IRNazanin"/>
          <w:color w:val="111111"/>
          <w:sz w:val="28"/>
          <w:szCs w:val="28"/>
          <w:rtl w:val="true"/>
          <w:lang w:bidi="fa-IR"/>
        </w:rPr>
        <w:t>.</w:t>
      </w:r>
      <w:r>
        <w:rPr>
          <w:rStyle w:val="FootnoteAnchor"/>
          <w:rtl w:val="true"/>
        </w:rPr>
        <w:footnoteReference w:id="190"/>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عبداللّه بن عمر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در حالی که ساکن و در حضر بود و در حال سفر نبود، بین نماز ظهر و عصر و نماز مغرب و عشا جمع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از ابن‌عمر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حضرت چنین کرد؟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اینکه امت خود را در رنج و سختی نیندازد واگر شخصی بخواهد، بین دو نماز جمع کند</w:t>
      </w:r>
      <w:r>
        <w:rPr>
          <w:rFonts w:eastAsia="IRNazanin" w:cs="IRNazanin"/>
          <w:color w:val="111111"/>
          <w:sz w:val="28"/>
          <w:szCs w:val="28"/>
          <w:rtl w:val="true"/>
          <w:lang w:bidi="fa-IR"/>
        </w:rPr>
        <w:t>.</w:t>
      </w:r>
      <w:r>
        <w:rPr>
          <w:rStyle w:val="FootnoteAnchor"/>
          <w:rtl w:val="true"/>
        </w:rPr>
        <w:footnoteReference w:id="191"/>
      </w:r>
      <w:bookmarkStart w:id="232" w:name="pg3848_38717"/>
    </w:p>
    <w:p>
      <w:pPr>
        <w:pStyle w:val="Heading5"/>
        <w:numPr>
          <w:ilvl w:val="4"/>
          <w:numId w:val="1"/>
        </w:numPr>
        <w:rPr/>
      </w:pPr>
      <w:bookmarkStart w:id="233" w:name="__RefHeading___Toc1510255_2281741623"/>
      <w:bookmarkStart w:id="234" w:name="_Toc89"/>
      <w:bookmarkEnd w:id="232"/>
      <w:bookmarkEnd w:id="233"/>
      <w:r>
        <w:rPr>
          <w:rtl w:val="true"/>
        </w:rPr>
        <w:t>روایات شیعه</w:t>
      </w:r>
      <w:bookmarkEnd w:id="234"/>
    </w:p>
    <w:p>
      <w:pPr>
        <w:pStyle w:val="BookText"/>
        <w:rPr/>
      </w:pPr>
      <w:r>
        <w:rPr>
          <w:rFonts w:ascii="IRNazanin" w:hAnsi="IRNazanin" w:eastAsia="IRNazanin"/>
          <w:color w:val="111111"/>
          <w:sz w:val="28"/>
          <w:sz w:val="28"/>
          <w:szCs w:val="28"/>
          <w:rtl w:val="true"/>
          <w:lang w:bidi="fa-IR"/>
        </w:rPr>
        <w:t>در روایات شیعه نیز این اصل قطعی و مسلّم دانسته و بر استمرار سیره رسول الله بر این منوال تأکید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صدوق از امام صادق علیه السلام نقل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میان ظهر و عصر، با اذان و دو اقامه جمع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ایشان بین مغرب و عشا در حضر و بدون هیچ علتی، با یک اذان و دو اقامه جمع نمود</w:t>
      </w:r>
      <w:r>
        <w:rPr>
          <w:rFonts w:eastAsia="IRNazanin" w:cs="IRNazanin"/>
          <w:color w:val="111111"/>
          <w:sz w:val="28"/>
          <w:szCs w:val="28"/>
          <w:rtl w:val="true"/>
          <w:lang w:bidi="fa-IR"/>
        </w:rPr>
        <w:t>.</w:t>
      </w:r>
      <w:r>
        <w:rPr>
          <w:rStyle w:val="FootnoteAnchor"/>
          <w:rtl w:val="true"/>
        </w:rPr>
        <w:footnoteReference w:id="192"/>
      </w:r>
    </w:p>
    <w:p>
      <w:pPr>
        <w:pStyle w:val="BookText"/>
        <w:rPr/>
      </w:pPr>
      <w:r>
        <w:rPr>
          <w:rFonts w:ascii="IRNazanin" w:hAnsi="IRNazanin" w:eastAsia="IRNazanin"/>
          <w:color w:val="111111"/>
          <w:sz w:val="28"/>
          <w:sz w:val="28"/>
          <w:szCs w:val="28"/>
          <w:rtl w:val="true"/>
          <w:lang w:bidi="fa-IR"/>
        </w:rPr>
        <w:t>همچنین زراره از آن حضرت چنین نقل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خدا صلی الله علیه و آله نماز ظهر و عصر را به صورت جماعت و بدون هیچ علتی اقامه کرد و با آنان، نماز مغرب و عشا را هم پیش از ساقط شدن شفق و به صورت جماعت، بی‌هیچ علتی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این کار را برای توسعه وقت بر امت خویش انجام داد</w:t>
      </w:r>
      <w:r>
        <w:rPr>
          <w:rFonts w:eastAsia="IRNazanin" w:cs="IRNazanin"/>
          <w:color w:val="111111"/>
          <w:sz w:val="28"/>
          <w:szCs w:val="28"/>
          <w:rtl w:val="true"/>
          <w:lang w:bidi="fa-IR"/>
        </w:rPr>
        <w:t>.</w:t>
      </w:r>
      <w:r>
        <w:rPr>
          <w:rStyle w:val="FootnoteAnchor"/>
          <w:rtl w:val="true"/>
        </w:rPr>
        <w:footnoteReference w:id="193"/>
      </w:r>
    </w:p>
    <w:p>
      <w:pPr>
        <w:pStyle w:val="Heading5"/>
        <w:numPr>
          <w:ilvl w:val="4"/>
          <w:numId w:val="1"/>
        </w:numPr>
        <w:rPr/>
      </w:pPr>
      <w:bookmarkStart w:id="235" w:name="__RefHeading___Toc1510257_2281741623"/>
      <w:bookmarkStart w:id="236" w:name="_Toc90"/>
      <w:bookmarkEnd w:id="235"/>
      <w:r>
        <w:rPr>
          <w:rtl w:val="true"/>
        </w:rPr>
        <w:t>نقدی کوتاه بر توجیهات اهل سنت</w:t>
      </w:r>
      <w:bookmarkEnd w:id="236"/>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اهل‌سنت با توجه با وجود روایات فراوانی که در کتب موثّق آنان آمده، دست به دامن یکسری توجیه و علت‌تراشی برای این جمع بین دو نماز شده اند؛ زیرا با توجه به شفافیت و حقیقت سیره پیامبر، نادرستی و عدم اتقان توجیهات و روایاتی که در آنها جمع </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بین صلاتین منحصر و مخصوص مسافرت،</w:t>
      </w:r>
      <w:r>
        <w:rPr>
          <w:rStyle w:val="FootnoteAnchor"/>
          <w:rtl w:val="true"/>
        </w:rPr>
        <w:footnoteReference w:id="194"/>
      </w:r>
      <w:r>
        <w:rPr>
          <w:rFonts w:ascii="IRNazanin" w:hAnsi="IRNazanin" w:eastAsia="IRNazanin"/>
          <w:color w:val="111111"/>
          <w:sz w:val="28"/>
          <w:sz w:val="28"/>
          <w:szCs w:val="28"/>
          <w:rtl w:val="true"/>
          <w:lang w:bidi="fa-IR"/>
        </w:rPr>
        <w:t>جنگ،</w:t>
      </w:r>
      <w:r>
        <w:rPr>
          <w:rStyle w:val="FootnoteAnchor"/>
          <w:rtl w:val="true"/>
        </w:rPr>
        <w:footnoteReference w:id="195"/>
      </w:r>
      <w:r>
        <w:rPr>
          <w:rFonts w:ascii="IRNazanin" w:hAnsi="IRNazanin" w:eastAsia="IRNazanin"/>
          <w:color w:val="111111"/>
          <w:sz w:val="28"/>
          <w:sz w:val="28"/>
          <w:szCs w:val="28"/>
          <w:rtl w:val="true"/>
          <w:lang w:bidi="fa-IR"/>
        </w:rPr>
        <w:t>عجله و شتاب،</w:t>
      </w:r>
      <w:r>
        <w:rPr>
          <w:rStyle w:val="FootnoteAnchor"/>
          <w:rtl w:val="true"/>
        </w:rPr>
        <w:footnoteReference w:id="196"/>
      </w:r>
      <w:r>
        <w:rPr>
          <w:rFonts w:ascii="IRNazanin" w:hAnsi="IRNazanin" w:eastAsia="IRNazanin"/>
          <w:color w:val="111111"/>
          <w:sz w:val="28"/>
          <w:sz w:val="28"/>
          <w:szCs w:val="28"/>
          <w:rtl w:val="true"/>
          <w:lang w:bidi="fa-IR"/>
        </w:rPr>
        <w:t>بارندگی،</w:t>
      </w:r>
      <w:r>
        <w:rPr>
          <w:rStyle w:val="FootnoteAnchor"/>
          <w:rtl w:val="true"/>
        </w:rPr>
        <w:footnoteReference w:id="197"/>
      </w:r>
      <w:r>
        <w:rPr>
          <w:rFonts w:ascii="IRNazanin" w:hAnsi="IRNazanin" w:eastAsia="IRNazanin"/>
          <w:color w:val="111111"/>
          <w:sz w:val="28"/>
          <w:sz w:val="28"/>
          <w:szCs w:val="28"/>
          <w:rtl w:val="true"/>
          <w:lang w:bidi="fa-IR"/>
        </w:rPr>
        <w:t>مریضی</w:t>
      </w:r>
      <w:r>
        <w:rPr>
          <w:rStyle w:val="FootnoteAnchor"/>
          <w:rtl w:val="true"/>
        </w:rPr>
        <w:footnoteReference w:id="198"/>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دانسته شده، روشن می گردد؛ </w:t>
      </w:r>
    </w:p>
    <w:p>
      <w:pPr>
        <w:pStyle w:val="BookText"/>
        <w:rPr/>
      </w:pPr>
      <w:r>
        <w:rPr>
          <w:rFonts w:ascii="IRNazanin" w:hAnsi="IRNazanin" w:eastAsia="IRNazanin"/>
          <w:color w:val="111111"/>
          <w:sz w:val="28"/>
          <w:sz w:val="28"/>
          <w:szCs w:val="28"/>
          <w:rtl w:val="true"/>
          <w:lang w:bidi="fa-IR"/>
        </w:rPr>
        <w:t>زیرا از مفاد این‌گونه روایات، هر چند بیانگر آن است که پیامبر در سفر یا جنگ جمع بین صلاتین می‌نمود، اختصاص داشتن این جمع به سفر یا جنگ استفاده نمی‌شود؛ زیرا فعل لسان ندارد که بتوان از انحصار، جواز را استفاده کرد</w:t>
      </w:r>
      <w:r>
        <w:rPr>
          <w:rFonts w:eastAsia="IRNazanin" w:cs="IRNazanin"/>
          <w:color w:val="111111"/>
          <w:sz w:val="28"/>
          <w:szCs w:val="28"/>
          <w:rtl w:val="true"/>
          <w:lang w:bidi="fa-IR"/>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علاوه، در اصول فقه این مبحث وجود دارد که مورد مخصص نیست؛ یعنی هرگاه قضیه‌ای در این مورد اتفاق افتاد، نمی‌توان آن را به آن مورد منحصر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اینجا هم هر چند مورد جمع صلاتین سفر یا جنگ است، نمی‌توان گفت جمع منحصر به آنهاست؛ زیرا سفر یا جنگ، ظرف وقوع فعل است و تا زمانی که تقید حکم به ظرف از دلیل استفاده نشود، نمی‌توان </w:t>
      </w:r>
      <w:bookmarkStart w:id="237" w:name="pg3848_38720"/>
    </w:p>
    <w:p>
      <w:pPr>
        <w:pStyle w:val="BookText"/>
        <w:rPr/>
      </w:pPr>
      <w:bookmarkEnd w:id="237"/>
      <w:r>
        <w:rPr>
          <w:rFonts w:ascii="IRNazanin" w:hAnsi="IRNazanin" w:eastAsia="IRNazanin"/>
          <w:color w:val="111111"/>
          <w:sz w:val="28"/>
          <w:sz w:val="28"/>
          <w:szCs w:val="28"/>
          <w:rtl w:val="true"/>
          <w:lang w:bidi="fa-IR"/>
        </w:rPr>
        <w:t>به مجرد وقوع حکم در ظرف یا حالتی، آن را به آن ظرف یا حالت منحصر کرد</w:t>
      </w:r>
      <w:r>
        <w:rPr>
          <w:rFonts w:eastAsia="IRNazanin" w:cs="IRNazanin"/>
          <w:color w:val="111111"/>
          <w:sz w:val="28"/>
          <w:szCs w:val="28"/>
          <w:rtl w:val="true"/>
          <w:lang w:bidi="fa-IR"/>
        </w:rPr>
        <w:t>.</w:t>
      </w:r>
      <w:r>
        <w:rPr>
          <w:rStyle w:val="FootnoteAnchor"/>
          <w:rtl w:val="true"/>
        </w:rPr>
        <w:footnoteReference w:id="199"/>
      </w:r>
    </w:p>
    <w:p>
      <w:pPr>
        <w:pStyle w:val="BookText"/>
        <w:rPr/>
      </w:pPr>
      <w:r>
        <w:rPr>
          <w:rFonts w:ascii="IRNazanin" w:hAnsi="IRNazanin" w:eastAsia="IRNazanin"/>
          <w:color w:val="111111"/>
          <w:sz w:val="28"/>
          <w:sz w:val="28"/>
          <w:szCs w:val="28"/>
          <w:rtl w:val="true"/>
          <w:lang w:bidi="fa-IR"/>
        </w:rPr>
        <w:t>به عبارت دیگر، اگرچه پیامبر و صحابه نماز را به صورت تفریق می‌خوانده اند، این تفریق یک سنت است و سنت عملی نمی تواند وجوب این عمل را ثابت کند؛ بلکه اعم از وجوب، استحباب و اباحه است و حمل آن بر وجوب، به دلیل جداگانه نیاز دارد</w:t>
      </w:r>
      <w:r>
        <w:rPr>
          <w:rFonts w:eastAsia="IRNazanin" w:cs="IRNazanin"/>
          <w:color w:val="111111"/>
          <w:sz w:val="28"/>
          <w:szCs w:val="28"/>
          <w:rtl w:val="true"/>
          <w:lang w:bidi="fa-IR"/>
        </w:rPr>
        <w:t>.</w:t>
      </w:r>
      <w:r>
        <w:rPr>
          <w:rStyle w:val="FootnoteAnchor"/>
          <w:rtl w:val="true"/>
        </w:rPr>
        <w:footnoteReference w:id="200"/>
      </w:r>
    </w:p>
    <w:p>
      <w:pPr>
        <w:pStyle w:val="Heading5"/>
        <w:numPr>
          <w:ilvl w:val="4"/>
          <w:numId w:val="1"/>
        </w:numPr>
        <w:rPr/>
      </w:pPr>
      <w:bookmarkStart w:id="238" w:name="__RefHeading___Toc1510259_2281741623"/>
      <w:bookmarkStart w:id="239" w:name="_Toc91"/>
      <w:bookmarkEnd w:id="238"/>
      <w:r>
        <w:rPr>
          <w:rtl w:val="true"/>
        </w:rPr>
        <w:t>واکاوی علت اصلی</w:t>
      </w:r>
      <w:bookmarkEnd w:id="239"/>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علت اصلی این جمع، بنا بر آنچه در روایات منقول از رسول خدا صلی الله علیه و آله آمده،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تسهیل بر 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دانسته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ازاینرو، تعابیری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لیتسع الوقت علی امته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اَرادَ اَنْ لا یُحْرِجَ اُمَّتَهُ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مانند آن در روایات مرتبط، گویای همین مطلب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ضمن اینکه عقل عرفی نیز مؤید این جمع است؛ زیرا اگر در آن زمان جدا خواندن نماز مشقت داشت، امروزه با توجه به گستردگی مشاغل و گرفتاری های فراوان زندگی، این مشقت بیشتر شده است؛ در حالی که اسلام دین سهل و سمحی است و به یقین خواستار </w:t>
      </w:r>
    </w:p>
    <w:p>
      <w:pPr>
        <w:pStyle w:val="BookText"/>
        <w:rPr/>
      </w:pPr>
      <w:r>
        <w:rPr>
          <w:rFonts w:ascii="IRNazanin" w:hAnsi="IRNazanin" w:eastAsia="IRNazanin"/>
          <w:color w:val="111111"/>
          <w:sz w:val="28"/>
          <w:sz w:val="28"/>
          <w:szCs w:val="28"/>
          <w:rtl w:val="true"/>
          <w:lang w:bidi="fa-IR"/>
        </w:rPr>
        <w:t>عسر و حرج برای مسلمانان نیست</w:t>
      </w:r>
      <w:r>
        <w:rPr>
          <w:rFonts w:eastAsia="IRNazanin" w:cs="IRNazanin"/>
          <w:color w:val="111111"/>
          <w:sz w:val="28"/>
          <w:szCs w:val="28"/>
          <w:rtl w:val="true"/>
          <w:lang w:bidi="fa-IR"/>
        </w:rPr>
        <w:t>.</w:t>
      </w:r>
      <w:r>
        <w:rPr>
          <w:rStyle w:val="FootnoteAnchor"/>
          <w:rtl w:val="true"/>
        </w:rPr>
        <w:footnoteReference w:id="201"/>
      </w:r>
      <w:r>
        <w:rPr>
          <w:rFonts w:ascii="IRNazanin" w:hAnsi="IRNazanin" w:eastAsia="IRNazanin"/>
          <w:color w:val="111111"/>
          <w:sz w:val="28"/>
          <w:sz w:val="28"/>
          <w:szCs w:val="28"/>
          <w:rtl w:val="true"/>
          <w:lang w:bidi="fa-IR"/>
        </w:rPr>
        <w:t>ازاینرو، هر چند خواندن نماز در پنج وقت برتر باشد، نباید مسلمانان را به آن الزام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علامه شرف‌الدین 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احادیث صحیح و صریح دلالت دارد بر اینکه علت تشریع جمع بین دو نماز، توسعه به طور مطلق بر امت اسلامی بوده تا به سبب تفریق به حرج و دشواری نیفتند؛ به ویژه اهل کسب و کار که بیشتر مردم را تشکیل می دهند</w:t>
      </w:r>
      <w:r>
        <w:rPr>
          <w:rFonts w:eastAsia="IRNazanin" w:cs="IRNazanin"/>
          <w:color w:val="111111"/>
          <w:sz w:val="28"/>
          <w:szCs w:val="28"/>
          <w:rtl w:val="true"/>
          <w:lang w:bidi="fa-IR"/>
        </w:rPr>
        <w:t>.</w:t>
      </w:r>
      <w:r>
        <w:rPr>
          <w:rStyle w:val="FootnoteAnchor"/>
          <w:rtl w:val="true"/>
        </w:rPr>
        <w:footnoteReference w:id="202"/>
      </w:r>
    </w:p>
    <w:p>
      <w:pPr>
        <w:pStyle w:val="BookText"/>
        <w:rPr/>
      </w:pPr>
      <w:r>
        <w:rPr>
          <w:rFonts w:ascii="IRNazanin" w:hAnsi="IRNazanin" w:eastAsia="IRNazanin"/>
          <w:color w:val="111111"/>
          <w:sz w:val="28"/>
          <w:sz w:val="28"/>
          <w:szCs w:val="28"/>
          <w:rtl w:val="true"/>
          <w:lang w:bidi="fa-IR"/>
        </w:rPr>
        <w:t>ضمن اینکه این سیره با مقتضای دلالت قرآن کریم نیز سازگار است؛ زیرا قرآن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أَقِمِ الصَّلاةَ لِدُلُوکِ الشَّمْسِ إِلی غَسَقِ اللَّیْلِ و قُرْآنَ الْفَجْرِ إِنَّ قُرْآنَ الْفَجْرِ کانَ مَشْهُوداً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نماز را از زوال خورشید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 ظهر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نهایت تاریکی شب برپا دار و همچنین قرآنِ فجر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 صبح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چرا که قرآن فجر، مشهود است</w:t>
      </w:r>
      <w:r>
        <w:rPr>
          <w:rFonts w:eastAsia="IRNazanin" w:cs="IRNazanin"/>
          <w:color w:val="111111"/>
          <w:sz w:val="28"/>
          <w:szCs w:val="28"/>
          <w:rtl w:val="true"/>
          <w:lang w:bidi="fa-IR"/>
        </w:rPr>
        <w:t>.</w:t>
      </w:r>
      <w:r>
        <w:rPr>
          <w:rStyle w:val="FootnoteAnchor"/>
          <w:rtl w:val="true"/>
        </w:rPr>
        <w:footnoteReference w:id="203"/>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آیه بر این دلالت دارد که وقت نماز ظهر تا آخر روز وسعت دارد؛ چون خداوند از زوال ظهر تا نیمه شب را وقت چهار نماز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 اینکه ظهر و عصر از زوال تا غروب، وقت مشترک دارند، مغرب و عشاء هم از غروب تا غسق، دارای وقت </w:t>
      </w:r>
    </w:p>
    <w:p>
      <w:pPr>
        <w:pStyle w:val="BookText"/>
        <w:rPr/>
      </w:pPr>
      <w:r>
        <w:rPr>
          <w:rFonts w:ascii="IRNazanin" w:hAnsi="IRNazanin" w:eastAsia="IRNazanin"/>
          <w:color w:val="111111"/>
          <w:sz w:val="28"/>
          <w:sz w:val="28"/>
          <w:szCs w:val="28"/>
          <w:rtl w:val="true"/>
          <w:lang w:bidi="fa-IR"/>
        </w:rPr>
        <w:t xml:space="preserve">مشترکاند، و وقت نماز صبح را هم جداگانه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وقرآن الفجر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آیه، وجوب نمازهای پنجگانه و وقت آنها بیان شده است</w:t>
      </w:r>
      <w:r>
        <w:rPr>
          <w:rFonts w:eastAsia="IRNazanin" w:cs="IRNazanin"/>
          <w:color w:val="111111"/>
          <w:sz w:val="28"/>
          <w:szCs w:val="28"/>
          <w:rtl w:val="true"/>
          <w:lang w:bidi="fa-IR"/>
        </w:rPr>
        <w:t>.</w:t>
      </w:r>
      <w:r>
        <w:rPr>
          <w:rStyle w:val="FootnoteAnchor"/>
          <w:rtl w:val="true"/>
        </w:rPr>
        <w:footnoteReference w:id="204"/>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فخر رازی نیز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غسَق را به ظهور اول تاریکی معنا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همانگونه که از ابنعباس و عطا و نضر بن شمیل رسیده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غسق عبارت است از اول مغرب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ازاینرو، طبق این فرض در آیه، سه وقت بیان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زوال، اول مغرب و هنگام فجر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 معنا مستلزم آن است که زوال، وقت ظهر و عصر باشد و وقت مشترک بین نماز ظهر و عصر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اول مغرب وقت نماز مغرب و عشا و مشترک بین این دو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بیان اقتضا دارد که مطلقاً جمع بین ظهر و عصر و مغرب و عشا جایز باشد</w:t>
      </w:r>
      <w:r>
        <w:rPr>
          <w:rFonts w:eastAsia="IRNazanin" w:cs="IRNazanin"/>
          <w:color w:val="111111"/>
          <w:sz w:val="28"/>
          <w:szCs w:val="28"/>
          <w:rtl w:val="true"/>
          <w:lang w:bidi="fa-IR"/>
        </w:rPr>
        <w:t>.</w:t>
      </w:r>
      <w:r>
        <w:rPr>
          <w:rStyle w:val="FootnoteAnchor"/>
          <w:rtl w:val="true"/>
        </w:rPr>
        <w:footnoteReference w:id="205"/>
      </w:r>
      <w:bookmarkStart w:id="240" w:name="pg3848_38723"/>
    </w:p>
    <w:p>
      <w:pPr>
        <w:pStyle w:val="Heading2"/>
        <w:numPr>
          <w:ilvl w:val="1"/>
          <w:numId w:val="1"/>
        </w:numPr>
        <w:rPr/>
      </w:pPr>
      <w:bookmarkStart w:id="241" w:name="__RefHeading___Toc1510261_2281741623"/>
      <w:bookmarkStart w:id="242" w:name="_Toc92"/>
      <w:bookmarkEnd w:id="240"/>
      <w:bookmarkEnd w:id="241"/>
      <w:r>
        <w:rPr>
          <w:rtl w:val="true"/>
        </w:rPr>
        <w:t>بخش سوم</w:t>
      </w:r>
      <w:r>
        <w:rPr>
          <w:rtl w:val="true"/>
        </w:rPr>
        <w:t xml:space="preserve">: </w:t>
      </w:r>
      <w:r>
        <w:rPr>
          <w:rtl w:val="true"/>
        </w:rPr>
        <w:t>ارکان و واجبات نماز</w:t>
      </w:r>
      <w:bookmarkEnd w:id="242"/>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43" w:name="__RefHeading___Toc1510263_2281741623"/>
      <w:bookmarkStart w:id="244" w:name="_Toc93"/>
      <w:bookmarkEnd w:id="243"/>
      <w:r>
        <w:rPr>
          <w:rtl w:val="true"/>
        </w:rPr>
        <w:t>اشاره</w:t>
      </w:r>
      <w:bookmarkStart w:id="245" w:name="pg3848_38724"/>
      <w:bookmarkEnd w:id="244"/>
    </w:p>
    <w:p>
      <w:pPr>
        <w:pStyle w:val="Heading3"/>
        <w:numPr>
          <w:ilvl w:val="2"/>
          <w:numId w:val="1"/>
        </w:numPr>
        <w:rPr/>
      </w:pPr>
      <w:bookmarkStart w:id="246" w:name="__RefHeading___Toc1510265_2281741623"/>
      <w:bookmarkStart w:id="247" w:name="_Toc94"/>
      <w:bookmarkEnd w:id="245"/>
      <w:bookmarkEnd w:id="246"/>
      <w:r>
        <w:rPr>
          <w:rtl w:val="true"/>
        </w:rPr>
        <w:t>مقدمه</w:t>
      </w:r>
      <w:bookmarkEnd w:id="247"/>
    </w:p>
    <w:p>
      <w:pPr>
        <w:pStyle w:val="BookText"/>
        <w:rPr/>
      </w:pPr>
      <w:r>
        <w:rPr>
          <w:rFonts w:ascii="IRNazanin" w:hAnsi="IRNazanin" w:eastAsia="IRNazanin"/>
          <w:color w:val="111111"/>
          <w:sz w:val="28"/>
          <w:sz w:val="28"/>
          <w:szCs w:val="28"/>
          <w:rtl w:val="true"/>
          <w:lang w:bidi="fa-IR"/>
        </w:rPr>
        <w:t>پس از بررسی مقدمات و بایدهای مورد نیاز برای اقامه نماز، اینک به مباحث اصلی نماز و برخی جزئیات مورد اختلاف آن می پردازیم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پیش از هر چیز باید بدانیم ارکان و واجبات نماز در بین شیعیان یازده چیز است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نیت،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قیام،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تکبیرة الاحرام،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رکوع،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سجود،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قرائت،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تشهد،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ترتیب،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موالات که از این یازده مورد، پنج مورد اول رکن است؛ یعنی زیاده و نقیصه عمدی و سهوی آن، موجب بطلان نماز است، ولی در واجب غیررکنی، تنها زیاده و نقیصه عمدی موجب بطلان است</w:t>
      </w:r>
      <w:r>
        <w:rPr>
          <w:rFonts w:eastAsia="IRNazanin" w:cs="IRNazanin"/>
          <w:color w:val="111111"/>
          <w:sz w:val="28"/>
          <w:szCs w:val="28"/>
          <w:rtl w:val="true"/>
          <w:lang w:bidi="fa-IR"/>
        </w:rPr>
        <w:t>.</w:t>
      </w:r>
      <w:r>
        <w:rPr>
          <w:rStyle w:val="FootnoteAnchor"/>
          <w:rtl w:val="true"/>
        </w:rPr>
        <w:footnoteReference w:id="206"/>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ارکان و واجبات در مذاهب اسلامی، مورد اختلاف قرار گرفته است که پس از بررسی اجمالی آن، به تبیین و توضیح برخی موارد اختلافی خواهیم پرداخت</w:t>
      </w:r>
      <w:r>
        <w:rPr>
          <w:rFonts w:eastAsia="IRNazanin" w:cs="IRNazanin"/>
          <w:color w:val="111111"/>
          <w:sz w:val="28"/>
          <w:szCs w:val="28"/>
          <w:rtl w:val="true"/>
          <w:lang w:bidi="fa-IR"/>
        </w:rPr>
        <w:t xml:space="preserve">. </w:t>
      </w:r>
      <w:bookmarkStart w:id="248" w:name="pg3848_38725"/>
    </w:p>
    <w:p>
      <w:pPr>
        <w:pStyle w:val="Heading3"/>
        <w:numPr>
          <w:ilvl w:val="2"/>
          <w:numId w:val="1"/>
        </w:numPr>
        <w:rPr/>
      </w:pPr>
      <w:bookmarkStart w:id="249" w:name="__RefHeading___Toc1510267_2281741623"/>
      <w:bookmarkStart w:id="250" w:name="_Toc95"/>
      <w:bookmarkEnd w:id="248"/>
      <w:bookmarkEnd w:id="249"/>
      <w:r>
        <w:rPr>
          <w:rtl w:val="true"/>
        </w:rPr>
        <w:t>واجبات نماز از نگاه مذاهب اسلامی</w:t>
      </w:r>
      <w:bookmarkEnd w:id="250"/>
    </w:p>
    <w:p>
      <w:pPr>
        <w:pStyle w:val="Heading4"/>
        <w:numPr>
          <w:ilvl w:val="3"/>
          <w:numId w:val="1"/>
        </w:numPr>
        <w:rPr/>
      </w:pPr>
      <w:bookmarkStart w:id="251" w:name="__RefHeading___Toc1510269_2281741623"/>
      <w:bookmarkStart w:id="252" w:name="_Toc96"/>
      <w:bookmarkEnd w:id="251"/>
      <w:r>
        <w:rPr>
          <w:rtl w:val="true"/>
        </w:rPr>
        <w:t>حنبلیه</w:t>
      </w:r>
      <w:bookmarkEnd w:id="252"/>
    </w:p>
    <w:p>
      <w:pPr>
        <w:pStyle w:val="BookText"/>
        <w:rPr/>
      </w:pPr>
      <w:r>
        <w:rPr>
          <w:rFonts w:ascii="IRNazanin" w:hAnsi="IRNazanin" w:eastAsia="IRNazanin"/>
          <w:color w:val="111111"/>
          <w:sz w:val="28"/>
          <w:sz w:val="28"/>
          <w:szCs w:val="28"/>
          <w:rtl w:val="true"/>
          <w:lang w:bidi="fa-IR"/>
        </w:rPr>
        <w:t>حنبلی ها معتقدند فرایض نماز چهارده چیز است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قیام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نماز فریضه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تکبیرة الاحرام،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قرائت فاتحه،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رکوع و بلند شدن از آن،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اعتدال،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سجده و سربلند کردن از آن،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نشستن بین دو سجده،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تشهد آخر،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نشستن برای تشهد و سلام،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طمأنینه،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ترتیب فرایض،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سلام</w:t>
      </w:r>
      <w:r>
        <w:rPr>
          <w:rFonts w:eastAsia="IRNazanin" w:cs="IRNazanin"/>
          <w:color w:val="111111"/>
          <w:sz w:val="28"/>
          <w:szCs w:val="28"/>
          <w:rtl w:val="true"/>
          <w:lang w:bidi="fa-IR"/>
        </w:rPr>
        <w:t>.</w:t>
      </w:r>
    </w:p>
    <w:p>
      <w:pPr>
        <w:pStyle w:val="Heading4"/>
        <w:numPr>
          <w:ilvl w:val="3"/>
          <w:numId w:val="1"/>
        </w:numPr>
        <w:rPr/>
      </w:pPr>
      <w:bookmarkStart w:id="253" w:name="__RefHeading___Toc1510271_2281741623"/>
      <w:bookmarkStart w:id="254" w:name="_Toc97"/>
      <w:bookmarkEnd w:id="253"/>
      <w:r>
        <w:rPr>
          <w:rtl w:val="true"/>
        </w:rPr>
        <w:t>حنفیه</w:t>
      </w:r>
      <w:bookmarkEnd w:id="254"/>
    </w:p>
    <w:p>
      <w:pPr>
        <w:pStyle w:val="BookText"/>
        <w:rPr/>
      </w:pPr>
      <w:r>
        <w:rPr>
          <w:rFonts w:ascii="IRNazanin" w:hAnsi="IRNazanin" w:eastAsia="IRNazanin"/>
          <w:color w:val="111111"/>
          <w:sz w:val="28"/>
          <w:sz w:val="28"/>
          <w:szCs w:val="28"/>
          <w:rtl w:val="true"/>
          <w:lang w:bidi="fa-IR"/>
        </w:rPr>
        <w:t>بنا بر اعتقاد حنفی ها، رکن دو گونه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اصلی و زاید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رکن اصلی آن است که هنگام عجز ساقط می شود و رکن زاید آن است که در بعضی از حالت‌ها ساقط می‌شود؛ مانند قرائت که از مأموم ساقط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آنها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چهار رکن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قیام، رکوع، سجده و قرائت که قرائت فقط رکن زائد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این چهار رکن را ترک کند، به او نمازگزار نمی‌گویند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علاوه، صحت نماز مشروط به اموری خارج از حقیقتِ نماز است و آن دو قسم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اموری که خارج از ماهیت نماز است؛ یعنی طهارت از حدث و خبث، ستر عورت، قبله، دخول وقت، نیت و تحریمه</w:t>
      </w:r>
      <w:r>
        <w:rPr>
          <w:rFonts w:eastAsia="IRNazanin" w:cs="IRNazanin"/>
          <w:color w:val="111111"/>
          <w:sz w:val="28"/>
          <w:szCs w:val="28"/>
          <w:rtl w:val="true"/>
          <w:lang w:bidi="fa-IR"/>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اموری که داخل نماز است؛ یعنی ایقاع قرائت در قیام، رکوع </w:t>
      </w:r>
      <w:bookmarkStart w:id="255" w:name="pg3848_38726"/>
    </w:p>
    <w:p>
      <w:pPr>
        <w:pStyle w:val="BookText"/>
        <w:rPr/>
      </w:pPr>
      <w:bookmarkEnd w:id="255"/>
      <w:r>
        <w:rPr>
          <w:rFonts w:ascii="IRNazanin" w:hAnsi="IRNazanin" w:eastAsia="IRNazanin"/>
          <w:color w:val="111111"/>
          <w:sz w:val="28"/>
          <w:sz w:val="28"/>
          <w:szCs w:val="28"/>
          <w:rtl w:val="true"/>
          <w:lang w:bidi="fa-IR"/>
        </w:rPr>
        <w:t>بعد از قیام، سجود بعد از رکوع</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اینها شرایط نماز است که از آن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فرایض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تعبیر می‌کنند، ولی نشستن آخر، به اندازه تشهد را فرض می دانند و برخی آن را رکن می‌شمرند؛ اما خروج از نماز با سلام و مانند آن، فرض نیست، بلکه واجب است</w:t>
      </w:r>
      <w:r>
        <w:rPr>
          <w:rFonts w:eastAsia="IRNazanin" w:cs="IRNazanin"/>
          <w:color w:val="111111"/>
          <w:sz w:val="28"/>
          <w:szCs w:val="28"/>
          <w:rtl w:val="true"/>
          <w:lang w:bidi="fa-IR"/>
        </w:rPr>
        <w:t>.</w:t>
      </w:r>
    </w:p>
    <w:p>
      <w:pPr>
        <w:pStyle w:val="Heading4"/>
        <w:numPr>
          <w:ilvl w:val="3"/>
          <w:numId w:val="1"/>
        </w:numPr>
        <w:rPr/>
      </w:pPr>
      <w:bookmarkStart w:id="256" w:name="__RefHeading___Toc1510273_2281741623"/>
      <w:bookmarkStart w:id="257" w:name="_Toc98"/>
      <w:bookmarkEnd w:id="256"/>
      <w:r>
        <w:rPr>
          <w:rtl w:val="true"/>
        </w:rPr>
        <w:t>شافعیه</w:t>
      </w:r>
      <w:bookmarkEnd w:id="257"/>
    </w:p>
    <w:p>
      <w:pPr>
        <w:pStyle w:val="BookText"/>
        <w:rPr/>
      </w:pPr>
      <w:r>
        <w:rPr>
          <w:rFonts w:ascii="IRNazanin" w:hAnsi="IRNazanin" w:eastAsia="IRNazanin"/>
          <w:color w:val="111111"/>
          <w:sz w:val="28"/>
          <w:sz w:val="28"/>
          <w:szCs w:val="28"/>
          <w:rtl w:val="true"/>
          <w:lang w:bidi="fa-IR"/>
        </w:rPr>
        <w:t>بزرگان شافعی معتقدند فرایض نماز سیزده چیز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 فریضه قولی و هشت فریضه فعلی</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تکبیرة الاحرام،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قرائت فاتحه،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تشهد آخر،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صلوات بر پیامبر،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اول،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نیت،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قیام،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رکوع،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اعتدال از رکوع،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سجده اول و دوم،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نشستن میان دو سجده،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نشستن آخر،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ترتیب، اما طمأنینه شرط محقق رکوع و اعتدال و سجده و جلوس است</w:t>
      </w:r>
      <w:r>
        <w:rPr>
          <w:rFonts w:eastAsia="IRNazanin" w:cs="IRNazanin"/>
          <w:color w:val="111111"/>
          <w:sz w:val="28"/>
          <w:szCs w:val="28"/>
          <w:rtl w:val="true"/>
          <w:lang w:bidi="fa-IR"/>
        </w:rPr>
        <w:t>.</w:t>
      </w:r>
    </w:p>
    <w:p>
      <w:pPr>
        <w:pStyle w:val="Heading4"/>
        <w:numPr>
          <w:ilvl w:val="3"/>
          <w:numId w:val="1"/>
        </w:numPr>
        <w:rPr/>
      </w:pPr>
      <w:bookmarkStart w:id="258" w:name="__RefHeading___Toc1510275_2281741623"/>
      <w:bookmarkStart w:id="259" w:name="_Toc99"/>
      <w:bookmarkEnd w:id="258"/>
      <w:r>
        <w:rPr>
          <w:rtl w:val="true"/>
        </w:rPr>
        <w:t>مالکیه</w:t>
      </w:r>
      <w:bookmarkEnd w:id="259"/>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مذهب مالکیه، فرایض نماز پانزده تاست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نیت،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تکبیرة الاحرام،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قیام برای تکبیرة الاحرام،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قرائت فاتحه،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قیام برای قرائت،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رکوع و بلند شدن از آن،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سجده و سربلند کردن از آن،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جلوس به اندازه سلام،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طمأنینه،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اعتدال در رکوع و سجده و سربرداشتن از آنها،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ترتیب ادا،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نیت اقتدای مأموم</w:t>
      </w:r>
      <w:r>
        <w:rPr>
          <w:rFonts w:eastAsia="IRNazanin" w:cs="IRNazanin"/>
          <w:color w:val="111111"/>
          <w:sz w:val="28"/>
          <w:szCs w:val="28"/>
          <w:rtl w:val="true"/>
          <w:lang w:bidi="fa-IR"/>
        </w:rPr>
        <w:t xml:space="preserve">. </w:t>
      </w:r>
      <w:bookmarkStart w:id="260" w:name="pg3848_38727"/>
    </w:p>
    <w:p>
      <w:pPr>
        <w:pStyle w:val="BookText"/>
        <w:rPr/>
      </w:pPr>
      <w:bookmarkEnd w:id="260"/>
      <w:r>
        <w:rPr>
          <w:rFonts w:ascii="IRNazanin" w:hAnsi="IRNazanin" w:eastAsia="IRNazanin"/>
          <w:color w:val="111111"/>
          <w:sz w:val="28"/>
          <w:sz w:val="28"/>
          <w:szCs w:val="28"/>
          <w:rtl w:val="true"/>
          <w:lang w:bidi="fa-IR"/>
        </w:rPr>
        <w:t>یادآوری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عامه، فرض و رکن، یک معنا دارد و منظور از آن، اجزایی است که عبادت بدون آنها محقق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مذهب اهل 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فرض و واجب مترادف است، ولی واجب و رکن، عام و خاص مطلق هستند</w:t>
      </w:r>
      <w:r>
        <w:rPr>
          <w:rFonts w:eastAsia="IRNazanin" w:cs="IRNazanin"/>
          <w:color w:val="111111"/>
          <w:sz w:val="28"/>
          <w:szCs w:val="28"/>
          <w:rtl w:val="true"/>
          <w:lang w:bidi="fa-IR"/>
        </w:rPr>
        <w:t>.</w:t>
      </w:r>
      <w:r>
        <w:rPr>
          <w:rStyle w:val="FootnoteAnchor"/>
          <w:rtl w:val="true"/>
        </w:rPr>
        <w:footnoteReference w:id="207"/>
      </w:r>
    </w:p>
    <w:p>
      <w:pPr>
        <w:pStyle w:val="Heading3"/>
        <w:numPr>
          <w:ilvl w:val="2"/>
          <w:numId w:val="1"/>
        </w:numPr>
        <w:rPr/>
      </w:pPr>
      <w:bookmarkStart w:id="261" w:name="__RefHeading___Toc1510277_2281741623"/>
      <w:bookmarkStart w:id="262" w:name="_Toc100"/>
      <w:bookmarkEnd w:id="261"/>
      <w:r>
        <w:rPr>
          <w:rtl w:val="true"/>
        </w:rPr>
        <w:t>بررسی برخی موارد اختلافی</w:t>
      </w:r>
      <w:bookmarkEnd w:id="262"/>
    </w:p>
    <w:p>
      <w:pPr>
        <w:pStyle w:val="Heading4"/>
        <w:numPr>
          <w:ilvl w:val="3"/>
          <w:numId w:val="1"/>
        </w:numPr>
        <w:rPr/>
      </w:pPr>
      <w:bookmarkStart w:id="263" w:name="__RefHeading___Toc1510279_2281741623"/>
      <w:bookmarkStart w:id="264" w:name="_Toc101"/>
      <w:bookmarkEnd w:id="263"/>
      <w:r>
        <w:rPr/>
        <w:t>1</w:t>
      </w:r>
      <w:r>
        <w:rPr>
          <w:rtl w:val="true"/>
        </w:rPr>
        <w:t xml:space="preserve">. </w:t>
      </w:r>
      <w:r>
        <w:rPr>
          <w:rtl w:val="true"/>
        </w:rPr>
        <w:t>حکم بسمله</w:t>
      </w:r>
      <w:bookmarkEnd w:id="264"/>
    </w:p>
    <w:p>
      <w:pPr>
        <w:pStyle w:val="Heading5"/>
        <w:numPr>
          <w:ilvl w:val="4"/>
          <w:numId w:val="1"/>
        </w:numPr>
        <w:rPr/>
      </w:pPr>
      <w:bookmarkStart w:id="265" w:name="__RefHeading___Toc1510281_2281741623"/>
      <w:bookmarkStart w:id="266" w:name="_Toc102"/>
      <w:bookmarkEnd w:id="265"/>
      <w:r>
        <w:rPr>
          <w:rtl w:val="true"/>
        </w:rPr>
        <w:t>اشاره</w:t>
      </w:r>
      <w:bookmarkEnd w:id="266"/>
    </w:p>
    <w:p>
      <w:pPr>
        <w:pStyle w:val="BookText"/>
        <w:rPr/>
      </w:pPr>
      <w:r>
        <w:rPr>
          <w:rFonts w:ascii="IRNazanin" w:hAnsi="IRNazanin" w:eastAsia="IRNazanin"/>
          <w:color w:val="111111"/>
          <w:sz w:val="28"/>
          <w:sz w:val="28"/>
          <w:szCs w:val="28"/>
          <w:rtl w:val="true"/>
          <w:lang w:bidi="fa-IR"/>
        </w:rPr>
        <w:t>آیا بسمله جزء سوره فاتحة الکتاب است؟ این پرسش از موارد اختلاف نماز بین شیعه و سنی است که سبب اختلاف‌نظر میان مذاهب اسلامی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مورد اتفاق همگان است، فضیلت و نماد باورهای دینی بودن بسم الله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بی‌گمان، گفتن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 مسلمانان است و آنها هیچ چیز را آغاز نمی‌کنند، مگر پس از گفتن بسم الله الرحمن الرحیم که آیه توحید و سبب طرد مشرکان است</w:t>
      </w:r>
      <w:r>
        <w:rPr>
          <w:rFonts w:eastAsia="IRNazanin" w:cs="IRNazanin"/>
          <w:color w:val="111111"/>
          <w:sz w:val="28"/>
          <w:szCs w:val="28"/>
          <w:rtl w:val="true"/>
          <w:lang w:bidi="fa-IR"/>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گفته ابن‌هشام، شعار مشرکان در عصر جاهلیت،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باسمک اللهم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و سخن خود را با آن آغاز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صلح حدیبیه که کار به نوشتن قرارداد صلح بین دو طرف انجامید، پیامبر </w:t>
      </w:r>
      <w:bookmarkStart w:id="267" w:name="pg3848_38728"/>
    </w:p>
    <w:p>
      <w:pPr>
        <w:pStyle w:val="BookText"/>
        <w:rPr/>
      </w:pPr>
      <w:bookmarkEnd w:id="267"/>
      <w:r>
        <w:rPr>
          <w:rFonts w:ascii="IRNazanin" w:hAnsi="IRNazanin" w:eastAsia="IRNazanin"/>
          <w:color w:val="111111"/>
          <w:sz w:val="28"/>
          <w:sz w:val="28"/>
          <w:szCs w:val="28"/>
          <w:rtl w:val="true"/>
          <w:lang w:bidi="fa-IR"/>
        </w:rPr>
        <w:t>خدا صلی الله علیه و آله به امیرمؤمنان علی علیه السلام دستور داد بنویسد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 الله الرحمن الرحیم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طبق دستور پیامبر نوشت، ولی سهیل نماینده قریش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نمی‌شناسم، بنویس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باسمک اللهم</w:t>
      </w:r>
      <w:r>
        <w:rPr>
          <w:rFonts w:eastAsia="IRNazanin" w:cs="IRNazanin"/>
          <w:color w:val="111111"/>
          <w:sz w:val="28"/>
          <w:szCs w:val="28"/>
          <w:rtl w:val="true"/>
          <w:lang w:bidi="fa-IR"/>
        </w:rPr>
        <w:t>.</w:t>
      </w:r>
      <w:r>
        <w:rPr>
          <w:rStyle w:val="FootnoteAnchor"/>
          <w:rtl w:val="true"/>
        </w:rPr>
        <w:footnoteReference w:id="208"/>
      </w:r>
    </w:p>
    <w:p>
      <w:pPr>
        <w:pStyle w:val="Heading5"/>
        <w:numPr>
          <w:ilvl w:val="4"/>
          <w:numId w:val="1"/>
        </w:numPr>
        <w:rPr/>
      </w:pPr>
      <w:bookmarkStart w:id="268" w:name="__RefHeading___Toc1510283_2281741623"/>
      <w:bookmarkStart w:id="269" w:name="_Toc103"/>
      <w:bookmarkEnd w:id="268"/>
      <w:r>
        <w:rPr>
          <w:rtl w:val="true"/>
        </w:rPr>
        <w:t>جزئیت بسمله در فاتحة الکتاب</w:t>
      </w:r>
      <w:bookmarkEnd w:id="269"/>
    </w:p>
    <w:p>
      <w:pPr>
        <w:pStyle w:val="BookText"/>
        <w:rPr/>
      </w:pPr>
      <w:r>
        <w:rPr>
          <w:rFonts w:ascii="IRNazanin" w:hAnsi="IRNazanin" w:eastAsia="IRNazanin"/>
          <w:color w:val="111111"/>
          <w:sz w:val="28"/>
          <w:sz w:val="28"/>
          <w:szCs w:val="28"/>
          <w:rtl w:val="true"/>
          <w:lang w:bidi="fa-IR"/>
        </w:rPr>
        <w:t>بی گمان سیره مسلمانان خواندن بسمله در نماز بوده و کسی در جزئیت بسم الله برای فاتحة الکتاب تردیدی نداشته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وقتی معاویه به مدینه آمد و در آنجا نماز گزارد و بسم الله نخواند و هنگام رفتن به رکوع و سجود هم تکبیر نگفت، پس از سلام نماز، مهاجران و انصار ندا دادند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معاویه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سرقت صلاتک؟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أینَ بِسم الله الرحمن الرحیم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 معاویه، از نماز دزدیدی، بسم الله کو؟ تکبیر هنگام رکوع و سجود کو؟ سپس نماز را همراه بسم الله و تکبیر دوباره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شافعی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معاویه حاکمی نیرومند و باشوکت بود و اگر آشکار گفتن بسم الله نزد همه مهاجران و انصار امری ثابت نبود، نمی‌توانستند به سبب نگفتن بسم الله به او اعتراض کنند</w:t>
      </w:r>
      <w:r>
        <w:rPr>
          <w:rFonts w:eastAsia="IRNazanin" w:cs="IRNazanin"/>
          <w:color w:val="111111"/>
          <w:sz w:val="28"/>
          <w:szCs w:val="28"/>
          <w:rtl w:val="true"/>
          <w:lang w:bidi="fa-IR"/>
        </w:rPr>
        <w:t>.</w:t>
      </w:r>
      <w:r>
        <w:rPr>
          <w:rStyle w:val="FootnoteAnchor"/>
          <w:rtl w:val="true"/>
        </w:rPr>
        <w:footnoteReference w:id="209"/>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همچنین حاکم نیشابوری از امّ سلمه روایت کرده که پیامبر </w:t>
      </w:r>
    </w:p>
    <w:p>
      <w:pPr>
        <w:pStyle w:val="BookText"/>
        <w:rPr/>
      </w:pPr>
      <w:r>
        <w:rPr>
          <w:rFonts w:ascii="IRNazanin" w:hAnsi="IRNazanin" w:eastAsia="IRNazanin"/>
          <w:color w:val="111111"/>
          <w:sz w:val="28"/>
          <w:sz w:val="28"/>
          <w:szCs w:val="28"/>
          <w:rtl w:val="true"/>
          <w:lang w:bidi="fa-IR"/>
        </w:rPr>
        <w:t>خدا صلی الله علیه و آله در نماز،  بِسْمِ اللهِ الرَّحْمنِ الرَّحِیمِ را خواند و آن را یک آیه حساب کرد، الْحَمْدُ لِلّهِ رَبِّ الْعالَمِینَ را آیه دوم، الرَّحْمنِ الرَّحِیمِ را سوم، مالِکِ یَوْمِالدِّینِ را چهارم، و همچنین إِیّاکَ نَعْبُدُ وَإِیّاکَ نَسْتَعِینُ را آیه پنجم و انگشتانش را جمع کرد</w:t>
      </w:r>
      <w:r>
        <w:rPr>
          <w:rFonts w:eastAsia="IRNazanin" w:cs="IRNazanin"/>
          <w:color w:val="111111"/>
          <w:sz w:val="28"/>
          <w:szCs w:val="28"/>
          <w:rtl w:val="true"/>
          <w:lang w:bidi="fa-IR"/>
        </w:rPr>
        <w:t>.</w:t>
      </w:r>
      <w:r>
        <w:rPr>
          <w:rStyle w:val="FootnoteAnchor"/>
          <w:rtl w:val="true"/>
        </w:rPr>
        <w:footnoteReference w:id="210"/>
      </w:r>
    </w:p>
    <w:p>
      <w:pPr>
        <w:pStyle w:val="BookText"/>
        <w:rPr/>
      </w:pPr>
      <w:r>
        <w:rPr>
          <w:rFonts w:ascii="IRNazanin" w:hAnsi="IRNazanin" w:eastAsia="IRNazanin"/>
          <w:color w:val="111111"/>
          <w:sz w:val="28"/>
          <w:sz w:val="28"/>
          <w:szCs w:val="28"/>
          <w:rtl w:val="true"/>
          <w:lang w:bidi="fa-IR"/>
        </w:rPr>
        <w:t>نیز ثعلبی با سند خود از ابوهریره نقل کرده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 پیامبر در مسجد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وارد شد که نماز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نماز را شروع کرد و پس از گفتنِ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اعوذبالله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حمد را از الحمد 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شنید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 نماز را بر خویشتن بریدی؟ مگر نمی‌دانی بِسْمِ اللهِ الرَّحْمنِ الرَّحِیمِ از سوره حمد است؟ هر کس آن را ترک کند، آیه‌ای را ترک نموده و هر کس آیه‌ای را ترک کند، نمازش را تباه کرده است</w:t>
      </w:r>
      <w:r>
        <w:rPr>
          <w:rFonts w:eastAsia="IRNazanin" w:cs="IRNazanin"/>
          <w:color w:val="111111"/>
          <w:sz w:val="28"/>
          <w:szCs w:val="28"/>
          <w:rtl w:val="true"/>
          <w:lang w:bidi="fa-IR"/>
        </w:rPr>
        <w:t>.</w:t>
      </w:r>
      <w:r>
        <w:rPr>
          <w:rStyle w:val="FootnoteAnchor"/>
          <w:rtl w:val="true"/>
        </w:rPr>
        <w:footnoteReference w:id="211"/>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این دست روایات فراوان در کتب اهل‌سنت وجود دارد که همگی نشان دهنده قطعی بودن جزئیت بسم الله در سوره فاتحه و لزوم خواندن آن به عنوان آیهای از سوره است</w:t>
      </w:r>
      <w:r>
        <w:rPr>
          <w:rFonts w:eastAsia="IRNazanin" w:cs="IRNazanin"/>
          <w:color w:val="111111"/>
          <w:sz w:val="28"/>
          <w:szCs w:val="28"/>
          <w:rtl w:val="true"/>
          <w:lang w:bidi="fa-IR"/>
        </w:rPr>
        <w:t>.</w:t>
      </w:r>
      <w:r>
        <w:rPr>
          <w:rStyle w:val="FootnoteAnchor"/>
          <w:rtl w:val="true"/>
        </w:rPr>
        <w:footnoteReference w:id="212"/>
      </w:r>
      <w:r>
        <w:rPr>
          <w:rFonts w:ascii="IRNazanin" w:hAnsi="IRNazanin" w:eastAsia="IRNazanin"/>
          <w:color w:val="111111"/>
          <w:sz w:val="28"/>
          <w:sz w:val="28"/>
          <w:szCs w:val="28"/>
          <w:rtl w:val="true"/>
          <w:lang w:bidi="fa-IR"/>
        </w:rPr>
        <w:t>همچنین در روایات دیگری وارد شده که مقصود از سبع المثانی</w:t>
      </w:r>
      <w:r>
        <w:rPr>
          <w:rStyle w:val="FootnoteAnchor"/>
          <w:rtl w:val="true"/>
        </w:rPr>
        <w:footnoteReference w:id="213"/>
      </w:r>
      <w:r>
        <w:rPr>
          <w:rFonts w:ascii="IRNazanin" w:hAnsi="IRNazanin" w:eastAsia="IRNazanin"/>
          <w:color w:val="111111"/>
          <w:sz w:val="28"/>
          <w:sz w:val="28"/>
          <w:szCs w:val="28"/>
          <w:rtl w:val="true"/>
          <w:lang w:bidi="fa-IR"/>
        </w:rPr>
        <w:t xml:space="preserve">همان فاتحة الکتاب است که با در نظر گرفتن بسم الله الرحمن الرحیم، </w:t>
      </w:r>
      <w:bookmarkStart w:id="270" w:name="pg3848_38730"/>
    </w:p>
    <w:p>
      <w:pPr>
        <w:pStyle w:val="BookText"/>
        <w:rPr/>
      </w:pPr>
      <w:bookmarkEnd w:id="270"/>
      <w:r>
        <w:rPr>
          <w:rFonts w:ascii="IRNazanin" w:hAnsi="IRNazanin" w:eastAsia="IRNazanin"/>
          <w:color w:val="111111"/>
          <w:sz w:val="28"/>
          <w:sz w:val="28"/>
          <w:szCs w:val="28"/>
          <w:rtl w:val="true"/>
          <w:lang w:bidi="fa-IR"/>
        </w:rPr>
        <w:t>عدد آیات سوره حمد به هفت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 السلام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سبع مثانی همان فاتحة الکتاب است</w:t>
      </w:r>
      <w:r>
        <w:rPr>
          <w:rFonts w:eastAsia="IRNazanin" w:cs="IRNazanin"/>
          <w:color w:val="111111"/>
          <w:sz w:val="28"/>
          <w:szCs w:val="28"/>
          <w:rtl w:val="true"/>
          <w:lang w:bidi="fa-IR"/>
        </w:rPr>
        <w:t>".</w:t>
      </w:r>
      <w:r>
        <w:rPr>
          <w:rStyle w:val="FootnoteAnchor"/>
          <w:rtl w:val="true"/>
        </w:rPr>
        <w:footnoteReference w:id="214"/>
      </w:r>
    </w:p>
    <w:p>
      <w:pPr>
        <w:pStyle w:val="Heading5"/>
        <w:numPr>
          <w:ilvl w:val="4"/>
          <w:numId w:val="1"/>
        </w:numPr>
        <w:rPr/>
      </w:pPr>
      <w:bookmarkStart w:id="271" w:name="__RefHeading___Toc1510285_2281741623"/>
      <w:bookmarkStart w:id="272" w:name="_Toc104"/>
      <w:bookmarkEnd w:id="271"/>
      <w:r>
        <w:rPr>
          <w:rtl w:val="true"/>
        </w:rPr>
        <w:t>بیان دیدگاه ها</w:t>
      </w:r>
      <w:bookmarkEnd w:id="272"/>
    </w:p>
    <w:p>
      <w:pPr>
        <w:pStyle w:val="BookText"/>
        <w:rPr/>
      </w:pPr>
      <w:r>
        <w:rPr>
          <w:rFonts w:ascii="IRNazanin" w:hAnsi="IRNazanin" w:eastAsia="IRNazanin"/>
          <w:color w:val="111111"/>
          <w:sz w:val="28"/>
          <w:sz w:val="28"/>
          <w:szCs w:val="28"/>
          <w:rtl w:val="true"/>
          <w:lang w:bidi="fa-IR"/>
        </w:rPr>
        <w:t>امامیه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بسمله جزئی از هر سوره است و ترک عمدی آن موجب بطلان نماز می شود و در نماز جهریه باید جهراً و در اخفاتیه مستحب است جهراً خوانده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حنبلیه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تسمیه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سنت است و در هر رکعت آن را سرّی می‌خوانند، ولی آیه ای از فاتحه نیست و اگر تسمیه را ترک و شروع به فاتحه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گفتن بسم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ساقط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حنفیه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تسمیه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فاتحه یا هر سوره ای نیست، اگرچه از قرآن است و برای امام و منفرد به صورت سرّی سنت است؛ اما بین فاتحه و سوره مکروه نیست، هر چند اولی ترک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شافعیه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بسمله آیه‌ای از فاتحه است و خواندن آن فرض است، نه سنت، و در نماز جهریه باید جهراً خوانده شود و نخواندن آن موجب بطلان نماز می‌گردد</w:t>
      </w:r>
      <w:r>
        <w:rPr>
          <w:rFonts w:eastAsia="IRNazanin" w:cs="IRNazanin"/>
          <w:color w:val="111111"/>
          <w:sz w:val="28"/>
          <w:szCs w:val="28"/>
          <w:rtl w:val="true"/>
          <w:lang w:bidi="fa-IR"/>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مالکیه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تسمیه در صلاة مفروضه مکروه است، مگر اینکه </w:t>
      </w:r>
      <w:bookmarkStart w:id="273" w:name="pg3848_38731"/>
    </w:p>
    <w:p>
      <w:pPr>
        <w:pStyle w:val="BookText"/>
        <w:rPr/>
      </w:pPr>
      <w:bookmarkEnd w:id="273"/>
      <w:r>
        <w:rPr>
          <w:rFonts w:ascii="IRNazanin" w:hAnsi="IRNazanin" w:eastAsia="IRNazanin"/>
          <w:color w:val="111111"/>
          <w:sz w:val="28"/>
          <w:sz w:val="28"/>
          <w:szCs w:val="28"/>
          <w:rtl w:val="true"/>
          <w:lang w:bidi="fa-IR"/>
        </w:rPr>
        <w:t>مصلّی نیّت خروج از خلاف داشته باشد که در این صورت به شکل سرّی مندوب است، ولی در نماز نافله خواندن بسمله هنگام فاتحه جایز است</w:t>
      </w:r>
      <w:r>
        <w:rPr>
          <w:rFonts w:eastAsia="IRNazanin" w:cs="IRNazanin"/>
          <w:color w:val="111111"/>
          <w:sz w:val="28"/>
          <w:szCs w:val="28"/>
          <w:rtl w:val="true"/>
          <w:lang w:bidi="fa-IR"/>
        </w:rPr>
        <w:t>.</w:t>
      </w:r>
      <w:r>
        <w:rPr>
          <w:rStyle w:val="FootnoteAnchor"/>
          <w:rtl w:val="true"/>
        </w:rPr>
        <w:footnoteReference w:id="215"/>
      </w:r>
    </w:p>
    <w:p>
      <w:pPr>
        <w:pStyle w:val="Heading5"/>
        <w:numPr>
          <w:ilvl w:val="4"/>
          <w:numId w:val="1"/>
        </w:numPr>
        <w:rPr/>
      </w:pPr>
      <w:bookmarkStart w:id="274" w:name="__RefHeading___Toc1510287_2281741623"/>
      <w:bookmarkStart w:id="275" w:name="_Toc105"/>
      <w:bookmarkEnd w:id="274"/>
      <w:r>
        <w:rPr>
          <w:rtl w:val="true"/>
        </w:rPr>
        <w:t>نقد و بررسی دلایل اهل سنت</w:t>
      </w:r>
      <w:bookmarkEnd w:id="275"/>
    </w:p>
    <w:p>
      <w:pPr>
        <w:pStyle w:val="BookText"/>
        <w:rPr/>
      </w:pPr>
      <w:r>
        <w:rPr>
          <w:rFonts w:ascii="IRNazanin" w:hAnsi="IRNazanin" w:eastAsia="IRNazanin"/>
          <w:color w:val="111111"/>
          <w:sz w:val="28"/>
          <w:sz w:val="28"/>
          <w:szCs w:val="28"/>
          <w:rtl w:val="true"/>
          <w:lang w:bidi="fa-IR"/>
        </w:rPr>
        <w:t>در بین روایات اهل‌سنت، روایاتی هست که دلالت دارد بر اینکه پیامبر به طور کلی بسم الله را در نماز ترک کرده یا آن را به جهر قرائت نکرده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نمونه، مسلم به سندش از انس نقل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رسول خدا صلی الله علیه و آله و ابوبکر و عمر و عثمان نماز به جای آوردم و از هیچ یک از آنان نشنیدم که بسم الله الرحمن الرحیم را بخوانند</w:t>
      </w:r>
      <w:r>
        <w:rPr>
          <w:rFonts w:eastAsia="IRNazanin" w:cs="IRNazanin"/>
          <w:color w:val="111111"/>
          <w:sz w:val="28"/>
          <w:szCs w:val="28"/>
          <w:rtl w:val="true"/>
          <w:lang w:bidi="fa-IR"/>
        </w:rPr>
        <w:t>.</w:t>
      </w:r>
      <w:r>
        <w:rPr>
          <w:rStyle w:val="FootnoteAnchor"/>
          <w:rtl w:val="true"/>
        </w:rPr>
        <w:footnoteReference w:id="216"/>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پاسخ گفته شده، این روایت با دیگر روایت منقول از انس معارض است که در آن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پیامبر شنیدم که در نماز بسم الله الرحمن الرحیم را به جهر می‌گفت</w:t>
      </w:r>
      <w:r>
        <w:rPr>
          <w:rFonts w:eastAsia="IRNazanin" w:cs="IRNazanin"/>
          <w:color w:val="111111"/>
          <w:sz w:val="28"/>
          <w:szCs w:val="28"/>
          <w:rtl w:val="true"/>
          <w:lang w:bidi="fa-IR"/>
        </w:rPr>
        <w:t>.</w:t>
      </w:r>
      <w:r>
        <w:rPr>
          <w:rStyle w:val="FootnoteAnchor"/>
          <w:rtl w:val="true"/>
        </w:rPr>
        <w:footnoteReference w:id="217"/>
      </w:r>
      <w:r>
        <w:rPr>
          <w:rFonts w:ascii="IRNazanin" w:hAnsi="IRNazanin" w:eastAsia="IRNazanin"/>
          <w:color w:val="111111"/>
          <w:sz w:val="28"/>
          <w:sz w:val="28"/>
          <w:szCs w:val="28"/>
          <w:rtl w:val="true"/>
          <w:lang w:bidi="fa-IR"/>
        </w:rPr>
        <w:t xml:space="preserve">ضمن اینکه اعتراض مردم به معاویه در روایت ابتدای بحث، رفتار صحابه ای </w:t>
      </w:r>
    </w:p>
    <w:p>
      <w:pPr>
        <w:pStyle w:val="BookText"/>
        <w:rPr/>
      </w:pPr>
      <w:r>
        <w:rPr>
          <w:rFonts w:ascii="IRNazanin" w:hAnsi="IRNazanin" w:eastAsia="IRNazanin"/>
          <w:color w:val="111111"/>
          <w:sz w:val="28"/>
          <w:sz w:val="28"/>
          <w:szCs w:val="28"/>
          <w:rtl w:val="true"/>
          <w:lang w:bidi="fa-IR"/>
        </w:rPr>
        <w:t xml:space="preserve">مانند امام علی علیه السلام </w:t>
      </w:r>
      <w:r>
        <w:rPr>
          <w:rStyle w:val="FootnoteAnchor"/>
          <w:rtl w:val="true"/>
        </w:rPr>
        <w:footnoteReference w:id="218"/>
      </w:r>
      <w:r>
        <w:rPr>
          <w:rFonts w:ascii="IRNazanin" w:hAnsi="IRNazanin" w:eastAsia="IRNazanin"/>
          <w:color w:val="111111"/>
          <w:sz w:val="28"/>
          <w:sz w:val="28"/>
          <w:szCs w:val="28"/>
          <w:rtl w:val="true"/>
          <w:lang w:bidi="fa-IR"/>
        </w:rPr>
        <w:t>و دیگر دلایل متقن، برای رد چنین استدلال هایی کافی است</w:t>
      </w:r>
      <w:r>
        <w:rPr>
          <w:rFonts w:eastAsia="IRNazanin" w:cs="IRNazanin"/>
          <w:color w:val="111111"/>
          <w:sz w:val="28"/>
          <w:szCs w:val="28"/>
          <w:rtl w:val="true"/>
          <w:lang w:bidi="fa-IR"/>
        </w:rPr>
        <w:t>.</w:t>
      </w:r>
      <w:r>
        <w:rPr>
          <w:rStyle w:val="FootnoteAnchor"/>
          <w:rtl w:val="true"/>
        </w:rPr>
        <w:footnoteReference w:id="219"/>
      </w:r>
    </w:p>
    <w:p>
      <w:pPr>
        <w:pStyle w:val="BookText"/>
        <w:rPr/>
      </w:pPr>
      <w:r>
        <w:rPr>
          <w:rFonts w:ascii="IRNazanin" w:hAnsi="IRNazanin" w:eastAsia="IRNazanin"/>
          <w:color w:val="111111"/>
          <w:sz w:val="28"/>
          <w:sz w:val="28"/>
          <w:szCs w:val="28"/>
          <w:rtl w:val="true"/>
          <w:lang w:bidi="fa-IR"/>
        </w:rPr>
        <w:t>ضمن اینکه بیهقی در السنن الکبری از ابوهریره روایت کرده است که عمربن خطاب، ابن‌عباس و ابن‌زبیر همیشه در نماز جهر به بسم الله داشته‌اند</w:t>
      </w:r>
      <w:r>
        <w:rPr>
          <w:rFonts w:eastAsia="IRNazanin" w:cs="IRNazanin"/>
          <w:color w:val="111111"/>
          <w:sz w:val="28"/>
          <w:szCs w:val="28"/>
          <w:rtl w:val="true"/>
          <w:lang w:bidi="fa-IR"/>
        </w:rPr>
        <w:t>.</w:t>
      </w:r>
      <w:r>
        <w:rPr>
          <w:rStyle w:val="FootnoteAnchor"/>
          <w:rtl w:val="true"/>
        </w:rPr>
        <w:footnoteReference w:id="220"/>
      </w:r>
    </w:p>
    <w:p>
      <w:pPr>
        <w:pStyle w:val="BookText"/>
        <w:rPr/>
      </w:pPr>
      <w:r>
        <w:rPr>
          <w:rFonts w:ascii="IRNazanin" w:hAnsi="IRNazanin" w:eastAsia="IRNazanin"/>
          <w:color w:val="111111"/>
          <w:sz w:val="28"/>
          <w:sz w:val="28"/>
          <w:szCs w:val="28"/>
          <w:rtl w:val="true"/>
          <w:lang w:bidi="fa-IR"/>
        </w:rPr>
        <w:t>بنابراین، با توجه به روایات فراوانی که از طریق اهل‌سنت و اهل بیت</w:t>
      </w:r>
      <w:r>
        <w:rPr>
          <w:rFonts w:eastAsia="IRNazanin" w:cs="IRNazanin"/>
          <w:color w:val="111111"/>
          <w:sz w:val="28"/>
          <w:szCs w:val="28"/>
          <w:rtl w:val="true"/>
          <w:lang w:bidi="fa-IR"/>
        </w:rPr>
        <w:t>:</w:t>
      </w:r>
      <w:r>
        <w:rPr>
          <w:rStyle w:val="FootnoteAnchor"/>
          <w:rtl w:val="true"/>
        </w:rPr>
        <w:footnoteReference w:id="221"/>
      </w:r>
      <w:r>
        <w:rPr>
          <w:rFonts w:ascii="IRNazanin" w:hAnsi="IRNazanin" w:eastAsia="IRNazanin"/>
          <w:color w:val="111111"/>
          <w:sz w:val="28"/>
          <w:sz w:val="28"/>
          <w:szCs w:val="28"/>
          <w:rtl w:val="true"/>
          <w:lang w:bidi="fa-IR"/>
        </w:rPr>
        <w:t>نقل شده، نه تنها جزئیت بسمله قطعی است، بلکه بر اساس روایات، پیامبر آن را به جهر می خواند و همگان را نیز به چنین شیوه ای امر میکرد</w:t>
      </w:r>
      <w:r>
        <w:rPr>
          <w:rFonts w:eastAsia="IRNazanin" w:cs="IRNazanin"/>
          <w:color w:val="111111"/>
          <w:sz w:val="28"/>
          <w:szCs w:val="28"/>
          <w:rtl w:val="true"/>
          <w:lang w:bidi="fa-IR"/>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حاکم از ابوهریره نقل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بسم الله را بلند می‌گفت</w:t>
      </w:r>
      <w:r>
        <w:rPr>
          <w:rFonts w:eastAsia="IRNazanin" w:cs="IRNazanin"/>
          <w:color w:val="111111"/>
          <w:sz w:val="28"/>
          <w:szCs w:val="28"/>
          <w:rtl w:val="true"/>
          <w:lang w:bidi="fa-IR"/>
        </w:rPr>
        <w:t>.</w:t>
      </w:r>
      <w:r>
        <w:rPr>
          <w:rStyle w:val="FootnoteAnchor"/>
          <w:rtl w:val="true"/>
        </w:rPr>
        <w:footnoteReference w:id="222"/>
      </w:r>
      <w:r>
        <w:rPr>
          <w:rFonts w:ascii="IRNazanin" w:hAnsi="IRNazanin" w:eastAsia="IRNazanin"/>
          <w:color w:val="111111"/>
          <w:sz w:val="28"/>
          <w:sz w:val="28"/>
          <w:szCs w:val="28"/>
          <w:rtl w:val="true"/>
          <w:lang w:bidi="fa-IR"/>
        </w:rPr>
        <w:t>همو از قول محمد بن ابیالسری عسقلانی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بی‌شمار پشت سر معتمر بن سلیمان نماز صبح و مغرب خواندهام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بسم الله قبل از سوره فاتحه و پس از آن را بلند ادا میکرد و شنیدم که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اقتدا به نماز پدرم کوتاهی </w:t>
      </w:r>
      <w:bookmarkStart w:id="276" w:name="pg3848_38733"/>
    </w:p>
    <w:p>
      <w:pPr>
        <w:pStyle w:val="BookText"/>
        <w:rPr/>
      </w:pPr>
      <w:bookmarkEnd w:id="276"/>
      <w:r>
        <w:rPr>
          <w:rFonts w:ascii="IRNazanin" w:hAnsi="IRNazanin" w:eastAsia="IRNazanin"/>
          <w:color w:val="111111"/>
          <w:sz w:val="28"/>
          <w:sz w:val="28"/>
          <w:szCs w:val="28"/>
          <w:rtl w:val="true"/>
          <w:lang w:bidi="fa-IR"/>
        </w:rPr>
        <w:t>نمی‌کنم؛ پدرم هم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اقتدا به نماز انس کوتاهی نمی‌کنم؛ و انس هم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اقتدا به نماز پیامبر خدا صلی الله علیه و آله کوتاهی نمی‌کنم</w:t>
      </w:r>
      <w:r>
        <w:rPr>
          <w:rFonts w:eastAsia="IRNazanin" w:cs="IRNazanin"/>
          <w:color w:val="111111"/>
          <w:sz w:val="28"/>
          <w:szCs w:val="28"/>
          <w:rtl w:val="true"/>
          <w:lang w:bidi="fa-IR"/>
        </w:rPr>
        <w:t>.</w:t>
      </w:r>
      <w:r>
        <w:rPr>
          <w:rStyle w:val="FootnoteAnchor"/>
          <w:rtl w:val="true"/>
        </w:rPr>
        <w:footnoteReference w:id="223"/>
      </w:r>
    </w:p>
    <w:p>
      <w:pPr>
        <w:pStyle w:val="BookText"/>
        <w:rPr/>
      </w:pPr>
      <w:r>
        <w:rPr>
          <w:rFonts w:ascii="IRNazanin" w:hAnsi="IRNazanin" w:eastAsia="IRNazanin"/>
          <w:color w:val="111111"/>
          <w:sz w:val="28"/>
          <w:sz w:val="28"/>
          <w:szCs w:val="28"/>
          <w:rtl w:val="true"/>
          <w:lang w:bidi="fa-IR"/>
        </w:rPr>
        <w:t>دار قطنی از ابوهریره نقل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نماز را به من آموخت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ایستاد و برای ما تکبیر گفت و بعد بسم الله را در هر رکعت با صدای بلند گفت</w:t>
      </w:r>
      <w:r>
        <w:rPr>
          <w:rFonts w:eastAsia="IRNazanin" w:cs="IRNazanin"/>
          <w:color w:val="111111"/>
          <w:sz w:val="28"/>
          <w:szCs w:val="28"/>
          <w:rtl w:val="true"/>
          <w:lang w:bidi="fa-IR"/>
        </w:rPr>
        <w:t>.</w:t>
      </w:r>
      <w:r>
        <w:rPr>
          <w:rStyle w:val="FootnoteAnchor"/>
          <w:rtl w:val="true"/>
        </w:rPr>
        <w:footnoteReference w:id="224"/>
      </w:r>
      <w:r>
        <w:rPr>
          <w:rFonts w:ascii="IRNazanin" w:hAnsi="IRNazanin" w:eastAsia="IRNazanin"/>
          <w:color w:val="111111"/>
          <w:sz w:val="28"/>
          <w:sz w:val="28"/>
          <w:szCs w:val="28"/>
          <w:rtl w:val="true"/>
          <w:lang w:bidi="fa-IR"/>
        </w:rPr>
        <w:t>عایشه هم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همیشه جهر به بسم الله الرحمن الرحیم مینمود</w:t>
      </w:r>
      <w:r>
        <w:rPr>
          <w:rFonts w:eastAsia="IRNazanin" w:cs="IRNazanin"/>
          <w:color w:val="111111"/>
          <w:sz w:val="28"/>
          <w:szCs w:val="28"/>
          <w:rtl w:val="true"/>
          <w:lang w:bidi="fa-IR"/>
        </w:rPr>
        <w:t>.</w:t>
      </w:r>
      <w:r>
        <w:rPr>
          <w:rStyle w:val="FootnoteAnchor"/>
          <w:rtl w:val="true"/>
        </w:rPr>
        <w:footnoteReference w:id="225"/>
      </w:r>
    </w:p>
    <w:p>
      <w:pPr>
        <w:pStyle w:val="Heading5"/>
        <w:numPr>
          <w:ilvl w:val="4"/>
          <w:numId w:val="1"/>
        </w:numPr>
        <w:rPr/>
      </w:pPr>
      <w:bookmarkStart w:id="277" w:name="__RefHeading___Toc1510289_2281741623"/>
      <w:bookmarkStart w:id="278" w:name="_Toc106"/>
      <w:bookmarkEnd w:id="277"/>
      <w:r>
        <w:rPr>
          <w:rtl w:val="true"/>
        </w:rPr>
        <w:t>دو نکته</w:t>
      </w:r>
      <w:bookmarkEnd w:id="278"/>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شده نخستین کسی که بسم الله الرحمن الرحیم را آهسته خواند، فردی خجالتی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بیهقی از زهری نقل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کسی که بسم الله را در مدینه آهسته گفت، سعید بن عاص بود که مردی خجالتی بود</w:t>
      </w:r>
      <w:r>
        <w:rPr>
          <w:rFonts w:eastAsia="IRNazanin" w:cs="IRNazanin"/>
          <w:color w:val="111111"/>
          <w:sz w:val="28"/>
          <w:szCs w:val="28"/>
          <w:rtl w:val="true"/>
          <w:lang w:bidi="fa-IR"/>
        </w:rPr>
        <w:t>.</w:t>
      </w:r>
      <w:r>
        <w:rPr>
          <w:rStyle w:val="FootnoteAnchor"/>
          <w:rtl w:val="true"/>
        </w:rPr>
        <w:footnoteReference w:id="226"/>
      </w:r>
      <w:r>
        <w:rPr>
          <w:rFonts w:ascii="IRNazanin" w:hAnsi="IRNazanin" w:eastAsia="IRNazanin"/>
          <w:color w:val="111111"/>
          <w:sz w:val="28"/>
          <w:sz w:val="28"/>
          <w:szCs w:val="28"/>
          <w:rtl w:val="true"/>
          <w:lang w:bidi="fa-IR"/>
        </w:rPr>
        <w:t>البته روشن است که خجالت، موجب تغییر حکم شرعی نمی‌شود</w:t>
      </w:r>
      <w:r>
        <w:rPr>
          <w:rFonts w:eastAsia="IRNazanin" w:cs="IRNazanin"/>
          <w:color w:val="111111"/>
          <w:sz w:val="28"/>
          <w:szCs w:val="28"/>
          <w:rtl w:val="true"/>
          <w:lang w:bidi="fa-IR"/>
        </w:rPr>
        <w:t xml:space="preserve">. </w:t>
      </w:r>
      <w:bookmarkStart w:id="279" w:name="pg3848_38734"/>
    </w:p>
    <w:p>
      <w:pPr>
        <w:pStyle w:val="BookText"/>
        <w:rPr/>
      </w:pPr>
      <w:bookmarkEnd w:id="279"/>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فخر رازی استدلال جالبی در لزوم جهر به بسم الله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جزء سوره، مانند تمام سوره است و تبعیض در جزء و کل به دلیل قطعی صحیح نیست؛</w:t>
      </w:r>
      <w:r>
        <w:rPr>
          <w:rStyle w:val="FootnoteAnchor"/>
          <w:rtl w:val="true"/>
        </w:rPr>
        <w:footnoteReference w:id="227"/>
      </w:r>
      <w:r>
        <w:rPr>
          <w:rFonts w:ascii="IRNazanin" w:hAnsi="IRNazanin" w:eastAsia="IRNazanin"/>
          <w:color w:val="111111"/>
          <w:sz w:val="28"/>
          <w:sz w:val="28"/>
          <w:szCs w:val="28"/>
          <w:rtl w:val="true"/>
          <w:lang w:bidi="fa-IR"/>
        </w:rPr>
        <w:t>یعنی وی در جزئیت بسمله یقین داشته و برای لزوم جهر استدلال کرده است</w:t>
      </w:r>
      <w:r>
        <w:rPr>
          <w:rFonts w:eastAsia="IRNazanin" w:cs="IRNazanin"/>
          <w:color w:val="111111"/>
          <w:sz w:val="28"/>
          <w:szCs w:val="28"/>
          <w:rtl w:val="true"/>
          <w:lang w:bidi="fa-IR"/>
        </w:rPr>
        <w:t>.</w:t>
      </w:r>
    </w:p>
    <w:p>
      <w:pPr>
        <w:pStyle w:val="Heading4"/>
        <w:numPr>
          <w:ilvl w:val="3"/>
          <w:numId w:val="1"/>
        </w:numPr>
        <w:rPr/>
      </w:pPr>
      <w:bookmarkStart w:id="280" w:name="__RefHeading___Toc1510291_2281741623"/>
      <w:bookmarkStart w:id="281" w:name="_Toc107"/>
      <w:bookmarkEnd w:id="280"/>
      <w:r>
        <w:rPr/>
        <w:t>2</w:t>
      </w:r>
      <w:r>
        <w:rPr>
          <w:rtl w:val="true"/>
        </w:rPr>
        <w:t xml:space="preserve">. </w:t>
      </w:r>
      <w:r>
        <w:rPr>
          <w:rtl w:val="true"/>
        </w:rPr>
        <w:t xml:space="preserve">تکفیر یا تکتّف </w:t>
      </w:r>
      <w:r>
        <w:rPr>
          <w:rtl w:val="true"/>
        </w:rPr>
        <w:t>(</w:t>
      </w:r>
      <w:r>
        <w:rPr>
          <w:rtl w:val="true"/>
        </w:rPr>
        <w:t>دست بسته نماز خواندن</w:t>
      </w:r>
      <w:r>
        <w:rPr>
          <w:rtl w:val="true"/>
        </w:rPr>
        <w:t>)</w:t>
      </w:r>
      <w:bookmarkEnd w:id="281"/>
    </w:p>
    <w:p>
      <w:pPr>
        <w:pStyle w:val="Heading5"/>
        <w:numPr>
          <w:ilvl w:val="4"/>
          <w:numId w:val="1"/>
        </w:numPr>
        <w:rPr/>
      </w:pPr>
      <w:bookmarkStart w:id="282" w:name="__RefHeading___Toc1510293_2281741623"/>
      <w:bookmarkStart w:id="283" w:name="_Toc108"/>
      <w:bookmarkEnd w:id="282"/>
      <w:r>
        <w:rPr>
          <w:rtl w:val="true"/>
        </w:rPr>
        <w:t>نگاهی به تکتف</w:t>
      </w:r>
      <w:bookmarkEnd w:id="283"/>
    </w:p>
    <w:p>
      <w:pPr>
        <w:pStyle w:val="BookText"/>
        <w:rPr/>
      </w:pPr>
      <w:r>
        <w:rPr>
          <w:rFonts w:ascii="IRNazanin" w:hAnsi="IRNazanin" w:eastAsia="IRNazanin"/>
          <w:color w:val="111111"/>
          <w:sz w:val="28"/>
          <w:sz w:val="28"/>
          <w:szCs w:val="28"/>
          <w:rtl w:val="true"/>
          <w:lang w:bidi="fa-IR"/>
        </w:rPr>
        <w:t>بحث از تکتف، یکی از مسائل مورد اختلاف بین مذهب اهل 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مذاهب اسلامی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مسأله در بین فقها با دو تعبیر مطرح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گاه از آن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تکفیر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پوشاندن دست، و زمانی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بستن دستها یاد شده است که حکایتگر یکی از حالات نمازگزاران اهل‌سنت است که در حال قیام دست راست خود را بر روی دست چپ، بالا یا پایین ناف قرار میدهند</w:t>
      </w:r>
      <w:r>
        <w:rPr>
          <w:rFonts w:eastAsia="IRNazanin" w:cs="IRNazanin"/>
          <w:color w:val="111111"/>
          <w:sz w:val="28"/>
          <w:szCs w:val="28"/>
          <w:rtl w:val="true"/>
          <w:lang w:bidi="fa-IR"/>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گفتنی است در میان مسلمانان، کسی به وجوب تکتف در نماز معتقد نیست، بلکه میان بزرگان اهل‌سنت، در حرمت، استحباب در نماز نافله و کراهت در نماز واجب، استحباب مطلق یا تخییر در این مسأله اختلاف هست که بدان اشاره خواهیم کرد</w:t>
      </w:r>
      <w:r>
        <w:rPr>
          <w:rFonts w:eastAsia="IRNazanin" w:cs="IRNazanin"/>
          <w:color w:val="111111"/>
          <w:sz w:val="28"/>
          <w:szCs w:val="28"/>
          <w:rtl w:val="true"/>
          <w:lang w:bidi="fa-IR"/>
        </w:rPr>
        <w:t xml:space="preserve">. </w:t>
      </w:r>
      <w:bookmarkStart w:id="284" w:name="pg3848_38735"/>
    </w:p>
    <w:p>
      <w:pPr>
        <w:pStyle w:val="Heading5"/>
        <w:numPr>
          <w:ilvl w:val="4"/>
          <w:numId w:val="1"/>
        </w:numPr>
        <w:rPr/>
      </w:pPr>
      <w:bookmarkStart w:id="285" w:name="__RefHeading___Toc1510295_2281741623"/>
      <w:bookmarkStart w:id="286" w:name="_Toc109"/>
      <w:bookmarkEnd w:id="284"/>
      <w:bookmarkEnd w:id="285"/>
      <w:r>
        <w:rPr>
          <w:rtl w:val="true"/>
        </w:rPr>
        <w:t>بررسی دیدگاه ها</w:t>
      </w:r>
      <w:bookmarkEnd w:id="286"/>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امامیه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تکتف حرام و مبطل نماز است</w:t>
      </w:r>
      <w:r>
        <w:rPr>
          <w:rFonts w:eastAsia="IRNazanin" w:cs="IRNazanin"/>
          <w:color w:val="111111"/>
          <w:sz w:val="28"/>
          <w:szCs w:val="28"/>
          <w:rtl w:val="true"/>
          <w:lang w:bidi="fa-IR"/>
        </w:rPr>
        <w:t>.</w:t>
      </w:r>
      <w:r>
        <w:rPr>
          <w:rStyle w:val="FootnoteAnchor"/>
          <w:rtl w:val="true"/>
        </w:rPr>
        <w:footnoteReference w:id="228"/>
      </w:r>
      <w:r>
        <w:rPr>
          <w:rFonts w:ascii="IRNazanin" w:hAnsi="IRNazanin" w:eastAsia="IRNazanin"/>
          <w:color w:val="111111"/>
          <w:sz w:val="28"/>
          <w:sz w:val="28"/>
          <w:szCs w:val="28"/>
          <w:rtl w:val="true"/>
          <w:lang w:bidi="fa-IR"/>
        </w:rPr>
        <w:t>شیخ مفید می 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اتفقت الامامیه علی ارسال الیدین فی الصلاة و انه لا یجوز وضع احداهما علی الاخری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امامیه اتفاق کرده اند بر اینکه در حال نماز باید دستها رها باشد و گذاشتن یکی از آن دو بر دیگری جایز نیست</w:t>
      </w:r>
      <w:r>
        <w:rPr>
          <w:rFonts w:eastAsia="IRNazanin" w:cs="IRNazanin"/>
          <w:color w:val="111111"/>
          <w:sz w:val="28"/>
          <w:szCs w:val="28"/>
          <w:rtl w:val="true"/>
          <w:lang w:bidi="fa-IR"/>
        </w:rPr>
        <w:t>.</w:t>
      </w:r>
      <w:r>
        <w:rPr>
          <w:rStyle w:val="FootnoteAnchor"/>
          <w:rtl w:val="true"/>
        </w:rPr>
        <w:footnoteReference w:id="229"/>
      </w:r>
      <w:r>
        <w:rPr>
          <w:rFonts w:ascii="IRNazanin" w:hAnsi="IRNazanin" w:eastAsia="IRNazanin"/>
          <w:color w:val="111111"/>
          <w:sz w:val="28"/>
          <w:sz w:val="28"/>
          <w:szCs w:val="28"/>
          <w:rtl w:val="true"/>
          <w:lang w:bidi="fa-IR"/>
        </w:rPr>
        <w:t>علامه حلی می 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التکفیر مبطل للصلاة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تکفیر مبطل نماز است</w:t>
      </w:r>
      <w:r>
        <w:rPr>
          <w:rFonts w:eastAsia="IRNazanin" w:cs="IRNazanin"/>
          <w:color w:val="111111"/>
          <w:sz w:val="28"/>
          <w:szCs w:val="28"/>
          <w:rtl w:val="true"/>
          <w:lang w:bidi="fa-IR"/>
        </w:rPr>
        <w:t>.</w:t>
      </w:r>
      <w:r>
        <w:rPr>
          <w:rStyle w:val="FootnoteAnchor"/>
          <w:rtl w:val="true"/>
        </w:rPr>
        <w:footnoteReference w:id="230"/>
      </w:r>
    </w:p>
    <w:p>
      <w:pPr>
        <w:pStyle w:val="BookText"/>
        <w:rPr/>
      </w:pPr>
      <w:r>
        <w:rPr>
          <w:rFonts w:ascii="IRNazanin" w:hAnsi="IRNazanin" w:eastAsia="IRNazanin"/>
          <w:color w:val="111111"/>
          <w:sz w:val="28"/>
          <w:sz w:val="28"/>
          <w:szCs w:val="28"/>
          <w:rtl w:val="true"/>
          <w:lang w:bidi="fa-IR"/>
        </w:rPr>
        <w:t xml:space="preserve">مذاهب چهارگانه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 مالکیه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دادن دست راست بر چپ، بالا یا پایین ناف، سنت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مذاهب یاد شده در چگونگی تکفیر باهم اختلاف دارند</w:t>
      </w:r>
      <w:r>
        <w:rPr>
          <w:rFonts w:eastAsia="IRNazanin" w:cs="IRNazanin"/>
          <w:color w:val="111111"/>
          <w:sz w:val="28"/>
          <w:szCs w:val="28"/>
          <w:rtl w:val="true"/>
          <w:lang w:bidi="fa-IR"/>
        </w:rPr>
        <w:t>.</w:t>
      </w:r>
      <w:r>
        <w:rPr>
          <w:rStyle w:val="FootnoteAnchor"/>
          <w:rtl w:val="true"/>
        </w:rPr>
        <w:footnoteReference w:id="231"/>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مالکیه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مالک اقوال گوناگونی نقل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 المدونة الکبری آمده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مالک درباره قرار دادن دست راست بر چپ در حال نماز سؤال شد،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در نماز فریضه وجهی بر آن نمی بینم، و از این عمل کراهت داشت، ولی در نمازهای نافله </w:t>
      </w:r>
      <w:bookmarkStart w:id="287" w:name="pg3848_38736"/>
    </w:p>
    <w:p>
      <w:pPr>
        <w:pStyle w:val="BookText"/>
        <w:rPr/>
      </w:pPr>
      <w:bookmarkEnd w:id="287"/>
      <w:r>
        <w:rPr>
          <w:rFonts w:ascii="IRNazanin" w:hAnsi="IRNazanin" w:eastAsia="IRNazanin"/>
          <w:color w:val="111111"/>
          <w:sz w:val="28"/>
          <w:sz w:val="28"/>
          <w:szCs w:val="28"/>
          <w:rtl w:val="true"/>
          <w:lang w:bidi="fa-IR"/>
        </w:rPr>
        <w:t>هرگاه قیام طول می کشید، در این عمل اشکالی نمی دید تا به واسطه آن رفع خستگی کند</w:t>
      </w:r>
      <w:r>
        <w:rPr>
          <w:rFonts w:eastAsia="IRNazanin" w:cs="IRNazanin"/>
          <w:color w:val="111111"/>
          <w:sz w:val="28"/>
          <w:szCs w:val="28"/>
          <w:rtl w:val="true"/>
          <w:lang w:bidi="fa-IR"/>
        </w:rPr>
        <w:t>".</w:t>
      </w:r>
      <w:r>
        <w:rPr>
          <w:rStyle w:val="FootnoteAnchor"/>
          <w:rtl w:val="true"/>
        </w:rPr>
        <w:footnoteReference w:id="232"/>
      </w:r>
    </w:p>
    <w:p>
      <w:pPr>
        <w:pStyle w:val="BookText"/>
        <w:rPr/>
      </w:pPr>
      <w:r>
        <w:rPr>
          <w:rFonts w:ascii="IRNazanin" w:hAnsi="IRNazanin" w:eastAsia="IRNazanin"/>
          <w:color w:val="111111"/>
          <w:sz w:val="28"/>
          <w:sz w:val="28"/>
          <w:szCs w:val="28"/>
          <w:rtl w:val="true"/>
          <w:lang w:bidi="fa-IR"/>
        </w:rPr>
        <w:t>نیز نقل شده است که طبق مذهب مالکی، قرار دادن دست راست بر چپ، بالای ناف یا زیر آن، مندوب است نه سنت؛ به شرط آنکه قصد، تسنن به پیامبر باشد، وگرنه مکروه خواهد بود</w:t>
      </w:r>
      <w:r>
        <w:rPr>
          <w:rFonts w:eastAsia="IRNazanin" w:cs="IRNazanin"/>
          <w:color w:val="111111"/>
          <w:sz w:val="28"/>
          <w:szCs w:val="28"/>
          <w:rtl w:val="true"/>
          <w:lang w:bidi="fa-IR"/>
        </w:rPr>
        <w:t>.</w:t>
      </w:r>
      <w:r>
        <w:rPr>
          <w:rStyle w:val="FootnoteAnchor"/>
          <w:rtl w:val="true"/>
        </w:rPr>
        <w:footnoteReference w:id="233"/>
      </w:r>
    </w:p>
    <w:p>
      <w:pPr>
        <w:pStyle w:val="BookText"/>
        <w:rPr/>
      </w:pPr>
      <w:r>
        <w:rPr>
          <w:rFonts w:ascii="IRNazanin" w:hAnsi="IRNazanin" w:eastAsia="IRNazanin"/>
          <w:color w:val="111111"/>
          <w:sz w:val="28"/>
          <w:sz w:val="28"/>
          <w:szCs w:val="28"/>
          <w:rtl w:val="true"/>
          <w:lang w:bidi="fa-IR"/>
        </w:rPr>
        <w:t>اینک به بررسی دقیق تر این مسأله می پردازیم تا حقیقتجویان، با بررسی مستندات تاریخی و روایی، با واقعیت مسأله آشنا شوند</w:t>
      </w:r>
      <w:r>
        <w:rPr>
          <w:rFonts w:eastAsia="IRNazanin" w:cs="IRNazanin"/>
          <w:color w:val="111111"/>
          <w:sz w:val="28"/>
          <w:szCs w:val="28"/>
          <w:rtl w:val="true"/>
          <w:lang w:bidi="fa-IR"/>
        </w:rPr>
        <w:t>.</w:t>
      </w:r>
    </w:p>
    <w:p>
      <w:pPr>
        <w:pStyle w:val="Heading5"/>
        <w:numPr>
          <w:ilvl w:val="4"/>
          <w:numId w:val="1"/>
        </w:numPr>
        <w:rPr/>
      </w:pPr>
      <w:bookmarkStart w:id="288" w:name="__RefHeading___Toc1510297_2281741623"/>
      <w:bookmarkStart w:id="289" w:name="_Toc110"/>
      <w:bookmarkEnd w:id="288"/>
      <w:r>
        <w:rPr>
          <w:rtl w:val="true"/>
        </w:rPr>
        <w:t>تاریخچه قبض</w:t>
      </w:r>
      <w:bookmarkEnd w:id="289"/>
    </w:p>
    <w:p>
      <w:pPr>
        <w:pStyle w:val="BookText"/>
        <w:rPr/>
      </w:pPr>
      <w:r>
        <w:rPr>
          <w:rFonts w:ascii="IRNazanin" w:hAnsi="IRNazanin" w:eastAsia="IRNazanin"/>
          <w:color w:val="111111"/>
          <w:sz w:val="28"/>
          <w:sz w:val="28"/>
          <w:szCs w:val="28"/>
          <w:rtl w:val="true"/>
          <w:lang w:bidi="fa-IR"/>
        </w:rPr>
        <w:t>در زمان رسول خدا صلی الله علیه و آله ، کسی از صحابه و اهل‌بیت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نماز قبض نمیکرد و در روایات توصیف نماز پیامبر، با وجود ذکر همه جزئیات از واجبات و مستحبّات، مسأله قبض مطرح نشده است</w:t>
      </w:r>
      <w:r>
        <w:rPr>
          <w:rFonts w:eastAsia="IRNazanin" w:cs="IRNazanin"/>
          <w:color w:val="111111"/>
          <w:sz w:val="28"/>
          <w:szCs w:val="28"/>
          <w:rtl w:val="true"/>
          <w:lang w:bidi="fa-IR"/>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رحلت آن حضرت، مردم از طرف خلفا امر شدند در نماز آن را انجام دهند و این کار، نوعی احترام ایرانیان باستان به پادشاهان به شمار می‌آمده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برخی نویسندگان، کیفیت </w:t>
      </w:r>
    </w:p>
    <w:p>
      <w:pPr>
        <w:pStyle w:val="BookText"/>
        <w:rPr/>
      </w:pPr>
      <w:r>
        <w:rPr>
          <w:rFonts w:ascii="IRNazanin" w:hAnsi="IRNazanin" w:eastAsia="IRNazanin"/>
          <w:color w:val="111111"/>
          <w:sz w:val="28"/>
          <w:sz w:val="28"/>
          <w:szCs w:val="28"/>
          <w:rtl w:val="true"/>
          <w:lang w:bidi="fa-IR"/>
        </w:rPr>
        <w:t>عبادت زردتشتیان را چنین نقل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عبادت و نماز آنان این بود که در مقابل خدا می‌ایستادند و دست بندگی بر سینه‌شان می‌گذاشتند</w:t>
      </w:r>
      <w:r>
        <w:rPr>
          <w:rFonts w:eastAsia="IRNazanin" w:cs="IRNazanin"/>
          <w:color w:val="111111"/>
          <w:sz w:val="28"/>
          <w:szCs w:val="28"/>
          <w:rtl w:val="true"/>
          <w:lang w:bidi="fa-IR"/>
        </w:rPr>
        <w:t>.</w:t>
      </w:r>
      <w:r>
        <w:rPr>
          <w:rStyle w:val="FootnoteAnchor"/>
          <w:rtl w:val="true"/>
        </w:rPr>
        <w:footnoteReference w:id="234"/>
      </w:r>
    </w:p>
    <w:p>
      <w:pPr>
        <w:pStyle w:val="BookText"/>
        <w:rPr/>
      </w:pPr>
      <w:r>
        <w:rPr>
          <w:rFonts w:ascii="IRNazanin" w:hAnsi="IRNazanin" w:eastAsia="IRNazanin"/>
          <w:color w:val="111111"/>
          <w:sz w:val="28"/>
          <w:sz w:val="28"/>
          <w:szCs w:val="28"/>
          <w:rtl w:val="true"/>
          <w:lang w:bidi="fa-IR"/>
        </w:rPr>
        <w:t>مسلمانان در اثر ارتباطی که به ویژه پس از فتوحات اسلامی با دیگر ملت‌ها برقرار کردند، با آداب و سنن آنان آشنا شدند و در میان آنها، نکات مثبت و منفی وجود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صحابه از روی اجتهاد و رأی خود این نوع احترام و عمل را وارد نماز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صاحب جواهر در این باره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عمر حکایت شده که وقتی اسیران ایرانی را پیش او آوردند، به نشانه احترام جلوی او تکفیر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این عمل پرسید، پاسخ دادند ما این کار را برای فروتنی در برابر پادشاهان خود انجام می‌دهیم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عمر این کار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نماز نیکو شمرد</w:t>
      </w:r>
      <w:r>
        <w:rPr>
          <w:rFonts w:eastAsia="IRNazanin" w:cs="IRNazanin"/>
          <w:color w:val="111111"/>
          <w:sz w:val="28"/>
          <w:szCs w:val="28"/>
          <w:rtl w:val="true"/>
          <w:lang w:bidi="fa-IR"/>
        </w:rPr>
        <w:t>.</w:t>
      </w:r>
      <w:r>
        <w:rPr>
          <w:rStyle w:val="FootnoteAnchor"/>
          <w:rtl w:val="true"/>
        </w:rPr>
        <w:footnoteReference w:id="235"/>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ازاینرو، ابنرشد در ریشهیابی این مسأله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سبب و ریشه اختلاف علما در این مسأله، این است که روایات و آثار ثابت و مسلّمی وارد شده که در آنها کیفیت نماز پیامبر به طور جامع بیان گردیده، ولی در هیچ‌کدام نقل نشده که حضرت </w:t>
      </w:r>
      <w:bookmarkStart w:id="290" w:name="pg3848_38738"/>
    </w:p>
    <w:p>
      <w:pPr>
        <w:pStyle w:val="BookText"/>
        <w:rPr/>
      </w:pPr>
      <w:bookmarkEnd w:id="290"/>
      <w:r>
        <w:rPr>
          <w:rFonts w:ascii="IRNazanin" w:hAnsi="IRNazanin" w:eastAsia="IRNazanin"/>
          <w:color w:val="111111"/>
          <w:sz w:val="28"/>
          <w:sz w:val="28"/>
          <w:szCs w:val="28"/>
          <w:rtl w:val="true"/>
          <w:lang w:bidi="fa-IR"/>
        </w:rPr>
        <w:t>دست راست خود را بر دست چپ خود قرار می‌داد، ولی ثابت شده که مردم به چنین کاری امر می‌شدند</w:t>
      </w:r>
      <w:r>
        <w:rPr>
          <w:rFonts w:eastAsia="IRNazanin" w:cs="IRNazanin"/>
          <w:color w:val="111111"/>
          <w:sz w:val="28"/>
          <w:szCs w:val="28"/>
          <w:rtl w:val="true"/>
          <w:lang w:bidi="fa-IR"/>
        </w:rPr>
        <w:t>.</w:t>
      </w:r>
      <w:r>
        <w:rPr>
          <w:rStyle w:val="FootnoteAnchor"/>
          <w:rtl w:val="true"/>
        </w:rPr>
        <w:footnoteReference w:id="236"/>
      </w:r>
    </w:p>
    <w:p>
      <w:pPr>
        <w:pStyle w:val="Heading5"/>
        <w:numPr>
          <w:ilvl w:val="4"/>
          <w:numId w:val="1"/>
        </w:numPr>
        <w:rPr/>
      </w:pPr>
      <w:bookmarkStart w:id="291" w:name="__RefHeading___Toc1510299_2281741623"/>
      <w:bookmarkStart w:id="292" w:name="_Toc111"/>
      <w:bookmarkEnd w:id="291"/>
      <w:r>
        <w:rPr>
          <w:rtl w:val="true"/>
        </w:rPr>
        <w:t>بررسی ادله</w:t>
      </w:r>
      <w:bookmarkEnd w:id="292"/>
    </w:p>
    <w:p>
      <w:pPr>
        <w:pStyle w:val="Heading6"/>
        <w:numPr>
          <w:ilvl w:val="5"/>
          <w:numId w:val="1"/>
        </w:numPr>
        <w:rPr/>
      </w:pPr>
      <w:bookmarkStart w:id="293" w:name="__RefHeading___Toc1510301_2281741623"/>
      <w:bookmarkStart w:id="294" w:name="_Toc112"/>
      <w:bookmarkEnd w:id="293"/>
      <w:r>
        <w:rPr>
          <w:rtl w:val="true"/>
        </w:rPr>
        <w:t>روایات اهل سنت</w:t>
      </w:r>
      <w:bookmarkEnd w:id="294"/>
    </w:p>
    <w:p>
      <w:pPr>
        <w:pStyle w:val="BookText"/>
        <w:rPr/>
      </w:pPr>
      <w:r>
        <w:rPr>
          <w:rFonts w:ascii="IRNazanin" w:hAnsi="IRNazanin" w:eastAsia="IRNazanin"/>
          <w:color w:val="111111"/>
          <w:sz w:val="28"/>
          <w:sz w:val="28"/>
          <w:szCs w:val="28"/>
          <w:rtl w:val="true"/>
          <w:lang w:bidi="fa-IR"/>
        </w:rPr>
        <w:t>قائلان به قبض، به حدود بیست روایت متمسک شده‌اند که در برخی، عمل قبض به پیامبر، در بعضی به حضرت علی علیه السلام و در برخی دیگر به دیگر صحابه نسبت داده شده است که عموم این روایات، ضعف سندی و دلالی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نقد کلی به این روایات ـ بر فرض صحت سند ـ این است که نهایت دلالت روایات، اصل قبض است، ولی کیفیت آن به شکل مرسوم نزد اهل‌سنت، از روایات استفاده نمی‌شود</w:t>
      </w:r>
      <w:r>
        <w:rPr>
          <w:rFonts w:eastAsia="IRNazanin" w:cs="IRNazanin"/>
          <w:color w:val="111111"/>
          <w:sz w:val="28"/>
          <w:szCs w:val="28"/>
          <w:rtl w:val="true"/>
          <w:lang w:bidi="fa-IR"/>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افزون بر اینکه مفاد روایات، اعتبار قبض در تمام نماز است، نه در خصوص قرائت، و اختصاص قبض به خصوص قرائت نیز شاهدی ندارد</w:t>
      </w:r>
      <w:r>
        <w:rPr>
          <w:rFonts w:eastAsia="IRNazanin" w:cs="IRNazanin"/>
          <w:color w:val="111111"/>
          <w:sz w:val="28"/>
          <w:szCs w:val="28"/>
          <w:rtl w:val="true"/>
          <w:lang w:bidi="fa-IR"/>
        </w:rPr>
        <w:t>.</w:t>
      </w:r>
      <w:r>
        <w:rPr>
          <w:rStyle w:val="FootnoteAnchor"/>
          <w:rtl w:val="true"/>
        </w:rPr>
        <w:footnoteReference w:id="237"/>
      </w:r>
      <w:r>
        <w:rPr>
          <w:rFonts w:ascii="IRNazanin" w:hAnsi="IRNazanin" w:eastAsia="IRNazanin"/>
          <w:color w:val="111111"/>
          <w:sz w:val="28"/>
          <w:sz w:val="28"/>
          <w:szCs w:val="28"/>
          <w:rtl w:val="true"/>
          <w:lang w:bidi="fa-IR"/>
        </w:rPr>
        <w:t xml:space="preserve">ضمن اینکه در روایات منقول از اهل‌سنت در </w:t>
      </w:r>
      <w:bookmarkStart w:id="295" w:name="pg3848_38739"/>
    </w:p>
    <w:p>
      <w:pPr>
        <w:pStyle w:val="BookText"/>
        <w:rPr/>
      </w:pPr>
      <w:bookmarkEnd w:id="295"/>
      <w:r>
        <w:rPr>
          <w:rFonts w:ascii="IRNazanin" w:hAnsi="IRNazanin" w:eastAsia="IRNazanin"/>
          <w:color w:val="111111"/>
          <w:sz w:val="28"/>
          <w:sz w:val="28"/>
          <w:szCs w:val="28"/>
          <w:rtl w:val="true"/>
          <w:lang w:bidi="fa-IR"/>
        </w:rPr>
        <w:t>باب صفت نماز پیامبر نیز، سخنی از تکتف نیست</w:t>
      </w:r>
      <w:r>
        <w:rPr>
          <w:rStyle w:val="FootnoteAnchor"/>
          <w:rtl w:val="true"/>
        </w:rPr>
        <w:footnoteReference w:id="238"/>
      </w:r>
      <w:r>
        <w:rPr>
          <w:rFonts w:ascii="IRNazanin" w:hAnsi="IRNazanin" w:eastAsia="IRNazanin"/>
          <w:color w:val="111111"/>
          <w:sz w:val="28"/>
          <w:sz w:val="28"/>
          <w:szCs w:val="28"/>
          <w:rtl w:val="true"/>
          <w:lang w:bidi="fa-IR"/>
        </w:rPr>
        <w:t>و افزودن و</w:t>
      </w:r>
    </w:p>
    <w:p>
      <w:pPr>
        <w:pStyle w:val="BookText"/>
        <w:rPr/>
      </w:pPr>
      <w:r>
        <w:rPr>
          <w:rFonts w:ascii="IRNazanin" w:hAnsi="IRNazanin" w:eastAsia="IRNazanin"/>
          <w:color w:val="111111"/>
          <w:sz w:val="28"/>
          <w:sz w:val="28"/>
          <w:szCs w:val="28"/>
          <w:rtl w:val="true"/>
          <w:lang w:bidi="fa-IR"/>
        </w:rPr>
        <w:t>کاستن چیزی از نماز، مخالفت با اصل توقیفی بودن عبادات به شمار می‌آید</w:t>
      </w:r>
      <w:r>
        <w:rPr>
          <w:rFonts w:eastAsia="IRNazanin" w:cs="IRNazanin"/>
          <w:color w:val="111111"/>
          <w:sz w:val="28"/>
          <w:szCs w:val="28"/>
          <w:rtl w:val="true"/>
          <w:lang w:bidi="fa-IR"/>
        </w:rPr>
        <w:t>. </w:t>
      </w:r>
    </w:p>
    <w:p>
      <w:pPr>
        <w:pStyle w:val="Heading6"/>
        <w:numPr>
          <w:ilvl w:val="5"/>
          <w:numId w:val="1"/>
        </w:numPr>
        <w:rPr/>
      </w:pPr>
      <w:bookmarkStart w:id="296" w:name="__RefHeading___Toc1510303_2281741623"/>
      <w:bookmarkStart w:id="297" w:name="_Toc113"/>
      <w:bookmarkEnd w:id="296"/>
      <w:r>
        <w:rPr>
          <w:rtl w:val="true"/>
        </w:rPr>
        <w:t>روایات شیعه</w:t>
      </w:r>
      <w:bookmarkEnd w:id="297"/>
    </w:p>
    <w:p>
      <w:pPr>
        <w:pStyle w:val="BookText"/>
        <w:rPr/>
      </w:pPr>
      <w:r>
        <w:rPr>
          <w:rFonts w:ascii="IRNazanin" w:hAnsi="IRNazanin" w:eastAsia="IRNazanin"/>
          <w:color w:val="111111"/>
          <w:sz w:val="28"/>
          <w:sz w:val="28"/>
          <w:szCs w:val="28"/>
          <w:rtl w:val="true"/>
          <w:lang w:bidi="fa-IR"/>
        </w:rPr>
        <w:t>در روایات شیعه نیز به رغم تبیین کیفیت نماز پیامبر با تمام واجبات و مستحبات آن، ذکری از قبض به میان نیامده است</w:t>
      </w:r>
      <w:r>
        <w:rPr>
          <w:rFonts w:eastAsia="IRNazanin" w:cs="IRNazanin"/>
          <w:color w:val="111111"/>
          <w:sz w:val="28"/>
          <w:szCs w:val="28"/>
          <w:rtl w:val="true"/>
          <w:lang w:bidi="fa-IR"/>
        </w:rPr>
        <w:t>.</w:t>
      </w:r>
      <w:r>
        <w:rPr>
          <w:rStyle w:val="FootnoteAnchor"/>
          <w:rtl w:val="true"/>
        </w:rPr>
        <w:footnoteReference w:id="239"/>
      </w:r>
      <w:r>
        <w:rPr>
          <w:rFonts w:ascii="IRNazanin" w:hAnsi="IRNazanin" w:eastAsia="IRNazanin"/>
          <w:color w:val="111111"/>
          <w:sz w:val="28"/>
          <w:sz w:val="28"/>
          <w:szCs w:val="28"/>
          <w:rtl w:val="true"/>
          <w:lang w:bidi="fa-IR"/>
        </w:rPr>
        <w:t>روایات شیعه، درباره قبض، دو نکته را یادآور شده است</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قبض و تکفیر نهی کرده‌اند؛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فعل را عمل زردتشتیان می‌دانند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علی علیه السلام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یجمع المسلم یدیه فی صلاته و هو قائم بین یدی اللّه عزوجل یتشبّه باهل الکفر یعنی المجوس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مسلمان نباید دو دست خود را در نماز جمع کند؛ زیرا در حالی که در پیشگاه خداوند ایستاده، به اهل کفر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زرتشتیان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شبیه می‌شود</w:t>
      </w:r>
      <w:r>
        <w:rPr>
          <w:rFonts w:eastAsia="IRNazanin" w:cs="IRNazanin"/>
          <w:color w:val="111111"/>
          <w:sz w:val="28"/>
          <w:szCs w:val="28"/>
          <w:rtl w:val="true"/>
          <w:lang w:bidi="fa-IR"/>
        </w:rPr>
        <w:t>.</w:t>
      </w:r>
      <w:r>
        <w:rPr>
          <w:rStyle w:val="FootnoteAnchor"/>
          <w:rtl w:val="true"/>
        </w:rPr>
        <w:footnoteReference w:id="240"/>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باقر علیه السلام نیز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علیک بالاقبال علی صلاتک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لا تکفّر </w:t>
      </w:r>
      <w:bookmarkStart w:id="298" w:name="pg3848_38740"/>
    </w:p>
    <w:p>
      <w:pPr>
        <w:pStyle w:val="BookText"/>
        <w:rPr/>
      </w:pPr>
      <w:bookmarkEnd w:id="298"/>
      <w:r>
        <w:rPr>
          <w:rFonts w:ascii="IRNazanin" w:hAnsi="IRNazanin" w:eastAsia="IRNazanin"/>
          <w:color w:val="111111"/>
          <w:sz w:val="28"/>
          <w:sz w:val="28"/>
          <w:szCs w:val="28"/>
          <w:rtl w:val="true"/>
          <w:lang w:bidi="fa-IR"/>
        </w:rPr>
        <w:t>فانّما یفعل ذلک المجوس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بر تو باد که در نمازت توجه به حضور قلب داشته باشی و تکفیر نکنی و همانا این کار را زردتشتیان انجام می‌دهند</w:t>
      </w:r>
      <w:r>
        <w:rPr>
          <w:rFonts w:eastAsia="IRNazanin" w:cs="IRNazanin"/>
          <w:color w:val="111111"/>
          <w:sz w:val="28"/>
          <w:szCs w:val="28"/>
          <w:rtl w:val="true"/>
          <w:lang w:bidi="fa-IR"/>
        </w:rPr>
        <w:t>.</w:t>
      </w:r>
      <w:r>
        <w:rPr>
          <w:rStyle w:val="FootnoteAnchor"/>
          <w:rtl w:val="true"/>
        </w:rPr>
        <w:footnoteReference w:id="241"/>
      </w:r>
    </w:p>
    <w:p>
      <w:pPr>
        <w:pStyle w:val="BookText"/>
        <w:rPr/>
      </w:pPr>
      <w:r>
        <w:rPr>
          <w:rFonts w:ascii="IRNazanin" w:hAnsi="IRNazanin" w:eastAsia="IRNazanin"/>
          <w:color w:val="111111"/>
          <w:sz w:val="28"/>
          <w:sz w:val="28"/>
          <w:szCs w:val="28"/>
          <w:rtl w:val="true"/>
          <w:lang w:bidi="fa-IR"/>
        </w:rPr>
        <w:t>همو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هرگاه در نماز قیام نمودی، دست راست را بر روی دست چپ و بالعکس قرار نده؛ زیرا این تکفیر اهل کتاب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دستان خود را رها کن؛ زیرا این کار سزاوارتر است که نفست از نماز روی‌گردان نشود</w:t>
      </w:r>
      <w:r>
        <w:rPr>
          <w:rFonts w:eastAsia="IRNazanin" w:cs="IRNazanin"/>
          <w:color w:val="111111"/>
          <w:sz w:val="28"/>
          <w:szCs w:val="28"/>
          <w:rtl w:val="true"/>
          <w:lang w:bidi="fa-IR"/>
        </w:rPr>
        <w:t>".</w:t>
      </w:r>
      <w:r>
        <w:rPr>
          <w:rStyle w:val="FootnoteAnchor"/>
          <w:rtl w:val="true"/>
        </w:rPr>
        <w:footnoteReference w:id="242"/>
      </w:r>
    </w:p>
    <w:p>
      <w:pPr>
        <w:pStyle w:val="BookText"/>
        <w:rPr/>
      </w:pPr>
      <w:r>
        <w:rPr>
          <w:rFonts w:ascii="IRNazanin" w:hAnsi="IRNazanin" w:eastAsia="IRNazanin"/>
          <w:color w:val="111111"/>
          <w:sz w:val="28"/>
          <w:sz w:val="28"/>
          <w:szCs w:val="28"/>
          <w:rtl w:val="true"/>
          <w:lang w:bidi="fa-IR"/>
        </w:rPr>
        <w:t>امام صادق علیه السلام نیز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اذا قمت فی صلاتک فاخشع فیها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تکفّر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هرگاه در نمازت قیام نمودی، خشوع داشته باش و تکفیر نکن</w:t>
      </w:r>
      <w:r>
        <w:rPr>
          <w:rFonts w:eastAsia="IRNazanin" w:cs="IRNazanin"/>
          <w:color w:val="111111"/>
          <w:sz w:val="28"/>
          <w:szCs w:val="28"/>
          <w:rtl w:val="true"/>
          <w:lang w:bidi="fa-IR"/>
        </w:rPr>
        <w:t>.</w:t>
      </w:r>
      <w:r>
        <w:rPr>
          <w:rStyle w:val="FootnoteAnchor"/>
          <w:rtl w:val="true"/>
        </w:rPr>
        <w:footnoteReference w:id="243"/>
      </w:r>
    </w:p>
    <w:p>
      <w:pPr>
        <w:pStyle w:val="Heading5"/>
        <w:numPr>
          <w:ilvl w:val="4"/>
          <w:numId w:val="1"/>
        </w:numPr>
        <w:rPr/>
      </w:pPr>
      <w:bookmarkStart w:id="299" w:name="__RefHeading___Toc1510305_2281741623"/>
      <w:bookmarkStart w:id="300" w:name="_Toc114"/>
      <w:bookmarkEnd w:id="299"/>
      <w:r>
        <w:rPr>
          <w:rtl w:val="true"/>
        </w:rPr>
        <w:t>نتیجه گیری</w:t>
      </w:r>
      <w:bookmarkEnd w:id="300"/>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توجه به مخدوش بودن روایات اهل‌سنت، و نیز نبود این عمل در روایات توصیف نماز پیامبر، باید به اصل اولی این عمل رجوع کرد که همان ارسال و رها بودن دست است و هر فردی به مقتضای خلقت خویش درمییابد دستهای خود را در حالت عادی رها کند و روی یکدیگر قرار ندهد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ضمن اینکه بسیاری از </w:t>
      </w:r>
      <w:bookmarkStart w:id="301" w:name="pg3848_38741"/>
    </w:p>
    <w:p>
      <w:pPr>
        <w:pStyle w:val="BookText"/>
        <w:rPr/>
      </w:pPr>
      <w:bookmarkEnd w:id="301"/>
      <w:r>
        <w:rPr>
          <w:rFonts w:ascii="IRNazanin" w:hAnsi="IRNazanin" w:eastAsia="IRNazanin"/>
          <w:color w:val="111111"/>
          <w:sz w:val="28"/>
          <w:sz w:val="28"/>
          <w:szCs w:val="28"/>
          <w:rtl w:val="true"/>
          <w:lang w:bidi="fa-IR"/>
        </w:rPr>
        <w:t>صحابه، تابعین و فقها به رها بودن و ارسال دست هنگام نماز قائل بودند که از جمله آنها میتوان به این افراد اشاره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ابی‌طالب علیه السلام ، عبداللّه بن زبیر، حسن بصری تابعی، ابنسیرین تابعی، لیث بن سعد، مالک بن انس، ابراهیم نخعی، محمد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باقر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جعفر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w:t>
      </w:r>
      <w:r>
        <w:rPr>
          <w:rStyle w:val="FootnoteAnchor"/>
          <w:rtl w:val="true"/>
        </w:rPr>
        <w:footnoteReference w:id="244"/>
      </w:r>
    </w:p>
    <w:p>
      <w:pPr>
        <w:pStyle w:val="Heading4"/>
        <w:numPr>
          <w:ilvl w:val="3"/>
          <w:numId w:val="1"/>
        </w:numPr>
        <w:rPr/>
      </w:pPr>
      <w:bookmarkStart w:id="302" w:name="__RefHeading___Toc1510307_2281741623"/>
      <w:bookmarkStart w:id="303" w:name="_Toc115"/>
      <w:bookmarkEnd w:id="302"/>
      <w:r>
        <w:rPr/>
        <w:t>3</w:t>
      </w:r>
      <w:r>
        <w:rPr>
          <w:rtl w:val="true"/>
        </w:rPr>
        <w:t xml:space="preserve">. </w:t>
      </w:r>
      <w:r>
        <w:rPr>
          <w:rtl w:val="true"/>
        </w:rPr>
        <w:t>تأمین</w:t>
      </w:r>
      <w:r>
        <w:rPr>
          <w:rtl w:val="true"/>
        </w:rPr>
        <w:t>(</w:t>
      </w:r>
      <w:r>
        <w:rPr>
          <w:rtl w:val="true"/>
        </w:rPr>
        <w:t>آمین گفتن پس از حمد</w:t>
      </w:r>
      <w:r>
        <w:rPr>
          <w:rtl w:val="true"/>
        </w:rPr>
        <w:t>)</w:t>
      </w:r>
      <w:bookmarkEnd w:id="303"/>
    </w:p>
    <w:p>
      <w:pPr>
        <w:pStyle w:val="Heading5"/>
        <w:numPr>
          <w:ilvl w:val="4"/>
          <w:numId w:val="1"/>
        </w:numPr>
        <w:rPr/>
      </w:pPr>
      <w:bookmarkStart w:id="304" w:name="__RefHeading___Toc1510309_2281741623"/>
      <w:bookmarkStart w:id="305" w:name="_Toc116"/>
      <w:bookmarkEnd w:id="304"/>
      <w:r>
        <w:rPr>
          <w:rtl w:val="true"/>
        </w:rPr>
        <w:t>اشاره</w:t>
      </w:r>
      <w:bookmarkEnd w:id="305"/>
    </w:p>
    <w:p>
      <w:pPr>
        <w:pStyle w:val="BookText"/>
        <w:rPr/>
      </w:pPr>
      <w:r>
        <w:rPr>
          <w:rFonts w:ascii="IRNazanin" w:hAnsi="IRNazanin" w:eastAsia="IRNazanin"/>
          <w:color w:val="111111"/>
          <w:sz w:val="28"/>
          <w:sz w:val="28"/>
          <w:szCs w:val="28"/>
          <w:rtl w:val="true"/>
          <w:lang w:bidi="fa-IR"/>
        </w:rPr>
        <w:t>تأمین به معنای گفتن آمین پس از قرائت سوره حمد است که به اجماع مسلمانان، جزء نماز نیست،</w:t>
      </w:r>
      <w:r>
        <w:rPr>
          <w:rStyle w:val="FootnoteAnchor"/>
          <w:rtl w:val="true"/>
        </w:rPr>
        <w:footnoteReference w:id="245"/>
      </w:r>
      <w:r>
        <w:rPr>
          <w:rFonts w:ascii="IRNazanin" w:hAnsi="IRNazanin" w:eastAsia="IRNazanin"/>
          <w:color w:val="111111"/>
          <w:sz w:val="28"/>
          <w:sz w:val="28"/>
          <w:szCs w:val="28"/>
          <w:rtl w:val="true"/>
          <w:lang w:bidi="fa-IR"/>
        </w:rPr>
        <w:t>ولی تمام مذاهب اسلامی گفتن آن را سنت شمرده اند و تنها بزرگان شیعه، فتوا داده اند چنین سخنی حرام و موجب بطلان نماز می گردد</w:t>
      </w:r>
      <w:r>
        <w:rPr>
          <w:rFonts w:eastAsia="IRNazanin" w:cs="IRNazanin"/>
          <w:color w:val="111111"/>
          <w:sz w:val="28"/>
          <w:szCs w:val="28"/>
          <w:rtl w:val="true"/>
          <w:lang w:bidi="fa-IR"/>
        </w:rPr>
        <w:t>.</w:t>
      </w:r>
    </w:p>
    <w:p>
      <w:pPr>
        <w:pStyle w:val="Heading5"/>
        <w:numPr>
          <w:ilvl w:val="4"/>
          <w:numId w:val="1"/>
        </w:numPr>
        <w:rPr/>
      </w:pPr>
      <w:bookmarkStart w:id="306" w:name="__RefHeading___Toc1510311_2281741623"/>
      <w:bookmarkStart w:id="307" w:name="_Toc117"/>
      <w:bookmarkEnd w:id="306"/>
      <w:r>
        <w:rPr>
          <w:rtl w:val="true"/>
        </w:rPr>
        <w:t>بیان دیدگاه ها</w:t>
      </w:r>
      <w:bookmarkEnd w:id="307"/>
    </w:p>
    <w:p>
      <w:pPr>
        <w:pStyle w:val="BookText"/>
        <w:rPr/>
      </w:pPr>
      <w:r>
        <w:rPr>
          <w:rFonts w:ascii="IRNazanin" w:hAnsi="IRNazanin" w:eastAsia="IRNazanin"/>
          <w:color w:val="111111"/>
          <w:sz w:val="28"/>
          <w:sz w:val="28"/>
          <w:szCs w:val="28"/>
          <w:rtl w:val="true"/>
          <w:lang w:bidi="fa-IR"/>
        </w:rPr>
        <w:t>امامیه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جایز نیست و مبطل نماز است</w:t>
      </w:r>
      <w:r>
        <w:rPr>
          <w:rFonts w:eastAsia="IRNazanin" w:cs="IRNazanin"/>
          <w:color w:val="111111"/>
          <w:sz w:val="28"/>
          <w:szCs w:val="28"/>
          <w:rtl w:val="true"/>
          <w:lang w:bidi="fa-IR"/>
        </w:rPr>
        <w:t>.</w:t>
      </w:r>
      <w:r>
        <w:rPr>
          <w:rStyle w:val="FootnoteAnchor"/>
          <w:rtl w:val="true"/>
        </w:rPr>
        <w:footnoteReference w:id="246"/>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حنبلیه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قرائت فاتحه، گفتن آمین برای امام و مأموم و </w:t>
      </w:r>
      <w:bookmarkStart w:id="308" w:name="pg3848_38742"/>
    </w:p>
    <w:p>
      <w:pPr>
        <w:pStyle w:val="BookText"/>
        <w:rPr/>
      </w:pPr>
      <w:bookmarkEnd w:id="308"/>
      <w:r>
        <w:rPr>
          <w:rFonts w:ascii="IRNazanin" w:hAnsi="IRNazanin" w:eastAsia="IRNazanin"/>
          <w:color w:val="111111"/>
          <w:sz w:val="28"/>
          <w:sz w:val="28"/>
          <w:szCs w:val="28"/>
          <w:rtl w:val="true"/>
          <w:lang w:bidi="fa-IR"/>
        </w:rPr>
        <w:t>منفرد سنت است و در نماز جهریه جهراً و در نماز سرّیه، سرّاً گفته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حنفیه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 آمین پس از قرائت، سنت است و به صورت سرّی گفته می‌شود؛ در جهریه و سرّیه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شافعیه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حنبلیه نظر دادهاند</w:t>
      </w:r>
      <w:r>
        <w:rPr>
          <w:rFonts w:eastAsia="IRNazanin" w:cs="IRNazanin"/>
          <w:color w:val="111111"/>
          <w:sz w:val="28"/>
          <w:szCs w:val="28"/>
          <w:rtl w:val="true"/>
          <w:lang w:bidi="fa-IR"/>
        </w:rPr>
        <w:t>.</w:t>
      </w:r>
      <w:r>
        <w:rPr>
          <w:rStyle w:val="FootnoteAnchor"/>
          <w:rtl w:val="true"/>
        </w:rPr>
        <w:footnoteReference w:id="247"/>
      </w:r>
    </w:p>
    <w:p>
      <w:pPr>
        <w:pStyle w:val="BookText"/>
        <w:rPr/>
      </w:pPr>
      <w:r>
        <w:rPr>
          <w:rFonts w:ascii="IRNazanin" w:hAnsi="IRNazanin" w:eastAsia="IRNazanin"/>
          <w:color w:val="111111"/>
          <w:sz w:val="28"/>
          <w:sz w:val="28"/>
          <w:szCs w:val="28"/>
          <w:rtl w:val="true"/>
          <w:lang w:bidi="fa-IR"/>
        </w:rPr>
        <w:t>مالکیه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تأمین برای منفرد و امام مطلقاً مندوب است</w:t>
      </w:r>
      <w:r>
        <w:rPr>
          <w:rFonts w:eastAsia="IRNazanin" w:cs="IRNazanin"/>
          <w:color w:val="111111"/>
          <w:sz w:val="28"/>
          <w:szCs w:val="28"/>
          <w:rtl w:val="true"/>
          <w:lang w:bidi="fa-IR"/>
        </w:rPr>
        <w:t>.</w:t>
      </w:r>
      <w:r>
        <w:rPr>
          <w:rStyle w:val="FootnoteAnchor"/>
          <w:rtl w:val="true"/>
        </w:rPr>
        <w:footnoteReference w:id="248"/>
      </w:r>
    </w:p>
    <w:p>
      <w:pPr>
        <w:pStyle w:val="Heading5"/>
        <w:numPr>
          <w:ilvl w:val="4"/>
          <w:numId w:val="1"/>
        </w:numPr>
        <w:rPr/>
      </w:pPr>
      <w:bookmarkStart w:id="309" w:name="__RefHeading___Toc1510313_2281741623"/>
      <w:bookmarkStart w:id="310" w:name="_Toc118"/>
      <w:bookmarkEnd w:id="309"/>
      <w:r>
        <w:rPr>
          <w:rtl w:val="true"/>
        </w:rPr>
        <w:t>نقد و بررسی دلایل اهل سنت</w:t>
      </w:r>
      <w:bookmarkEnd w:id="310"/>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آمین به دعای قبلی</w:t>
      </w:r>
    </w:p>
    <w:p>
      <w:pPr>
        <w:pStyle w:val="BookText"/>
        <w:rPr/>
      </w:pPr>
      <w:r>
        <w:rPr>
          <w:rFonts w:ascii="Amiri" w:hAnsi="Amiri" w:eastAsia="Amiri" w:cs="Amiri"/>
          <w:color w:val="111111"/>
          <w:sz w:val="28"/>
          <w:sz w:val="28"/>
          <w:szCs w:val="28"/>
          <w:rtl w:val="true"/>
          <w:lang w:bidi="ar-SA"/>
        </w:rPr>
        <w:t xml:space="preserve">قائلان به جواز، استدلال می‌کنند که آمین، نوعی دعا به معنای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اسْتَجِب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خصوص دعای قبلی است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اهْدِنَا الصِّراطَ الْمُسْتَقِیمَ</w:t>
      </w:r>
      <w:r>
        <w:rPr>
          <w:rFonts w:eastAsia="Amiri" w:cs="Amiri" w:ascii="Amiri" w:hAnsi="Amiri"/>
          <w:color w:val="111111"/>
          <w:sz w:val="28"/>
          <w:szCs w:val="28"/>
          <w:rtl w:val="true"/>
          <w:lang w:bidi="ar-SA"/>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پاسخ به این توجیه باید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عبارت با قصد دعا، دعا می شود، ولی قصد قاری، تلاوت است، نه دعا و اگر جایز بود با خواندن هر دعایی؛ 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رَبَّنَا اغْفِرْ لَنا وَ قِنا عَذابَ النَّار قصد دعا نمود، پس باید جایز بود بعد از هر دعایی آمین گفت، ولی کسی </w:t>
      </w:r>
    </w:p>
    <w:p>
      <w:pPr>
        <w:pStyle w:val="BookText"/>
        <w:rPr/>
      </w:pPr>
      <w:r>
        <w:rPr>
          <w:rFonts w:ascii="IRNazanin" w:hAnsi="IRNazanin" w:eastAsia="IRNazanin"/>
          <w:color w:val="111111"/>
          <w:sz w:val="28"/>
          <w:sz w:val="28"/>
          <w:szCs w:val="28"/>
          <w:rtl w:val="true"/>
          <w:lang w:bidi="fa-IR"/>
        </w:rPr>
        <w:t>به این مسأله قایل نیست</w:t>
      </w:r>
      <w:r>
        <w:rPr>
          <w:rFonts w:eastAsia="IRNazanin" w:cs="IRNazanin"/>
          <w:color w:val="111111"/>
          <w:sz w:val="28"/>
          <w:szCs w:val="28"/>
          <w:rtl w:val="true"/>
          <w:lang w:bidi="fa-IR"/>
        </w:rPr>
        <w:t>.</w:t>
      </w:r>
      <w:r>
        <w:rPr>
          <w:rStyle w:val="FootnoteAnchor"/>
          <w:rtl w:val="true"/>
        </w:rPr>
        <w:footnoteReference w:id="249"/>
      </w:r>
    </w:p>
    <w:p>
      <w:pPr>
        <w:pStyle w:val="BookText"/>
        <w:rPr/>
      </w:pPr>
      <w:r>
        <w:rPr>
          <w:rFonts w:ascii="IRNazanin" w:hAnsi="IRNazanin" w:eastAsia="IRNazanin"/>
          <w:color w:val="111111"/>
          <w:sz w:val="28"/>
          <w:sz w:val="28"/>
          <w:szCs w:val="28"/>
          <w:rtl w:val="true"/>
          <w:lang w:bidi="fa-IR"/>
        </w:rPr>
        <w:t xml:space="preserve">ضمن اینکه این عمل با توقیفی بودن عبادات ناسازگار است؛ زیرا اساساً در امور عبادی که توقیفی هستند، کم یا زیاد کردن در آن بدون مجوز شرعی بدعت و حرام خواهد بود؛ چرا که بدون تردید این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جزء قرآن و همچنین دعای مستقلی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از این جهت مثل دیگر کلماتی است که از دایره قرآن و تسبیح خارج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اعظم صلی الله علیه و آله نیز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شایسته نیست سخن انسانها به نماز افزوده شود</w:t>
      </w:r>
      <w:r>
        <w:rPr>
          <w:rFonts w:eastAsia="IRNazanin" w:cs="IRNazanin"/>
          <w:color w:val="111111"/>
          <w:sz w:val="28"/>
          <w:szCs w:val="28"/>
          <w:rtl w:val="true"/>
          <w:lang w:bidi="fa-IR"/>
        </w:rPr>
        <w:t>"</w:t>
      </w:r>
      <w:r>
        <w:rPr>
          <w:rStyle w:val="FootnoteAnchor"/>
          <w:rtl w:val="true"/>
        </w:rPr>
        <w:footnoteReference w:id="250"/>
      </w:r>
      <w:r>
        <w:rPr>
          <w:rFonts w:ascii="IRNazanin" w:hAnsi="IRNazanin" w:eastAsia="IRNazanin"/>
          <w:color w:val="111111"/>
          <w:sz w:val="28"/>
          <w:sz w:val="28"/>
          <w:szCs w:val="28"/>
          <w:rtl w:val="true"/>
          <w:lang w:bidi="fa-IR"/>
        </w:rPr>
        <w:t>و آمین بدون تردید سخن انسان است، نه خداوند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بر فرض که آمین در خصوص دعای قبلی باشد، بسیاری از نمازگزاران به خصوص غیرعرب‌ها، هرگز به ذهنشان نمی‌رسد که در آیات سوره فاتحه، دعایی است که به آن آمین بگویند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روایات تأمین</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افزون بر توجیه فوق، اهل‌سنت با تمسک به برخی روایات، گفتن آن را سنت می‌دانند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نقد و بررسی اجمالی این روایات باید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 آمین در نماز از نظر راوی دو دسته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روایاتی که در سلسله سند آنها ابوهریره وجود دارد؛ مانند این روایت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پیامبر نقل شده است که آن 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وقتی امام جماعت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ولاالضالین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بگویید؛ چون فرشتگان آمین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کس آمینش با آمین فرشتگان همراه باشد، تمام گناهان گذشته‌اش آمرزیده می شود</w:t>
      </w:r>
      <w:r>
        <w:rPr>
          <w:rFonts w:eastAsia="IRNazanin" w:cs="IRNazanin"/>
          <w:color w:val="111111"/>
          <w:sz w:val="28"/>
          <w:szCs w:val="28"/>
          <w:rtl w:val="true"/>
          <w:lang w:bidi="fa-IR"/>
        </w:rPr>
        <w:t>".</w:t>
      </w:r>
      <w:r>
        <w:rPr>
          <w:rStyle w:val="FootnoteAnchor"/>
          <w:rtl w:val="true"/>
        </w:rPr>
        <w:footnoteReference w:id="251"/>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ابوهریره از نظر علمای رجال به کذاب بودن مشهور است</w:t>
      </w:r>
      <w:r>
        <w:rPr>
          <w:rFonts w:eastAsia="IRNazanin" w:cs="IRNazanin"/>
          <w:color w:val="111111"/>
          <w:sz w:val="28"/>
          <w:szCs w:val="28"/>
          <w:rtl w:val="true"/>
          <w:lang w:bidi="fa-IR"/>
        </w:rPr>
        <w:t>.</w:t>
      </w:r>
      <w:r>
        <w:rPr>
          <w:rStyle w:val="FootnoteAnchor"/>
          <w:rtl w:val="true"/>
        </w:rPr>
        <w:footnoteReference w:id="252"/>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ازاینرو، این دسته از روایات به علت وجود ابوهریره در سلسله سند آنها معتبر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علی علیه السلام درباره او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ألا إنّ أکذب الناس أو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أکذب الأحیاء علی رسول الله أبوهریرة الدئسی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دروغ‌گوترین مردم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دروغ گوترین زنده‌ها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نسبت به پیامبر، ابوهریره است</w:t>
      </w:r>
      <w:r>
        <w:rPr>
          <w:rFonts w:eastAsia="IRNazanin" w:cs="IRNazanin"/>
          <w:color w:val="111111"/>
          <w:sz w:val="28"/>
          <w:szCs w:val="28"/>
          <w:rtl w:val="true"/>
          <w:lang w:bidi="fa-IR"/>
        </w:rPr>
        <w:t>.</w:t>
      </w:r>
      <w:r>
        <w:rPr>
          <w:rStyle w:val="FootnoteAnchor"/>
          <w:rtl w:val="true"/>
        </w:rPr>
        <w:footnoteReference w:id="253"/>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احادیثی که راویانش عبارت‌اند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حمید بن عبدالرحمان بن ابی‌لیلی، ابن‌عدی، عبدالجبار بن وائل، سهیل بن ابی‌صالح، علاء بن عبدالرحمان و طلحة بن عمرو که هیچ کدام از آنها شرایط پذیرش روایت را ندارند؛ زیرا حمید بن عبدالرحمان بن ابی‌لیلی حافظه درستی نداشت و ضعیف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ابن‌عدی نیز مجهول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عبدالجبار بن وائل نمی‌تواند از پدرش نقل کند؛ چون او بعد از شش ماه از مرگ پدرش تازه به دنیا آمده و از این جهت روایت منقطع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ابوحاتم درباره سهیل بن ابی‌صالح و علاء بن عبد الرحمان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حدیثشان نوشته می شود، ولی حجیت ندارد و طلحة بن عمرو نیز متروک و حدیثش بسیار ضعیف است</w:t>
      </w:r>
      <w:r>
        <w:rPr>
          <w:rFonts w:eastAsia="IRNazanin" w:cs="IRNazanin"/>
          <w:color w:val="111111"/>
          <w:sz w:val="28"/>
          <w:szCs w:val="28"/>
          <w:rtl w:val="true"/>
          <w:lang w:bidi="fa-IR"/>
        </w:rPr>
        <w:t>.</w:t>
      </w:r>
      <w:r>
        <w:rPr>
          <w:rStyle w:val="FootnoteAnchor"/>
          <w:rtl w:val="true"/>
        </w:rPr>
        <w:footnoteReference w:id="254"/>
      </w:r>
      <w:r>
        <w:rPr>
          <w:rFonts w:ascii="IRNazanin" w:hAnsi="IRNazanin" w:eastAsia="IRNazanin"/>
          <w:color w:val="111111"/>
          <w:sz w:val="28"/>
          <w:sz w:val="28"/>
          <w:szCs w:val="28"/>
          <w:rtl w:val="true"/>
          <w:lang w:bidi="fa-IR"/>
        </w:rPr>
        <w:t>در نتیجه، با وجود این افراد ضعیف و غیرموثقی که در سند این احادیث وجود دارد، نمی توان به این احادیث اعتماد و عمل 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مخالف سیره پیامبر</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بی‌گمان یکی از منابع معتبر احکام مسلمانان، سنت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 فعل و تقریر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ازاینرو، اگر از طریقی که همه قبول دارند، سنت پیامبر در گفتن یا نگفتن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ثابت شود، برای ما حجت است و باید به آن عمل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دانشمندان و راویان و </w:t>
      </w:r>
    </w:p>
    <w:p>
      <w:pPr>
        <w:pStyle w:val="BookText"/>
        <w:rPr/>
      </w:pPr>
      <w:r>
        <w:rPr>
          <w:rFonts w:ascii="IRNazanin" w:hAnsi="IRNazanin" w:eastAsia="IRNazanin"/>
          <w:color w:val="111111"/>
          <w:sz w:val="28"/>
          <w:sz w:val="28"/>
          <w:szCs w:val="28"/>
          <w:rtl w:val="true"/>
          <w:lang w:bidi="fa-IR"/>
        </w:rPr>
        <w:t>محدثان اهل‌سنت، در سنن و صحاح خود هنگامی که نماز پیامبر را نقل کرده‌اند، سخنی از آمین به میان نیاورده و در عمل حضرت نیز چنین چیزی نقل نشده است</w:t>
      </w:r>
      <w:r>
        <w:rPr>
          <w:rFonts w:eastAsia="IRNazanin" w:cs="IRNazanin"/>
          <w:color w:val="111111"/>
          <w:sz w:val="28"/>
          <w:szCs w:val="28"/>
          <w:rtl w:val="true"/>
          <w:lang w:bidi="fa-IR"/>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ابوحمید ساعدی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هنگام نماز دو دستش را تا محاذی شانه هایش بالا می‌برد و تکبیر می گفت و در حالت قرار و استقرار، قرائت نماز را می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در حالی که دستانش را محاذی شانه هایش بالا می برد، تکبیر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رکوع میکرد و کف دو دستش را روی زانوها قرار می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می ایستاد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در حالی که می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سَمِعَ اللَّهُ لِمَنْ حَمِدَهُ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از رکوع برمی‌داشت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دو دستش را محاذی شانه‌هایش بالا می‌برد و در حالی که کامل ایستاده بود می‌گفت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 أَکْبَر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به سمت زمین و به سجده می‌رفت و دو دستش را در کنارش می‌گذاشت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سرش را بلند می‌کرد، روی پای چپ می‌نشست و موقعی که سجده می‌کرد، انگشتان پا را باز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الله اکبر می‌گفت و سرش را بلند می‌کرد و دوباره روی پای چپ می‌نشست تا اینکه قرار و آرام می‌گرفت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رکعت دیگر را نیز به همین صورت به جا 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دو رکعت به اتمام می‌رسید، تکبیر می‌گفت، در حالی که دو دستش محاذی شانه‌هایش بود؛ همان‌طور که در شروع نماز تکبیر گفته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بقیه نماز چنین بود تا اینکه در رکعت آخر پای چپ را به عقب </w:t>
      </w:r>
      <w:bookmarkStart w:id="311" w:name="pg3848_38748"/>
    </w:p>
    <w:p>
      <w:pPr>
        <w:pStyle w:val="BookText"/>
        <w:rPr/>
      </w:pPr>
      <w:bookmarkEnd w:id="311"/>
      <w:r>
        <w:rPr>
          <w:rFonts w:ascii="IRNazanin" w:hAnsi="IRNazanin" w:eastAsia="IRNazanin"/>
          <w:color w:val="111111"/>
          <w:sz w:val="28"/>
          <w:sz w:val="28"/>
          <w:szCs w:val="28"/>
          <w:rtl w:val="true"/>
          <w:lang w:bidi="fa-IR"/>
        </w:rPr>
        <w:t>می‌کشید و روی آن پا می‌نشست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اصحاب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 گفتی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این چنین نماز می‌خواند</w:t>
      </w:r>
      <w:r>
        <w:rPr>
          <w:rFonts w:eastAsia="IRNazanin" w:cs="IRNazanin"/>
          <w:color w:val="111111"/>
          <w:sz w:val="28"/>
          <w:szCs w:val="28"/>
          <w:rtl w:val="true"/>
          <w:lang w:bidi="fa-IR"/>
        </w:rPr>
        <w:t>.</w:t>
      </w:r>
      <w:r>
        <w:rPr>
          <w:rStyle w:val="FootnoteAnchor"/>
          <w:rtl w:val="true"/>
        </w:rPr>
        <w:footnoteReference w:id="255"/>
      </w:r>
    </w:p>
    <w:p>
      <w:pPr>
        <w:pStyle w:val="Heading5"/>
        <w:numPr>
          <w:ilvl w:val="4"/>
          <w:numId w:val="1"/>
        </w:numPr>
        <w:rPr/>
      </w:pPr>
      <w:bookmarkStart w:id="312" w:name="__RefHeading___Toc1510315_2281741623"/>
      <w:bookmarkStart w:id="313" w:name="_Toc119"/>
      <w:bookmarkEnd w:id="312"/>
      <w:r>
        <w:rPr>
          <w:rtl w:val="true"/>
        </w:rPr>
        <w:t>گذری بر روایات شیعه</w:t>
      </w:r>
      <w:bookmarkEnd w:id="313"/>
    </w:p>
    <w:p>
      <w:pPr>
        <w:pStyle w:val="BookText"/>
        <w:rPr/>
      </w:pPr>
      <w:r>
        <w:rPr>
          <w:rFonts w:ascii="IRNazanin" w:hAnsi="IRNazanin" w:eastAsia="IRNazanin"/>
          <w:color w:val="111111"/>
          <w:sz w:val="28"/>
          <w:sz w:val="28"/>
          <w:szCs w:val="28"/>
          <w:rtl w:val="true"/>
          <w:lang w:bidi="fa-IR"/>
        </w:rPr>
        <w:t>با توجه به مطالب پیش‌گفته، سستی دلایل و روایات اهل‌سنت روشن می شود و ائمه اهل 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به عنوان یکی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ثقلین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گفتن آمین را حرام و مبطل نماز دانسته‌اند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حلبی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از خواندن سوره حمد فارغ می‌شوم، آمین بگویم؟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w:t>
      </w:r>
      <w:r>
        <w:rPr>
          <w:rStyle w:val="FootnoteAnchor"/>
          <w:rtl w:val="true"/>
        </w:rPr>
        <w:footnoteReference w:id="256"/>
      </w:r>
      <w:r>
        <w:rPr>
          <w:rFonts w:ascii="IRNazanin" w:hAnsi="IRNazanin" w:eastAsia="IRNazanin"/>
          <w:color w:val="111111"/>
          <w:sz w:val="28"/>
          <w:sz w:val="28"/>
          <w:szCs w:val="28"/>
          <w:rtl w:val="true"/>
          <w:lang w:bidi="fa-IR"/>
        </w:rPr>
        <w:t>پیامبرفرمود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جایز نیست بعد از قرائت 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شود</w:t>
      </w:r>
      <w:r>
        <w:rPr>
          <w:rFonts w:eastAsia="IRNazanin" w:cs="IRNazanin"/>
          <w:color w:val="111111"/>
          <w:sz w:val="28"/>
          <w:szCs w:val="28"/>
          <w:rtl w:val="true"/>
          <w:lang w:bidi="fa-IR"/>
        </w:rPr>
        <w:t>.</w:t>
      </w:r>
      <w:r>
        <w:rPr>
          <w:rStyle w:val="FootnoteAnchor"/>
          <w:rtl w:val="true"/>
        </w:rPr>
        <w:footnoteReference w:id="257"/>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صادق علیه السلام نیز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نماز جماعت، زمانی که امام جماعت سوره حمد را قرائت کرد، آمین نگویید</w:t>
      </w:r>
      <w:r>
        <w:rPr>
          <w:rFonts w:eastAsia="IRNazanin" w:cs="IRNazanin"/>
          <w:color w:val="111111"/>
          <w:sz w:val="28"/>
          <w:szCs w:val="28"/>
          <w:rtl w:val="true"/>
          <w:lang w:bidi="fa-IR"/>
        </w:rPr>
        <w:t>.</w:t>
      </w:r>
      <w:r>
        <w:rPr>
          <w:rStyle w:val="FootnoteAnchor"/>
          <w:rtl w:val="true"/>
        </w:rPr>
        <w:footnoteReference w:id="258"/>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ضمن اینکه در شریعت اسلام، عبادات اعم از واجب و مستحب، توقیفی و محدود هستند؛ به این معنا که انجام آن در کم و کیف، متوقف به همان صورتی است که از شریعت و دین </w:t>
      </w:r>
      <w:bookmarkStart w:id="314" w:name="pg3848_38749"/>
    </w:p>
    <w:p>
      <w:pPr>
        <w:pStyle w:val="BookText"/>
        <w:rPr/>
      </w:pPr>
      <w:bookmarkEnd w:id="314"/>
      <w:r>
        <w:rPr>
          <w:rFonts w:ascii="IRNazanin" w:hAnsi="IRNazanin" w:eastAsia="IRNazanin"/>
          <w:color w:val="111111"/>
          <w:sz w:val="28"/>
          <w:sz w:val="28"/>
          <w:szCs w:val="28"/>
          <w:rtl w:val="true"/>
          <w:lang w:bidi="fa-IR"/>
        </w:rPr>
        <w:t>به ما رسیده است و انسان به هیچ وجه حق کم یا زیاد نمودن آن را ندارد و نمی‌شود هر کس بر اساس اندیشه و خواست خود برنامه‌ای برای کیفیت آن انتخاب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حکم مختص نماز نیست، بلکه شامل هر عبادتی مثل وضو، تیمم، روزه و مانند آن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ساده تر، در عبادات حق اِعمال سلیقه نداریم و عبادات توقیفی است و هر گونه حذف و اضافه در عبادات بدعت شمرده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با توجه به اینکه نماز از عبادات و توقیفی است و آمین جزء نماز نیست، به فتوای علمای امامیه، گفتن آمین بعد از حمد حرام است و نماز را نیز باطل می کند</w:t>
      </w:r>
      <w:r>
        <w:rPr>
          <w:rFonts w:eastAsia="IRNazanin" w:cs="IRNazanin"/>
          <w:color w:val="111111"/>
          <w:sz w:val="28"/>
          <w:szCs w:val="28"/>
          <w:rtl w:val="true"/>
          <w:lang w:bidi="fa-IR"/>
        </w:rPr>
        <w:t>.</w:t>
      </w:r>
    </w:p>
    <w:p>
      <w:pPr>
        <w:pStyle w:val="Heading4"/>
        <w:numPr>
          <w:ilvl w:val="3"/>
          <w:numId w:val="1"/>
        </w:numPr>
        <w:rPr/>
      </w:pPr>
      <w:bookmarkStart w:id="315" w:name="__RefHeading___Toc1510317_2281741623"/>
      <w:bookmarkStart w:id="316" w:name="_Toc120"/>
      <w:bookmarkEnd w:id="315"/>
      <w:r>
        <w:rPr/>
        <w:t>4</w:t>
      </w:r>
      <w:r>
        <w:rPr>
          <w:rtl w:val="true"/>
        </w:rPr>
        <w:t xml:space="preserve">. </w:t>
      </w:r>
      <w:r>
        <w:rPr>
          <w:rtl w:val="true"/>
        </w:rPr>
        <w:t>قرائت سوره بعد از فاتحه</w:t>
      </w:r>
      <w:bookmarkEnd w:id="316"/>
    </w:p>
    <w:p>
      <w:pPr>
        <w:pStyle w:val="BookText"/>
        <w:rPr/>
      </w:pPr>
      <w:r>
        <w:rPr>
          <w:rFonts w:ascii="IRNazanin" w:hAnsi="IRNazanin" w:eastAsia="IRNazanin"/>
          <w:color w:val="111111"/>
          <w:sz w:val="28"/>
          <w:sz w:val="28"/>
          <w:szCs w:val="28"/>
          <w:rtl w:val="true"/>
          <w:lang w:bidi="fa-IR"/>
        </w:rPr>
        <w:t>امامیه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قرائتِ یک سوره کامل پس از حمد، در دو رکعت اولِ نمازهای فریضه واجب است، جز در موارد ضرورت؛ مانند تنگی وقت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سوره‌های فیل، قریش، ضحی و انشراح نیز در حکم یک سوره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حنبلیه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آیه‌ای که معنای مستقل دارد و مرتبط به قبل و بعد نیست خوانده شود و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مُدْهَآمَّتَانِ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کافی نیست</w:t>
      </w:r>
      <w:r>
        <w:rPr>
          <w:rFonts w:eastAsia="IRNazanin" w:cs="IRNazanin"/>
          <w:color w:val="111111"/>
          <w:sz w:val="28"/>
          <w:szCs w:val="28"/>
          <w:rtl w:val="true"/>
          <w:lang w:bidi="fa-IR"/>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حنفیه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سوره‌ای کوتاه یا آیه‌ای طولانی یا دست‌کم سه آیه کوتاه خوانده شود</w:t>
      </w:r>
      <w:r>
        <w:rPr>
          <w:rFonts w:eastAsia="IRNazanin" w:cs="IRNazanin"/>
          <w:color w:val="111111"/>
          <w:sz w:val="28"/>
          <w:szCs w:val="28"/>
          <w:rtl w:val="true"/>
          <w:lang w:bidi="fa-IR"/>
        </w:rPr>
        <w:t xml:space="preserve">. </w:t>
      </w:r>
      <w:bookmarkStart w:id="317" w:name="pg3848_38750"/>
    </w:p>
    <w:p>
      <w:pPr>
        <w:pStyle w:val="BookText"/>
        <w:rPr/>
      </w:pPr>
      <w:bookmarkEnd w:id="317"/>
      <w:r>
        <w:rPr>
          <w:rFonts w:ascii="IRNazanin" w:hAnsi="IRNazanin" w:eastAsia="IRNazanin"/>
          <w:color w:val="111111"/>
          <w:sz w:val="28"/>
          <w:sz w:val="28"/>
          <w:szCs w:val="28"/>
          <w:rtl w:val="true"/>
          <w:lang w:bidi="fa-IR"/>
        </w:rPr>
        <w:t>شافعیه و مالکیه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اکتفا به قرائت مقداری از قرآن، مانند سوره‌ای کوتاه یا یک آیه یا مقداری از یک آیه بعد از فاتحه،مانعی ندارد و اصل سنت با آن حاصل می‌شود</w:t>
      </w:r>
      <w:r>
        <w:rPr>
          <w:rFonts w:eastAsia="IRNazanin" w:cs="IRNazanin"/>
          <w:color w:val="111111"/>
          <w:sz w:val="28"/>
          <w:szCs w:val="28"/>
          <w:rtl w:val="true"/>
          <w:lang w:bidi="fa-IR"/>
        </w:rPr>
        <w:t>.</w:t>
      </w:r>
      <w:r>
        <w:rPr>
          <w:rStyle w:val="FootnoteAnchor"/>
          <w:rtl w:val="true"/>
        </w:rPr>
        <w:footnoteReference w:id="259"/>
      </w:r>
    </w:p>
    <w:p>
      <w:pPr>
        <w:pStyle w:val="Heading4"/>
        <w:numPr>
          <w:ilvl w:val="3"/>
          <w:numId w:val="1"/>
        </w:numPr>
        <w:rPr/>
      </w:pPr>
      <w:bookmarkStart w:id="318" w:name="__RefHeading___Toc1510319_2281741623"/>
      <w:bookmarkStart w:id="319" w:name="_Toc121"/>
      <w:bookmarkEnd w:id="318"/>
      <w:r>
        <w:rPr/>
        <w:t>5</w:t>
      </w:r>
      <w:r>
        <w:rPr>
          <w:rtl w:val="true"/>
        </w:rPr>
        <w:t xml:space="preserve">. </w:t>
      </w:r>
      <w:r>
        <w:rPr>
          <w:rtl w:val="true"/>
        </w:rPr>
        <w:t>قنوت</w:t>
      </w:r>
      <w:bookmarkEnd w:id="319"/>
    </w:p>
    <w:p>
      <w:pPr>
        <w:pStyle w:val="Heading5"/>
        <w:numPr>
          <w:ilvl w:val="4"/>
          <w:numId w:val="1"/>
        </w:numPr>
        <w:rPr/>
      </w:pPr>
      <w:bookmarkStart w:id="320" w:name="__RefHeading___Toc1510321_2281741623"/>
      <w:bookmarkStart w:id="321" w:name="_Toc122"/>
      <w:bookmarkEnd w:id="320"/>
      <w:r>
        <w:rPr>
          <w:rtl w:val="true"/>
        </w:rPr>
        <w:t>اشاره</w:t>
      </w:r>
      <w:bookmarkEnd w:id="32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قنوت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لغت 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اصطلاح فقها عبارت است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اثنای نمازهای یومیه پس از قرائت و پیش از رکوع رکعت دوم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فقهای شیعه بر اساس روایات منقول از امامان معصوم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فتوا داده اند که قنوت در همه نمازهای واجب، مستحب است</w:t>
      </w:r>
      <w:r>
        <w:rPr>
          <w:rStyle w:val="FootnoteAnchor"/>
          <w:rtl w:val="true"/>
        </w:rPr>
        <w:footnoteReference w:id="260"/>
      </w:r>
      <w:r>
        <w:rPr>
          <w:rFonts w:ascii="IRNazanin" w:hAnsi="IRNazanin" w:eastAsia="IRNazanin"/>
          <w:color w:val="111111"/>
          <w:sz w:val="28"/>
          <w:sz w:val="28"/>
          <w:szCs w:val="28"/>
          <w:rtl w:val="true"/>
          <w:lang w:bidi="fa-IR"/>
        </w:rPr>
        <w:t>و ترک عمدی یا سهوی آن خللی به نماز وارد نمی کند</w:t>
      </w:r>
      <w:r>
        <w:rPr>
          <w:rFonts w:eastAsia="IRNazanin" w:cs="IRNazanin"/>
          <w:color w:val="111111"/>
          <w:sz w:val="28"/>
          <w:szCs w:val="28"/>
          <w:rtl w:val="true"/>
          <w:lang w:bidi="fa-IR"/>
        </w:rPr>
        <w:t>.</w:t>
      </w:r>
    </w:p>
    <w:p>
      <w:pPr>
        <w:pStyle w:val="Heading5"/>
        <w:numPr>
          <w:ilvl w:val="4"/>
          <w:numId w:val="1"/>
        </w:numPr>
        <w:rPr/>
      </w:pPr>
      <w:bookmarkStart w:id="322" w:name="__RefHeading___Toc1510323_2281741623"/>
      <w:bookmarkStart w:id="323" w:name="_Toc123"/>
      <w:bookmarkEnd w:id="322"/>
      <w:r>
        <w:rPr>
          <w:rtl w:val="true"/>
        </w:rPr>
        <w:t>قنوت از نظر اهل سنت</w:t>
      </w:r>
      <w:bookmarkEnd w:id="323"/>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هیچ کدام از فقهای اهل‌سنت، قنوت را واجب ندانسته‌اند، ولی درباره جایز و مستحب بودن آن، اختلاف نظر دارند که به خلاصه فتاوای آنان در قالب سه مورد اشاره می‌ کنیم</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قنوت در نماز صبح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ابوحنیفه قنوت را نه تنها در نماز صبح، بلکه در هیچ یک از نمازها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نماز وتر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جایز نمی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حنابله قنوت را در صبح مکروه،</w:t>
      </w:r>
      <w:r>
        <w:rPr>
          <w:rStyle w:val="FootnoteAnchor"/>
          <w:rtl w:val="true"/>
        </w:rPr>
        <w:footnoteReference w:id="261"/>
      </w:r>
      <w:r>
        <w:rPr>
          <w:rFonts w:ascii="IRNazanin" w:hAnsi="IRNazanin" w:eastAsia="IRNazanin"/>
          <w:color w:val="111111"/>
          <w:sz w:val="28"/>
          <w:sz w:val="28"/>
          <w:szCs w:val="28"/>
          <w:rtl w:val="true"/>
          <w:lang w:bidi="fa-IR"/>
        </w:rPr>
        <w:t>و مالکیها و شافعیها آن را در نماز صبح مستحب می‌دانند</w:t>
      </w:r>
      <w:r>
        <w:rPr>
          <w:rFonts w:eastAsia="IRNazanin" w:cs="IRNazanin"/>
          <w:color w:val="111111"/>
          <w:sz w:val="28"/>
          <w:szCs w:val="28"/>
          <w:rtl w:val="true"/>
          <w:lang w:bidi="fa-IR"/>
        </w:rPr>
        <w:t>.</w:t>
      </w:r>
      <w:r>
        <w:rPr>
          <w:rStyle w:val="FootnoteAnchor"/>
          <w:rtl w:val="true"/>
        </w:rPr>
        <w:footnoteReference w:id="262"/>
      </w:r>
      <w:r>
        <w:rPr>
          <w:rFonts w:ascii="IRNazanin" w:hAnsi="IRNazanin" w:eastAsia="IRNazanin"/>
          <w:color w:val="111111"/>
          <w:sz w:val="28"/>
          <w:sz w:val="28"/>
          <w:szCs w:val="28"/>
          <w:rtl w:val="true"/>
          <w:lang w:bidi="fa-IR"/>
        </w:rPr>
        <w:t>البته استحباب قنوت از نظر شافعی استحباب مؤکد است؛</w:t>
      </w:r>
      <w:r>
        <w:rPr>
          <w:rStyle w:val="FootnoteAnchor"/>
          <w:rtl w:val="true"/>
        </w:rPr>
        <w:footnoteReference w:id="263"/>
      </w:r>
      <w:r>
        <w:rPr>
          <w:rFonts w:ascii="IRNazanin" w:hAnsi="IRNazanin" w:eastAsia="IRNazanin"/>
          <w:color w:val="111111"/>
          <w:sz w:val="28"/>
          <w:sz w:val="28"/>
          <w:szCs w:val="28"/>
          <w:rtl w:val="true"/>
          <w:lang w:bidi="fa-IR"/>
        </w:rPr>
        <w:t>به طوری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فتوای 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ترک قنوت، نماز را باطل نمیکند، برای ترک آن، چه سهواً و چه عمداً، باید سجده سهو به جا آورد</w:t>
      </w:r>
      <w:r>
        <w:rPr>
          <w:rFonts w:eastAsia="IRNazanin" w:cs="IRNazanin"/>
          <w:color w:val="111111"/>
          <w:sz w:val="28"/>
          <w:szCs w:val="28"/>
          <w:rtl w:val="true"/>
          <w:lang w:bidi="fa-IR"/>
        </w:rPr>
        <w:t>.</w:t>
      </w:r>
      <w:r>
        <w:rPr>
          <w:rStyle w:val="FootnoteAnchor"/>
          <w:rtl w:val="true"/>
        </w:rPr>
        <w:footnoteReference w:id="264"/>
      </w:r>
      <w:r>
        <w:rPr>
          <w:rFonts w:ascii="IRNazanin" w:hAnsi="IRNazanin" w:eastAsia="IRNazanin"/>
          <w:color w:val="111111"/>
          <w:sz w:val="28"/>
          <w:sz w:val="28"/>
          <w:szCs w:val="28"/>
          <w:rtl w:val="true"/>
          <w:lang w:bidi="fa-IR"/>
        </w:rPr>
        <w:t>اگر برخی از اهل‌سنت در نماز صبح قنوت میگیرند، بر اساس این فتوای فقهی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هیچ یک از نمازهای یومیه، چه بلایی نازل شده باشد و چه نشده باشد، قنوت جایز نیست</w:t>
      </w:r>
      <w:r>
        <w:rPr>
          <w:rFonts w:eastAsia="IRNazanin" w:cs="IRNazanin"/>
          <w:color w:val="111111"/>
          <w:sz w:val="28"/>
          <w:szCs w:val="28"/>
          <w:rtl w:val="true"/>
          <w:lang w:bidi="fa-IR"/>
        </w:rPr>
        <w:t>.</w:t>
      </w:r>
      <w:r>
        <w:rPr>
          <w:rStyle w:val="FootnoteAnchor"/>
          <w:rtl w:val="true"/>
        </w:rPr>
        <w:footnoteReference w:id="265"/>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قنوت عندالنازله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اساس فتوای مشهور شافعی، در صورت نزول بلا یا بروز هر مشکل برای مسلمانان، قنوت در غیر نماز صبح جایز است،</w:t>
      </w:r>
      <w:r>
        <w:rPr>
          <w:rStyle w:val="FootnoteAnchor"/>
          <w:rtl w:val="true"/>
        </w:rPr>
        <w:footnoteReference w:id="266"/>
      </w:r>
      <w:r>
        <w:rPr>
          <w:rFonts w:ascii="IRNazanin" w:hAnsi="IRNazanin" w:eastAsia="IRNazanin"/>
          <w:color w:val="111111"/>
          <w:sz w:val="28"/>
          <w:sz w:val="28"/>
          <w:szCs w:val="28"/>
          <w:rtl w:val="true"/>
          <w:lang w:bidi="fa-IR"/>
        </w:rPr>
        <w:t>ولی گروهی از فقها فتوا داده‌اند که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قنوت هنگام نزول بلا، فقط در نماز صبح جایز است،</w:t>
      </w:r>
      <w:r>
        <w:rPr>
          <w:rStyle w:val="FootnoteAnchor"/>
          <w:rtl w:val="true"/>
        </w:rPr>
        <w:footnoteReference w:id="267"/>
      </w:r>
      <w:r>
        <w:rPr>
          <w:rFonts w:ascii="IRNazanin" w:hAnsi="IRNazanin" w:eastAsia="IRNazanin"/>
          <w:color w:val="111111"/>
          <w:sz w:val="28"/>
          <w:sz w:val="28"/>
          <w:szCs w:val="28"/>
          <w:rtl w:val="true"/>
          <w:lang w:bidi="fa-IR"/>
        </w:rPr>
        <w:t>ولی در مقابل آنان، دسته‌ای دیگر از فقها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قنوت هنگام نزول بلا در همه نمازها جایز است و به نماز معینی اختصاص ندارد</w:t>
      </w:r>
      <w:r>
        <w:rPr>
          <w:rFonts w:eastAsia="IRNazanin" w:cs="IRNazanin"/>
          <w:color w:val="111111"/>
          <w:sz w:val="28"/>
          <w:szCs w:val="28"/>
          <w:rtl w:val="true"/>
          <w:lang w:bidi="fa-IR"/>
        </w:rPr>
        <w:t>.</w:t>
      </w:r>
      <w:r>
        <w:rPr>
          <w:rStyle w:val="FootnoteAnchor"/>
          <w:rtl w:val="true"/>
        </w:rPr>
        <w:footnoteReference w:id="268"/>
      </w:r>
    </w:p>
    <w:p>
      <w:pPr>
        <w:pStyle w:val="BookText"/>
        <w:rPr/>
      </w:pPr>
      <w:r>
        <w:rPr>
          <w:rFonts w:ascii="IRNazanin" w:hAnsi="IRNazanin" w:eastAsia="IRNazanin"/>
          <w:color w:val="111111"/>
          <w:sz w:val="28"/>
          <w:sz w:val="28"/>
          <w:szCs w:val="28"/>
          <w:rtl w:val="true"/>
          <w:lang w:bidi="fa-IR"/>
        </w:rPr>
        <w:t xml:space="preserve">این فتوا از این نظر به قنوت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عندالنازله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معروف شده است که طبق نقل تاریخنگاران، رسول خدا صلی الله علیه و آله گروهی از مسلمانان را برای دعوت قبیله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بنی‌سلیم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اسلام، نزد آنان فرستاد، ولی آنان مبلغان اسلام را ناجوانمردانه کشتند</w:t>
      </w:r>
      <w:r>
        <w:rPr>
          <w:rFonts w:eastAsia="IRNazanin" w:cs="IRNazanin"/>
          <w:color w:val="111111"/>
          <w:sz w:val="28"/>
          <w:szCs w:val="28"/>
          <w:rtl w:val="true"/>
          <w:lang w:bidi="fa-IR"/>
        </w:rPr>
        <w:t>.</w:t>
      </w:r>
      <w:r>
        <w:rPr>
          <w:rStyle w:val="FootnoteAnchor"/>
          <w:rtl w:val="true"/>
        </w:rPr>
        <w:footnoteReference w:id="269"/>
      </w:r>
      <w:r>
        <w:rPr>
          <w:rFonts w:ascii="IRNazanin" w:hAnsi="IRNazanin" w:eastAsia="IRNazanin"/>
          <w:color w:val="111111"/>
          <w:sz w:val="28"/>
          <w:sz w:val="28"/>
          <w:szCs w:val="28"/>
          <w:rtl w:val="true"/>
          <w:lang w:bidi="fa-IR"/>
        </w:rPr>
        <w:t>ازاین‌رو، پیامبر اکرم صلی الله علیه و آله به مدت یک ماه در نمازهای صبح، ظهر، عصر، مغرب و عشا قنوت می‌گرفت و آنان را لعن و نفرین می‌کرد</w:t>
      </w:r>
      <w:r>
        <w:rPr>
          <w:rFonts w:eastAsia="IRNazanin" w:cs="IRNazanin"/>
          <w:color w:val="111111"/>
          <w:sz w:val="28"/>
          <w:szCs w:val="28"/>
          <w:rtl w:val="true"/>
          <w:lang w:bidi="fa-IR"/>
        </w:rPr>
        <w:t>.</w:t>
      </w:r>
      <w:r>
        <w:rPr>
          <w:rStyle w:val="FootnoteAnchor"/>
          <w:rtl w:val="true"/>
        </w:rPr>
        <w:footnoteReference w:id="270"/>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 از آن، مسلمانان با پیروی از این روش پیامبر، هنگام نزول بلا یا بروز گرفتاری و مشکل بزرگ برای مسلمانان، در نماز قنوت می‌گرفتند و در آن برای پیروزی و رفع گرفتاری مسلمانان دعا، و بر دشمنان اسلام لعن و نفرین می کردند</w:t>
      </w:r>
      <w:r>
        <w:rPr>
          <w:rFonts w:eastAsia="IRNazanin" w:cs="IRNazanin"/>
          <w:color w:val="111111"/>
          <w:sz w:val="28"/>
          <w:szCs w:val="28"/>
          <w:rtl w:val="true"/>
          <w:lang w:bidi="fa-IR"/>
        </w:rPr>
        <w:t>.</w:t>
      </w:r>
      <w:r>
        <w:rPr>
          <w:rStyle w:val="FootnoteAnchor"/>
          <w:rtl w:val="true"/>
        </w:rPr>
        <w:footnoteReference w:id="271"/>
      </w:r>
      <w:bookmarkStart w:id="324" w:name="pg3848_38753"/>
    </w:p>
    <w:p>
      <w:pPr>
        <w:pStyle w:val="BookText"/>
        <w:rPr/>
      </w:pPr>
      <w:bookmarkEnd w:id="324"/>
      <w:r>
        <w:rPr>
          <w:rFonts w:ascii="IRNazanin" w:hAnsi="IRNazanin" w:eastAsia="IRNazanin"/>
          <w:color w:val="111111"/>
          <w:sz w:val="28"/>
          <w:sz w:val="28"/>
          <w:szCs w:val="28"/>
          <w:rtl w:val="true"/>
          <w:lang w:bidi="fa-IR"/>
        </w:rPr>
        <w:t>گفتنی است در روایات متعددی از کتاب‌های اهل‌سنت، به قنوت نماز پیامبر اعظم صلی الله علیه و آله اشاره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مثال، بیهقی به نقل از براء بن عازب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هیچ نماز واجبی را بدون قنوت در آن به جا نمی‌آورد</w:t>
      </w:r>
      <w:r>
        <w:rPr>
          <w:rFonts w:eastAsia="IRNazanin" w:cs="IRNazanin"/>
          <w:color w:val="111111"/>
          <w:sz w:val="28"/>
          <w:szCs w:val="28"/>
          <w:rtl w:val="true"/>
          <w:lang w:bidi="fa-IR"/>
        </w:rPr>
        <w:t>.</w:t>
      </w:r>
      <w:r>
        <w:rPr>
          <w:rStyle w:val="FootnoteAnchor"/>
          <w:rtl w:val="true"/>
        </w:rPr>
        <w:footnoteReference w:id="272"/>
      </w:r>
    </w:p>
    <w:p>
      <w:pPr>
        <w:pStyle w:val="Heading4"/>
        <w:numPr>
          <w:ilvl w:val="3"/>
          <w:numId w:val="1"/>
        </w:numPr>
        <w:rPr/>
      </w:pPr>
      <w:bookmarkStart w:id="325" w:name="__RefHeading___Toc1510325_2281741623"/>
      <w:bookmarkStart w:id="326" w:name="_Toc124"/>
      <w:bookmarkEnd w:id="325"/>
      <w:r>
        <w:rPr/>
        <w:t>6</w:t>
      </w:r>
      <w:r>
        <w:rPr>
          <w:rtl w:val="true"/>
        </w:rPr>
        <w:t xml:space="preserve">. </w:t>
      </w:r>
      <w:r>
        <w:rPr>
          <w:rtl w:val="true"/>
        </w:rPr>
        <w:t xml:space="preserve">سجده </w:t>
      </w:r>
      <w:r>
        <w:rPr>
          <w:rtl w:val="true"/>
        </w:rPr>
        <w:t>(</w:t>
      </w:r>
      <w:r>
        <w:rPr>
          <w:rtl w:val="true"/>
        </w:rPr>
        <w:t>ما یصحّ السجود علیه</w:t>
      </w:r>
      <w:r>
        <w:rPr>
          <w:rtl w:val="true"/>
        </w:rPr>
        <w:t>)</w:t>
      </w:r>
      <w:bookmarkEnd w:id="326"/>
    </w:p>
    <w:p>
      <w:pPr>
        <w:pStyle w:val="Heading5"/>
        <w:numPr>
          <w:ilvl w:val="4"/>
          <w:numId w:val="1"/>
        </w:numPr>
        <w:rPr/>
      </w:pPr>
      <w:bookmarkStart w:id="327" w:name="__RefHeading___Toc1510327_2281741623"/>
      <w:bookmarkStart w:id="328" w:name="_Toc125"/>
      <w:bookmarkEnd w:id="327"/>
      <w:r>
        <w:rPr>
          <w:rtl w:val="true"/>
        </w:rPr>
        <w:t>اشاره</w:t>
      </w:r>
      <w:bookmarkEnd w:id="328"/>
    </w:p>
    <w:p>
      <w:pPr>
        <w:pStyle w:val="BookText"/>
        <w:rPr/>
      </w:pPr>
      <w:r>
        <w:rPr>
          <w:rFonts w:ascii="IRNazanin" w:hAnsi="IRNazanin" w:eastAsia="IRNazanin"/>
          <w:color w:val="111111"/>
          <w:sz w:val="28"/>
          <w:sz w:val="28"/>
          <w:szCs w:val="28"/>
          <w:rtl w:val="true"/>
          <w:lang w:bidi="fa-IR"/>
        </w:rPr>
        <w:t>به فتوای بزرگان شیعه امامیه، سجده بر زمین و آنچه از زمین می‌روید و مأکول و ملبوس نیست، صحیح است و سجده بر ذهب و فضه و معدن و حنطه و شعیر و شیشه و قیر و ذغال و مواد شیمیایی صحیح نیست</w:t>
      </w:r>
      <w:r>
        <w:rPr>
          <w:rFonts w:eastAsia="IRNazanin" w:cs="IRNazanin"/>
          <w:color w:val="111111"/>
          <w:sz w:val="28"/>
          <w:szCs w:val="28"/>
          <w:rtl w:val="true"/>
          <w:lang w:bidi="fa-IR"/>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مذاهب چهارگانه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صحت سجود شرط است چیزی که پیشانی بر آن استقرار می یابد، خشک باشد و اگر پیشانی را بر کف خود بگذارد، باطل است و تنها حنفیه آن را مکروه می‌شمارند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سجده بر چیزی که پوشیده یا با خود، شیء حمل می‌کند، به نظر شافعیه باطل است و به نظر بقیه مکروه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سجده بر عمامه که بخشی از پیشانی را پوشانیده صحیح است، جز نزد شافعیه که می‌گویند باید پیشانی مکشوف باشد</w:t>
      </w:r>
      <w:r>
        <w:rPr>
          <w:rFonts w:eastAsia="IRNazanin" w:cs="IRNazanin"/>
          <w:color w:val="111111"/>
          <w:sz w:val="28"/>
          <w:szCs w:val="28"/>
          <w:rtl w:val="true"/>
          <w:lang w:bidi="fa-IR"/>
        </w:rPr>
        <w:t>.</w:t>
      </w:r>
      <w:r>
        <w:rPr>
          <w:rStyle w:val="FootnoteAnchor"/>
          <w:rtl w:val="true"/>
        </w:rPr>
        <w:footnoteReference w:id="273"/>
      </w:r>
      <w:bookmarkStart w:id="329" w:name="pg3848_38754"/>
    </w:p>
    <w:p>
      <w:pPr>
        <w:pStyle w:val="Heading5"/>
        <w:numPr>
          <w:ilvl w:val="4"/>
          <w:numId w:val="1"/>
        </w:numPr>
        <w:rPr/>
      </w:pPr>
      <w:bookmarkStart w:id="330" w:name="__RefHeading___Toc1510329_2281741623"/>
      <w:bookmarkStart w:id="331" w:name="_Toc126"/>
      <w:bookmarkEnd w:id="329"/>
      <w:bookmarkEnd w:id="330"/>
      <w:r>
        <w:rPr>
          <w:rtl w:val="true"/>
        </w:rPr>
        <w:t xml:space="preserve">نقد و بررسی مُهر نماز </w:t>
      </w:r>
      <w:r>
        <w:rPr>
          <w:rtl w:val="true"/>
        </w:rPr>
        <w:t>(</w:t>
      </w:r>
      <w:r>
        <w:rPr>
          <w:rtl w:val="true"/>
        </w:rPr>
        <w:t>سجده بر زمین</w:t>
      </w:r>
      <w:r>
        <w:rPr>
          <w:rtl w:val="true"/>
        </w:rPr>
        <w:t>)</w:t>
      </w:r>
      <w:bookmarkEnd w:id="331"/>
    </w:p>
    <w:p>
      <w:pPr>
        <w:pStyle w:val="BookText"/>
        <w:rPr/>
      </w:pPr>
      <w:r>
        <w:rPr>
          <w:rFonts w:ascii="IRNazanin" w:hAnsi="IRNazanin" w:eastAsia="IRNazanin"/>
          <w:color w:val="111111"/>
          <w:sz w:val="28"/>
          <w:sz w:val="28"/>
          <w:szCs w:val="28"/>
          <w:rtl w:val="true"/>
          <w:lang w:bidi="fa-IR"/>
        </w:rPr>
        <w:t>یکی از شبهه‌های اهل‌سنت به شیعه این است که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شما بر مهر نماز می‌خوانید؟ این عمل همانند رفتار بت‌پرستان است که به جای اینکه خدا را بپرستند، به سوی بت های دست‌ساخته خود پرستش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هم همان کار را به گونه ای دیگر و در قالب بت های کوچکی به نام مُهر انجام می دهید</w:t>
      </w:r>
      <w:r>
        <w:rPr>
          <w:rFonts w:eastAsia="IRNazanin" w:cs="IRNazanin"/>
          <w:color w:val="111111"/>
          <w:sz w:val="28"/>
          <w:szCs w:val="28"/>
          <w:rtl w:val="true"/>
          <w:lang w:bidi="fa-IR"/>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پیش از اینکه به پاسخ بپردازیم، یادآوری این نکته ضروری است که بین مسجود له و مسجود علیه تفاوت روشنی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شیعه که بر تربت سجده می‌کند، آن را مسجود له قرار نمی دهد، بلکه آن را مسجود علیه قرار می‌دهد؛ یعنی شیعه برای تربت سجده نمی‌کند، بلکه بر روی تربت و برای خداوند متعال سجده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تعبیر دیگر، شیعیان با سجده بر زمین به خدا سجده می کنند و اصولاً تمامی مسلمانان جهان بر چیزی سجده می کنند، در حالی که سجده آنان برای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زائران خانه خدا بر سنگ های مسجدالحرام سجده می‌کنند، در صورتی که هدف آنان از سجده، خداست</w:t>
      </w:r>
      <w:r>
        <w:rPr>
          <w:rFonts w:eastAsia="IRNazanin" w:cs="IRNazanin"/>
          <w:color w:val="111111"/>
          <w:sz w:val="28"/>
          <w:szCs w:val="28"/>
          <w:rtl w:val="true"/>
          <w:lang w:bidi="fa-IR"/>
        </w:rPr>
        <w:t xml:space="preserve">. </w:t>
      </w:r>
      <w:bookmarkStart w:id="332" w:name="pg3848_38755"/>
    </w:p>
    <w:p>
      <w:pPr>
        <w:pStyle w:val="BookText"/>
        <w:rPr/>
      </w:pPr>
      <w:bookmarkEnd w:id="332"/>
      <w:r>
        <w:rPr>
          <w:rFonts w:ascii="IRNazanin" w:hAnsi="IRNazanin" w:eastAsia="IRNazanin"/>
          <w:color w:val="111111"/>
          <w:sz w:val="28"/>
          <w:sz w:val="28"/>
          <w:szCs w:val="28"/>
          <w:rtl w:val="true"/>
          <w:lang w:bidi="fa-IR"/>
        </w:rPr>
        <w:t>بنابراین، سجده کردن بر خاک و گیاه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پرستش آنان نیست، بلکه سجود و پرستش برای خدا به وسیله خضوع تا حدّ خاک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پرسشی که در اینجا مطرح می‌شود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شیعه  مقیّد به سجده کردن بر خاک یا برخی از گیاهان است و چرا بر تمام اشیا سجده نمی‌کند؟</w:t>
      </w:r>
    </w:p>
    <w:p>
      <w:pPr>
        <w:pStyle w:val="BookText"/>
        <w:rPr/>
      </w:pPr>
      <w:r>
        <w:rPr>
          <w:rFonts w:ascii="IRNazanin" w:hAnsi="IRNazanin" w:eastAsia="IRNazanin"/>
          <w:color w:val="111111"/>
          <w:sz w:val="28"/>
          <w:sz w:val="28"/>
          <w:szCs w:val="28"/>
          <w:rtl w:val="true"/>
          <w:lang w:bidi="fa-IR"/>
        </w:rPr>
        <w:t>در پاسخ می 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همان‌گونه که اصل عبادت باید از سوی شرع مقدّس بیان شود، شرایط، اجزا و کیفیت آن نیز باید از طرف شارع به وسیله پیامبر گرامی اسلام بیان شده باشد و خود 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صلّوا کما رأیتمونی اُصلّی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همان‌گونه که من نماز می خوانم، نماز بخوانید</w:t>
      </w:r>
      <w:r>
        <w:rPr>
          <w:rFonts w:eastAsia="IRNazanin" w:cs="IRNazanin"/>
          <w:color w:val="111111"/>
          <w:sz w:val="28"/>
          <w:szCs w:val="28"/>
          <w:rtl w:val="true"/>
          <w:lang w:bidi="fa-IR"/>
        </w:rPr>
        <w:t>.</w:t>
      </w:r>
      <w:r>
        <w:rPr>
          <w:rStyle w:val="FootnoteAnchor"/>
          <w:rtl w:val="true"/>
        </w:rPr>
        <w:footnoteReference w:id="274"/>
      </w:r>
    </w:p>
    <w:p>
      <w:pPr>
        <w:pStyle w:val="Heading5"/>
        <w:numPr>
          <w:ilvl w:val="4"/>
          <w:numId w:val="1"/>
        </w:numPr>
        <w:rPr/>
      </w:pPr>
      <w:bookmarkStart w:id="333" w:name="__RefHeading___Toc1510331_2281741623"/>
      <w:bookmarkStart w:id="334" w:name="_Toc127"/>
      <w:bookmarkEnd w:id="333"/>
      <w:r>
        <w:rPr>
          <w:rtl w:val="true"/>
        </w:rPr>
        <w:t>گذری بر سیره پیامبر</w:t>
      </w:r>
      <w:bookmarkEnd w:id="334"/>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اینک به برخی از احادیث اسلامی که بیانگر سیره و سنت پیامبر است، می‌پردازیم که همگی حاکی از آن است که حضرت بر </w:t>
      </w:r>
    </w:p>
    <w:p>
      <w:pPr>
        <w:pStyle w:val="BookText"/>
        <w:rPr/>
      </w:pPr>
      <w:r>
        <w:rPr>
          <w:rFonts w:ascii="IRNazanin" w:hAnsi="IRNazanin" w:eastAsia="IRNazanin"/>
          <w:color w:val="111111"/>
          <w:sz w:val="28"/>
          <w:sz w:val="28"/>
          <w:szCs w:val="28"/>
          <w:rtl w:val="true"/>
          <w:lang w:bidi="fa-IR"/>
        </w:rPr>
        <w:t>خاک و روییدنی‌ها، مانند حصیر سجده می کرد و از سجده بر لباس و پارچه و امثال آن نهی مینمود؛ درست به همان شیوه‌ای که شیعه بدان معتقد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از محدّثان اسلامی در کتب صحاح و مسانید خود، این سخن پیامبر را بازگو کرده‌اند که آن 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جُعِلَت ِلیَ الاَرْضُ مَسْجِدَاً وَ طَهُورَاً</w:t>
      </w:r>
      <w:r>
        <w:rPr>
          <w:rFonts w:eastAsia="IRNazanin" w:cs="IRNazanin"/>
          <w:color w:val="111111"/>
          <w:sz w:val="28"/>
          <w:szCs w:val="28"/>
          <w:rtl w:val="true"/>
          <w:lang w:bidi="fa-IR"/>
        </w:rPr>
        <w:t>".</w:t>
      </w:r>
      <w:r>
        <w:rPr>
          <w:rStyle w:val="FootnoteAnchor"/>
          <w:rtl w:val="true"/>
        </w:rPr>
        <w:footnoteReference w:id="275"/>
      </w:r>
      <w:r>
        <w:rPr>
          <w:rFonts w:ascii="IRNazanin" w:hAnsi="IRNazanin" w:eastAsia="IRNazanin"/>
          <w:color w:val="111111"/>
          <w:sz w:val="28"/>
          <w:sz w:val="28"/>
          <w:szCs w:val="28"/>
          <w:rtl w:val="true"/>
          <w:lang w:bidi="fa-IR"/>
        </w:rPr>
        <w:t>از واژه جعل که در اینجا به معنای تشریع است، به خوبی مشخص می‌شود این مسأله، حکمی الهی برای پیروان آیین اسلام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سان، زمین که شامل خاک و سنگ و دیگر اجزای تشکیل دهنده سطح آن است، از طرف شارع مقدّس، سجده‌گاه قرار داده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رفتار پیامبر در این مورد گواه روشن دیگری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وائل بن حجر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رأیتُ النَّبِیَّ صلی الله علیه و آله إذا سجَدَ وَضَعَ جَبْهَتَهُ وَأنفَهُ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هنگامی که پیامبر سجده می‌کرد، پیشانی و بینی خود را بر زمین می‌نهاد</w:t>
      </w:r>
      <w:r>
        <w:rPr>
          <w:rFonts w:eastAsia="IRNazanin" w:cs="IRNazanin"/>
          <w:color w:val="111111"/>
          <w:sz w:val="28"/>
          <w:szCs w:val="28"/>
          <w:rtl w:val="true"/>
          <w:lang w:bidi="fa-IR"/>
        </w:rPr>
        <w:t>.</w:t>
      </w:r>
      <w:r>
        <w:rPr>
          <w:rStyle w:val="FootnoteAnchor"/>
          <w:rtl w:val="true"/>
        </w:rPr>
        <w:footnoteReference w:id="276"/>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انس بن مالک، ابن‌عباس و برخی همسران پیامبر، مانند عایشه، امّ سلمه و گروه بسیاری از محدّثان روایت کردهاند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کان رسول الله صلی الله علیه و آله یُصَلِّی علی الخُمْرَه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پیامبر بر خُمره که نوعی حصیر </w:t>
      </w:r>
    </w:p>
    <w:p>
      <w:pPr>
        <w:pStyle w:val="BookText"/>
        <w:rPr/>
      </w:pPr>
      <w:r>
        <w:rPr>
          <w:rFonts w:ascii="IRNazanin" w:hAnsi="IRNazanin" w:eastAsia="IRNazanin"/>
          <w:color w:val="111111"/>
          <w:sz w:val="28"/>
          <w:sz w:val="28"/>
          <w:szCs w:val="28"/>
          <w:rtl w:val="true"/>
          <w:lang w:bidi="fa-IR"/>
        </w:rPr>
        <w:t>بود و از لیف خرما ساخته میشد، سجده می‌کرد</w:t>
      </w:r>
      <w:r>
        <w:rPr>
          <w:rFonts w:eastAsia="IRNazanin" w:cs="IRNazanin"/>
          <w:color w:val="111111"/>
          <w:sz w:val="28"/>
          <w:szCs w:val="28"/>
          <w:rtl w:val="true"/>
          <w:lang w:bidi="fa-IR"/>
        </w:rPr>
        <w:t>.</w:t>
      </w:r>
      <w:r>
        <w:rPr>
          <w:rStyle w:val="FootnoteAnchor"/>
          <w:rtl w:val="true"/>
        </w:rPr>
        <w:footnoteReference w:id="277"/>
      </w:r>
      <w:r>
        <w:rPr>
          <w:rFonts w:ascii="IRNazanin" w:hAnsi="IRNazanin" w:eastAsia="IRNazanin"/>
          <w:color w:val="111111"/>
          <w:sz w:val="28"/>
          <w:sz w:val="28"/>
          <w:szCs w:val="28"/>
          <w:rtl w:val="true"/>
          <w:lang w:bidi="fa-IR"/>
        </w:rPr>
        <w:t>عایشه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أنه کان لرسول الله حصیرٌ یبسطه بالنهار و یحتجره باللیل یصلّی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پیامبر حصیری داشت که هنگام نماز بر آن نماز می‌خواند و در شب آن را زیر سر خود می‌نهاد</w:t>
      </w:r>
      <w:r>
        <w:rPr>
          <w:rFonts w:eastAsia="IRNazanin" w:cs="IRNazanin"/>
          <w:color w:val="111111"/>
          <w:sz w:val="28"/>
          <w:szCs w:val="28"/>
          <w:rtl w:val="true"/>
          <w:lang w:bidi="fa-IR"/>
        </w:rPr>
        <w:t>.</w:t>
      </w:r>
      <w:r>
        <w:rPr>
          <w:rStyle w:val="FootnoteAnchor"/>
          <w:rtl w:val="true"/>
        </w:rPr>
        <w:footnoteReference w:id="278"/>
      </w:r>
    </w:p>
    <w:p>
      <w:pPr>
        <w:pStyle w:val="BookText"/>
        <w:rPr/>
      </w:pPr>
      <w:r>
        <w:rPr>
          <w:rFonts w:ascii="IRNazanin" w:hAnsi="IRNazanin" w:eastAsia="IRNazanin"/>
          <w:color w:val="111111"/>
          <w:sz w:val="28"/>
          <w:sz w:val="28"/>
          <w:szCs w:val="28"/>
          <w:rtl w:val="true"/>
          <w:lang w:bidi="fa-IR"/>
        </w:rPr>
        <w:t>ابوسعید خُدری از اصحاب رسول خدا صلی الله علیه و آله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پیامبر وارد شدم و دیدم حضرت بر حصیری نماز می خواند</w:t>
      </w:r>
      <w:r>
        <w:rPr>
          <w:rFonts w:eastAsia="IRNazanin" w:cs="IRNazanin"/>
          <w:color w:val="111111"/>
          <w:sz w:val="28"/>
          <w:szCs w:val="28"/>
          <w:rtl w:val="true"/>
          <w:lang w:bidi="fa-IR"/>
        </w:rPr>
        <w:t>.</w:t>
      </w:r>
      <w:r>
        <w:rPr>
          <w:rStyle w:val="FootnoteAnchor"/>
          <w:rtl w:val="true"/>
        </w:rPr>
        <w:footnoteReference w:id="279"/>
      </w:r>
      <w:r>
        <w:rPr>
          <w:rFonts w:ascii="IRNazanin" w:hAnsi="IRNazanin" w:eastAsia="IRNazanin"/>
          <w:color w:val="111111"/>
          <w:sz w:val="28"/>
          <w:sz w:val="28"/>
          <w:szCs w:val="28"/>
          <w:rtl w:val="true"/>
          <w:lang w:bidi="fa-IR"/>
        </w:rPr>
        <w:t>همو در حدیث دیگری چنین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 رسول الله صلی الله علیه و آله رئی علی جبهته و علی ارنبته أثر طینٍ من صلاةٍ صلاها بالناس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هرگاه پیامبر با مردم نماز میخواند، آثار خاک و غبار بر پیشانی و بینی حضرت آشکارا دیده میشد</w:t>
      </w:r>
      <w:r>
        <w:rPr>
          <w:rFonts w:eastAsia="IRNazanin" w:cs="IRNazanin"/>
          <w:color w:val="111111"/>
          <w:sz w:val="28"/>
          <w:szCs w:val="28"/>
          <w:rtl w:val="true"/>
          <w:lang w:bidi="fa-IR"/>
        </w:rPr>
        <w:t>.</w:t>
      </w:r>
      <w:r>
        <w:rPr>
          <w:rStyle w:val="FootnoteAnchor"/>
          <w:rtl w:val="true"/>
        </w:rPr>
        <w:footnoteReference w:id="280"/>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بُراء بن عازب چنین نقل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پشت سر رسول الله صلی الله علیه و آله نماز می‌گزاردیم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آنگاه که حضرت سرش را از رکوع بر می داشت، من کسی را ندیدم که خم شود، تا اینکه رسول </w:t>
      </w:r>
    </w:p>
    <w:p>
      <w:pPr>
        <w:pStyle w:val="BookText"/>
        <w:rPr/>
      </w:pPr>
      <w:r>
        <w:rPr>
          <w:rFonts w:ascii="IRNazanin" w:hAnsi="IRNazanin" w:eastAsia="IRNazanin"/>
          <w:color w:val="111111"/>
          <w:sz w:val="28"/>
          <w:sz w:val="28"/>
          <w:szCs w:val="28"/>
          <w:rtl w:val="true"/>
          <w:lang w:bidi="fa-IR"/>
        </w:rPr>
        <w:t>خدا صلی الله علیه و آله پیشانی خود را بر زمین می‌نهاد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آنان که پشت سر او بودند، به سجده میافتادند</w:t>
      </w:r>
      <w:r>
        <w:rPr>
          <w:rFonts w:eastAsia="IRNazanin" w:cs="IRNazanin"/>
          <w:color w:val="111111"/>
          <w:sz w:val="28"/>
          <w:szCs w:val="28"/>
          <w:rtl w:val="true"/>
          <w:lang w:bidi="fa-IR"/>
        </w:rPr>
        <w:t>.</w:t>
      </w:r>
      <w:r>
        <w:rPr>
          <w:rStyle w:val="FootnoteAnchor"/>
          <w:rtl w:val="true"/>
        </w:rPr>
        <w:footnoteReference w:id="281"/>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 دیگری از روایات بر این نکته دلالت دارند که پیامبر اکرم صلی الله علیه و آله مسلمانان را به پیشانی نهادن بر خاک هنگام سجده فرمان می‌داد؛ چنان‌که امّ سلمه، همسر حضرت روایت می‌کند که پیامبر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ترّب وجهک 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رخسار خود را برای خدا به خاک بگذار</w:t>
      </w:r>
      <w:r>
        <w:rPr>
          <w:rFonts w:eastAsia="IRNazanin" w:cs="IRNazanin"/>
          <w:color w:val="111111"/>
          <w:sz w:val="28"/>
          <w:szCs w:val="28"/>
          <w:rtl w:val="true"/>
          <w:lang w:bidi="fa-IR"/>
        </w:rPr>
        <w:t>.</w:t>
      </w:r>
      <w:r>
        <w:rPr>
          <w:rStyle w:val="FootnoteAnchor"/>
          <w:rtl w:val="true"/>
        </w:rPr>
        <w:footnoteReference w:id="282"/>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دسته‌ای از روایات، از سجده بر لباس و پارچه نهی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روایتی آمده که رسول خدا صلی الله علیه و آله مردی را در کنار خود دید که عمامه او پیشانیش را پوشانده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شخصاً عمامه را از پیشانی او بالا زد</w:t>
      </w:r>
      <w:r>
        <w:rPr>
          <w:rFonts w:eastAsia="IRNazanin" w:cs="IRNazanin"/>
          <w:color w:val="111111"/>
          <w:sz w:val="28"/>
          <w:szCs w:val="28"/>
          <w:rtl w:val="true"/>
          <w:lang w:bidi="fa-IR"/>
        </w:rPr>
        <w:t>.</w:t>
      </w:r>
      <w:r>
        <w:rPr>
          <w:rStyle w:val="FootnoteAnchor"/>
          <w:rtl w:val="true"/>
        </w:rPr>
        <w:footnoteReference w:id="283"/>
      </w:r>
      <w:r>
        <w:rPr>
          <w:rFonts w:ascii="IRNazanin" w:hAnsi="IRNazanin" w:eastAsia="IRNazanin"/>
          <w:color w:val="111111"/>
          <w:sz w:val="28"/>
          <w:sz w:val="28"/>
          <w:szCs w:val="28"/>
          <w:rtl w:val="true"/>
          <w:lang w:bidi="fa-IR"/>
        </w:rPr>
        <w:t>یا در روایت دیگری چنین آمده است که پیامبر اکرم صلی الله علیه و آله مردی را دید که بر اطراف و کناره‌های عمامه خود سجده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با دست مبارک به او اشاره کرد عمامه‌ات را بالا ببر و پیشانی را بر زمین بگذار</w:t>
      </w:r>
      <w:r>
        <w:rPr>
          <w:rFonts w:eastAsia="IRNazanin" w:cs="IRNazanin"/>
          <w:color w:val="111111"/>
          <w:sz w:val="28"/>
          <w:szCs w:val="28"/>
          <w:rtl w:val="true"/>
          <w:lang w:bidi="fa-IR"/>
        </w:rPr>
        <w:t>.</w:t>
      </w:r>
      <w:r>
        <w:rPr>
          <w:rStyle w:val="FootnoteAnchor"/>
          <w:rtl w:val="true"/>
        </w:rPr>
        <w:footnoteReference w:id="284"/>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بدیهی است اگر سجده بر پارچه و فرش و مانند اینها جایز </w:t>
      </w:r>
    </w:p>
    <w:p>
      <w:pPr>
        <w:pStyle w:val="BookText"/>
        <w:rPr/>
      </w:pPr>
      <w:r>
        <w:rPr>
          <w:rFonts w:ascii="IRNazanin" w:hAnsi="IRNazanin" w:eastAsia="IRNazanin"/>
          <w:color w:val="111111"/>
          <w:sz w:val="28"/>
          <w:sz w:val="28"/>
          <w:szCs w:val="28"/>
          <w:rtl w:val="true"/>
          <w:lang w:bidi="fa-IR"/>
        </w:rPr>
        <w:t>بود، لزومی نداشت رسول خدا صلی الله علیه و آله شخصاً اقدام کند یا با اشاره به نمازگزار بفهماند پیشانی را بر زمین بگذارد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این دستور و رفتار پیامبر برای آن بود که به همه بفهماند هنگام سجده باید پیشانی بر زمین قرار گیرد، نه بر مثل پارچه و فرش و امثال اینها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این‌رو، خود صحابه هم این موضوع را میدانستند و موقع سجده، بر زمین یا اجزا و مصادیق غیر خوراکی و پوشاکی آن، سجده می‌کردند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جابر بن عبد الله انصاری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پیامبر نماز می خواندیم، مشتی سنگریزه بر گرفتم و در دست نگه داشتم تا خنک شود و هنگام سجده بر آنها پیشانی گذاشتم و این به دلیل شدّت گرما بود</w:t>
      </w:r>
      <w:r>
        <w:rPr>
          <w:rFonts w:eastAsia="IRNazanin" w:cs="IRNazanin"/>
          <w:color w:val="111111"/>
          <w:sz w:val="28"/>
          <w:szCs w:val="28"/>
          <w:rtl w:val="true"/>
          <w:lang w:bidi="fa-IR"/>
        </w:rPr>
        <w:t>.</w:t>
      </w:r>
      <w:r>
        <w:rPr>
          <w:rStyle w:val="FootnoteAnchor"/>
          <w:rtl w:val="true"/>
        </w:rPr>
        <w:footnoteReference w:id="285"/>
      </w:r>
      <w:r>
        <w:rPr>
          <w:rFonts w:ascii="IRNazanin" w:hAnsi="IRNazanin" w:eastAsia="IRNazanin"/>
          <w:color w:val="111111"/>
          <w:sz w:val="28"/>
          <w:sz w:val="28"/>
          <w:szCs w:val="28"/>
          <w:rtl w:val="true"/>
          <w:lang w:bidi="fa-IR"/>
        </w:rPr>
        <w:t>بعد راوی می افزاید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سجده بر لباسی که بر تن داشت جایز بود، از برداشتن سنگریزه‌ها و نگهداری آن آسان تر بود</w:t>
      </w:r>
      <w:r>
        <w:rPr>
          <w:rFonts w:eastAsia="IRNazanin" w:cs="IRNazanin"/>
          <w:color w:val="111111"/>
          <w:sz w:val="28"/>
          <w:szCs w:val="28"/>
          <w:rtl w:val="true"/>
          <w:lang w:bidi="fa-IR"/>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ابوامیّه نقل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خبر رسیده است که ابوبکر صدیق بر زمین سجده می‌نمود یا نماز می‌خواند، در حالی که پیشانی‌اش را به سوی زمین می‌کشید تا روی آن سجده کند</w:t>
      </w:r>
      <w:r>
        <w:rPr>
          <w:rFonts w:eastAsia="IRNazanin" w:cs="IRNazanin"/>
          <w:color w:val="111111"/>
          <w:sz w:val="28"/>
          <w:szCs w:val="28"/>
          <w:rtl w:val="true"/>
          <w:lang w:bidi="fa-IR"/>
        </w:rPr>
        <w:t>.</w:t>
      </w:r>
      <w:r>
        <w:rPr>
          <w:rStyle w:val="FootnoteAnchor"/>
          <w:rtl w:val="true"/>
        </w:rPr>
        <w:footnoteReference w:id="286"/>
      </w:r>
      <w:r>
        <w:rPr>
          <w:rFonts w:ascii="IRNazanin" w:hAnsi="IRNazanin" w:eastAsia="IRNazanin"/>
          <w:color w:val="111111"/>
          <w:sz w:val="28"/>
          <w:sz w:val="28"/>
          <w:szCs w:val="28"/>
          <w:rtl w:val="true"/>
          <w:lang w:bidi="fa-IR"/>
        </w:rPr>
        <w:t xml:space="preserve">عمر بن خطاب هم دستور داد کف مسجد النبی صلی الله علیه و آله را با ریگ فرش </w:t>
      </w:r>
      <w:bookmarkStart w:id="335" w:name="pg3848_38760"/>
    </w:p>
    <w:p>
      <w:pPr>
        <w:pStyle w:val="BookText"/>
        <w:rPr/>
      </w:pPr>
      <w:bookmarkEnd w:id="335"/>
      <w:r>
        <w:rPr>
          <w:rFonts w:ascii="IRNazanin" w:hAnsi="IRNazanin" w:eastAsia="IRNazanin"/>
          <w:color w:val="111111"/>
          <w:sz w:val="28"/>
          <w:sz w:val="28"/>
          <w:szCs w:val="28"/>
          <w:rtl w:val="true"/>
          <w:lang w:bidi="fa-IR"/>
        </w:rPr>
        <w:t>کنند تا نمازگزاران بر آن سجده کنند</w:t>
      </w:r>
      <w:r>
        <w:rPr>
          <w:rFonts w:eastAsia="IRNazanin" w:cs="IRNazanin"/>
          <w:color w:val="111111"/>
          <w:sz w:val="28"/>
          <w:szCs w:val="28"/>
          <w:rtl w:val="true"/>
          <w:lang w:bidi="fa-IR"/>
        </w:rPr>
        <w:t>.</w:t>
      </w:r>
      <w:r>
        <w:rPr>
          <w:rStyle w:val="FootnoteAnchor"/>
          <w:rtl w:val="true"/>
        </w:rPr>
        <w:footnoteReference w:id="287"/>
      </w:r>
      <w:r>
        <w:rPr>
          <w:rFonts w:ascii="IRNazanin" w:hAnsi="IRNazanin" w:eastAsia="IRNazanin"/>
          <w:color w:val="111111"/>
          <w:sz w:val="28"/>
          <w:sz w:val="28"/>
          <w:szCs w:val="28"/>
          <w:rtl w:val="true"/>
          <w:lang w:bidi="fa-IR"/>
        </w:rPr>
        <w:t>حتی نقل شده که بعض تابعین به پیروی از اصحاب، هنگام مسافرت با خود گِل خشکیدهای حمل میکردند تا موقع نماز بر آن سجده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سعد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209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 خود می 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کان مسروق إذا خرج یخرج بلبنةٍ یسجد علیها فی السفینة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مسروق بن أجدع هنگام مسافرت خشتی را با خود بر میداشت تا در کشتی بر آن سجده کند</w:t>
      </w:r>
      <w:r>
        <w:rPr>
          <w:rFonts w:eastAsia="IRNazanin" w:cs="IRNazanin"/>
          <w:color w:val="111111"/>
          <w:sz w:val="28"/>
          <w:szCs w:val="28"/>
          <w:rtl w:val="true"/>
          <w:lang w:bidi="fa-IR"/>
        </w:rPr>
        <w:t>.</w:t>
      </w:r>
      <w:r>
        <w:rPr>
          <w:rStyle w:val="FootnoteAnchor"/>
          <w:rtl w:val="true"/>
        </w:rPr>
        <w:footnoteReference w:id="288"/>
      </w:r>
    </w:p>
    <w:p>
      <w:pPr>
        <w:pStyle w:val="BookText"/>
        <w:rPr/>
      </w:pPr>
      <w:r>
        <w:rPr>
          <w:rFonts w:ascii="IRNazanin" w:hAnsi="IRNazanin" w:eastAsia="IRNazanin"/>
          <w:color w:val="111111"/>
          <w:sz w:val="28"/>
          <w:sz w:val="28"/>
          <w:szCs w:val="28"/>
          <w:rtl w:val="true"/>
          <w:lang w:bidi="fa-IR"/>
        </w:rPr>
        <w:t>این سخن روشن، بی پایه بودن سخن کسانی را می رساند که شیعه را به دلیل همراه داشتن مُهر بتپرست می نامند و معلوم می شود پیشتازان تاریخ اسلام به این کار مبادرت می ورزیده اند</w:t>
      </w:r>
      <w:r>
        <w:rPr>
          <w:rFonts w:eastAsia="IRNazanin" w:cs="IRNazanin"/>
          <w:color w:val="111111"/>
          <w:sz w:val="28"/>
          <w:szCs w:val="28"/>
          <w:rtl w:val="true"/>
          <w:lang w:bidi="fa-IR"/>
        </w:rPr>
        <w:t>.</w:t>
      </w:r>
    </w:p>
    <w:p>
      <w:pPr>
        <w:pStyle w:val="Heading5"/>
        <w:numPr>
          <w:ilvl w:val="4"/>
          <w:numId w:val="1"/>
        </w:numPr>
        <w:rPr/>
      </w:pPr>
      <w:bookmarkStart w:id="336" w:name="__RefHeading___Toc1510333_2281741623"/>
      <w:bookmarkStart w:id="337" w:name="_Toc128"/>
      <w:bookmarkEnd w:id="336"/>
      <w:r>
        <w:rPr>
          <w:rtl w:val="true"/>
        </w:rPr>
        <w:t>نتیجه گیری</w:t>
      </w:r>
      <w:bookmarkEnd w:id="337"/>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مجموع دلایل یاد شده روشن می شود که نه تنها روایات اهل 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تعیّن سجده بر زمین و آنچه از زمین می روید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صورتی که خوردنی و پوشیدنی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دلالت دارد،</w:t>
      </w:r>
      <w:r>
        <w:rPr>
          <w:rStyle w:val="FootnoteAnchor"/>
          <w:rtl w:val="true"/>
        </w:rPr>
        <w:footnoteReference w:id="289"/>
      </w:r>
      <w:r>
        <w:rPr>
          <w:rFonts w:ascii="IRNazanin" w:hAnsi="IRNazanin" w:eastAsia="IRNazanin"/>
          <w:color w:val="111111"/>
          <w:sz w:val="28"/>
          <w:sz w:val="28"/>
          <w:szCs w:val="28"/>
          <w:rtl w:val="true"/>
          <w:lang w:bidi="fa-IR"/>
        </w:rPr>
        <w:t xml:space="preserve">بلکه اصل اوّلی در روایات اهل‌سنت که برگرفته از سنت و سیره رسول‌الله صلی الله علیه و آله و صحابه آن حضرت است، اتصال پیشانی بر زمین و چیزهایی است که از آن می روید و اگر هم در روایاتی </w:t>
      </w:r>
      <w:bookmarkStart w:id="338" w:name="pg3848_38761"/>
    </w:p>
    <w:p>
      <w:pPr>
        <w:pStyle w:val="BookText"/>
        <w:rPr/>
      </w:pPr>
      <w:bookmarkEnd w:id="338"/>
      <w:r>
        <w:rPr>
          <w:rFonts w:ascii="IRNazanin" w:hAnsi="IRNazanin" w:eastAsia="IRNazanin"/>
          <w:color w:val="111111"/>
          <w:sz w:val="28"/>
          <w:sz w:val="28"/>
          <w:szCs w:val="28"/>
          <w:rtl w:val="true"/>
          <w:lang w:bidi="fa-IR"/>
        </w:rPr>
        <w:t>سجده بر غیر آن جایز شمرده شده، در شرایط اضطرار و در حال عذر گرما یا سرما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نیز قدر مسلّم آن است که سجده کردن بر زمین و نبات جایز است، در حالی که جواز سجده بر غیر آنها مورد تردید و اختلاف است و به مقتضای احتیاط، سزاوار است هنگام سجده کردن بر همین اشیای یاد شده بسنده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 اینکه اگر صرف سجده بر مُهر که از جنس خاک است، بُت پرستی باشد، پس در واقع اهل‌سنت هم بت پرست هستند؛ چون آنها هم فرش و پارچه و لباس را می‌پرستند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جواب نقضی</w:t>
      </w:r>
      <w:r>
        <w:rPr>
          <w:rFonts w:eastAsia="IRNazanin" w:cs="IRNazanin"/>
          <w:color w:val="111111"/>
          <w:sz w:val="28"/>
          <w:szCs w:val="28"/>
          <w:rtl w:val="true"/>
          <w:lang w:bidi="fa-IR"/>
        </w:rPr>
        <w:t>).</w:t>
      </w:r>
    </w:p>
    <w:p>
      <w:pPr>
        <w:pStyle w:val="Heading5"/>
        <w:numPr>
          <w:ilvl w:val="4"/>
          <w:numId w:val="1"/>
        </w:numPr>
        <w:rPr/>
      </w:pPr>
      <w:bookmarkStart w:id="339" w:name="__RefHeading___Toc1510335_2281741623"/>
      <w:bookmarkStart w:id="340" w:name="_Toc129"/>
      <w:bookmarkEnd w:id="339"/>
      <w:r>
        <w:rPr>
          <w:rtl w:val="true"/>
        </w:rPr>
        <w:t>تربت کربلا</w:t>
      </w:r>
      <w:bookmarkEnd w:id="340"/>
    </w:p>
    <w:p>
      <w:pPr>
        <w:pStyle w:val="BookText"/>
        <w:rPr/>
      </w:pPr>
      <w:r>
        <w:rPr>
          <w:rFonts w:ascii="IRNazanin" w:hAnsi="IRNazanin" w:eastAsia="IRNazanin"/>
          <w:color w:val="111111"/>
          <w:sz w:val="28"/>
          <w:sz w:val="28"/>
          <w:szCs w:val="28"/>
          <w:rtl w:val="true"/>
          <w:lang w:bidi="fa-IR"/>
        </w:rPr>
        <w:t>آخرین نکته‌ای که اشاره به آن لازم است اینکه، یکی از اشکالات اهل‌سنت و وهّابیون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شما شیعیان بر خاک کربلا سجده می‌کنید؟</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پیش از هر سخن، دانستن این نکته ضروری است که برتری تربت حسینی بر دیگر تربت ها، چیزی نیست که شیعه با میل و سلیقه خود برگزیده باشد، بلکه احترام نهادن و برتری دادن برخی سرزمین‌ها بر برخی دیگر، چیزی است که از طرف خداوند متعال اعلام شده و در طول تاریخ نزد همه انبیا و اولیای الهی </w:t>
      </w:r>
    </w:p>
    <w:p>
      <w:pPr>
        <w:pStyle w:val="BookText"/>
        <w:rPr/>
      </w:pPr>
      <w:r>
        <w:rPr>
          <w:rFonts w:ascii="IRNazanin" w:hAnsi="IRNazanin" w:eastAsia="IRNazanin"/>
          <w:color w:val="111111"/>
          <w:sz w:val="28"/>
          <w:sz w:val="28"/>
          <w:szCs w:val="28"/>
          <w:rtl w:val="true"/>
          <w:lang w:bidi="fa-IR"/>
        </w:rPr>
        <w:t>مرسوم بوده است</w:t>
      </w:r>
      <w:r>
        <w:rPr>
          <w:rFonts w:eastAsia="IRNazanin" w:cs="IRNazanin"/>
          <w:color w:val="111111"/>
          <w:sz w:val="28"/>
          <w:szCs w:val="28"/>
          <w:rtl w:val="true"/>
          <w:lang w:bidi="fa-IR"/>
        </w:rPr>
        <w:t>.</w:t>
      </w:r>
      <w:r>
        <w:rPr>
          <w:rStyle w:val="FootnoteAnchor"/>
          <w:rtl w:val="true"/>
        </w:rPr>
        <w:footnoteReference w:id="290"/>
      </w:r>
    </w:p>
    <w:p>
      <w:pPr>
        <w:pStyle w:val="BookText"/>
        <w:rPr/>
      </w:pPr>
      <w:r>
        <w:rPr>
          <w:rFonts w:ascii="IRNazanin" w:hAnsi="IRNazanin" w:eastAsia="IRNazanin"/>
          <w:color w:val="111111"/>
          <w:sz w:val="28"/>
          <w:sz w:val="28"/>
          <w:szCs w:val="28"/>
          <w:rtl w:val="true"/>
          <w:lang w:bidi="fa-IR"/>
        </w:rPr>
        <w:t>از سوی دیگر، عالمان شیعی سجده بر تربت امام حسین علیه السلام را واجب نمیدانند، بلکه به جواز سجده بر هر نوع تربت و خاکی حکم کرده‌اند، ولی از آنجا که تربت امام حسین علیه السلام امتیازهای ویژه‌ای دارد، به استحباب سجده بر آن حکم دادهاند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فلسفه آن این است که شیعیان هر روز به یاد مظلومی امام حسین علیه السلام و یارانش افتند و اهداف او را یادآوری کنند که همان احیای سنت پیامبر و امر به معروف و نهی از منکر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ازاینرو، شیعیان با پیروی از ائمه خود، سجده بر خاک کربلا را بر دیگر خاک ها ترجیح میدهند و از مُهر کربلا استفاده می‌کنند</w:t>
      </w:r>
      <w:r>
        <w:rPr>
          <w:rFonts w:eastAsia="IRNazanin" w:cs="IRNazanin"/>
          <w:color w:val="111111"/>
          <w:sz w:val="28"/>
          <w:szCs w:val="28"/>
          <w:rtl w:val="true"/>
          <w:lang w:bidi="fa-IR"/>
        </w:rPr>
        <w:t>.</w:t>
      </w:r>
      <w:r>
        <w:rPr>
          <w:rStyle w:val="FootnoteAnchor"/>
          <w:rtl w:val="true"/>
        </w:rPr>
        <w:footnoteReference w:id="291"/>
      </w:r>
      <w:r>
        <w:rPr>
          <w:rFonts w:ascii="IRNazanin" w:hAnsi="IRNazanin" w:eastAsia="IRNazanin"/>
          <w:color w:val="111111"/>
          <w:sz w:val="28"/>
          <w:sz w:val="28"/>
          <w:szCs w:val="28"/>
          <w:rtl w:val="true"/>
          <w:lang w:bidi="fa-IR"/>
        </w:rPr>
        <w:t>همانگونه که درباره امام صادق علیه السلام نقل شده است که آن حضرت، جز بر تربت امام حسین علیه السلام سجده نمی‌کرد</w:t>
      </w:r>
      <w:r>
        <w:rPr>
          <w:rFonts w:eastAsia="IRNazanin" w:cs="IRNazanin"/>
          <w:color w:val="111111"/>
          <w:sz w:val="28"/>
          <w:szCs w:val="28"/>
          <w:rtl w:val="true"/>
          <w:lang w:bidi="fa-IR"/>
        </w:rPr>
        <w:t>.</w:t>
      </w:r>
      <w:r>
        <w:rPr>
          <w:rStyle w:val="FootnoteAnchor"/>
          <w:rtl w:val="true"/>
        </w:rPr>
        <w:footnoteReference w:id="292"/>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نیز نقل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کیسهای داشت که در آن تربت </w:t>
      </w:r>
      <w:bookmarkStart w:id="341" w:name="pg3848_38763"/>
    </w:p>
    <w:p>
      <w:pPr>
        <w:pStyle w:val="BookText"/>
        <w:rPr/>
      </w:pPr>
      <w:bookmarkEnd w:id="341"/>
      <w:r>
        <w:rPr>
          <w:rFonts w:ascii="IRNazanin" w:hAnsi="IRNazanin" w:eastAsia="IRNazanin"/>
          <w:color w:val="111111"/>
          <w:sz w:val="28"/>
          <w:sz w:val="28"/>
          <w:szCs w:val="28"/>
          <w:rtl w:val="true"/>
          <w:lang w:bidi="fa-IR"/>
        </w:rPr>
        <w:t>سیدالشهداء بود و هنگام نماز آن تربت را در موضع سجود میریخت و بر آن سجده میکرد و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سجده بر تربت امام حسین علیه السلام حجاب های هفتگانه را از بین می برد</w:t>
      </w:r>
      <w:r>
        <w:rPr>
          <w:rFonts w:eastAsia="IRNazanin" w:cs="IRNazanin"/>
          <w:color w:val="111111"/>
          <w:sz w:val="28"/>
          <w:szCs w:val="28"/>
          <w:rtl w:val="true"/>
          <w:lang w:bidi="fa-IR"/>
        </w:rPr>
        <w:t>.</w:t>
      </w:r>
      <w:r>
        <w:rPr>
          <w:rStyle w:val="FootnoteAnchor"/>
          <w:rtl w:val="true"/>
        </w:rPr>
        <w:footnoteReference w:id="293"/>
      </w:r>
      <w:r>
        <w:rPr>
          <w:rFonts w:ascii="IRNazanin" w:hAnsi="IRNazanin" w:eastAsia="IRNazanin"/>
          <w:color w:val="111111"/>
          <w:sz w:val="28"/>
          <w:sz w:val="28"/>
          <w:szCs w:val="28"/>
          <w:rtl w:val="true"/>
          <w:lang w:bidi="fa-IR"/>
        </w:rPr>
        <w:t>نیز می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السُّجُود علی طین قبرالحسین علیه السلام ینوّر إلی الأرضین السبعة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سجده بر خاک قبر سیدالشهداء علیه السلام تا زمین هفتم را نورانی می کند</w:t>
      </w:r>
      <w:r>
        <w:rPr>
          <w:rFonts w:eastAsia="IRNazanin" w:cs="IRNazanin"/>
          <w:color w:val="111111"/>
          <w:sz w:val="28"/>
          <w:szCs w:val="28"/>
          <w:rtl w:val="true"/>
          <w:lang w:bidi="fa-IR"/>
        </w:rPr>
        <w:t>.</w:t>
      </w:r>
      <w:r>
        <w:rPr>
          <w:rStyle w:val="FootnoteAnchor"/>
          <w:rtl w:val="true"/>
        </w:rPr>
        <w:footnoteReference w:id="294"/>
      </w:r>
    </w:p>
    <w:p>
      <w:pPr>
        <w:pStyle w:val="Heading4"/>
        <w:numPr>
          <w:ilvl w:val="3"/>
          <w:numId w:val="1"/>
        </w:numPr>
        <w:rPr/>
      </w:pPr>
      <w:bookmarkStart w:id="342" w:name="__RefHeading___Toc1510337_2281741623"/>
      <w:bookmarkStart w:id="343" w:name="_Toc130"/>
      <w:bookmarkEnd w:id="342"/>
      <w:r>
        <w:rPr/>
        <w:t>7</w:t>
      </w:r>
      <w:r>
        <w:rPr>
          <w:rtl w:val="true"/>
        </w:rPr>
        <w:t xml:space="preserve">. </w:t>
      </w:r>
      <w:r>
        <w:rPr>
          <w:rtl w:val="true"/>
        </w:rPr>
        <w:t>صلوات و سلام پیامبر بر خودشان؟</w:t>
      </w:r>
      <w:r>
        <w:rPr>
          <w:rtl w:val="true"/>
        </w:rPr>
        <w:t>!</w:t>
      </w:r>
      <w:bookmarkEnd w:id="343"/>
    </w:p>
    <w:p>
      <w:pPr>
        <w:pStyle w:val="Heading5"/>
        <w:numPr>
          <w:ilvl w:val="4"/>
          <w:numId w:val="1"/>
        </w:numPr>
        <w:rPr/>
      </w:pPr>
      <w:bookmarkStart w:id="344" w:name="__RefHeading___Toc1510339_2281741623"/>
      <w:bookmarkStart w:id="345" w:name="_Toc131"/>
      <w:bookmarkEnd w:id="344"/>
      <w:r>
        <w:rPr>
          <w:rtl w:val="true"/>
        </w:rPr>
        <w:t>اشاره</w:t>
      </w:r>
      <w:bookmarkEnd w:id="345"/>
    </w:p>
    <w:p>
      <w:pPr>
        <w:pStyle w:val="BookText"/>
        <w:rPr/>
      </w:pPr>
      <w:r>
        <w:rPr>
          <w:rFonts w:ascii="IRNazanin" w:hAnsi="IRNazanin" w:eastAsia="IRNazanin"/>
          <w:color w:val="111111"/>
          <w:sz w:val="28"/>
          <w:sz w:val="28"/>
          <w:szCs w:val="28"/>
          <w:rtl w:val="true"/>
          <w:lang w:bidi="fa-IR"/>
        </w:rPr>
        <w:t>از واجبات قطعی نماز نزد مذاهب اسلامی، ضرورت تشهد و سلام نماز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 به برخی اختلافنظرها در این باره میپردازیم و سپس به پاسخ این سؤال پاسخ میدهیم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پیامبر نیز در نماز بر خود درود و سلام می‌فرستاد؟ اگر پاسخ مثبت است، چرا؟</w:t>
      </w:r>
    </w:p>
    <w:p>
      <w:pPr>
        <w:pStyle w:val="Heading5"/>
        <w:numPr>
          <w:ilvl w:val="4"/>
          <w:numId w:val="1"/>
        </w:numPr>
        <w:rPr/>
      </w:pPr>
      <w:bookmarkStart w:id="346" w:name="__RefHeading___Toc1510341_2281741623"/>
      <w:bookmarkStart w:id="347" w:name="_Toc132"/>
      <w:bookmarkEnd w:id="346"/>
      <w:r>
        <w:rPr>
          <w:rtl w:val="true"/>
        </w:rPr>
        <w:t>الف</w:t>
      </w:r>
      <w:r>
        <w:rPr>
          <w:rtl w:val="true"/>
        </w:rPr>
        <w:t xml:space="preserve">) </w:t>
      </w:r>
      <w:r>
        <w:rPr>
          <w:rtl w:val="true"/>
        </w:rPr>
        <w:t>تشهد</w:t>
      </w:r>
      <w:bookmarkEnd w:id="347"/>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درباره وجوب یا عدم وجوب تشهد در نماز، دیدگاه‌های متفاوت و گاه موافقی بین مذاهب خمسه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تشهد در نماز در دو جا خوانده می شود</w:t>
      </w:r>
      <w:r>
        <w:rPr>
          <w:rFonts w:eastAsia="IRNazanin" w:cs="IRNazanin"/>
          <w:color w:val="111111"/>
          <w:sz w:val="28"/>
          <w:szCs w:val="28"/>
          <w:rtl w:val="true"/>
          <w:lang w:bidi="fa-IR"/>
        </w:rPr>
        <w:t xml:space="preserve">: </w:t>
      </w:r>
      <w:bookmarkStart w:id="348" w:name="pg3848_38764"/>
    </w:p>
    <w:p>
      <w:pPr>
        <w:pStyle w:val="BookText"/>
        <w:rPr/>
      </w:pPr>
      <w:bookmarkEnd w:id="348"/>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تشهدی که بعد از رکعت دوم در نمازهای سه رکعتی و چهار رکعتی خوانده می شود که به همراه سلام نیست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تشهدی که به دنبال آن سلام نماز خوانده می‌شود؛ خواه در نماز صبح باشد یا در رکعت سوم نماز مغرب یا رکعت چهارم نمازهای ظهر و عصر و عشاء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نظر امامیه و حنابله، تشهد دسته اول در نماز واجب است و جزء واجبات نماز شمرده می شود، ولی دیگر مذاهب آن را مستحب دانسته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درباره تشهد دوم، امامیه، شافعیه و حنابله به وجوب آن معتقدند، ولی مالکیه و حنفیه آن را مستحب دانستهاند</w:t>
      </w:r>
      <w:r>
        <w:rPr>
          <w:rFonts w:eastAsia="IRNazanin" w:cs="IRNazanin"/>
          <w:color w:val="111111"/>
          <w:sz w:val="28"/>
          <w:szCs w:val="28"/>
          <w:rtl w:val="true"/>
          <w:lang w:bidi="fa-IR"/>
        </w:rPr>
        <w:t>.</w:t>
      </w:r>
      <w:r>
        <w:rPr>
          <w:rStyle w:val="FootnoteAnchor"/>
          <w:rtl w:val="true"/>
        </w:rPr>
        <w:footnoteReference w:id="295"/>
      </w:r>
    </w:p>
    <w:p>
      <w:pPr>
        <w:pStyle w:val="Heading5"/>
        <w:numPr>
          <w:ilvl w:val="4"/>
          <w:numId w:val="1"/>
        </w:numPr>
        <w:rPr/>
      </w:pPr>
      <w:bookmarkStart w:id="349" w:name="__RefHeading___Toc1510343_2281741623"/>
      <w:bookmarkStart w:id="350" w:name="_Toc133"/>
      <w:bookmarkEnd w:id="349"/>
      <w:r>
        <w:rPr>
          <w:rtl w:val="true"/>
        </w:rPr>
        <w:t>ذکر تشهد</w:t>
      </w:r>
      <w:bookmarkEnd w:id="350"/>
    </w:p>
    <w:p>
      <w:pPr>
        <w:pStyle w:val="BookText"/>
        <w:rPr/>
      </w:pPr>
      <w:r>
        <w:rPr>
          <w:rFonts w:ascii="Amiri" w:hAnsi="Amiri" w:eastAsia="Amiri" w:cs="Amiri"/>
          <w:color w:val="111111"/>
          <w:sz w:val="28"/>
          <w:sz w:val="28"/>
          <w:szCs w:val="28"/>
          <w:rtl w:val="true"/>
          <w:lang w:bidi="ar-SA"/>
        </w:rPr>
        <w:t>امامیه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اَشْهَدُ أنْ لا اِلَهَ اِلاَّ الله وَحْدَهُ لا شَریکَ لَه وَ اَشْهَدُ أنَّ مُحَمَّداً عَبْدُهُ وَ رَسُولُه، اَللَّهُمَّ صَلِّ عَلَی مُحَمَّد وَ آلِ مُحَمَّد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حنبلیه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التحیات لله والصلوات والطیبات السَّلامُ عَلَیکَ اَیُّهَا النَّبیّ وَ رَحْمَةُ الله وَ بَرَکَاتُه، السَّلامُ عَلَیْنَا وَ عَلی عِبَاداللهِ الصَّالِحین اَشْهَدُ أنْ لا اِلَهَ اِلاَّ الله وَحْدَهُ لا شَریکَ لَه وَ اَشْهَدُ أنَّ مُحَمَّداً عَبْدُهُ وَ رَسُولُه اللَّهُمَّ صَلّ عَلَی مُحَمَّد</w:t>
      </w:r>
      <w:r>
        <w:rPr>
          <w:rFonts w:eastAsia="Amiri" w:cs="Amiri" w:ascii="Amiri" w:hAnsi="Amiri"/>
          <w:color w:val="111111"/>
          <w:sz w:val="28"/>
          <w:szCs w:val="28"/>
          <w:rtl w:val="true"/>
          <w:lang w:bidi="ar-SA"/>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حنفیه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التحیات لله والصلوات والطیبات، السَّلامُ عَلَیکَ اَیُّهَا النَّبی وَ رَحْمَةُ </w:t>
      </w:r>
      <w:bookmarkStart w:id="351" w:name="pg3848_38765"/>
    </w:p>
    <w:p>
      <w:pPr>
        <w:pStyle w:val="BookText"/>
        <w:rPr/>
      </w:pPr>
      <w:bookmarkEnd w:id="351"/>
      <w:r>
        <w:rPr>
          <w:rFonts w:ascii="Amiri" w:hAnsi="Amiri" w:eastAsia="Amiri" w:cs="Amiri"/>
          <w:color w:val="111111"/>
          <w:sz w:val="28"/>
          <w:sz w:val="28"/>
          <w:szCs w:val="28"/>
          <w:rtl w:val="true"/>
          <w:lang w:bidi="ar-SA"/>
        </w:rPr>
        <w:t>الله وَ بَرَکَاتُه، السَّلامُ عَلَیْنَا وَ عَلَی عِبَاداللهِ الصَّالِحین اَشْهَدُ أنْ لا اِلَهَ اِلاَّ الله وَ اَشْهَدُ أنَّ مُحَمَّداً عَبْدُهُ وَ رَسُولُه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شافعیه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التحیات المبارکات الصلوات الطیبات لله، السَّلامُ عَلَیکَ اَیُّهَا النَّبیّ وَ رَحْمَةُ الله وَ بَرَکَاتُه، السَّلامُ عَلَیْنَا وَ عَلی عِبَادِ اللهِ الصَّالِحین اَشْهَدُ أنْ لا اِلَهَ اِلاَّ الله وَ اَشْهَدُ أنَّ سَیّدنَا مُحَمَّداً رَسُول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مالکیه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التحیات لله، الزاکیات لله الطیبات الصلواتلله السَّلامُ عَلَیکَ اَیُّهَا النَّبیّ وَ رَحْمَةُ الله وَ بَرَکَاتُه، السَّلامُ عَلَیْنَا وَ عَلَی عِبَاد اللهِ الصَّالِحین اَشْهَدُ أنْ لا اِلَهَ اِلاَّ الله وَحْدَهُ لا شَریکَ لَه وَ اَشْهَدُ أنَّ مُحَمَّداً عَبْدُهُ وَ رَسُولُه</w:t>
      </w:r>
      <w:r>
        <w:rPr>
          <w:rFonts w:eastAsia="Amiri" w:cs="Amiri" w:ascii="Amiri" w:hAnsi="Amiri"/>
          <w:color w:val="111111"/>
          <w:sz w:val="28"/>
          <w:szCs w:val="28"/>
          <w:rtl w:val="true"/>
          <w:lang w:bidi="ar-SA"/>
        </w:rPr>
        <w:t>".</w:t>
      </w:r>
      <w:r>
        <w:rPr>
          <w:rStyle w:val="FootnoteAnchor"/>
          <w:rtl w:val="true"/>
        </w:rPr>
        <w:footnoteReference w:id="296"/>
      </w:r>
    </w:p>
    <w:p>
      <w:pPr>
        <w:pStyle w:val="Heading5"/>
        <w:numPr>
          <w:ilvl w:val="4"/>
          <w:numId w:val="1"/>
        </w:numPr>
        <w:rPr/>
      </w:pPr>
      <w:bookmarkStart w:id="352" w:name="__RefHeading___Toc1510345_2281741623"/>
      <w:bookmarkStart w:id="353" w:name="_Toc134"/>
      <w:bookmarkEnd w:id="352"/>
      <w:r>
        <w:rPr>
          <w:rtl w:val="true"/>
        </w:rPr>
        <w:t>ب</w:t>
      </w:r>
      <w:r>
        <w:rPr>
          <w:rtl w:val="true"/>
        </w:rPr>
        <w:t xml:space="preserve">) </w:t>
      </w:r>
      <w:r>
        <w:rPr>
          <w:rtl w:val="true"/>
        </w:rPr>
        <w:t>صلوات</w:t>
      </w:r>
      <w:bookmarkEnd w:id="353"/>
    </w:p>
    <w:p>
      <w:pPr>
        <w:pStyle w:val="BookText"/>
        <w:rPr/>
      </w:pPr>
      <w:r>
        <w:rPr>
          <w:rFonts w:ascii="IRNazanin" w:hAnsi="IRNazanin" w:eastAsia="IRNazanin"/>
          <w:color w:val="111111"/>
          <w:sz w:val="28"/>
          <w:sz w:val="28"/>
          <w:szCs w:val="28"/>
          <w:rtl w:val="true"/>
          <w:lang w:bidi="fa-IR"/>
        </w:rPr>
        <w:t>افزون بر فقهای شیعه امامیه که بر وجوب درود فرستادن بر پیامبر و آل او در تشهدِ نماز اتفاق نظر دارند، احمد بن حنبل و شافعی نیز در یکی از دو قول خود به این مسأله معتقدند</w:t>
      </w:r>
      <w:r>
        <w:rPr>
          <w:rStyle w:val="FootnoteAnchor"/>
          <w:rtl w:val="true"/>
        </w:rPr>
        <w:footnoteReference w:id="297"/>
      </w:r>
      <w:r>
        <w:rPr>
          <w:rFonts w:ascii="IRNazanin" w:hAnsi="IRNazanin" w:eastAsia="IRNazanin"/>
          <w:color w:val="111111"/>
          <w:sz w:val="28"/>
          <w:sz w:val="28"/>
          <w:szCs w:val="28"/>
          <w:rtl w:val="true"/>
          <w:lang w:bidi="fa-IR"/>
        </w:rPr>
        <w:t>و این به دلیل وجود روایاتی است که در کتاب‌های آنان وارد شده است</w:t>
      </w:r>
      <w:r>
        <w:rPr>
          <w:rFonts w:eastAsia="IRNazanin" w:cs="IRNazanin"/>
          <w:color w:val="111111"/>
          <w:sz w:val="28"/>
          <w:szCs w:val="28"/>
          <w:rtl w:val="true"/>
          <w:lang w:bidi="fa-IR"/>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کعب بن عجره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همواره در نمازهای خود چنین می‌فرمود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اللّهم صلّ علی محمّد و آل محمّد کما صلّیت علی </w:t>
      </w:r>
    </w:p>
    <w:p>
      <w:pPr>
        <w:pStyle w:val="BookText"/>
        <w:rPr/>
      </w:pPr>
      <w:r>
        <w:rPr>
          <w:rFonts w:ascii="IRNazanin" w:hAnsi="IRNazanin" w:eastAsia="IRNazanin"/>
          <w:color w:val="111111"/>
          <w:sz w:val="28"/>
          <w:sz w:val="28"/>
          <w:szCs w:val="28"/>
          <w:rtl w:val="true"/>
          <w:lang w:bidi="fa-IR"/>
        </w:rPr>
        <w:t>ابراهیم و آل ابراهیم انّک حمید مجید</w:t>
      </w:r>
      <w:r>
        <w:rPr>
          <w:rFonts w:eastAsia="IRNazanin" w:cs="IRNazanin"/>
          <w:color w:val="111111"/>
          <w:sz w:val="28"/>
          <w:szCs w:val="28"/>
          <w:rtl w:val="true"/>
          <w:lang w:bidi="fa-IR"/>
        </w:rPr>
        <w:t>"</w:t>
      </w:r>
      <w:r>
        <w:rPr>
          <w:rStyle w:val="FootnoteAnchor"/>
          <w:rtl w:val="true"/>
        </w:rPr>
        <w:footnoteReference w:id="298"/>
      </w:r>
      <w:r>
        <w:rPr>
          <w:rFonts w:ascii="IRNazanin" w:hAnsi="IRNazanin" w:eastAsia="IRNazanin"/>
          <w:color w:val="111111"/>
          <w:sz w:val="28"/>
          <w:sz w:val="28"/>
          <w:szCs w:val="28"/>
          <w:rtl w:val="true"/>
          <w:lang w:bidi="fa-IR"/>
        </w:rPr>
        <w:t>و ابومسعود انصاری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صلّی صلاة و لم یصلّ فیها علیّ و علی أهل بیتی لم تقبل منه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هرکس نماز بخواند و در آن به من و اهل بیتم درود نفرستد، نمازش پذیرفته نیست</w:t>
      </w:r>
      <w:r>
        <w:rPr>
          <w:rFonts w:eastAsia="IRNazanin" w:cs="IRNazanin"/>
          <w:color w:val="111111"/>
          <w:sz w:val="28"/>
          <w:szCs w:val="28"/>
          <w:rtl w:val="true"/>
          <w:lang w:bidi="fa-IR"/>
        </w:rPr>
        <w:t>.</w:t>
      </w:r>
      <w:r>
        <w:rPr>
          <w:rStyle w:val="FootnoteAnchor"/>
          <w:rtl w:val="true"/>
        </w:rPr>
        <w:footnoteReference w:id="299"/>
      </w:r>
    </w:p>
    <w:p>
      <w:pPr>
        <w:pStyle w:val="BookText"/>
        <w:rPr/>
      </w:pPr>
      <w:r>
        <w:rPr>
          <w:rFonts w:ascii="IRNazanin" w:hAnsi="IRNazanin" w:eastAsia="IRNazanin"/>
          <w:color w:val="111111"/>
          <w:sz w:val="28"/>
          <w:sz w:val="28"/>
          <w:szCs w:val="28"/>
          <w:rtl w:val="true"/>
          <w:lang w:bidi="fa-IR"/>
        </w:rPr>
        <w:t>ابتدا به اقوال در این مسأله میپردازیم و سپس صلوات را بررسی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تشهد اول</w:t>
      </w:r>
    </w:p>
    <w:p>
      <w:pPr>
        <w:pStyle w:val="BookText"/>
        <w:rPr/>
      </w:pPr>
      <w:r>
        <w:rPr>
          <w:rFonts w:ascii="IRNazanin" w:hAnsi="IRNazanin" w:eastAsia="IRNazanin"/>
          <w:color w:val="111111"/>
          <w:sz w:val="28"/>
          <w:sz w:val="28"/>
          <w:szCs w:val="28"/>
          <w:rtl w:val="true"/>
          <w:lang w:bidi="fa-IR"/>
        </w:rPr>
        <w:t>امامیه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تشهد اوّل صلوات بر محمد و آل محمد واجب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مذاهب چهارگانه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تشهد اول صلوات شرط نیست، اگرچه ظاهراً آن را مشروع می شمرند</w:t>
      </w:r>
      <w:r>
        <w:rPr>
          <w:rFonts w:eastAsia="IRNazanin" w:cs="IRNazanin"/>
          <w:color w:val="111111"/>
          <w:sz w:val="28"/>
          <w:szCs w:val="28"/>
          <w:rtl w:val="true"/>
          <w:lang w:bidi="fa-IR"/>
        </w:rPr>
        <w:t>.</w:t>
      </w:r>
      <w:r>
        <w:rPr>
          <w:rStyle w:val="FootnoteAnchor"/>
          <w:rtl w:val="true"/>
        </w:rPr>
        <w:footnoteReference w:id="300"/>
      </w:r>
    </w:p>
    <w:p>
      <w:pPr>
        <w:pStyle w:val="BookText"/>
        <w:rPr/>
      </w:pPr>
      <w:r>
        <w:rPr>
          <w:rFonts w:ascii="IRNazanin" w:hAnsi="IRNazanin" w:eastAsia="IRNazanin"/>
          <w:color w:val="111111"/>
          <w:sz w:val="28"/>
          <w:sz w:val="28"/>
          <w:szCs w:val="28"/>
          <w:rtl w:val="true"/>
          <w:lang w:bidi="fa-IR"/>
        </w:rPr>
        <w:t>در تشهد آخر</w:t>
      </w:r>
    </w:p>
    <w:p>
      <w:pPr>
        <w:pStyle w:val="BookText"/>
        <w:rPr/>
      </w:pPr>
      <w:r>
        <w:rPr>
          <w:rFonts w:ascii="IRNazanin" w:hAnsi="IRNazanin" w:eastAsia="IRNazanin"/>
          <w:color w:val="111111"/>
          <w:sz w:val="28"/>
          <w:sz w:val="28"/>
          <w:szCs w:val="28"/>
          <w:rtl w:val="true"/>
          <w:lang w:bidi="fa-IR"/>
        </w:rPr>
        <w:t>امامیه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تشهد دوم صلوات بر محمد و آل محمد مانند تشهد اول واجب است</w:t>
      </w:r>
      <w:r>
        <w:rPr>
          <w:rFonts w:eastAsia="IRNazanin" w:cs="IRNazanin"/>
          <w:color w:val="111111"/>
          <w:sz w:val="28"/>
          <w:szCs w:val="28"/>
          <w:rtl w:val="true"/>
          <w:lang w:bidi="fa-IR"/>
        </w:rPr>
        <w:t>.</w:t>
      </w:r>
      <w:r>
        <w:rPr>
          <w:rStyle w:val="FootnoteAnchor"/>
          <w:rtl w:val="true"/>
        </w:rPr>
        <w:footnoteReference w:id="301"/>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شافعیه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صلوات بر محمد صلی الله علیه و آله در تشهد آخر نماز، فرض و </w:t>
      </w:r>
    </w:p>
    <w:p>
      <w:pPr>
        <w:pStyle w:val="BookText"/>
        <w:rPr/>
      </w:pPr>
      <w:r>
        <w:rPr>
          <w:rFonts w:ascii="IRNazanin" w:hAnsi="IRNazanin" w:eastAsia="IRNazanin"/>
          <w:color w:val="111111"/>
          <w:sz w:val="28"/>
          <w:sz w:val="28"/>
          <w:szCs w:val="28"/>
          <w:rtl w:val="true"/>
          <w:lang w:bidi="fa-IR"/>
        </w:rPr>
        <w:t>واجب است</w:t>
      </w:r>
      <w:r>
        <w:rPr>
          <w:rFonts w:eastAsia="IRNazanin" w:cs="IRNazanin"/>
          <w:color w:val="111111"/>
          <w:sz w:val="28"/>
          <w:szCs w:val="28"/>
          <w:rtl w:val="true"/>
          <w:lang w:bidi="fa-IR"/>
        </w:rPr>
        <w:t>.</w:t>
      </w:r>
      <w:r>
        <w:rPr>
          <w:rStyle w:val="FootnoteAnchor"/>
          <w:rtl w:val="true"/>
        </w:rPr>
        <w:footnoteReference w:id="302"/>
      </w:r>
    </w:p>
    <w:p>
      <w:pPr>
        <w:pStyle w:val="BookText"/>
        <w:rPr/>
      </w:pPr>
      <w:r>
        <w:rPr>
          <w:rFonts w:ascii="IRNazanin" w:hAnsi="IRNazanin" w:eastAsia="IRNazanin"/>
          <w:color w:val="111111"/>
          <w:sz w:val="28"/>
          <w:sz w:val="28"/>
          <w:szCs w:val="28"/>
          <w:rtl w:val="true"/>
          <w:lang w:bidi="fa-IR"/>
        </w:rPr>
        <w:t>شافعی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هر مسلمانی که فرایض بر او واجب شده، لازم است تشهد و صلوات را یاد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کسی که نماز به پا دارد، ولی در آن صلوات بر نبی نداشته باشد، هر چند تشهد را به نیکوترین وجه انجام دهد، یا تشهد نداشته باشد، هر چند صلوات بر محمد صلی الله علیه و آله را بیاورد، نمازش باطل است و باید آن را دوباره بخواند</w:t>
      </w:r>
      <w:r>
        <w:rPr>
          <w:rFonts w:eastAsia="IRNazanin" w:cs="IRNazanin"/>
          <w:color w:val="111111"/>
          <w:sz w:val="28"/>
          <w:szCs w:val="28"/>
          <w:rtl w:val="true"/>
          <w:lang w:bidi="fa-IR"/>
        </w:rPr>
        <w:t>.</w:t>
      </w:r>
      <w:r>
        <w:rPr>
          <w:rStyle w:val="FootnoteAnchor"/>
          <w:rtl w:val="true"/>
        </w:rPr>
        <w:footnoteReference w:id="303"/>
      </w:r>
    </w:p>
    <w:p>
      <w:pPr>
        <w:pStyle w:val="BookText"/>
        <w:rPr/>
      </w:pPr>
      <w:r>
        <w:rPr>
          <w:rFonts w:ascii="IRNazanin" w:hAnsi="IRNazanin" w:eastAsia="IRNazanin"/>
          <w:color w:val="111111"/>
          <w:sz w:val="28"/>
          <w:sz w:val="28"/>
          <w:szCs w:val="28"/>
          <w:rtl w:val="true"/>
          <w:lang w:bidi="fa-IR"/>
        </w:rPr>
        <w:t>اشعار زیر از امام شافعی که در وصف پیامبر و خاندان او نقل شده، گویای باور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یـا اهـل بیت رسول الله حّبـکم</w:t>
      </w:r>
    </w:p>
    <w:p>
      <w:pPr>
        <w:pStyle w:val="BookText"/>
        <w:rPr/>
      </w:pPr>
      <w:r>
        <w:rPr>
          <w:rFonts w:ascii="IRNazanin" w:hAnsi="IRNazanin" w:eastAsia="IRNazanin"/>
          <w:color w:val="111111"/>
          <w:sz w:val="28"/>
          <w:sz w:val="28"/>
          <w:szCs w:val="28"/>
          <w:rtl w:val="true"/>
          <w:lang w:bidi="fa-IR"/>
        </w:rPr>
        <w:t>کفاکـم من عظیـم القـدر انّکم</w:t>
      </w:r>
    </w:p>
    <w:p>
      <w:pPr>
        <w:pStyle w:val="BookText"/>
        <w:rPr/>
      </w:pPr>
      <w:r>
        <w:rPr>
          <w:rFonts w:ascii="IRNazanin" w:hAnsi="IRNazanin" w:eastAsia="IRNazanin"/>
          <w:color w:val="111111"/>
          <w:sz w:val="28"/>
          <w:sz w:val="28"/>
          <w:szCs w:val="28"/>
          <w:rtl w:val="true"/>
          <w:lang w:bidi="fa-IR"/>
        </w:rPr>
        <w:t>فـرض من الله فی القـرآن انـزله</w:t>
      </w:r>
    </w:p>
    <w:p>
      <w:pPr>
        <w:pStyle w:val="BookText"/>
        <w:rPr/>
      </w:pPr>
      <w:r>
        <w:rPr>
          <w:rFonts w:ascii="IRNazanin" w:hAnsi="IRNazanin" w:eastAsia="IRNazanin"/>
          <w:color w:val="111111"/>
          <w:sz w:val="28"/>
          <w:sz w:val="28"/>
          <w:szCs w:val="28"/>
          <w:rtl w:val="true"/>
          <w:lang w:bidi="fa-IR"/>
        </w:rPr>
        <w:t>مـن لایصلِّ علیکم لاصلاة له</w:t>
      </w:r>
      <w:r>
        <w:rPr>
          <w:rStyle w:val="FootnoteAnchor"/>
          <w:rtl w:val="true"/>
        </w:rPr>
        <w:footnoteReference w:id="304"/>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حنبلیه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صلوات در تشهد دوم فرض است و افضل آن است که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اللَّهُمَّ صَلِّ عَلی مُحَمَّد وَ عَلی آل مُحَمَّد کَما صَلَیت عَلَی ابْراهیم إنّک حَمید مَجید وَ بَارک عَلَی مُحَمَّد وَ عَلی آلِ مُحَمَّد کَمَا بَارکت عَلی ابْراهیم انّک </w:t>
      </w:r>
    </w:p>
    <w:p>
      <w:pPr>
        <w:pStyle w:val="BookText"/>
        <w:rPr/>
      </w:pPr>
      <w:r>
        <w:rPr>
          <w:rFonts w:ascii="Amiri" w:hAnsi="Amiri" w:eastAsia="Amiri" w:cs="Amiri"/>
          <w:color w:val="111111"/>
          <w:sz w:val="28"/>
          <w:sz w:val="28"/>
          <w:szCs w:val="28"/>
          <w:rtl w:val="true"/>
          <w:lang w:bidi="ar-SA"/>
        </w:rPr>
        <w:t>حَمید مَجید</w:t>
      </w:r>
      <w:r>
        <w:rPr>
          <w:rFonts w:eastAsia="Amiri" w:cs="Amiri" w:ascii="Amiri" w:hAnsi="Amiri"/>
          <w:color w:val="111111"/>
          <w:sz w:val="28"/>
          <w:szCs w:val="28"/>
          <w:rtl w:val="true"/>
          <w:lang w:bidi="ar-SA"/>
        </w:rPr>
        <w:t>".</w:t>
      </w:r>
      <w:r>
        <w:rPr>
          <w:rStyle w:val="FootnoteAnchor"/>
          <w:rtl w:val="true"/>
        </w:rPr>
        <w:footnoteReference w:id="305"/>
      </w:r>
    </w:p>
    <w:p>
      <w:pPr>
        <w:pStyle w:val="BookText"/>
        <w:rPr/>
      </w:pP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صیغه افضل صلوات در تشهد آخر شافعی ها مانند حنبلیه است، ولی برخی از شافعیه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سیدنا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سیدنا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افزوده‌اند</w:t>
      </w:r>
      <w:r>
        <w:rPr>
          <w:rFonts w:eastAsia="IRNazanin" w:cs="IRNazanin"/>
          <w:color w:val="111111"/>
          <w:sz w:val="28"/>
          <w:szCs w:val="28"/>
          <w:rtl w:val="true"/>
          <w:lang w:bidi="fa-IR"/>
        </w:rPr>
        <w:t>.</w:t>
      </w:r>
      <w:r>
        <w:rPr>
          <w:rStyle w:val="FootnoteAnchor"/>
          <w:rtl w:val="true"/>
        </w:rPr>
        <w:footnoteReference w:id="306"/>
      </w:r>
    </w:p>
    <w:p>
      <w:pPr>
        <w:pStyle w:val="BookText"/>
        <w:rPr/>
      </w:pPr>
      <w:r>
        <w:rPr>
          <w:rFonts w:ascii="IRNazanin" w:hAnsi="IRNazanin" w:eastAsia="IRNazanin"/>
          <w:color w:val="111111"/>
          <w:sz w:val="28"/>
          <w:sz w:val="28"/>
          <w:szCs w:val="28"/>
          <w:rtl w:val="true"/>
          <w:lang w:bidi="fa-IR"/>
        </w:rPr>
        <w:t>حنفیه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صلوات در تشهد آخر سنت است و افضل این است که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صَلِّ عَلَی مُحَمَّد وَ عَلَی آل مُحَمَّد کَما صَلَیت عَلَی اِبْراهیم وَ عَلَی آل ابراهیم وَ بَارک عَلی مُحَمَّد وَ عَلی آل مُحَمَّد کَمَا بَارکت عَلی ابْراهیم وَ عَلَی آل اِبْراهیم فی العَالمین انّک حَمید مَجید</w:t>
      </w:r>
      <w:r>
        <w:rPr>
          <w:rFonts w:eastAsia="IRNazanin" w:cs="IRNazanin"/>
          <w:color w:val="111111"/>
          <w:sz w:val="28"/>
          <w:szCs w:val="28"/>
          <w:rtl w:val="true"/>
          <w:lang w:bidi="fa-IR"/>
        </w:rPr>
        <w:t>".</w:t>
      </w:r>
      <w:r>
        <w:rPr>
          <w:rStyle w:val="FootnoteAnchor"/>
          <w:rtl w:val="true"/>
        </w:rPr>
        <w:footnoteReference w:id="307"/>
      </w:r>
    </w:p>
    <w:p>
      <w:pPr>
        <w:pStyle w:val="BookText"/>
        <w:rPr/>
      </w:pPr>
      <w:r>
        <w:rPr>
          <w:rFonts w:ascii="IRNazanin" w:hAnsi="IRNazanin" w:eastAsia="IRNazanin"/>
          <w:color w:val="111111"/>
          <w:sz w:val="28"/>
          <w:sz w:val="28"/>
          <w:szCs w:val="28"/>
          <w:rtl w:val="true"/>
          <w:lang w:bidi="fa-IR"/>
        </w:rPr>
        <w:t>مالکیه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صلوات در تشهد آخر سنت و لفظش مانند حنفیه است</w:t>
      </w:r>
      <w:r>
        <w:rPr>
          <w:rFonts w:eastAsia="IRNazanin" w:cs="IRNazanin"/>
          <w:color w:val="111111"/>
          <w:sz w:val="28"/>
          <w:szCs w:val="28"/>
          <w:rtl w:val="true"/>
          <w:lang w:bidi="fa-IR"/>
        </w:rPr>
        <w:t>.</w:t>
      </w:r>
      <w:r>
        <w:rPr>
          <w:rStyle w:val="FootnoteAnchor"/>
          <w:rtl w:val="true"/>
        </w:rPr>
        <w:footnoteReference w:id="308"/>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حسن ختام این بحث را با ذکر روایتی از کتب اهل‌سنت در این باره به پایان می بریم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ابن‌عمر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تکون صلاة الا بقراءة و تشهد و صلاة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نماز، بدون قرائت </w:t>
      </w:r>
      <w:bookmarkStart w:id="354" w:name="pg3848_38769"/>
    </w:p>
    <w:p>
      <w:pPr>
        <w:pStyle w:val="BookText"/>
        <w:rPr/>
      </w:pPr>
      <w:bookmarkEnd w:id="354"/>
      <w:r>
        <w:rPr>
          <w:rFonts w:ascii="IRNazanin" w:hAnsi="IRNazanin" w:eastAsia="IRNazanin"/>
          <w:color w:val="111111"/>
          <w:sz w:val="28"/>
          <w:sz w:val="28"/>
          <w:szCs w:val="28"/>
          <w:rtl w:val="true"/>
          <w:lang w:bidi="fa-IR"/>
        </w:rPr>
        <w:t>و تشهد و صلوات بر من صحیح نخواهد بود</w:t>
      </w:r>
      <w:r>
        <w:rPr>
          <w:rFonts w:eastAsia="IRNazanin" w:cs="IRNazanin"/>
          <w:color w:val="111111"/>
          <w:sz w:val="28"/>
          <w:szCs w:val="28"/>
          <w:rtl w:val="true"/>
          <w:lang w:bidi="fa-IR"/>
        </w:rPr>
        <w:t>.</w:t>
      </w:r>
      <w:r>
        <w:rPr>
          <w:rStyle w:val="FootnoteAnchor"/>
          <w:rtl w:val="true"/>
        </w:rPr>
        <w:footnoteReference w:id="309"/>
      </w:r>
    </w:p>
    <w:p>
      <w:pPr>
        <w:pStyle w:val="BookText"/>
        <w:rPr/>
      </w:pPr>
      <w:r>
        <w:rPr>
          <w:rFonts w:ascii="IRNazanin" w:hAnsi="IRNazanin" w:eastAsia="IRNazanin"/>
          <w:color w:val="111111"/>
          <w:sz w:val="28"/>
          <w:sz w:val="28"/>
          <w:szCs w:val="28"/>
          <w:rtl w:val="true"/>
          <w:lang w:bidi="fa-IR"/>
        </w:rPr>
        <w:t xml:space="preserve">با توجه به مطالب پیش‌گفته، عموم اهل‌سنت پس از اتمام تشهد، در نماز دو رکعتی یا چهار رکعتی، صلوات‌ها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اساس قول به استحباب یا وجوب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بدین‌گونه می‌خوانند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صَلِّ عَلَی مُحَمَّد وَ عَلَی آلِ مُحَمَّد کَمَا صَلَّیْتَ عَلَی اِبْرَاهِیْمَ وَ عَلَی آلِ اِبْرَاهِیْمَ اِنَّکَ حَمِیْدٌ مَّجِیْد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بَارِکْ عَلَی مُحَمَّد وَ عَلی آلِ مَحَمَّدٍ کَمَا بَارَکْتَ عَلی اِبْراهِیْمَ وَ عَلی آلِ اِبْراهِیْمَ اِنَّکَ حَمِیْدٌ مَّجِیْد</w:t>
      </w:r>
      <w:r>
        <w:rPr>
          <w:rFonts w:eastAsia="IRNazanin" w:cs="IRNazanin"/>
          <w:color w:val="111111"/>
          <w:sz w:val="28"/>
          <w:szCs w:val="28"/>
          <w:rtl w:val="true"/>
          <w:lang w:bidi="fa-IR"/>
        </w:rPr>
        <w:t>".</w:t>
      </w:r>
      <w:r>
        <w:rPr>
          <w:rStyle w:val="FootnoteAnchor"/>
          <w:rtl w:val="true"/>
        </w:rPr>
        <w:footnoteReference w:id="310"/>
      </w:r>
    </w:p>
    <w:p>
      <w:pPr>
        <w:pStyle w:val="Heading5"/>
        <w:numPr>
          <w:ilvl w:val="4"/>
          <w:numId w:val="1"/>
        </w:numPr>
        <w:rPr/>
      </w:pPr>
      <w:bookmarkStart w:id="355" w:name="__RefHeading___Toc1510347_2281741623"/>
      <w:bookmarkStart w:id="356" w:name="_Toc135"/>
      <w:bookmarkEnd w:id="355"/>
      <w:r>
        <w:rPr>
          <w:rtl w:val="true"/>
        </w:rPr>
        <w:t>ج</w:t>
      </w:r>
      <w:r>
        <w:rPr>
          <w:rtl w:val="true"/>
        </w:rPr>
        <w:t xml:space="preserve">) </w:t>
      </w:r>
      <w:r>
        <w:rPr>
          <w:rtl w:val="true"/>
        </w:rPr>
        <w:t>سلام</w:t>
      </w:r>
      <w:bookmarkEnd w:id="356"/>
    </w:p>
    <w:p>
      <w:pPr>
        <w:pStyle w:val="BookText"/>
        <w:rPr/>
      </w:pPr>
      <w:r>
        <w:rPr>
          <w:rFonts w:ascii="IRNazanin" w:hAnsi="IRNazanin" w:eastAsia="IRNazanin"/>
          <w:color w:val="111111"/>
          <w:sz w:val="28"/>
          <w:sz w:val="28"/>
          <w:szCs w:val="28"/>
          <w:rtl w:val="true"/>
          <w:lang w:bidi="fa-IR"/>
        </w:rPr>
        <w:t>به گفته مذاهب اسلامی جز حنفیه،</w:t>
      </w:r>
      <w:r>
        <w:rPr>
          <w:rStyle w:val="FootnoteAnchor"/>
          <w:rtl w:val="true"/>
        </w:rPr>
        <w:footnoteReference w:id="311"/>
      </w:r>
      <w:r>
        <w:rPr>
          <w:rFonts w:ascii="IRNazanin" w:hAnsi="IRNazanin" w:eastAsia="IRNazanin"/>
          <w:color w:val="111111"/>
          <w:sz w:val="28"/>
          <w:sz w:val="28"/>
          <w:szCs w:val="28"/>
          <w:rtl w:val="true"/>
          <w:lang w:bidi="fa-IR"/>
        </w:rPr>
        <w:t>سلام از فرایض نماز است و خروج از نماز با لفظ سلام باید انجام شود؛ وگرنه، نماز باطل است، ولی حنفیه معتقدند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هر عمل منافی ولو با نقض وضو می‌توان از نماز خارج شد و لفظ سلام واجب است، نه فرض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صیغه سلام</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گفته فقهای امامیه، سلام دو صیغه دارد که به هر کدام اکتفا شود، کافی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اَلسَّلامُ عَلَیْنَا وَ عَلَی عِبَاد الله الصَّالِحین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السَّلامُ عَلَیْکُمْ وَ رَحْمَةُ الله وَ بَرَکَاتُه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حنبلیه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فرض است دو بار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السَّلامُ عَلَیْکُمْ وَ رَحْمَةُ الله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حنفیه معتقدند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لفظ خاصی شرط نیست و لفظ سلام به تنهایی نیز کافی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بزرگان شافعیه نیز بر این باورند که در الفاظ سلام، ترتیب شرط نیست و اگر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عَلَیْکُم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 است، ولی کراهت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فقهای مالکیه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خروج از نماز باید یک بار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اَلسَّلامُ عَلَیْکُمْ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نکته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نظر امامیه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اَلسَّلامُ عَلَیْکَ اَیُّهَا النَّبیُّ وَ رَحْمَةُ الله وَ بَرَکَاتُه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مستحب است و جزء سلام نیست</w:t>
      </w:r>
      <w:r>
        <w:rPr>
          <w:rFonts w:eastAsia="Amiri" w:cs="Amiri" w:ascii="Amiri" w:hAnsi="Amiri"/>
          <w:color w:val="111111"/>
          <w:sz w:val="28"/>
          <w:szCs w:val="28"/>
          <w:rtl w:val="true"/>
          <w:lang w:bidi="ar-SA"/>
        </w:rPr>
        <w:t>.</w:t>
      </w:r>
      <w:r>
        <w:rPr>
          <w:rStyle w:val="FootnoteAnchor"/>
          <w:rtl w:val="true"/>
        </w:rPr>
        <w:footnoteReference w:id="312"/>
      </w:r>
    </w:p>
    <w:p>
      <w:pPr>
        <w:pStyle w:val="BookText"/>
        <w:rPr/>
      </w:pPr>
      <w:r>
        <w:rPr>
          <w:rFonts w:ascii="IRNazanin" w:hAnsi="IRNazanin" w:eastAsia="IRNazanin"/>
          <w:color w:val="111111"/>
          <w:sz w:val="28"/>
          <w:sz w:val="28"/>
          <w:szCs w:val="28"/>
          <w:rtl w:val="true"/>
          <w:lang w:bidi="fa-IR"/>
        </w:rPr>
        <w:t>پاسخ شبهه</w:t>
      </w:r>
    </w:p>
    <w:p>
      <w:pPr>
        <w:pStyle w:val="BookText"/>
        <w:rPr/>
      </w:pPr>
      <w:r>
        <w:rPr>
          <w:rFonts w:ascii="IRNazanin" w:hAnsi="IRNazanin" w:eastAsia="IRNazanin"/>
          <w:color w:val="111111"/>
          <w:sz w:val="28"/>
          <w:sz w:val="28"/>
          <w:szCs w:val="28"/>
          <w:rtl w:val="true"/>
          <w:lang w:bidi="fa-IR"/>
        </w:rPr>
        <w:t>اینک به پاسخ این پرسش می پردازیم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پیامبر نیز در نماز بر خود درود و سلام می فرستاد؟ اگر پاسخ مثبت است، چرا؟</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نگاهی به سیره و سنت و نیز روایات</w:t>
      </w:r>
      <w:r>
        <w:rPr>
          <w:rStyle w:val="FootnoteAnchor"/>
          <w:rtl w:val="true"/>
        </w:rPr>
        <w:footnoteReference w:id="313"/>
      </w:r>
      <w:r>
        <w:rPr>
          <w:rFonts w:ascii="IRNazanin" w:hAnsi="IRNazanin" w:eastAsia="IRNazanin"/>
          <w:color w:val="111111"/>
          <w:sz w:val="28"/>
          <w:sz w:val="28"/>
          <w:szCs w:val="28"/>
          <w:rtl w:val="true"/>
          <w:lang w:bidi="fa-IR"/>
        </w:rPr>
        <w:t xml:space="preserve">بیانگر این نکته است </w:t>
      </w:r>
    </w:p>
    <w:p>
      <w:pPr>
        <w:pStyle w:val="BookText"/>
        <w:rPr/>
      </w:pPr>
      <w:r>
        <w:rPr>
          <w:rFonts w:ascii="IRNazanin" w:hAnsi="IRNazanin" w:eastAsia="IRNazanin"/>
          <w:color w:val="111111"/>
          <w:sz w:val="28"/>
          <w:sz w:val="28"/>
          <w:szCs w:val="28"/>
          <w:rtl w:val="true"/>
          <w:lang w:bidi="fa-IR"/>
        </w:rPr>
        <w:t>که آن حضرت نیز در نمازها بر خود صلوات می فرستاد؛ زیرا 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و دیگر مردم در احکام الهی مساوی هستند و آن حضرت نیز مانند دیگر مسلمانان، موظف بود نماز را همان‌گونه که خداوند امر فرموده است، به جای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ازاینرو، وقتی یکی از واجبات نماز برای همه، خواندن تشهد با الفاظ مشخص است،پیامبر نیز مخاطب این واجب است و باید در نماز خود آن را بگوید</w:t>
      </w:r>
      <w:r>
        <w:rPr>
          <w:rFonts w:eastAsia="IRNazanin" w:cs="IRNazanin"/>
          <w:color w:val="111111"/>
          <w:sz w:val="28"/>
          <w:szCs w:val="28"/>
          <w:rtl w:val="true"/>
          <w:lang w:bidi="fa-IR"/>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عبارت دیگر، با صرف نظر از شخصیت والا و الهی پیامبر در مقام آخرین فرستاده خداوند، درود و سلام فرستادن انسان بر خود، با اجازه خدای متعال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این صلوات نه تنها با بندگی خدای متعال منافات ندارد، بلکه چون اطاعت از دستور خداست، در ردیف عبادات الهی نیز قرار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همین روست که همه مسلمانان، به دستور خدای متعال وظیفه دارند در هر نوبت نماز واجب یا مستحب بر خود و تمام بندگان صالح، سلام بفرستند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نیز به عنوان یک شخصیت حقیقی از این وظیفه مستثنا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ازاین‌رو در قرآن مجید می‌خوانیم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آمَنَ الرَّسُولُ بِما أُنْزِلَ إِلَیْهِ مِنْ رَبِّهِ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پیامبر، به آنچه از سوی </w:t>
      </w:r>
    </w:p>
    <w:p>
      <w:pPr>
        <w:pStyle w:val="BookText"/>
        <w:rPr/>
      </w:pPr>
      <w:r>
        <w:rPr>
          <w:rFonts w:ascii="IRNazanin" w:hAnsi="IRNazanin" w:eastAsia="IRNazanin"/>
          <w:color w:val="111111"/>
          <w:sz w:val="28"/>
          <w:sz w:val="28"/>
          <w:szCs w:val="28"/>
          <w:rtl w:val="true"/>
          <w:lang w:bidi="fa-IR"/>
        </w:rPr>
        <w:t>پروردگارش بر او نازل شده، ایمان آورده است</w:t>
      </w:r>
      <w:r>
        <w:rPr>
          <w:rFonts w:eastAsia="IRNazanin" w:cs="IRNazanin"/>
          <w:color w:val="111111"/>
          <w:sz w:val="28"/>
          <w:szCs w:val="28"/>
          <w:rtl w:val="true"/>
          <w:lang w:bidi="fa-IR"/>
        </w:rPr>
        <w:t>.</w:t>
      </w:r>
      <w:r>
        <w:rPr>
          <w:rStyle w:val="FootnoteAnchor"/>
          <w:rtl w:val="true"/>
        </w:rPr>
        <w:footnoteReference w:id="314"/>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در مقام رهبر و پیشوای مسلمانان، به فرموده قرآن کریم، اسوه حسنه است و همگان به پیروی از ایشان ملزم هستند</w:t>
      </w:r>
      <w:r>
        <w:rPr>
          <w:rFonts w:eastAsia="IRNazanin" w:cs="IRNazanin"/>
          <w:color w:val="111111"/>
          <w:sz w:val="28"/>
          <w:szCs w:val="28"/>
          <w:rtl w:val="true"/>
          <w:lang w:bidi="fa-IR"/>
        </w:rPr>
        <w:t>.</w:t>
      </w:r>
      <w:r>
        <w:rPr>
          <w:rStyle w:val="FootnoteAnchor"/>
          <w:rtl w:val="true"/>
        </w:rPr>
        <w:footnoteReference w:id="315"/>
      </w:r>
      <w:r>
        <w:rPr>
          <w:rFonts w:ascii="IRNazanin" w:hAnsi="IRNazanin" w:eastAsia="IRNazanin"/>
          <w:color w:val="111111"/>
          <w:sz w:val="28"/>
          <w:sz w:val="28"/>
          <w:szCs w:val="28"/>
          <w:rtl w:val="true"/>
          <w:lang w:bidi="fa-IR"/>
        </w:rPr>
        <w:t>خود ایشان نیز درباره نماز فرموده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صلوا کما رأیتمونی اصلی</w:t>
      </w:r>
      <w:r>
        <w:rPr>
          <w:rFonts w:eastAsia="IRNazanin" w:cs="IRNazanin"/>
          <w:color w:val="111111"/>
          <w:sz w:val="28"/>
          <w:szCs w:val="28"/>
          <w:rtl w:val="true"/>
          <w:lang w:bidi="fa-IR"/>
        </w:rPr>
        <w:t>"</w:t>
      </w:r>
      <w:r>
        <w:rPr>
          <w:rStyle w:val="FootnoteAnchor"/>
          <w:rtl w:val="true"/>
        </w:rPr>
        <w:footnoteReference w:id="31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نظرداشت تمام این نکات، به این نتیجه می‌رسیم که آن حضرت نمی توانست تشهد و سلام نماز را به صرف بودن نام خویش در آن ترک کند؛ زیرا چه بسا این رفتار، الگوی رفتاری دیگر مسلمانان می‌گردید و برای همیشه نماز ناقص و باطل اقامه می شد</w:t>
      </w:r>
      <w:r>
        <w:rPr>
          <w:rFonts w:eastAsia="IRNazanin" w:cs="IRNazanin"/>
          <w:color w:val="111111"/>
          <w:sz w:val="28"/>
          <w:szCs w:val="28"/>
          <w:rtl w:val="true"/>
          <w:lang w:bidi="fa-IR"/>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درود و سلام بر پیامبر اعظم صلی الله علیه و آله در هر نماز، نوعی قدرشناسی از زحمات بی دریغ و تلاش های گسترده آن حضرت در جهت ارتقای مقام انسان و تبلیغ دین خاتم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این اساس، به دستور الهی بر ایشان درود و صلوات می فرستیم و از </w:t>
      </w:r>
    </w:p>
    <w:p>
      <w:pPr>
        <w:pStyle w:val="BookText"/>
        <w:rPr/>
      </w:pPr>
      <w:r>
        <w:rPr>
          <w:rFonts w:ascii="IRNazanin" w:hAnsi="IRNazanin" w:eastAsia="IRNazanin"/>
          <w:color w:val="111111"/>
          <w:sz w:val="28"/>
          <w:sz w:val="28"/>
          <w:szCs w:val="28"/>
          <w:rtl w:val="true"/>
          <w:lang w:bidi="fa-IR"/>
        </w:rPr>
        <w:t>آثار و دستاوردهای فراوان مادی و معنوی آن در دنیا و آخرت بهره مند می شویم</w:t>
      </w:r>
      <w:r>
        <w:rPr>
          <w:rFonts w:eastAsia="IRNazanin" w:cs="IRNazanin"/>
          <w:color w:val="111111"/>
          <w:sz w:val="28"/>
          <w:szCs w:val="28"/>
          <w:rtl w:val="true"/>
          <w:lang w:bidi="fa-IR"/>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اللهم صل علی محمد و آل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والسلام علیکم و رحمة الله و برکاته </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57" w:name="pg3848_38775"/>
      <w:bookmarkStart w:id="358" w:name="pg3848_38775"/>
      <w:bookmarkEnd w:id="358"/>
    </w:p>
    <w:p>
      <w:pPr>
        <w:pStyle w:val="Heading2"/>
        <w:numPr>
          <w:ilvl w:val="1"/>
          <w:numId w:val="1"/>
        </w:numPr>
        <w:rPr/>
      </w:pPr>
      <w:bookmarkStart w:id="359" w:name="pg3848_38775"/>
      <w:bookmarkStart w:id="360" w:name="__RefHeading___Toc1510349_2281741623"/>
      <w:bookmarkStart w:id="361" w:name="_Toc136"/>
      <w:bookmarkEnd w:id="359"/>
      <w:bookmarkEnd w:id="360"/>
      <w:r>
        <w:rPr>
          <w:rtl w:val="true"/>
        </w:rPr>
        <w:t>بخش چهارم</w:t>
      </w:r>
      <w:r>
        <w:rPr>
          <w:rtl w:val="true"/>
        </w:rPr>
        <w:t xml:space="preserve">: </w:t>
      </w:r>
      <w:r>
        <w:rPr>
          <w:rtl w:val="true"/>
        </w:rPr>
        <w:t>ضمیمه مباحث</w:t>
      </w:r>
      <w:bookmarkEnd w:id="361"/>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362" w:name="__RefHeading___Toc1510351_2281741623"/>
      <w:bookmarkStart w:id="363" w:name="_Toc137"/>
      <w:bookmarkEnd w:id="362"/>
      <w:r>
        <w:rPr>
          <w:rtl w:val="true"/>
        </w:rPr>
        <w:t>اشاره</w:t>
      </w:r>
      <w:bookmarkStart w:id="364" w:name="pg3848_38776"/>
      <w:bookmarkEnd w:id="363"/>
    </w:p>
    <w:p>
      <w:pPr>
        <w:pStyle w:val="Heading3"/>
        <w:numPr>
          <w:ilvl w:val="2"/>
          <w:numId w:val="1"/>
        </w:numPr>
        <w:rPr/>
      </w:pPr>
      <w:bookmarkStart w:id="365" w:name="__RefHeading___Toc1510353_2281741623"/>
      <w:bookmarkStart w:id="366" w:name="_Toc138"/>
      <w:bookmarkEnd w:id="364"/>
      <w:bookmarkEnd w:id="365"/>
      <w:r>
        <w:rPr>
          <w:rtl w:val="true"/>
        </w:rPr>
        <w:t>یک</w:t>
      </w:r>
      <w:r>
        <w:rPr>
          <w:rtl w:val="true"/>
        </w:rPr>
        <w:t xml:space="preserve">: </w:t>
      </w:r>
      <w:r>
        <w:rPr>
          <w:rtl w:val="true"/>
        </w:rPr>
        <w:t>منابع اجتهاد مذاهب</w:t>
      </w:r>
      <w:bookmarkEnd w:id="366"/>
    </w:p>
    <w:p>
      <w:pPr>
        <w:pStyle w:val="Heading4"/>
        <w:numPr>
          <w:ilvl w:val="3"/>
          <w:numId w:val="1"/>
        </w:numPr>
        <w:rPr/>
      </w:pPr>
      <w:bookmarkStart w:id="367" w:name="__RefHeading___Toc1510355_2281741623"/>
      <w:bookmarkStart w:id="368" w:name="_Toc139"/>
      <w:bookmarkEnd w:id="367"/>
      <w:r>
        <w:rPr>
          <w:rtl w:val="true"/>
        </w:rPr>
        <w:t>اشاره</w:t>
      </w:r>
      <w:bookmarkEnd w:id="368"/>
    </w:p>
    <w:p>
      <w:pPr>
        <w:pStyle w:val="BookText"/>
        <w:rPr/>
      </w:pPr>
      <w:r>
        <w:rPr>
          <w:rFonts w:ascii="IRNazanin" w:hAnsi="IRNazanin" w:eastAsia="IRNazanin"/>
          <w:color w:val="111111"/>
          <w:sz w:val="28"/>
          <w:sz w:val="28"/>
          <w:szCs w:val="28"/>
          <w:rtl w:val="true"/>
          <w:lang w:bidi="fa-IR"/>
        </w:rPr>
        <w:t>فقها و مجتهدان، احکام و قوانین الهی را از مآخذی استنباط و استخراج می‌کنند که به آن، منابع فقه، منابع اجتهاد یا ادله احکام گفته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به طور فشرده به بخشی از منابع فقه اهل‌سنت و شیعه اشاره می‌کنیم</w:t>
      </w:r>
      <w:r>
        <w:rPr>
          <w:rFonts w:eastAsia="IRNazanin" w:cs="IRNazanin"/>
          <w:color w:val="111111"/>
          <w:sz w:val="28"/>
          <w:szCs w:val="28"/>
          <w:rtl w:val="true"/>
          <w:lang w:bidi="fa-IR"/>
        </w:rPr>
        <w:t>.</w:t>
      </w:r>
    </w:p>
    <w:p>
      <w:pPr>
        <w:pStyle w:val="Heading4"/>
        <w:numPr>
          <w:ilvl w:val="3"/>
          <w:numId w:val="1"/>
        </w:numPr>
        <w:rPr/>
      </w:pPr>
      <w:bookmarkStart w:id="369" w:name="__RefHeading___Toc1510357_2281741623"/>
      <w:bookmarkStart w:id="370" w:name="_Toc140"/>
      <w:bookmarkEnd w:id="369"/>
      <w:r>
        <w:rPr>
          <w:rtl w:val="true"/>
        </w:rPr>
        <w:t>منابع مشترک</w:t>
      </w:r>
      <w:bookmarkEnd w:id="370"/>
    </w:p>
    <w:p>
      <w:pPr>
        <w:pStyle w:val="BookText"/>
        <w:rPr/>
      </w:pPr>
      <w:r>
        <w:rPr>
          <w:rFonts w:ascii="IRNazanin" w:hAnsi="IRNazanin" w:eastAsia="IRNazanin"/>
          <w:color w:val="111111"/>
          <w:sz w:val="28"/>
          <w:sz w:val="28"/>
          <w:szCs w:val="28"/>
          <w:rtl w:val="true"/>
          <w:lang w:bidi="fa-IR"/>
        </w:rPr>
        <w:t>با توجه به اینکه منابع اجتهاد در فقه شیعه عبارت است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سنت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 و فعل و تقریر معصوم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اجماع کاشف از قول معصوم، و عقل، ازاینرو، منابع مشترک فقه مذاهب اهل‌سنت و شیعه عبارت است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و سنّت و اجماع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تفاوتی که هست، در شیوه برداشت از قرآن و در محدودۀ سنت و در نحوۀ حجّیت اجماع در استنباط احکام است</w:t>
      </w:r>
      <w:r>
        <w:rPr>
          <w:rFonts w:eastAsia="IRNazanin" w:cs="IRNazanin"/>
          <w:color w:val="111111"/>
          <w:sz w:val="28"/>
          <w:szCs w:val="28"/>
          <w:rtl w:val="true"/>
          <w:lang w:bidi="fa-IR"/>
        </w:rPr>
        <w:t>.</w:t>
      </w:r>
    </w:p>
    <w:p>
      <w:pPr>
        <w:pStyle w:val="Heading4"/>
        <w:numPr>
          <w:ilvl w:val="3"/>
          <w:numId w:val="1"/>
        </w:numPr>
        <w:rPr/>
      </w:pPr>
      <w:bookmarkStart w:id="371" w:name="__RefHeading___Toc1510359_2281741623"/>
      <w:bookmarkStart w:id="372" w:name="_Toc141"/>
      <w:bookmarkEnd w:id="371"/>
      <w:r>
        <w:rPr>
          <w:rtl w:val="true"/>
        </w:rPr>
        <w:t>منابع اختصاصی فقه اهل سنت</w:t>
      </w:r>
      <w:bookmarkEnd w:id="372"/>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فقه حنفی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منابع اجتهاد در این مذهب عبارت است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سنت متواتره، اقوال صحابه، اجماع صحابه، قیاس، استحسان و نظر عرف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فقه مالکی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منابع اجتهاد در این مذهب عبارت است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سنت، اجماع اهل مدینه، مصالح مرسله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نوعی قیاس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قول صحابی غیرمستند به رأی و قیاس منصوص العلة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فقه شافعی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منابع اجتهاد در این مذهب عبارت است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سنت، اجماع، قیاس مستنبط‌العلة، قیاس تشبیه و تمثیل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فقه حنبلی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منابع اجتهاد در این مذهب عبارت است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سنت، قیاس منصوص العلة، قیاس تشبیه و تمثیل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صورت ضرورت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فتاوای صحابه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صورتی که مخالف با کتاب و سنت و حتی مخالف حدیث مرسل و ضعیف نباشد</w:t>
      </w:r>
      <w:r>
        <w:rPr>
          <w:rFonts w:eastAsia="IRNazanin" w:cs="IRNazanin"/>
          <w:color w:val="111111"/>
          <w:sz w:val="28"/>
          <w:szCs w:val="28"/>
          <w:rtl w:val="true"/>
          <w:lang w:bidi="fa-IR"/>
        </w:rPr>
        <w:t>).</w:t>
      </w:r>
      <w:r>
        <w:rPr>
          <w:rStyle w:val="FootnoteAnchor"/>
          <w:rtl w:val="true"/>
        </w:rPr>
        <w:footnoteReference w:id="317"/>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بنابراین، منابع اختصاصی استنباط احکام در فقه اهل‌سنت که از آنها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منابع فرعی فقه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یاد می شود، عبارت است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قیاس، استحسان، استصلاح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مصالح مرسله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سدّ و فتح ذرائع، عرف، شریعت سلف و مذهب صحابی</w:t>
      </w:r>
      <w:r>
        <w:rPr>
          <w:rFonts w:eastAsia="IRNazanin" w:cs="IRNazanin"/>
          <w:color w:val="111111"/>
          <w:sz w:val="28"/>
          <w:szCs w:val="28"/>
          <w:rtl w:val="true"/>
          <w:lang w:bidi="fa-IR"/>
        </w:rPr>
        <w:t>.</w:t>
      </w:r>
      <w:r>
        <w:rPr>
          <w:rStyle w:val="FootnoteAnchor"/>
          <w:rtl w:val="true"/>
        </w:rPr>
        <w:footnoteReference w:id="318"/>
      </w:r>
      <w:bookmarkStart w:id="373" w:name="pg3848_38778"/>
    </w:p>
    <w:p>
      <w:pPr>
        <w:pStyle w:val="Heading3"/>
        <w:numPr>
          <w:ilvl w:val="2"/>
          <w:numId w:val="1"/>
        </w:numPr>
        <w:rPr/>
      </w:pPr>
      <w:bookmarkStart w:id="374" w:name="__RefHeading___Toc1510361_2281741623"/>
      <w:bookmarkStart w:id="375" w:name="_Toc142"/>
      <w:bookmarkEnd w:id="373"/>
      <w:bookmarkEnd w:id="374"/>
      <w:r>
        <w:rPr>
          <w:rtl w:val="true"/>
        </w:rPr>
        <w:t>دو</w:t>
      </w:r>
      <w:r>
        <w:rPr>
          <w:rtl w:val="true"/>
        </w:rPr>
        <w:t xml:space="preserve">: </w:t>
      </w:r>
      <w:r>
        <w:rPr>
          <w:rtl w:val="true"/>
        </w:rPr>
        <w:t>مهم ترین منابع فقهی مذاهب</w:t>
      </w:r>
      <w:bookmarkEnd w:id="375"/>
    </w:p>
    <w:p>
      <w:pPr>
        <w:pStyle w:val="Heading4"/>
        <w:numPr>
          <w:ilvl w:val="3"/>
          <w:numId w:val="1"/>
        </w:numPr>
        <w:rPr/>
      </w:pPr>
      <w:bookmarkStart w:id="376" w:name="__RefHeading___Toc1510363_2281741623"/>
      <w:bookmarkStart w:id="377" w:name="_Toc143"/>
      <w:bookmarkEnd w:id="376"/>
      <w:r>
        <w:rPr>
          <w:rtl w:val="true"/>
        </w:rPr>
        <w:t>مذهب حنفی</w:t>
      </w:r>
      <w:bookmarkEnd w:id="377"/>
    </w:p>
    <w:p>
      <w:pPr>
        <w:pStyle w:val="BookText"/>
        <w:rPr/>
      </w:pPr>
      <w:r>
        <w:rPr>
          <w:rFonts w:ascii="IRNazanin" w:hAnsi="IRNazanin" w:eastAsia="IRNazanin"/>
          <w:color w:val="111111"/>
          <w:sz w:val="28"/>
          <w:sz w:val="28"/>
          <w:szCs w:val="28"/>
          <w:rtl w:val="true"/>
          <w:lang w:bidi="fa-IR"/>
        </w:rPr>
        <w:t>در مذهب حنفی کتاب‌های محمد بن حسن شیبانی، منبع اصلی و اولیه فقه حنفی به شمار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مهم‌ترین آنها، شش کتاب است که به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ظاهرالروایه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وصف این شش کتاب گفته‌اند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تؤخذ بما فیها و لایرجّح علیها غیرها إلاّ بترجیح خاص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شش کتاب عبارت است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المبسوط، الجامع الکبیر، الجامع الصغیر، کتاب السیر الکبیر، کتاب السیر الصغیر و کتاب الزیادات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افزون بر کتاب‌های محمدبن حسن شیبانی، برخی دیگر از منابع معتبر حنفیه عبارت است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المختصر المعروف به الکتاب، نوشته احمد بن محمد القدوری البغدادی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بدائع الصنائع، نوشته علاءالدین بن مسعود کاشانی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الهدایه، نوشته علی بن ابی‌بکر عبدالجلیل المرغینانی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مختصر الوقایة، نوشته عبدالله بن مسعود الحبوبی</w:t>
      </w:r>
      <w:r>
        <w:rPr>
          <w:rFonts w:eastAsia="IRNazanin" w:cs="IRNazanin"/>
          <w:color w:val="111111"/>
          <w:sz w:val="28"/>
          <w:szCs w:val="28"/>
          <w:rtl w:val="true"/>
          <w:lang w:bidi="fa-IR"/>
        </w:rPr>
        <w:t>.</w:t>
      </w:r>
    </w:p>
    <w:p>
      <w:pPr>
        <w:pStyle w:val="Heading4"/>
        <w:numPr>
          <w:ilvl w:val="3"/>
          <w:numId w:val="1"/>
        </w:numPr>
        <w:rPr/>
      </w:pPr>
      <w:bookmarkStart w:id="378" w:name="__RefHeading___Toc1510365_2281741623"/>
      <w:bookmarkStart w:id="379" w:name="_Toc144"/>
      <w:bookmarkEnd w:id="378"/>
      <w:r>
        <w:rPr>
          <w:rtl w:val="true"/>
        </w:rPr>
        <w:t>مذهب مالکی</w:t>
      </w:r>
      <w:bookmarkEnd w:id="379"/>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المدوّنه اساس مذهب مالکی و مهم‌ترین کتاب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در مؤلف آن اختلاف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مشهور است که شاگرد مالک، سحنون بن سعید، مدوّنه را از او روایت کرده است</w:t>
      </w:r>
      <w:r>
        <w:rPr>
          <w:rFonts w:eastAsia="IRNazanin" w:cs="IRNazanin"/>
          <w:color w:val="111111"/>
          <w:sz w:val="28"/>
          <w:szCs w:val="28"/>
          <w:rtl w:val="true"/>
          <w:lang w:bidi="fa-IR"/>
        </w:rPr>
        <w:t>.</w:t>
      </w:r>
      <w:bookmarkStart w:id="380" w:name="pg3848_38779"/>
    </w:p>
    <w:p>
      <w:pPr>
        <w:pStyle w:val="BookText"/>
        <w:rPr/>
      </w:pPr>
      <w:bookmarkEnd w:id="380"/>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الواضحه، نوشته ابن‌حبیب</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متن الرساله، نوشته عبدالله ابن ابی‌زید القیروانی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الکافی فی فقه اهل المدینه، نوشته یوسف بن عبدالله النمری القرطبی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بدایة المجتهد و نهایة المقتصد، نوشته محمد بن احمد بن رشد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مختصر الخلیل، نوشته خلیل بن اسحاق الجندی</w:t>
      </w:r>
      <w:r>
        <w:rPr>
          <w:rFonts w:eastAsia="IRNazanin" w:cs="IRNazanin"/>
          <w:color w:val="111111"/>
          <w:sz w:val="28"/>
          <w:szCs w:val="28"/>
          <w:rtl w:val="true"/>
          <w:lang w:bidi="fa-IR"/>
        </w:rPr>
        <w:t>.</w:t>
      </w:r>
    </w:p>
    <w:p>
      <w:pPr>
        <w:pStyle w:val="Heading4"/>
        <w:numPr>
          <w:ilvl w:val="3"/>
          <w:numId w:val="1"/>
        </w:numPr>
        <w:rPr/>
      </w:pPr>
      <w:bookmarkStart w:id="381" w:name="__RefHeading___Toc1510367_2281741623"/>
      <w:bookmarkStart w:id="382" w:name="_Toc145"/>
      <w:bookmarkEnd w:id="381"/>
      <w:r>
        <w:rPr>
          <w:rtl w:val="true"/>
        </w:rPr>
        <w:t>مذهب شافعی</w:t>
      </w:r>
      <w:bookmarkEnd w:id="382"/>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الأمّ، نوشته محمد بن ادریس شافعی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مختصر المزنی، نوشته اسماعیل بن یحیی المصری المزنی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المهذّب، نوشته ابراهیم بن محمد 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متن ابی‌شجاع، نوشته احمد بن حسین بن احمد اصفهانی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منهاج الطالبین، نوشته یحیی بن شرف الحزامی النووی</w:t>
      </w:r>
      <w:r>
        <w:rPr>
          <w:rFonts w:eastAsia="IRNazanin" w:cs="IRNazanin"/>
          <w:color w:val="111111"/>
          <w:sz w:val="28"/>
          <w:szCs w:val="28"/>
          <w:rtl w:val="true"/>
          <w:lang w:bidi="fa-IR"/>
        </w:rPr>
        <w:t>.</w:t>
      </w:r>
    </w:p>
    <w:p>
      <w:pPr>
        <w:pStyle w:val="Heading4"/>
        <w:numPr>
          <w:ilvl w:val="3"/>
          <w:numId w:val="1"/>
        </w:numPr>
        <w:rPr/>
      </w:pPr>
      <w:bookmarkStart w:id="383" w:name="__RefHeading___Toc1510369_2281741623"/>
      <w:bookmarkStart w:id="384" w:name="_Toc146"/>
      <w:bookmarkEnd w:id="383"/>
      <w:r>
        <w:rPr>
          <w:rtl w:val="true"/>
        </w:rPr>
        <w:t>مذهب حنبلی</w:t>
      </w:r>
      <w:bookmarkEnd w:id="384"/>
    </w:p>
    <w:p>
      <w:pPr>
        <w:pStyle w:val="BookText"/>
        <w:rPr/>
      </w:pPr>
      <w:r>
        <w:rPr>
          <w:rFonts w:ascii="IRNazanin" w:hAnsi="IRNazanin" w:eastAsia="IRNazanin"/>
          <w:color w:val="111111"/>
          <w:sz w:val="28"/>
          <w:sz w:val="28"/>
          <w:szCs w:val="28"/>
          <w:rtl w:val="true"/>
          <w:lang w:bidi="fa-IR"/>
        </w:rPr>
        <w:t>به جز مسند احمد بن حنبل که اصل اولیه این مذهب است، مهم‌ترین منابع فقهی حنبلی عبارت است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مختصر الخرقی، نوشته عمر بن حسین بن عبدالله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 الخرقی، نوشته قاضی ابی یعلی محمد بن حسین بن فرّاء</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رؤوس المسائل، نوشته عبدالخالق بن عیسی بن احمد هاشمی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عمدة الفقه، نوشته عبدالله بن احمد بن قدامه</w:t>
      </w:r>
      <w:r>
        <w:rPr>
          <w:rFonts w:eastAsia="Amiri" w:cs="Amiri" w:ascii="Amiri" w:hAnsi="Amiri"/>
          <w:color w:val="111111"/>
          <w:sz w:val="28"/>
          <w:szCs w:val="28"/>
          <w:rtl w:val="true"/>
          <w:lang w:bidi="ar-SA"/>
        </w:rPr>
        <w:t xml:space="preserve">. </w:t>
      </w:r>
      <w:bookmarkStart w:id="385" w:name="pg3848_38780"/>
    </w:p>
    <w:p>
      <w:pPr>
        <w:pStyle w:val="BookText"/>
        <w:rPr/>
      </w:pPr>
      <w:bookmarkEnd w:id="385"/>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المقنع، نوشته عبدالله بن احمد بن قدامه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الکافی فی فقه ابن‌حنبل، نوشته عبدالله بن احمد بن قدامه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المغنی، نوشته عبدالله بن احمد بن قدامه</w:t>
      </w:r>
      <w:r>
        <w:rPr>
          <w:rFonts w:eastAsia="IRNazanin" w:cs="IRNazanin"/>
          <w:color w:val="111111"/>
          <w:sz w:val="28"/>
          <w:szCs w:val="28"/>
          <w:rtl w:val="true"/>
          <w:lang w:bidi="fa-IR"/>
        </w:rPr>
        <w:t>.</w:t>
      </w:r>
      <w:r>
        <w:rPr>
          <w:rStyle w:val="FootnoteAnchor"/>
          <w:rtl w:val="true"/>
        </w:rPr>
        <w:footnoteReference w:id="319"/>
      </w:r>
    </w:p>
    <w:p>
      <w:pPr>
        <w:pStyle w:val="BookText"/>
        <w:rPr/>
      </w:pPr>
      <w:r>
        <w:rPr>
          <w:rFonts w:ascii="IRNazanin" w:hAnsi="IRNazanin" w:eastAsia="IRNazanin"/>
          <w:color w:val="111111"/>
          <w:sz w:val="28"/>
          <w:sz w:val="28"/>
          <w:szCs w:val="28"/>
          <w:rtl w:val="true"/>
          <w:lang w:bidi="fa-IR"/>
        </w:rPr>
        <w:t>یادآوری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آگاهی بیشتر از این کتاب‌ها، به کتاب کتاب‌شناسی تفصیلی مذاهب اسلامی، نوشته حجت‌الاسلام والمسلمین محمدرضا ضمیری مراجعه کنید</w:t>
      </w:r>
      <w:r>
        <w:rPr>
          <w:rFonts w:eastAsia="IRNazanin" w:cs="IRNazanin"/>
          <w:color w:val="111111"/>
          <w:sz w:val="28"/>
          <w:szCs w:val="28"/>
          <w:rtl w:val="true"/>
          <w:lang w:bidi="fa-IR"/>
        </w:rPr>
        <w:t>.</w:t>
      </w:r>
    </w:p>
    <w:p>
      <w:pPr>
        <w:pStyle w:val="Heading3"/>
        <w:numPr>
          <w:ilvl w:val="2"/>
          <w:numId w:val="1"/>
        </w:numPr>
        <w:rPr/>
      </w:pPr>
      <w:bookmarkStart w:id="386" w:name="__RefHeading___Toc1510371_2281741623"/>
      <w:bookmarkStart w:id="387" w:name="_Toc147"/>
      <w:bookmarkEnd w:id="386"/>
      <w:r>
        <w:rPr>
          <w:rtl w:val="true"/>
        </w:rPr>
        <w:t>سه</w:t>
      </w:r>
      <w:r>
        <w:rPr>
          <w:rtl w:val="true"/>
        </w:rPr>
        <w:t xml:space="preserve">: </w:t>
      </w:r>
      <w:r>
        <w:rPr>
          <w:rtl w:val="true"/>
        </w:rPr>
        <w:t>کتاب شناسی فقه مقارن</w:t>
      </w:r>
      <w:bookmarkEnd w:id="387"/>
    </w:p>
    <w:p>
      <w:pPr>
        <w:pStyle w:val="Heading4"/>
        <w:numPr>
          <w:ilvl w:val="3"/>
          <w:numId w:val="1"/>
        </w:numPr>
        <w:rPr/>
      </w:pPr>
      <w:bookmarkStart w:id="388" w:name="__RefHeading___Toc1510373_2281741623"/>
      <w:bookmarkStart w:id="389" w:name="_Toc148"/>
      <w:bookmarkEnd w:id="388"/>
      <w:r>
        <w:rPr>
          <w:rtl w:val="true"/>
        </w:rPr>
        <w:t>اشاره</w:t>
      </w:r>
      <w:bookmarkEnd w:id="389"/>
    </w:p>
    <w:p>
      <w:pPr>
        <w:pStyle w:val="BookText"/>
        <w:rPr/>
      </w:pPr>
      <w:r>
        <w:rPr>
          <w:rFonts w:ascii="IRNazanin" w:hAnsi="IRNazanin" w:eastAsia="IRNazanin"/>
          <w:color w:val="111111"/>
          <w:sz w:val="28"/>
          <w:sz w:val="28"/>
          <w:szCs w:val="28"/>
          <w:rtl w:val="true"/>
          <w:lang w:bidi="fa-IR"/>
        </w:rPr>
        <w:t>در طول تاریخ فقه، کتاب‌های ارزشمندی در فقه مقارن تدوین شده که اسامی تعدادی از آنها را ذکر می‌کنیم</w:t>
      </w:r>
      <w:r>
        <w:rPr>
          <w:rFonts w:eastAsia="IRNazanin" w:cs="IRNazanin"/>
          <w:color w:val="111111"/>
          <w:sz w:val="28"/>
          <w:szCs w:val="28"/>
          <w:rtl w:val="true"/>
          <w:lang w:bidi="fa-IR"/>
        </w:rPr>
        <w:t>:</w:t>
      </w:r>
    </w:p>
    <w:p>
      <w:pPr>
        <w:pStyle w:val="Heading4"/>
        <w:numPr>
          <w:ilvl w:val="3"/>
          <w:numId w:val="1"/>
        </w:numPr>
        <w:rPr/>
      </w:pPr>
      <w:bookmarkStart w:id="390" w:name="__RefHeading___Toc1510375_2281741623"/>
      <w:bookmarkStart w:id="391" w:name="_Toc149"/>
      <w:bookmarkEnd w:id="390"/>
      <w:r>
        <w:rPr>
          <w:rtl w:val="true"/>
        </w:rPr>
        <w:t>الف</w:t>
      </w:r>
      <w:r>
        <w:rPr>
          <w:rtl w:val="true"/>
        </w:rPr>
        <w:t xml:space="preserve">) </w:t>
      </w:r>
      <w:r>
        <w:rPr>
          <w:rtl w:val="true"/>
        </w:rPr>
        <w:t>کتاب های شیعه در فقه مقارن</w:t>
      </w:r>
      <w:bookmarkEnd w:id="391"/>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الاعلام فیما اتفقت علیه الامامیه من الاحکام مما اتفقت العامة علی خلافهم فیه، شیخ مفید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413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الانتصار، علی بن الحسین، سید مرتضی علم‌الهدی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436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الخلاف، شیخ طوسی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460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تذکرة الفقهاء، حسن بن یوسف بن مطهر حلّی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726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منتهی المطلب فی تحقیق المذهب، حسن بن یوسف بن مطهر حلّی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726</w:t>
      </w:r>
      <w:r>
        <w:rPr>
          <w:rFonts w:eastAsia="IRNazanin" w:cs="IRNazanin"/>
          <w:color w:val="111111"/>
          <w:sz w:val="28"/>
          <w:szCs w:val="28"/>
          <w:rtl w:val="true"/>
          <w:lang w:bidi="fa-IR"/>
        </w:rPr>
        <w:t xml:space="preserve">). </w:t>
      </w:r>
      <w:bookmarkStart w:id="392" w:name="pg3848_38781"/>
    </w:p>
    <w:p>
      <w:pPr>
        <w:pStyle w:val="BookText"/>
        <w:rPr/>
      </w:pPr>
      <w:bookmarkEnd w:id="392"/>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الفقه علی المذاهب الخمسة، محمدجواد مغنیه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دروس فی الفقه المقارن، محمد ابراهیم جنّاتی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معاصر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المسائل الفقهیه، شرف‌الدین موسوی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الاعتصام بالکتاب و السنة، جعفر سبحانی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معاصر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دراسات فقهیة فی مسایل خلافیه، نجم‌الدین طبسی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معاصر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الفقه علی المذاهب الاربعة و مذهب اهل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سید محمد غروی و یاسر مازح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معاصر</w:t>
      </w:r>
      <w:r>
        <w:rPr>
          <w:rFonts w:eastAsia="IRNazanin" w:cs="IRNazanin"/>
          <w:color w:val="111111"/>
          <w:sz w:val="28"/>
          <w:szCs w:val="28"/>
          <w:rtl w:val="true"/>
          <w:lang w:bidi="fa-IR"/>
        </w:rPr>
        <w:t>).</w:t>
      </w:r>
    </w:p>
    <w:p>
      <w:pPr>
        <w:pStyle w:val="Heading4"/>
        <w:numPr>
          <w:ilvl w:val="3"/>
          <w:numId w:val="1"/>
        </w:numPr>
        <w:rPr/>
      </w:pPr>
      <w:bookmarkStart w:id="393" w:name="__RefHeading___Toc1510377_2281741623"/>
      <w:bookmarkStart w:id="394" w:name="_Toc150"/>
      <w:bookmarkEnd w:id="393"/>
      <w:r>
        <w:rPr>
          <w:rtl w:val="true"/>
        </w:rPr>
        <w:t>ب</w:t>
      </w:r>
      <w:r>
        <w:rPr>
          <w:rtl w:val="true"/>
        </w:rPr>
        <w:t xml:space="preserve">) </w:t>
      </w:r>
      <w:r>
        <w:rPr>
          <w:rtl w:val="true"/>
        </w:rPr>
        <w:t>کتاب های اهل سنت در فقه مقارن</w:t>
      </w:r>
      <w:bookmarkEnd w:id="394"/>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اختلاف الفقهاء، ابوجعفر محمد بن جریر طبری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310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اختلاف الفقهاء، ابوجعفر طحاوی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321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التجرید، قدوری حنفی </w:t>
      </w:r>
      <w:r>
        <w:rPr>
          <w:rFonts w:eastAsia="IRNazanin" w:cs="IRNazanin"/>
          <w:color w:val="111111"/>
          <w:sz w:val="28"/>
          <w:szCs w:val="28"/>
          <w:rtl w:val="true"/>
          <w:lang w:bidi="fa-IR"/>
        </w:rPr>
        <w:t>(</w:t>
      </w:r>
      <w:r>
        <w:rPr>
          <w:rFonts w:eastAsia="IRNazanin" w:cs="IRNazanin"/>
          <w:color w:val="111111"/>
          <w:sz w:val="28"/>
          <w:szCs w:val="28"/>
          <w:lang w:bidi="fa-IR"/>
        </w:rPr>
        <w:t>428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تأسیس النظر، ابوزید دبوسی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430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الخلافیات، بیهقی شافعی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458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الافصاح عن معانی الصحاح، یحیی بن محمد بن هبیره الدوری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560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الوسائل فی فروق المسائل، ابن جماعة شافعی </w:t>
      </w:r>
      <w:r>
        <w:rPr>
          <w:rFonts w:eastAsia="IRNazanin" w:cs="IRNazanin"/>
          <w:color w:val="111111"/>
          <w:sz w:val="28"/>
          <w:szCs w:val="28"/>
          <w:rtl w:val="true"/>
          <w:lang w:bidi="fa-IR"/>
        </w:rPr>
        <w:t>(</w:t>
      </w:r>
      <w:r>
        <w:rPr>
          <w:rFonts w:eastAsia="IRNazanin" w:cs="IRNazanin"/>
          <w:color w:val="111111"/>
          <w:sz w:val="28"/>
          <w:szCs w:val="28"/>
          <w:lang w:bidi="fa-IR"/>
        </w:rPr>
        <w:t>480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مختصر الکفایة، عبدری شافعی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493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تحفة الفقهاء، علاءالدین سمرقندی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539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الردّ علی سیر الاوزاعی، ابویوسف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182</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الحجة علی اهل المدینه، ابوعبداللّه محمد بن الحسن الشیبانی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189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المجموع شرح المهذب، نووی شافعی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676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حلیة العلماء فی اختلاف الفقهاء، ابوبکر محمد بن احمد شاشی شافعی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507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الطریقة الرضویه، رضی‌الدین السرخسی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544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مختلف الروایة، علاءالدین محمد بن عبدالحمید حنفی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554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الاشراف علی مذاهب الاشراف، ابن هبیرة الحنبلی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555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lang w:bidi="fa-IR"/>
        </w:rPr>
        <w:t>560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تقویم النظر، الدهان الشافعی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589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المنظومة، نسفی حنفی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537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الذخیرة، احمد بن ادریس قرافی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682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رحمة الامة فی اختلاف الائمه، ابوعبداللّه محمد بن عبدالرحمن دمشقی شافعی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قرن هشتم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البحر الذخار الجامع لمذاهب علماء الامصار، احمد بن یحیی بن مرتضی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840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السیل الجرار المتدفق علی حدائق الازهار، محمد بن علی بن محمد شوکانی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1250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الفقه علی المذاهب الاربعة، عبدالرحمن الجزیری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1360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الفقه الاسلامی و أدلته، وهبة الزحیلی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معاصر</w:t>
      </w:r>
      <w:r>
        <w:rPr>
          <w:rFonts w:eastAsia="IRNazanin" w:cs="IRNazanin"/>
          <w:color w:val="111111"/>
          <w:sz w:val="28"/>
          <w:szCs w:val="28"/>
          <w:rtl w:val="true"/>
          <w:lang w:bidi="fa-IR"/>
        </w:rPr>
        <w:t xml:space="preserve">). </w:t>
      </w:r>
      <w:bookmarkStart w:id="395" w:name="pg3848_38783"/>
    </w:p>
    <w:p>
      <w:pPr>
        <w:pStyle w:val="BookText"/>
        <w:rPr/>
      </w:pPr>
      <w:bookmarkEnd w:id="395"/>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الفقه المقارن، حسن احمد الخطیب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معاصر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اختلاف الفقهاء و القضایا المتعلقه به فی الفقه الاسلامی المقارن، احمد محمد الحصری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معاصر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بدایة المجتهد و نهایة المقتصد، ابن رشد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595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المحلی، علی بن احمد بن حزم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456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طریقه الخلاف بین الاسلاف، علاءالدین محمد بن عبدالحمید سمرقندی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552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موسوعة الفقه الاسلامی، مجلس الاعلی</w:t>
      </w:r>
      <w:r>
        <w:rPr>
          <w:rFonts w:eastAsia="IRNazanin" w:cs="IRNazanin"/>
          <w:color w:val="111111"/>
          <w:sz w:val="28"/>
          <w:szCs w:val="28"/>
          <w:rtl w:val="true"/>
          <w:lang w:bidi="fa-IR"/>
        </w:rPr>
        <w:t>.</w:t>
      </w:r>
      <w:r>
        <w:rPr>
          <w:rStyle w:val="FootnoteAnchor"/>
          <w:rtl w:val="true"/>
        </w:rPr>
        <w:footnoteReference w:id="320"/>
      </w:r>
    </w:p>
    <w:p>
      <w:pPr>
        <w:pStyle w:val="Heading4"/>
        <w:numPr>
          <w:ilvl w:val="3"/>
          <w:numId w:val="1"/>
        </w:numPr>
        <w:rPr/>
      </w:pPr>
      <w:bookmarkStart w:id="396" w:name="__RefHeading___Toc1510379_2281741623"/>
      <w:bookmarkStart w:id="397" w:name="_Toc151"/>
      <w:bookmarkEnd w:id="396"/>
      <w:r>
        <w:rPr>
          <w:rtl w:val="true"/>
        </w:rPr>
        <w:t>ج</w:t>
      </w:r>
      <w:r>
        <w:rPr>
          <w:rtl w:val="true"/>
        </w:rPr>
        <w:t xml:space="preserve">) </w:t>
      </w:r>
      <w:r>
        <w:rPr>
          <w:rtl w:val="true"/>
        </w:rPr>
        <w:t>کتاب های فارسی</w:t>
      </w:r>
      <w:bookmarkEnd w:id="397"/>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برگزیده سیمای عقاید شیعه، آیت‌الله شیخ جعفر سبحانی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تشیع در تسنن، آیت‌الله سید محمدرضا مدرسی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سنت و بدعت در اذان از دیدگاه روایات و فقه اهل تسنن، سیدمحمدرضا مدرسی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راهنمای حقیقت، آیت‌الله شیخ جعفر سبحانی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درس‌نامه فقه مقارن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پاسخ به شبهات فقهی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محمدرضا ضمیری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فقه مقارن، علی‌اصغر رضوانی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درآمدی بر فقه مقارن، مصطفی جعفرپیشه فرد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نیز نگاه کنید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وضوء النبی صلی الله علیه و آله ، سید‌علی شهرستانی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المسح فی وضوء الرسول، محمد الحسن الآمدی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رسائل فقهیه، علامه شرف الدین عاملی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الجمع بین الصلاتین، نجم الدین عسکری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الانصاف فی مسائِلَ دامَ فیها الخلاف، آیت‌الله شیخ جعفر سبحانی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نهج الحق و کشف الصدق، علامه حلی، مسأله </w:t>
      </w:r>
      <w:r>
        <w:rPr>
          <w:rFonts w:eastAsia="IRNazanin" w:cs="IRNazanin"/>
          <w:color w:val="111111"/>
          <w:sz w:val="28"/>
          <w:szCs w:val="28"/>
          <w:lang w:bidi="fa-IR"/>
        </w:rPr>
        <w:t>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القطوف الدانیة فی المسائل الثمانیة، السید عبدالمحسن علاوی العبدالله الحسینی السراوی</w:t>
      </w:r>
      <w:r>
        <w:rPr>
          <w:rFonts w:eastAsia="IRNazanin" w:cs="IRNazanin"/>
          <w:color w:val="111111"/>
          <w:sz w:val="28"/>
          <w:szCs w:val="28"/>
          <w:rtl w:val="true"/>
          <w:lang w:bidi="fa-IR"/>
        </w:rPr>
        <w:t xml:space="preserve">. </w:t>
      </w:r>
      <w:bookmarkStart w:id="398" w:name="pg3848_38785"/>
    </w:p>
    <w:p>
      <w:pPr>
        <w:pStyle w:val="Heading2"/>
        <w:numPr>
          <w:ilvl w:val="1"/>
          <w:numId w:val="1"/>
        </w:numPr>
        <w:rPr/>
      </w:pPr>
      <w:bookmarkStart w:id="399" w:name="__RefHeading___Toc1510381_2281741623"/>
      <w:bookmarkStart w:id="400" w:name="_Toc152"/>
      <w:bookmarkEnd w:id="398"/>
      <w:bookmarkEnd w:id="399"/>
      <w:r>
        <w:rPr>
          <w:rtl w:val="true"/>
        </w:rPr>
        <w:t>کتابنامه</w:t>
      </w:r>
      <w:bookmarkEnd w:id="400"/>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قرآن کریم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نجفی، محمدحسن، جواهرالکلام فی شرح شرائع الاسلام،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دارالکتب الاسلامیه، چاپ دوم، </w:t>
      </w:r>
      <w:r>
        <w:rPr>
          <w:rFonts w:eastAsia="IRNazanin" w:cs="IRNazanin"/>
          <w:color w:val="111111"/>
          <w:sz w:val="28"/>
          <w:szCs w:val="28"/>
          <w:lang w:bidi="fa-IR"/>
        </w:rPr>
        <w:t>1365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شیخ صدوق، من لا یحضره الفقیه، تحقیق علیاکبر غفاری،قم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جامعه مدرسین، چاپ دوم، </w:t>
      </w:r>
      <w:r>
        <w:rPr>
          <w:rFonts w:eastAsia="IRNazanin" w:cs="IRNazanin"/>
          <w:color w:val="111111"/>
          <w:sz w:val="28"/>
          <w:szCs w:val="28"/>
          <w:lang w:bidi="fa-IR"/>
        </w:rPr>
        <w:t>1404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شیخ طوسی، تهذیب الاحکام،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دارالکتب الاسلامیة، </w:t>
      </w:r>
      <w:r>
        <w:rPr>
          <w:rFonts w:eastAsia="IRNazanin" w:cs="IRNazanin"/>
          <w:color w:val="111111"/>
          <w:sz w:val="28"/>
          <w:szCs w:val="28"/>
          <w:lang w:bidi="fa-IR"/>
        </w:rPr>
        <w:t>1365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علامه حلی، تذکرة الفقها،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مؤسسة آل البیت لاحیاء التراث، چاپ نخست،</w:t>
      </w:r>
      <w:r>
        <w:rPr>
          <w:rFonts w:eastAsia="IRNazanin" w:cs="IRNazanin"/>
          <w:color w:val="111111"/>
          <w:sz w:val="28"/>
          <w:szCs w:val="28"/>
          <w:lang w:bidi="fa-IR"/>
        </w:rPr>
        <w:t>1422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طباطبائی یزدی، سیدمحمدکاظم،العروة الوثقی،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جامعه مدرسین، چاپ نخست،</w:t>
      </w:r>
      <w:r>
        <w:rPr>
          <w:rFonts w:eastAsia="IRNazanin" w:cs="IRNazanin"/>
          <w:color w:val="111111"/>
          <w:sz w:val="28"/>
          <w:szCs w:val="28"/>
          <w:lang w:bidi="fa-IR"/>
        </w:rPr>
        <w:t>1420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شیخ طوسی، کتاب الخلاف فی الفقه،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النشر الاسلامی، </w:t>
      </w:r>
      <w:r>
        <w:rPr>
          <w:rFonts w:eastAsia="IRNazanin" w:cs="IRNazanin"/>
          <w:color w:val="111111"/>
          <w:sz w:val="28"/>
          <w:szCs w:val="28"/>
          <w:lang w:bidi="fa-IR"/>
        </w:rPr>
        <w:t>1417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محقق بحرانی، الحدائق الناضره، تحقیق محمدتقی ایروانی، قم، جامعه مدرسین، بیتا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علامه حلی، قواعد الاحکام،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مؤسسه آل البیت، بیتا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شیخ مفید، المقنعه،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جامعه مدرسین،</w:t>
      </w:r>
      <w:r>
        <w:rPr>
          <w:rFonts w:eastAsia="IRNazanin" w:cs="IRNazanin"/>
          <w:color w:val="111111"/>
          <w:sz w:val="28"/>
          <w:szCs w:val="28"/>
          <w:lang w:bidi="fa-IR"/>
        </w:rPr>
        <w:t>1410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ابنادریس، السرائر، قم، مؤسسة النشر الاسلامی، بیتا</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شیخ صدوق، عیون اخبار الرضا</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نشر اعلمی، چاپ نخست،</w:t>
      </w:r>
      <w:r>
        <w:rPr>
          <w:rFonts w:eastAsia="IRNazanin" w:cs="IRNazanin"/>
          <w:color w:val="111111"/>
          <w:sz w:val="28"/>
          <w:szCs w:val="28"/>
          <w:lang w:bidi="fa-IR"/>
        </w:rPr>
        <w:t>1404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ثقةالاسلام کلینی، الکافی، تحقیق علیاکبر غفاری، بی‌جا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الکتب الاسلامیه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آخوندی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چاپ چهارم، </w:t>
      </w:r>
      <w:r>
        <w:rPr>
          <w:rFonts w:eastAsia="IRNazanin" w:cs="IRNazanin"/>
          <w:color w:val="111111"/>
          <w:sz w:val="28"/>
          <w:szCs w:val="28"/>
          <w:lang w:bidi="fa-IR"/>
        </w:rPr>
        <w:t>1365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شیخ حرّ عاملی، تفصیل وسائل الشیعه،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نشر آل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چاپ دوم، </w:t>
      </w:r>
      <w:r>
        <w:rPr>
          <w:rFonts w:eastAsia="IRNazanin" w:cs="IRNazanin"/>
          <w:color w:val="111111"/>
          <w:sz w:val="28"/>
          <w:szCs w:val="28"/>
          <w:lang w:bidi="fa-IR"/>
        </w:rPr>
        <w:t>1414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علامه شرف الدین، المسائل الفقهیه، تهران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سازمان تبلیغات اسلامی، </w:t>
      </w:r>
      <w:r>
        <w:rPr>
          <w:rFonts w:eastAsia="IRNazanin" w:cs="IRNazanin"/>
          <w:color w:val="111111"/>
          <w:sz w:val="28"/>
          <w:szCs w:val="28"/>
          <w:lang w:bidi="fa-IR"/>
        </w:rPr>
        <w:t>1407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محقق نوری طبرسی، مستدرک الوسائل و مستنبط المسائل، بیجا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نشر آل البیت، چاپ نخست،</w:t>
      </w:r>
      <w:r>
        <w:rPr>
          <w:rFonts w:eastAsia="IRNazanin" w:cs="IRNazanin"/>
          <w:color w:val="111111"/>
          <w:sz w:val="28"/>
          <w:szCs w:val="28"/>
          <w:lang w:bidi="fa-IR"/>
        </w:rPr>
        <w:t>1408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علامه مجلسی،بحارالانوار،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مؤسسه وفاء، چاپ دوم، </w:t>
      </w:r>
      <w:r>
        <w:rPr>
          <w:rFonts w:eastAsia="IRNazanin" w:cs="IRNazanin"/>
          <w:color w:val="111111"/>
          <w:sz w:val="28"/>
          <w:szCs w:val="28"/>
          <w:lang w:bidi="fa-IR"/>
        </w:rPr>
        <w:t>1403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نمازی شاهرودی، علی، مستدرک سفینة البحار،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جامعه مدرسین، </w:t>
      </w:r>
      <w:r>
        <w:rPr>
          <w:rFonts w:eastAsia="IRNazanin" w:cs="IRNazanin"/>
          <w:color w:val="111111"/>
          <w:sz w:val="28"/>
          <w:szCs w:val="28"/>
          <w:lang w:bidi="fa-IR"/>
        </w:rPr>
        <w:t>1419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شیخ طوسی، المبسوط،بیجا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المکتبه المرتضویه، </w:t>
      </w:r>
      <w:r>
        <w:rPr>
          <w:rFonts w:eastAsia="IRNazanin" w:cs="IRNazanin"/>
          <w:color w:val="111111"/>
          <w:sz w:val="28"/>
          <w:szCs w:val="28"/>
          <w:lang w:bidi="fa-IR"/>
        </w:rPr>
        <w:t>1351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مجلسی، محمدتقی،روضة المتقین،بی‌جا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بنیاد فرهنگ اسلامی، </w:t>
      </w:r>
      <w:r>
        <w:rPr>
          <w:rFonts w:eastAsia="IRNazanin" w:cs="IRNazanin"/>
          <w:color w:val="111111"/>
          <w:sz w:val="28"/>
          <w:szCs w:val="28"/>
          <w:lang w:bidi="fa-IR"/>
        </w:rPr>
        <w:t>1413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علامه حلّی، منتهی المطلب، تبریز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نشر حاج احمد،</w:t>
      </w:r>
      <w:r>
        <w:rPr>
          <w:rFonts w:eastAsia="IRNazanin" w:cs="IRNazanin"/>
          <w:color w:val="111111"/>
          <w:sz w:val="28"/>
          <w:szCs w:val="28"/>
          <w:lang w:bidi="fa-IR"/>
        </w:rPr>
        <w:t>1333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شیخ صدوق، علل الشرایع، نجف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نشر حیدریه، </w:t>
      </w:r>
      <w:r>
        <w:rPr>
          <w:rFonts w:eastAsia="IRNazanin" w:cs="IRNazanin"/>
          <w:color w:val="111111"/>
          <w:sz w:val="28"/>
          <w:szCs w:val="28"/>
          <w:lang w:bidi="fa-IR"/>
        </w:rPr>
        <w:t>1386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شیخ صدوق، المقنع،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نشر مؤسسه امام هادی</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1415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بخاری، محمد بن اسماعیل،صحیح البخاری،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دارالفکر، بی‌تا</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قزوینی، محمد بن یزید،سنن ابن‌ماجه،بیروت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دارالفکر، بی‌تا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بیهقی، احمد بن حسین،السنن الکبری،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دارالفکر، بی‌تا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ترمذی، محمد بن عیسی،سنن الترمذی،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دارالفکر، </w:t>
      </w:r>
      <w:r>
        <w:rPr>
          <w:rFonts w:eastAsia="IRNazanin" w:cs="IRNazanin"/>
          <w:color w:val="111111"/>
          <w:sz w:val="28"/>
          <w:szCs w:val="28"/>
          <w:lang w:bidi="fa-IR"/>
        </w:rPr>
        <w:t>1403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سنن دارمی، دمشق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نشر اعتدال، بیتا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نسائی، احمد بن شعیب،سنن النسائی،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دارالفکر، </w:t>
      </w:r>
      <w:r>
        <w:rPr>
          <w:rFonts w:eastAsia="IRNazanin" w:cs="IRNazanin"/>
          <w:color w:val="111111"/>
          <w:sz w:val="28"/>
          <w:szCs w:val="28"/>
          <w:lang w:bidi="fa-IR"/>
        </w:rPr>
        <w:t>1348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 بن عمر، سنن دار قطنی، بیروت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دارالفکر، </w:t>
      </w:r>
      <w:r>
        <w:rPr>
          <w:rFonts w:eastAsia="IRNazanin" w:cs="IRNazanin"/>
          <w:color w:val="111111"/>
          <w:sz w:val="28"/>
          <w:szCs w:val="28"/>
          <w:lang w:bidi="fa-IR"/>
        </w:rPr>
        <w:t>1414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ابن‌حبان، محمدبن احمد،صحیح ابن‌حبان،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دارالکتب العلمیه، </w:t>
      </w:r>
      <w:r>
        <w:rPr>
          <w:rFonts w:eastAsia="IRNazanin" w:cs="IRNazanin"/>
          <w:color w:val="111111"/>
          <w:sz w:val="28"/>
          <w:szCs w:val="28"/>
          <w:lang w:bidi="fa-IR"/>
        </w:rPr>
        <w:t>1407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دسوقی، محمد بن احمد،حاشیة الدسوقی، بی‌جا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إحیاء الکتب العربیة، بی‌تا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ابن‌اثیر، اسدالغابة،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دارالفکر، بی‌تا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بلاذری، انساب الاشراف،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دارالفکر، چاپ نخست، </w:t>
      </w:r>
      <w:r>
        <w:rPr>
          <w:rFonts w:eastAsia="IRNazanin" w:cs="IRNazanin"/>
          <w:color w:val="111111"/>
          <w:sz w:val="28"/>
          <w:szCs w:val="28"/>
          <w:lang w:bidi="fa-IR"/>
        </w:rPr>
        <w:t>1417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حاکم نیشابوری، المستدرک،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دارالمعرفة،</w:t>
      </w:r>
      <w:r>
        <w:rPr>
          <w:rFonts w:eastAsia="IRNazanin" w:cs="IRNazanin"/>
          <w:color w:val="111111"/>
          <w:sz w:val="28"/>
          <w:szCs w:val="28"/>
          <w:lang w:bidi="fa-IR"/>
        </w:rPr>
        <w:t>1406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متقی هندی، کنز العمال فی سنن الاقوال و الافعال،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مؤسسة الرسالة،</w:t>
      </w:r>
      <w:r>
        <w:rPr>
          <w:rFonts w:eastAsia="IRNazanin" w:cs="IRNazanin"/>
          <w:color w:val="111111"/>
          <w:sz w:val="28"/>
          <w:szCs w:val="28"/>
          <w:lang w:bidi="fa-IR"/>
        </w:rPr>
        <w:t>1409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انصاری قرطبی، محمد بن احمد، الجامع لاحکام القران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قرطبی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بی‌نا، چاپ دوم، </w:t>
      </w:r>
      <w:r>
        <w:rPr>
          <w:rFonts w:eastAsia="IRNazanin" w:cs="IRNazanin"/>
          <w:color w:val="111111"/>
          <w:sz w:val="28"/>
          <w:szCs w:val="28"/>
          <w:lang w:bidi="fa-IR"/>
        </w:rPr>
        <w:t>1405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شوکانی، محمد بن علی، نیل الأوطار من احادیث سید الأخبار،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دارالجلیل، بی‌تا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احمد بن حنبل، مسند احمد،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صادر، بی‌تا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40</w:t>
      </w:r>
      <w:r>
        <w:rPr>
          <w:rFonts w:eastAsia="Times New Roman" w:cs="Times New Roman" w:ascii="Times New Roman" w:hAnsi="Times New Roman"/>
          <w:color w:val="111111"/>
          <w:sz w:val="28"/>
          <w:szCs w:val="28"/>
          <w:rtl w:val="true"/>
          <w:lang w:val="en-US" w:bidi="en-US"/>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شافعی، محمد بن ادریس، المسند،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دارالکتب العلمیة،بی‌تا</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41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عسکری، ابوهلال، الفروق اللغویه،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نشر جامعه مدرسین، چاپ نخست، </w:t>
      </w:r>
      <w:r>
        <w:rPr>
          <w:rFonts w:eastAsia="IRNazanin" w:cs="IRNazanin"/>
          <w:color w:val="111111"/>
          <w:sz w:val="28"/>
          <w:szCs w:val="28"/>
          <w:lang w:bidi="fa-IR"/>
        </w:rPr>
        <w:t>1412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ابن‌کثیر دمشقی، اسماعیل، البدایه و النهایه،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نشر داراحیاء التراث العربی، چاپ نخست، </w:t>
      </w:r>
      <w:r>
        <w:rPr>
          <w:rFonts w:eastAsia="IRNazanin" w:cs="IRNazanin"/>
          <w:color w:val="111111"/>
          <w:sz w:val="28"/>
          <w:szCs w:val="28"/>
          <w:lang w:bidi="fa-IR"/>
        </w:rPr>
        <w:t>1408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بلاذری، انساب الاشراف،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مؤسسه اعلمی، چاپ نخست، </w:t>
      </w:r>
      <w:r>
        <w:rPr>
          <w:rFonts w:eastAsia="IRNazanin" w:cs="IRNazanin"/>
          <w:color w:val="111111"/>
          <w:sz w:val="28"/>
          <w:szCs w:val="28"/>
          <w:lang w:bidi="fa-IR"/>
        </w:rPr>
        <w:t>1394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ذهبی، میزان الاعتدال،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دارالمعرفه، چاپ نخست، </w:t>
      </w:r>
      <w:r>
        <w:rPr>
          <w:rFonts w:eastAsia="IRNazanin" w:cs="IRNazanin"/>
          <w:color w:val="111111"/>
          <w:sz w:val="28"/>
          <w:szCs w:val="28"/>
          <w:lang w:bidi="fa-IR"/>
        </w:rPr>
        <w:t>1382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نیشابوری، مسلم بن حجاج، صحیح مسلم بشرح النووی،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دارالفکر، چاپ چهارم، </w:t>
      </w:r>
      <w:r>
        <w:rPr>
          <w:rFonts w:eastAsia="IRNazanin" w:cs="IRNazanin"/>
          <w:color w:val="111111"/>
          <w:sz w:val="28"/>
          <w:szCs w:val="28"/>
          <w:lang w:bidi="fa-IR"/>
        </w:rPr>
        <w:t>1403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رازی جصّاص حنفی، ابوبکر احمد بن علی، احکام القران،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دارالکتاب العربی، بی‌نا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ابن‌حزم اندلسی، ابومحمد علی، المحلّی بالآثار،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دارالفکر، </w:t>
      </w:r>
      <w:r>
        <w:rPr>
          <w:rFonts w:eastAsia="IRNazanin" w:cs="IRNazanin"/>
          <w:color w:val="111111"/>
          <w:sz w:val="28"/>
          <w:szCs w:val="28"/>
          <w:lang w:bidi="fa-IR"/>
        </w:rPr>
        <w:t>1421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زحیلی، وهبه، الفقه الاسلامی و ادلته، دمشق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دارالفکر، </w:t>
      </w:r>
      <w:r>
        <w:rPr>
          <w:rFonts w:eastAsia="IRNazanin" w:cs="IRNazanin"/>
          <w:color w:val="111111"/>
          <w:sz w:val="28"/>
          <w:szCs w:val="28"/>
          <w:lang w:bidi="fa-IR"/>
        </w:rPr>
        <w:t>1405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علاوی، سیدعبدالمحسن و عبدالله حسینی سراوی،  القطوف الدانیة فی المسائل الثمانیة، بیجا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دارالموده، </w:t>
      </w:r>
      <w:r>
        <w:rPr>
          <w:rFonts w:eastAsia="IRNazanin" w:cs="IRNazanin"/>
          <w:color w:val="111111"/>
          <w:sz w:val="28"/>
          <w:szCs w:val="28"/>
          <w:lang w:bidi="fa-IR"/>
        </w:rPr>
        <w:t>1997</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سید مرتضی، المسائل الناصریات،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رابط الثقافه و العلاقات الاسلامیه، </w:t>
      </w:r>
      <w:r>
        <w:rPr>
          <w:rFonts w:eastAsia="IRNazanin" w:cs="IRNazanin"/>
          <w:color w:val="111111"/>
          <w:sz w:val="28"/>
          <w:szCs w:val="28"/>
          <w:lang w:bidi="fa-IR"/>
        </w:rPr>
        <w:t>1376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سبحانی، جعفر، الاعتصام بالکتاب و السنه،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مؤسسه امام صادق</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1414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52</w:t>
      </w:r>
      <w:r>
        <w:rPr>
          <w:rFonts w:eastAsia="Times New Roman" w:cs="Times New Roman" w:ascii="Times New Roman" w:hAnsi="Times New Roman"/>
          <w:color w:val="111111"/>
          <w:sz w:val="28"/>
          <w:szCs w:val="28"/>
          <w:rtl w:val="true"/>
          <w:lang w:val="en-US" w:bidi="en-US"/>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سبحانی، جعفر، حکم الارجل فی الوضوء،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مؤسسه امام صادق علیه السلام ، بیتا</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53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مرداوی، ابوالحسن علی بن سلیمان، الانصاف،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داراحیاء التراث العربی، </w:t>
      </w:r>
      <w:r>
        <w:rPr>
          <w:rFonts w:eastAsia="IRNazanin" w:cs="IRNazanin"/>
          <w:color w:val="111111"/>
          <w:sz w:val="28"/>
          <w:szCs w:val="28"/>
          <w:lang w:bidi="fa-IR"/>
        </w:rPr>
        <w:t>1406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غماری، احمد بن محمد، ازالة الخطر عمن یجمع جمع بین الصلاتین فی الحضر، مصر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دارالنشر والتالیف، </w:t>
      </w:r>
      <w:r>
        <w:rPr>
          <w:rFonts w:eastAsia="IRNazanin" w:cs="IRNazanin"/>
          <w:color w:val="111111"/>
          <w:sz w:val="28"/>
          <w:szCs w:val="28"/>
          <w:lang w:bidi="fa-IR"/>
        </w:rPr>
        <w:t>1369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سرخسی، شمس‌الدین، المبسوط،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دارالمعرفه، </w:t>
      </w:r>
      <w:r>
        <w:rPr>
          <w:rFonts w:eastAsia="IRNazanin" w:cs="IRNazanin"/>
          <w:color w:val="111111"/>
          <w:sz w:val="28"/>
          <w:szCs w:val="28"/>
          <w:lang w:bidi="fa-IR"/>
        </w:rPr>
        <w:t>1406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ابن‌منظور مصری، جمال‌الدین، لسان العرب،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ادب الحوزه، چاپ نخست، </w:t>
      </w:r>
      <w:r>
        <w:rPr>
          <w:rFonts w:eastAsia="IRNazanin" w:cs="IRNazanin"/>
          <w:color w:val="111111"/>
          <w:sz w:val="28"/>
          <w:szCs w:val="28"/>
          <w:lang w:bidi="fa-IR"/>
        </w:rPr>
        <w:t>1405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شیخ طبرسی، الاحتجاج، نجف اشرف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نشر دار النعمان، بیتا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ابن‌هشام، السیرة النّبویة،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دارالاحیاء العربی، بیتا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قندوزی، سلیمان، ینابیع الموده، بی‌جا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الاسوه، چاپ نخست، </w:t>
      </w:r>
      <w:r>
        <w:rPr>
          <w:rFonts w:eastAsia="IRNazanin" w:cs="IRNazanin"/>
          <w:color w:val="111111"/>
          <w:sz w:val="28"/>
          <w:szCs w:val="28"/>
          <w:lang w:bidi="fa-IR"/>
        </w:rPr>
        <w:t>1416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سیوطی، جلال‌الدین، الدرّ المنثور، جده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دارالمعرفه، چاپ نخست، </w:t>
      </w:r>
      <w:r>
        <w:rPr>
          <w:rFonts w:eastAsia="IRNazanin" w:cs="IRNazanin"/>
          <w:color w:val="111111"/>
          <w:sz w:val="28"/>
          <w:szCs w:val="28"/>
          <w:lang w:bidi="fa-IR"/>
        </w:rPr>
        <w:t>1365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ابن‌ابی‌الحدید، شرح نهج البلاغه، تحقیق محمد ابو الفضل ابراهیم، بی‌جا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نشر دار احیاء الکتب العلمیه، بی‌تا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صالحی شامی، محمد بن یوسف، سبل الهدی و الرشاد،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دارالکتب العلمیه، چاپ نخست، </w:t>
      </w:r>
      <w:r>
        <w:rPr>
          <w:rFonts w:eastAsia="IRNazanin" w:cs="IRNazanin"/>
          <w:color w:val="111111"/>
          <w:sz w:val="28"/>
          <w:szCs w:val="28"/>
          <w:lang w:bidi="fa-IR"/>
        </w:rPr>
        <w:t>1414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مکارم شیرازی، ناصر و دیگران، تفسیر نمونه،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دارالکتب الاسلامیه، </w:t>
      </w:r>
      <w:r>
        <w:rPr>
          <w:rFonts w:eastAsia="IRNazanin" w:cs="IRNazanin"/>
          <w:color w:val="111111"/>
          <w:sz w:val="28"/>
          <w:szCs w:val="28"/>
          <w:lang w:bidi="fa-IR"/>
        </w:rPr>
        <w:t>1353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64</w:t>
      </w:r>
      <w:r>
        <w:rPr>
          <w:rFonts w:eastAsia="Times New Roman" w:cs="Times New Roman" w:ascii="Times New Roman" w:hAnsi="Times New Roman"/>
          <w:color w:val="111111"/>
          <w:sz w:val="28"/>
          <w:szCs w:val="28"/>
          <w:rtl w:val="true"/>
          <w:lang w:val="en-US" w:bidi="en-US"/>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طبری، ابوجعفر محمد بن جریر، جامع البیان عن تأویل آی القرآن،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الفکر، </w:t>
      </w:r>
      <w:r>
        <w:rPr>
          <w:rFonts w:eastAsia="IRNazanin" w:cs="IRNazanin"/>
          <w:color w:val="111111"/>
          <w:sz w:val="28"/>
          <w:szCs w:val="28"/>
          <w:lang w:bidi="fa-IR"/>
        </w:rPr>
        <w:t>1415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65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انصاری قرطبی، ابوعبدالله محمدبن احمد، الجامع لاحکام القرآن،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دارالکتب العلمیه، </w:t>
      </w:r>
      <w:r>
        <w:rPr>
          <w:rFonts w:eastAsia="IRNazanin" w:cs="IRNazanin"/>
          <w:color w:val="111111"/>
          <w:sz w:val="28"/>
          <w:szCs w:val="28"/>
          <w:lang w:bidi="fa-IR"/>
        </w:rPr>
        <w:t>1413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مؤمن قمی سبزواری، علی، جامع الخلاف و الوفاق بین الإمامیة و بین أئمة الحجاز و العراق،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زمینهسازان ظهور امام عصر</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چاپ نخست، </w:t>
      </w:r>
      <w:r>
        <w:rPr>
          <w:rFonts w:eastAsia="IRNazanin" w:cs="IRNazanin"/>
          <w:color w:val="111111"/>
          <w:sz w:val="28"/>
          <w:szCs w:val="28"/>
          <w:lang w:bidi="fa-IR"/>
        </w:rPr>
        <w:t>1421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سلطانی، عبدالامیر، حکم التأمین فی الصلاة، بی‌جا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مجمع جهانی اهل بیت، چاپ دوم، بیتا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طباطبائی، سیدمحمدحسین، المیزان،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جامعه مدرسین، بیتا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الجزیری، عبدالرحمان، الفقه علی المذاهب الأربعه، بیروت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داراحیاء التراث العربی، بی‌تا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حکیم، سیدمحمدتقی، الاصول العامه للفقه المقارن،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المجمع العالمی لاهل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چاپ دوم، </w:t>
      </w:r>
      <w:r>
        <w:rPr>
          <w:rFonts w:eastAsia="IRNazanin" w:cs="IRNazanin"/>
          <w:color w:val="111111"/>
          <w:sz w:val="28"/>
          <w:szCs w:val="28"/>
          <w:lang w:bidi="fa-IR"/>
        </w:rPr>
        <w:t>1418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السّید سابق، فقه السنه،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دارالفکر، چاپ دوم، </w:t>
      </w:r>
      <w:r>
        <w:rPr>
          <w:rFonts w:eastAsia="IRNazanin" w:cs="IRNazanin"/>
          <w:color w:val="111111"/>
          <w:sz w:val="28"/>
          <w:szCs w:val="28"/>
          <w:lang w:bidi="fa-IR"/>
        </w:rPr>
        <w:t>1419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شافعی، محمد بن ادریس، الامّ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الفقه الشافعی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بی‌نا، چاپ نخست، </w:t>
      </w:r>
      <w:r>
        <w:rPr>
          <w:rFonts w:eastAsia="IRNazanin" w:cs="IRNazanin"/>
          <w:color w:val="111111"/>
          <w:sz w:val="28"/>
          <w:szCs w:val="28"/>
          <w:lang w:bidi="fa-IR"/>
        </w:rPr>
        <w:t>1422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طبری، محمد بن جریر، تاریخ الطبری،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الاعلمی، بیروت، چاپ پنجم، </w:t>
      </w:r>
      <w:r>
        <w:rPr>
          <w:rFonts w:eastAsia="IRNazanin" w:cs="IRNazanin"/>
          <w:color w:val="111111"/>
          <w:sz w:val="28"/>
          <w:szCs w:val="28"/>
          <w:lang w:bidi="fa-IR"/>
        </w:rPr>
        <w:t>1409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طبری، محمد بن جریر، تفسیر طبری،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نشر موسسة التاریخ العربی، </w:t>
      </w:r>
      <w:r>
        <w:rPr>
          <w:rFonts w:eastAsia="IRNazanin" w:cs="IRNazanin"/>
          <w:color w:val="111111"/>
          <w:sz w:val="28"/>
          <w:szCs w:val="28"/>
          <w:lang w:bidi="fa-IR"/>
        </w:rPr>
        <w:t>1405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زمخشری، ابوالقاسم، اساس البلاغه،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دارالمعرفه، بی‌تا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76</w:t>
      </w:r>
      <w:r>
        <w:rPr>
          <w:rFonts w:eastAsia="Times New Roman" w:cs="Times New Roman" w:ascii="Times New Roman" w:hAnsi="Times New Roman"/>
          <w:color w:val="111111"/>
          <w:sz w:val="28"/>
          <w:szCs w:val="28"/>
          <w:rtl w:val="true"/>
          <w:lang w:val="en-US" w:bidi="en-US"/>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کاشانی، علاءالدین بن مسعود، بدائع الصنائع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الفقه الحنبلی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المصادر الفقهیه، چاپ نخست، </w:t>
      </w:r>
      <w:r>
        <w:rPr>
          <w:rFonts w:eastAsia="IRNazanin" w:cs="IRNazanin"/>
          <w:color w:val="111111"/>
          <w:sz w:val="28"/>
          <w:szCs w:val="28"/>
          <w:lang w:bidi="fa-IR"/>
        </w:rPr>
        <w:t>1422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77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مغنیه، محمدجواد، الفقه علی المذاهب الخمسه،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دارالکتاب الاسلامی، چاپ نخست، </w:t>
      </w:r>
      <w:r>
        <w:rPr>
          <w:rFonts w:eastAsia="IRNazanin" w:cs="IRNazanin"/>
          <w:color w:val="111111"/>
          <w:sz w:val="28"/>
          <w:szCs w:val="28"/>
          <w:lang w:bidi="fa-IR"/>
        </w:rPr>
        <w:t>1422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مغنیه، محمدجواد، الفقه علی المذاهب الخمسه،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مؤسسه الصادق، </w:t>
      </w:r>
      <w:r>
        <w:rPr>
          <w:rFonts w:eastAsia="IRNazanin" w:cs="IRNazanin"/>
          <w:color w:val="111111"/>
          <w:sz w:val="28"/>
          <w:szCs w:val="28"/>
          <w:lang w:bidi="fa-IR"/>
        </w:rPr>
        <w:t>1377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شرف الدین، عبدالحسین، النص و الاجتهاد،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المورّخ العربی، چاپ نخست، </w:t>
      </w:r>
      <w:r>
        <w:rPr>
          <w:rFonts w:eastAsia="IRNazanin" w:cs="IRNazanin"/>
          <w:color w:val="111111"/>
          <w:sz w:val="28"/>
          <w:szCs w:val="28"/>
          <w:lang w:bidi="fa-IR"/>
        </w:rPr>
        <w:t>1427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شرف الدین، عبدالحسین، مسائل فقهیه،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مؤسسه انصاریان للطباعة و النشر، چاپ سوم، </w:t>
      </w:r>
      <w:r>
        <w:rPr>
          <w:rFonts w:eastAsia="IRNazanin" w:cs="IRNazanin"/>
          <w:color w:val="111111"/>
          <w:sz w:val="28"/>
          <w:szCs w:val="28"/>
          <w:lang w:bidi="fa-IR"/>
        </w:rPr>
        <w:t>1382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ابن‌حجر عسقلانی، الاصابه،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دارالکتب العلمیه، چاپ نخست، </w:t>
      </w:r>
      <w:r>
        <w:rPr>
          <w:rFonts w:eastAsia="IRNazanin" w:cs="IRNazanin"/>
          <w:color w:val="111111"/>
          <w:sz w:val="28"/>
          <w:szCs w:val="28"/>
          <w:lang w:bidi="fa-IR"/>
        </w:rPr>
        <w:t>1415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ابن‌سعد، الطبقات الکبری،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دارالکتب العلمیه، چاپ نخست، </w:t>
      </w:r>
      <w:r>
        <w:rPr>
          <w:rFonts w:eastAsia="IRNazanin" w:cs="IRNazanin"/>
          <w:color w:val="111111"/>
          <w:sz w:val="28"/>
          <w:szCs w:val="28"/>
          <w:lang w:bidi="fa-IR"/>
        </w:rPr>
        <w:t>1410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ابوریه، محمود، بازرگان حدیث، ترجمه محمد وحید گلپایگانی،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کتابفروشی محمدی، </w:t>
      </w:r>
      <w:r>
        <w:rPr>
          <w:rFonts w:eastAsia="IRNazanin" w:cs="IRNazanin"/>
          <w:color w:val="111111"/>
          <w:sz w:val="28"/>
          <w:szCs w:val="28"/>
          <w:lang w:bidi="fa-IR"/>
        </w:rPr>
        <w:t>1343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ابوریه، محمد، شیخ المضریه ابوهریره، مصر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دارالمعارف، </w:t>
      </w:r>
      <w:r>
        <w:rPr>
          <w:rFonts w:eastAsia="IRNazanin" w:cs="IRNazanin"/>
          <w:color w:val="111111"/>
          <w:sz w:val="28"/>
          <w:szCs w:val="28"/>
          <w:lang w:bidi="fa-IR"/>
        </w:rPr>
        <w:t>1965</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سیدروح الله، تحریرالوسیله،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مؤسسه تنظیم و نشر آثار 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چاپ نخست، </w:t>
      </w:r>
      <w:r>
        <w:rPr>
          <w:rFonts w:eastAsia="IRNazanin" w:cs="IRNazanin"/>
          <w:color w:val="111111"/>
          <w:sz w:val="28"/>
          <w:szCs w:val="28"/>
          <w:lang w:bidi="fa-IR"/>
        </w:rPr>
        <w:t>1421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ابنرشد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الحفید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محمد بن احمد، بدایة المجتهد و نهایة المقتصد،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دارالفکر، </w:t>
      </w:r>
      <w:r>
        <w:rPr>
          <w:rFonts w:eastAsia="IRNazanin" w:cs="IRNazanin"/>
          <w:color w:val="111111"/>
          <w:sz w:val="28"/>
          <w:szCs w:val="28"/>
          <w:lang w:bidi="fa-IR"/>
        </w:rPr>
        <w:t>1421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87</w:t>
      </w:r>
      <w:r>
        <w:rPr>
          <w:rFonts w:eastAsia="Times New Roman" w:cs="Times New Roman" w:ascii="Times New Roman" w:hAnsi="Times New Roman"/>
          <w:color w:val="111111"/>
          <w:sz w:val="28"/>
          <w:szCs w:val="28"/>
          <w:rtl w:val="true"/>
          <w:lang w:val="en-US" w:bidi="en-US"/>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ابنقدامه، عبدالله بن احمد، الکافی فی فقه الامام احمد ابن حنبل،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دارالکتب العلمیه، </w:t>
      </w:r>
      <w:r>
        <w:rPr>
          <w:rFonts w:eastAsia="IRNazanin" w:cs="IRNazanin"/>
          <w:color w:val="111111"/>
          <w:sz w:val="28"/>
          <w:szCs w:val="28"/>
          <w:lang w:bidi="fa-IR"/>
        </w:rPr>
        <w:t>1421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88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ابن‌قدامه، عبدالله بن احمد، المقنع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الفقه الحنبلی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بیروت المصادر الفقهیه،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نخست، </w:t>
      </w:r>
      <w:r>
        <w:rPr>
          <w:rFonts w:eastAsia="IRNazanin" w:cs="IRNazanin"/>
          <w:color w:val="111111"/>
          <w:sz w:val="28"/>
          <w:szCs w:val="28"/>
          <w:lang w:bidi="fa-IR"/>
        </w:rPr>
        <w:t>1422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ابن‌منظور، لسان العرب،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احیاء التراث العربی، چاپ نخست، </w:t>
      </w:r>
      <w:r>
        <w:rPr>
          <w:rFonts w:eastAsia="IRNazanin" w:cs="IRNazanin"/>
          <w:color w:val="111111"/>
          <w:sz w:val="28"/>
          <w:szCs w:val="28"/>
          <w:lang w:bidi="fa-IR"/>
        </w:rPr>
        <w:t>1408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جناتی، محمدابراهیم، ادوار اجتهاد،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کیهان، چاپ نخست، </w:t>
      </w:r>
      <w:r>
        <w:rPr>
          <w:rFonts w:eastAsia="IRNazanin" w:cs="IRNazanin"/>
          <w:color w:val="111111"/>
          <w:sz w:val="28"/>
          <w:szCs w:val="28"/>
          <w:lang w:bidi="fa-IR"/>
        </w:rPr>
        <w:t>1372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ابنقدامه مقدسی، الشرح الکبیر،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دارالکتاب العربی، بی‌تا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حافظ علوی زیدی، ابوعبدالله محمد بن علی، الأذان بحیّ علی خیر العمل، یمن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مکتبه مرکز بدرالعلمی والثقافی </w:t>
      </w:r>
      <w:r>
        <w:rPr>
          <w:rFonts w:eastAsia="IRNazanin" w:cs="IRNazanin"/>
          <w:color w:val="111111"/>
          <w:sz w:val="28"/>
          <w:szCs w:val="28"/>
          <w:lang w:bidi="fa-IR"/>
        </w:rPr>
        <w:t>1418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فاضل مقداد، کنزالعرفان،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المکتبة المرتضوی، چاپ سوم، </w:t>
      </w:r>
      <w:r>
        <w:rPr>
          <w:rFonts w:eastAsia="IRNazanin" w:cs="IRNazanin"/>
          <w:color w:val="111111"/>
          <w:sz w:val="28"/>
          <w:szCs w:val="28"/>
          <w:lang w:bidi="fa-IR"/>
        </w:rPr>
        <w:t>1365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رشید رضا، محمد، تفسیر القران الحکیم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المنار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المعرفة، چاپ دوم، بی‌تا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بیضاوی، ناصرالدین ابوالخیر عبدالله بن عمر، أنوار التنزیل و أسرار التأویل،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احیاءالتراث العربی، </w:t>
      </w:r>
      <w:r>
        <w:rPr>
          <w:rFonts w:eastAsia="IRNazanin" w:cs="IRNazanin"/>
          <w:color w:val="111111"/>
          <w:sz w:val="28"/>
          <w:szCs w:val="28"/>
          <w:lang w:bidi="fa-IR"/>
        </w:rPr>
        <w:t>1418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ابن‌حجر عسقلانی، فتح الباری شرح صحیح البخاری،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دارالمعرفة للطباعة و النشر، چاپ دوم، بی‌تا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ابن‌حجر عسقلانی، فتح الباری شرح صحیح البخاری،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داراحیاء التراث العربی، چاپ دوم، </w:t>
      </w:r>
      <w:r>
        <w:rPr>
          <w:rFonts w:eastAsia="IRNazanin" w:cs="IRNazanin"/>
          <w:color w:val="111111"/>
          <w:sz w:val="28"/>
          <w:szCs w:val="28"/>
          <w:lang w:bidi="fa-IR"/>
        </w:rPr>
        <w:t>1402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98</w:t>
      </w:r>
      <w:r>
        <w:rPr>
          <w:rFonts w:eastAsia="Times New Roman" w:cs="Times New Roman" w:ascii="Times New Roman" w:hAnsi="Times New Roman"/>
          <w:color w:val="111111"/>
          <w:sz w:val="28"/>
          <w:szCs w:val="28"/>
          <w:rtl w:val="true"/>
          <w:lang w:val="en-US" w:bidi="en-US"/>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سیدمرتضی، الانتصار، بی‌جا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النشر الاسلامی، چاپ نخست، </w:t>
      </w:r>
      <w:r>
        <w:rPr>
          <w:rFonts w:eastAsia="IRNazanin" w:cs="IRNazanin"/>
          <w:color w:val="111111"/>
          <w:sz w:val="28"/>
          <w:szCs w:val="28"/>
          <w:lang w:bidi="fa-IR"/>
        </w:rPr>
        <w:t>1415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99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شهرستانی، علی، وضوء النبی، بی‌جا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جواد الائمه، چاپ دوم، </w:t>
      </w:r>
      <w:r>
        <w:rPr>
          <w:rFonts w:eastAsia="IRNazanin" w:cs="IRNazanin"/>
          <w:color w:val="111111"/>
          <w:sz w:val="28"/>
          <w:szCs w:val="28"/>
          <w:lang w:bidi="fa-IR"/>
        </w:rPr>
        <w:t>1416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شیخ طوسی، المبسوط، بی‌جا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المکتبة المرتضویه، </w:t>
      </w:r>
      <w:r>
        <w:rPr>
          <w:rFonts w:eastAsia="IRNazanin" w:cs="IRNazanin"/>
          <w:color w:val="111111"/>
          <w:sz w:val="28"/>
          <w:szCs w:val="28"/>
          <w:lang w:bidi="fa-IR"/>
        </w:rPr>
        <w:t>1387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شهید اول، البیان،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بنیاد فرهنگی امام مهدی، </w:t>
      </w:r>
      <w:r>
        <w:rPr>
          <w:rFonts w:eastAsia="IRNazanin" w:cs="IRNazanin"/>
          <w:color w:val="111111"/>
          <w:sz w:val="28"/>
          <w:szCs w:val="28"/>
          <w:lang w:bidi="fa-IR"/>
        </w:rPr>
        <w:t>1412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شهید اول، ذکری الشیعه،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مکتبه بصیرتی، بی‌تا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مشکور، محمد جواد، تاریخ شیعه و فرقههای اسلامی، بی‌جا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اشراقی، چاپ پنجم، </w:t>
      </w:r>
      <w:r>
        <w:rPr>
          <w:rFonts w:eastAsia="IRNazanin" w:cs="IRNazanin"/>
          <w:color w:val="111111"/>
          <w:sz w:val="28"/>
          <w:szCs w:val="28"/>
          <w:lang w:bidi="fa-IR"/>
        </w:rPr>
        <w:t>1372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جناتی، محمد ابراهیم، منابع اجتهاد از دیدگاه مذاهب اسلامی، بی‌جا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بی‌نا، بی‌تا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شهید اول، القواعد و الفوائد،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مکتبة المفید، بی‌تا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عجیل، لویس،المنجد فی الفقه،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دارالمشرق، بی‌تا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ابن‌عربی، محیی‌الدین،فتوحات مکیه،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نشر دار صادر، </w:t>
      </w:r>
      <w:r>
        <w:rPr>
          <w:rFonts w:eastAsia="IRNazanin" w:cs="IRNazanin"/>
          <w:color w:val="111111"/>
          <w:sz w:val="28"/>
          <w:szCs w:val="28"/>
          <w:lang w:bidi="fa-IR"/>
        </w:rPr>
        <w:t>1369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ماوردی، ابوالحسن علی بن البصری، الحاوی الکبیر فی فقه مذهب الامام شافعی، تحقیق و تعلیق علی محمد معوض،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دارالکتاب العلمیة، </w:t>
      </w:r>
      <w:r>
        <w:rPr>
          <w:rFonts w:eastAsia="IRNazanin" w:cs="IRNazanin"/>
          <w:color w:val="111111"/>
          <w:sz w:val="28"/>
          <w:szCs w:val="28"/>
          <w:lang w:bidi="fa-IR"/>
        </w:rPr>
        <w:t>1419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نووی، ابوذکریا یحیی‌الدین شرف،کتاب المجموع شرح المهذّب للشیرازی،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داراحیاء التراث العربی، چاپ نخست، </w:t>
      </w:r>
      <w:r>
        <w:rPr>
          <w:rFonts w:eastAsia="IRNazanin" w:cs="IRNazanin"/>
          <w:color w:val="111111"/>
          <w:sz w:val="28"/>
          <w:szCs w:val="28"/>
          <w:lang w:bidi="fa-IR"/>
        </w:rPr>
        <w:t>1422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مالک بن انس، المدونة الکبری،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دارالکتب العلمیه، </w:t>
      </w:r>
      <w:r>
        <w:rPr>
          <w:rFonts w:eastAsia="IRNazanin" w:cs="IRNazanin"/>
          <w:color w:val="111111"/>
          <w:sz w:val="28"/>
          <w:szCs w:val="28"/>
          <w:lang w:bidi="fa-IR"/>
        </w:rPr>
        <w:t>1415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111</w:t>
      </w:r>
      <w:r>
        <w:rPr>
          <w:rFonts w:eastAsia="Times New Roman" w:cs="Times New Roman" w:ascii="Times New Roman" w:hAnsi="Times New Roman"/>
          <w:color w:val="111111"/>
          <w:sz w:val="28"/>
          <w:szCs w:val="28"/>
          <w:rtl w:val="true"/>
          <w:lang w:val="en-US" w:bidi="en-US"/>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اصفهانی، ابوالفرج،مقاتل الطالبین،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منشورات شریف رضی، بی‌تا</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غروی، سیدمحمد،الفقه علی المذاهب الاربعة ومذهب اهل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دارالثّقلین، </w:t>
      </w:r>
      <w:r>
        <w:rPr>
          <w:rFonts w:eastAsia="IRNazanin" w:cs="IRNazanin"/>
          <w:color w:val="111111"/>
          <w:sz w:val="28"/>
          <w:szCs w:val="28"/>
          <w:lang w:bidi="fa-IR"/>
        </w:rPr>
        <w:t>1419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مکارم شیرازی، ناصر، دائرة المعارف فقه مقارن،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مدرسه امام علی بن ابی طالب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چاپ نخست، </w:t>
      </w:r>
      <w:r>
        <w:rPr>
          <w:rFonts w:ascii="IRNazanin" w:hAnsi="IRNazanin" w:eastAsia="IRNazanin"/>
          <w:color w:val="111111"/>
          <w:sz w:val="28"/>
          <w:sz w:val="28"/>
          <w:szCs w:val="28"/>
          <w:lang w:bidi="fa-IR"/>
        </w:rPr>
        <w:t>۱۴۲۷</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مدرسی،سیدمحمدرضا،تشیع در تسنن،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مؤسسه پرتو ثقلین، چاپ سوم، </w:t>
      </w:r>
      <w:r>
        <w:rPr>
          <w:rFonts w:eastAsia="IRNazanin" w:cs="IRNazanin"/>
          <w:color w:val="111111"/>
          <w:sz w:val="28"/>
          <w:szCs w:val="28"/>
          <w:lang w:bidi="fa-IR"/>
        </w:rPr>
        <w:t>1389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ضمیری، محمدرضا،درسنامه فقه مقارن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پاسخ به شبهات فقهی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مؤسسه آموزشی پژوهشی مذاهب اسلامی، چاپ نخست، </w:t>
      </w:r>
      <w:r>
        <w:rPr>
          <w:rFonts w:eastAsia="IRNazanin" w:cs="IRNazanin"/>
          <w:color w:val="111111"/>
          <w:sz w:val="28"/>
          <w:szCs w:val="28"/>
          <w:lang w:bidi="fa-IR"/>
        </w:rPr>
        <w:t>1384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رضوانی، علیاصغر،فقه مقارن،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ذوی القربی، چاپ دوم، </w:t>
      </w:r>
      <w:r>
        <w:rPr>
          <w:rFonts w:eastAsia="IRNazanin" w:cs="IRNazanin"/>
          <w:color w:val="111111"/>
          <w:sz w:val="28"/>
          <w:szCs w:val="28"/>
          <w:lang w:bidi="fa-IR"/>
        </w:rPr>
        <w:t>1389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جعفرپیشه فرد، مصطفی،درسنامه درآمدی بر فقه مقارن، بی‌جا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حوزه نمایندگی ولی فقیه در حج، بی‌تا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مدرسی،سیدمحمدرضا،سنت و بدعت در اذان از دیدگاه روایات و فقه اهل تسنن، بی‌جا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بی‌نا، بی‌تا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آمدی، محمد الحسن، المسح فی وضوء الرسول، بیجا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المصطفی لاحیاء التراث، بی‌تا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سبحانی، جعفر، الانصاف فی مسائِلَ دامَ فیها الخلاف، بی‌جا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بی‌نا، بی‌تا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علامه حلی، نهج الحق و کشف الصدق،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دارالهجره، </w:t>
      </w:r>
      <w:r>
        <w:rPr>
          <w:rFonts w:eastAsia="IRNazanin" w:cs="IRNazanin"/>
          <w:color w:val="111111"/>
          <w:sz w:val="28"/>
          <w:szCs w:val="28"/>
          <w:lang w:bidi="fa-IR"/>
        </w:rPr>
        <w:t>1421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ابوبکر محمد بن اسحاق، صحیح ابن‌خزیمه، بی‌جا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المکتب الاسلامی، چاپ دوم، </w:t>
      </w:r>
      <w:r>
        <w:rPr>
          <w:rFonts w:eastAsia="IRNazanin" w:cs="IRNazanin"/>
          <w:color w:val="111111"/>
          <w:sz w:val="28"/>
          <w:szCs w:val="28"/>
          <w:lang w:bidi="fa-IR"/>
        </w:rPr>
        <w:t>1412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123</w:t>
      </w:r>
      <w:r>
        <w:rPr>
          <w:rFonts w:eastAsia="Times New Roman" w:cs="Times New Roman" w:ascii="Times New Roman" w:hAnsi="Times New Roman"/>
          <w:color w:val="111111"/>
          <w:sz w:val="28"/>
          <w:szCs w:val="28"/>
          <w:rtl w:val="true"/>
          <w:lang w:val="en-US" w:bidi="en-US"/>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ابن‌خلدون مغربی، عبدالرحمان، مقدمه،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احیاء التراث العربی، بیتا</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124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رازی، عبدالقادر محمد بن ابی‌بکر، مختار الصحاح،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دارالکتب العلمیه، چاپ نخست، </w:t>
      </w:r>
      <w:r>
        <w:rPr>
          <w:rFonts w:eastAsia="IRNazanin" w:cs="IRNazanin"/>
          <w:color w:val="111111"/>
          <w:sz w:val="28"/>
          <w:szCs w:val="28"/>
          <w:lang w:bidi="fa-IR"/>
        </w:rPr>
        <w:t>1415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الخطیب، محمد بن الشربینی، مغنی المحتاج،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احیاء التراث العربی، </w:t>
      </w:r>
      <w:r>
        <w:rPr>
          <w:rFonts w:eastAsia="IRNazanin" w:cs="IRNazanin"/>
          <w:color w:val="111111"/>
          <w:sz w:val="28"/>
          <w:szCs w:val="28"/>
          <w:lang w:bidi="fa-IR"/>
        </w:rPr>
        <w:t>1377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ابن‌کثیر دمشقی، اسماعیل، تفسیر القرآن العظیم،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دارالمعرفه، </w:t>
      </w:r>
      <w:r>
        <w:rPr>
          <w:rFonts w:eastAsia="IRNazanin" w:cs="IRNazanin"/>
          <w:color w:val="111111"/>
          <w:sz w:val="28"/>
          <w:szCs w:val="28"/>
          <w:lang w:bidi="fa-IR"/>
        </w:rPr>
        <w:t>1412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رازی، فخرالدین، التفسیر الکبیر،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الکتب العلمیة، </w:t>
      </w:r>
      <w:r>
        <w:rPr>
          <w:rFonts w:eastAsia="IRNazanin" w:cs="IRNazanin"/>
          <w:color w:val="111111"/>
          <w:sz w:val="28"/>
          <w:szCs w:val="28"/>
          <w:lang w:bidi="fa-IR"/>
        </w:rPr>
        <w:t>1411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آلوسی، سیدمحمود، تفسیر روح المعانی،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احیا التراث العربی، بی‌تا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محقق حلی، المعتبر فی شرح المختصر،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مؤسسه سیدالشهدا، </w:t>
      </w:r>
      <w:r>
        <w:rPr>
          <w:rFonts w:eastAsia="IRNazanin" w:cs="IRNazanin"/>
          <w:color w:val="111111"/>
          <w:sz w:val="28"/>
          <w:szCs w:val="28"/>
          <w:lang w:bidi="fa-IR"/>
        </w:rPr>
        <w:t>1363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صنعانی، ابو بکر عبدالرزاق، المصنّف، تحقیق حبیب الرحمان الاعظمی، بی‌جا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المجلس العلمی، بی‌تا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حلبی، علی بن برهانالدین، السبیره الحلبیه فی سیره الامین المامون، بی‌جا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دارالمعرفه، بی‌تا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ثقفی کوفی، ابراهیم بن محمد، الغارات، بی‌جا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بهمن، بی‌تا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ذهبی، سیر اعلام النبلاء،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مؤسسه الرساله، چاپ نهم، </w:t>
      </w:r>
      <w:r>
        <w:rPr>
          <w:rFonts w:eastAsia="IRNazanin" w:cs="IRNazanin"/>
          <w:color w:val="111111"/>
          <w:sz w:val="28"/>
          <w:szCs w:val="28"/>
          <w:lang w:bidi="fa-IR"/>
        </w:rPr>
        <w:t>1413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134</w:t>
      </w:r>
      <w:r>
        <w:rPr>
          <w:rFonts w:eastAsia="Times New Roman" w:cs="Times New Roman" w:ascii="Times New Roman" w:hAnsi="Times New Roman"/>
          <w:color w:val="111111"/>
          <w:sz w:val="28"/>
          <w:szCs w:val="28"/>
          <w:rtl w:val="true"/>
          <w:lang w:val="en-US" w:bidi="en-US"/>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زرندی حنفی، جمالالدین محمد، نظم دررالسمطین، بیجا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مکتبة الامام امیر المؤمنین علیه السلام العامه، چاپ نخست، </w:t>
      </w:r>
      <w:r>
        <w:rPr>
          <w:rFonts w:eastAsia="IRNazanin" w:cs="IRNazanin"/>
          <w:color w:val="111111"/>
          <w:sz w:val="28"/>
          <w:szCs w:val="28"/>
          <w:lang w:bidi="fa-IR"/>
        </w:rPr>
        <w:t>1377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135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شهید ثانی، مسالک الافهام، بی‌جا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مؤسسة المعارف الاسلامیه، بیتا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هیثمی، نورالدین، مجمع الزوائد،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دارالکتب العلمیه، </w:t>
      </w:r>
      <w:r>
        <w:rPr>
          <w:rFonts w:eastAsia="IRNazanin" w:cs="IRNazanin"/>
          <w:color w:val="111111"/>
          <w:sz w:val="28"/>
          <w:szCs w:val="28"/>
          <w:lang w:bidi="fa-IR"/>
        </w:rPr>
        <w:t>1408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شیخ مفید، الاعلام،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دارالمفید، چاپ دوم، </w:t>
      </w:r>
      <w:r>
        <w:rPr>
          <w:rFonts w:eastAsia="IRNazanin" w:cs="IRNazanin"/>
          <w:color w:val="111111"/>
          <w:sz w:val="28"/>
          <w:szCs w:val="28"/>
          <w:lang w:bidi="fa-IR"/>
        </w:rPr>
        <w:t>1414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ابن‌حجر عسقلانی، لسان المیزان،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الاعلمی، چاپ دوم، </w:t>
      </w:r>
      <w:r>
        <w:rPr>
          <w:rFonts w:eastAsia="IRNazanin" w:cs="IRNazanin"/>
          <w:color w:val="111111"/>
          <w:sz w:val="28"/>
          <w:szCs w:val="28"/>
          <w:lang w:bidi="fa-IR"/>
        </w:rPr>
        <w:t>1390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حسینی نقوی، سیدحامد، عبقات الانوار،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البعثة، </w:t>
      </w:r>
      <w:r>
        <w:rPr>
          <w:rFonts w:eastAsia="IRNazanin" w:cs="IRNazanin"/>
          <w:color w:val="111111"/>
          <w:sz w:val="28"/>
          <w:szCs w:val="28"/>
          <w:lang w:bidi="fa-IR"/>
        </w:rPr>
        <w:t>1405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ابو ریه، محمود، اضواء علی السنة المحمدیه، بیجا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دارالکتاب الاسلامی، بیتا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موسوی، سید شرف الدین، ابوهریره،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انصاریان، بیتا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رضایی، اسدالله،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کیفیت و چگونگی صلوات بر پیامبر اعظم صلی الله علیه و آله نزد فریقین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مجله طلوع، پاییز </w:t>
      </w:r>
      <w:r>
        <w:rPr>
          <w:rFonts w:eastAsia="IRNazanin" w:cs="IRNazanin"/>
          <w:color w:val="111111"/>
          <w:sz w:val="28"/>
          <w:szCs w:val="28"/>
          <w:lang w:bidi="fa-IR"/>
        </w:rPr>
        <w:t>86</w:t>
      </w:r>
      <w:r>
        <w:rPr>
          <w:rFonts w:ascii="IRNazanin" w:hAnsi="IRNazanin" w:eastAsia="IRNazanin"/>
          <w:color w:val="111111"/>
          <w:sz w:val="28"/>
          <w:sz w:val="28"/>
          <w:szCs w:val="28"/>
          <w:rtl w:val="true"/>
          <w:lang w:bidi="fa-IR"/>
        </w:rPr>
        <w:t>، شماره</w:t>
      </w:r>
      <w:r>
        <w:rPr>
          <w:rFonts w:eastAsia="IRNazanin" w:cs="IRNazanin"/>
          <w:color w:val="111111"/>
          <w:sz w:val="28"/>
          <w:szCs w:val="28"/>
          <w:lang w:bidi="fa-IR"/>
        </w:rPr>
        <w:t>23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رحمانی، امیر،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عبور از مقابل نمازگزار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مجله فقه اهل بیت فارسی، شماره </w:t>
      </w:r>
      <w:r>
        <w:rPr>
          <w:rFonts w:eastAsia="IRNazanin" w:cs="IRNazanin"/>
          <w:color w:val="111111"/>
          <w:sz w:val="28"/>
          <w:szCs w:val="28"/>
          <w:lang w:bidi="fa-IR"/>
        </w:rPr>
        <w:t>39</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40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مبلغی، حمید،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در فقه</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مجله فرهنگ کوثر، اسفند</w:t>
      </w:r>
      <w:r>
        <w:rPr>
          <w:rFonts w:eastAsia="IRNazanin" w:cs="IRNazanin"/>
          <w:color w:val="111111"/>
          <w:sz w:val="28"/>
          <w:szCs w:val="28"/>
          <w:lang w:bidi="fa-IR"/>
        </w:rPr>
        <w:t>1378</w:t>
      </w:r>
      <w:r>
        <w:rPr>
          <w:rFonts w:ascii="IRNazanin" w:hAnsi="IRNazanin" w:eastAsia="IRNazanin"/>
          <w:color w:val="111111"/>
          <w:sz w:val="28"/>
          <w:sz w:val="28"/>
          <w:szCs w:val="28"/>
          <w:rtl w:val="true"/>
          <w:lang w:bidi="fa-IR"/>
        </w:rPr>
        <w:t>، شماره</w:t>
      </w:r>
      <w:r>
        <w:rPr>
          <w:rFonts w:eastAsia="IRNazanin" w:cs="IRNazanin"/>
          <w:color w:val="111111"/>
          <w:sz w:val="28"/>
          <w:szCs w:val="28"/>
          <w:lang w:bidi="fa-IR"/>
        </w:rPr>
        <w:t>36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145</w:t>
      </w:r>
      <w:r>
        <w:rPr>
          <w:rFonts w:eastAsia="Times New Roman" w:cs="Times New Roman" w:ascii="Times New Roman" w:hAnsi="Times New Roman"/>
          <w:color w:val="111111"/>
          <w:sz w:val="28"/>
          <w:szCs w:val="28"/>
          <w:rtl w:val="true"/>
          <w:lang w:val="en-US" w:bidi="en-US"/>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دیگر منابع و مأخذ</w:t>
      </w:r>
      <w:r>
        <w:rPr>
          <w:rFonts w:eastAsia="IRNazanin" w:cs="IRNazanin"/>
          <w:color w:val="111111"/>
          <w:sz w:val="28"/>
          <w:szCs w:val="28"/>
          <w:rtl w:val="true"/>
          <w:lang w:bidi="fa-IR"/>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9" name=""/>
                <a:graphic xmlns:a="http://schemas.openxmlformats.org/drawingml/2006/main">
                  <a:graphicData uri="http://schemas.openxmlformats.org/drawingml/2006/picture">
                    <pic:pic xmlns:pic="http://schemas.openxmlformats.org/drawingml/2006/picture">
                      <pic:nvPicPr>
                        <pic:cNvPr id="8" name="" descr=""/>
                        <pic:cNvPicPr/>
                      </pic:nvPicPr>
                      <pic:blipFill>
                        <a:blip r:embed="rId206"/>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207"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صحیح بخاری ،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180</w:t>
      </w:r>
      <w:r>
        <w:rPr>
          <w:rFonts w:ascii="IRNazanin" w:hAnsi="IRNazanin" w:eastAsia="IRNazanin"/>
          <w:b w:val="false"/>
          <w:b w:val="false"/>
          <w:bCs w:val="false"/>
          <w:i w:val="false"/>
          <w:i w:val="false"/>
          <w:iCs w:val="false"/>
          <w:color w:val="333333"/>
          <w:sz w:val="20"/>
          <w:sz w:val="20"/>
          <w:szCs w:val="20"/>
          <w:rtl w:val="true"/>
        </w:rPr>
        <w:t>؛ جامع البیان ، ج</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128</w:t>
      </w:r>
      <w:r>
        <w:rPr>
          <w:rFonts w:ascii="IRNazanin" w:hAnsi="IRNazanin" w:eastAsia="IRNazanin"/>
          <w:b w:val="false"/>
          <w:b w:val="false"/>
          <w:bCs w:val="false"/>
          <w:i w:val="false"/>
          <w:i w:val="false"/>
          <w:iCs w:val="false"/>
          <w:color w:val="333333"/>
          <w:sz w:val="20"/>
          <w:sz w:val="20"/>
          <w:szCs w:val="20"/>
          <w:rtl w:val="true"/>
        </w:rPr>
        <w:t>؛ مسند احمد ،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سیره ابن‌هشام ،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314</w:t>
      </w:r>
      <w:r>
        <w:rPr>
          <w:rFonts w:ascii="IRNazanin" w:hAnsi="IRNazanin" w:eastAsia="IRNazanin"/>
          <w:b w:val="false"/>
          <w:b w:val="false"/>
          <w:bCs w:val="false"/>
          <w:i w:val="false"/>
          <w:i w:val="false"/>
          <w:iCs w:val="false"/>
          <w:color w:val="333333"/>
          <w:sz w:val="20"/>
          <w:sz w:val="20"/>
          <w:szCs w:val="20"/>
          <w:rtl w:val="true"/>
        </w:rPr>
        <w:t>؛ تاریخ طبری ،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274</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الفقیه ،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مسنداحمد ،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424</w:t>
      </w:r>
      <w:r>
        <w:rPr>
          <w:rFonts w:ascii="IRNazanin" w:hAnsi="IRNazanin" w:eastAsia="IRNazanin"/>
          <w:b w:val="false"/>
          <w:b w:val="false"/>
          <w:bCs w:val="false"/>
          <w:i w:val="false"/>
          <w:i w:val="false"/>
          <w:iCs w:val="false"/>
          <w:color w:val="333333"/>
          <w:sz w:val="20"/>
          <w:sz w:val="20"/>
          <w:szCs w:val="20"/>
          <w:rtl w:val="true"/>
        </w:rPr>
        <w:t>؛ صحیح ابن‌خزیمه ،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318</w:t>
      </w:r>
      <w:r>
        <w:rPr>
          <w:rFonts w:ascii="IRNazanin" w:hAnsi="IRNazanin" w:eastAsia="IRNazanin"/>
          <w:b w:val="false"/>
          <w:b w:val="false"/>
          <w:bCs w:val="false"/>
          <w:i w:val="false"/>
          <w:i w:val="false"/>
          <w:iCs w:val="false"/>
          <w:color w:val="333333"/>
          <w:sz w:val="20"/>
          <w:sz w:val="20"/>
          <w:szCs w:val="20"/>
          <w:rtl w:val="true"/>
        </w:rPr>
        <w:t>؛ صحیح ابن‌حبان ،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183</w:t>
      </w:r>
      <w:r>
        <w:rPr>
          <w:rFonts w:ascii="IRNazanin" w:hAnsi="IRNazanin" w:eastAsia="IRNazanin"/>
          <w:b w:val="false"/>
          <w:b w:val="false"/>
          <w:bCs w:val="false"/>
          <w:i w:val="false"/>
          <w:i w:val="false"/>
          <w:iCs w:val="false"/>
          <w:color w:val="333333"/>
          <w:sz w:val="20"/>
          <w:sz w:val="20"/>
          <w:szCs w:val="20"/>
          <w:rtl w:val="true"/>
        </w:rPr>
        <w:t>؛ سنن ابن‌ماجه ،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337</w:t>
      </w:r>
      <w:r>
        <w:rPr>
          <w:rFonts w:ascii="IRNazanin" w:hAnsi="IRNazanin" w:eastAsia="IRNazanin"/>
          <w:b w:val="false"/>
          <w:b w:val="false"/>
          <w:bCs w:val="false"/>
          <w:i w:val="false"/>
          <w:i w:val="false"/>
          <w:iCs w:val="false"/>
          <w:color w:val="333333"/>
          <w:sz w:val="20"/>
          <w:sz w:val="20"/>
          <w:szCs w:val="20"/>
          <w:rtl w:val="true"/>
        </w:rPr>
        <w:t>؛ سنن دارمی ،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313</w:t>
      </w:r>
      <w:r>
        <w:rPr>
          <w:rFonts w:ascii="IRNazanin" w:hAnsi="IRNazanin" w:eastAsia="IRNazanin"/>
          <w:b w:val="false"/>
          <w:b w:val="false"/>
          <w:bCs w:val="false"/>
          <w:i w:val="false"/>
          <w:i w:val="false"/>
          <w:iCs w:val="false"/>
          <w:color w:val="333333"/>
          <w:sz w:val="20"/>
          <w:sz w:val="20"/>
          <w:szCs w:val="20"/>
          <w:rtl w:val="true"/>
        </w:rPr>
        <w:t>؛ سنن بیهقی ،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ابن‌قدامه، المغنی ،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502</w:t>
      </w:r>
      <w:r>
        <w:rPr>
          <w:rFonts w:ascii="IRNazanin" w:hAnsi="IRNazanin" w:eastAsia="IRNazanin"/>
          <w:b w:val="false"/>
          <w:b w:val="false"/>
          <w:bCs w:val="false"/>
          <w:i w:val="false"/>
          <w:i w:val="false"/>
          <w:iCs w:val="false"/>
          <w:color w:val="333333"/>
          <w:sz w:val="20"/>
          <w:sz w:val="20"/>
          <w:szCs w:val="20"/>
          <w:rtl w:val="true"/>
        </w:rPr>
        <w:t>؛ ابن‌حزم، المحلی ،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ده‌ها مستند دیگر از کتب اهل‌سنت</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توبه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ابن‌خلدون، مقدمه ، باب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فصل</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سید محمدتقی حکیم، الاصول العامه للفقه المقارن ، ص</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صحاح اللغة ،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224</w:t>
      </w:r>
      <w:r>
        <w:rPr>
          <w:rFonts w:ascii="IRNazanin" w:hAnsi="IRNazanin" w:eastAsia="IRNazanin"/>
          <w:b w:val="false"/>
          <w:b w:val="false"/>
          <w:bCs w:val="false"/>
          <w:i w:val="false"/>
          <w:i w:val="false"/>
          <w:iCs w:val="false"/>
          <w:color w:val="333333"/>
          <w:sz w:val="20"/>
          <w:sz w:val="20"/>
          <w:szCs w:val="20"/>
          <w:rtl w:val="true"/>
        </w:rPr>
        <w:t>؛ ابن‌منظور، لسان العرب ، ماده فقه</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قاموس اللغة ،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الفروق اللغویه ، الفرق بین الفقه والعلم، ص</w:t>
      </w:r>
      <w:r>
        <w:rPr>
          <w:rFonts w:ascii="IRNazanin" w:hAnsi="IRNazanin" w:eastAsia="IRNazanin"/>
          <w:b w:val="false"/>
          <w:b w:val="false"/>
          <w:bCs w:val="false"/>
          <w:i w:val="false"/>
          <w:i w:val="false"/>
          <w:iCs w:val="false"/>
          <w:color w:val="333333"/>
          <w:sz w:val="20"/>
          <w:sz w:val="20"/>
          <w:szCs w:val="20"/>
        </w:rPr>
        <w:t>۴۱۲</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ناصر مکارم شیرازی، دائرة المعارف فقه مقارن ، ص</w:t>
      </w:r>
      <w:r>
        <w:rPr>
          <w:rFonts w:ascii="IRNazanin" w:hAnsi="IRNazanin" w:eastAsia="IRNazanin"/>
          <w:b w:val="false"/>
          <w:b w:val="false"/>
          <w:bCs w:val="false"/>
          <w:i w:val="false"/>
          <w:i w:val="false"/>
          <w:iCs w:val="false"/>
          <w:color w:val="333333"/>
          <w:sz w:val="20"/>
          <w:sz w:val="20"/>
          <w:szCs w:val="20"/>
        </w:rPr>
        <w:t>۳۳</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جوهری، مختار الصحاح ، ماده قرن؛ ابوالقاسم زمخشری، اساس البلاغه </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شیخ مفید، العویص ، ص</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شهید اول، القواعد و الفوائد ،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نیز قریب به این مضمون 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علامه حلی، منتهی المطلب ،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شهید اول، الذکری ، ص</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محمد بن الشربینی، مغنی المحتاج ،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الاصول العامه للفقه المقارن ، ص</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فتحی الدرینی ، بحوث مقارنه فی الفقه الاسلامی و اصوله ،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عبدالفتاح کباره ، الفقه المقارن ، ص</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حسن احمد الخطیب، الفقه المقارن ، ص</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مقدمة فی دراسة الفقه الاسلامی ، ص</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ناصر مکارم شیرازی، دائرةالمعارف فقه مقارن ، ص </w:t>
      </w:r>
      <w:r>
        <w:rPr>
          <w:rFonts w:ascii="IRNazanin" w:hAnsi="IRNazanin" w:eastAsia="IRNazanin"/>
          <w:b w:val="false"/>
          <w:b w:val="false"/>
          <w:bCs w:val="false"/>
          <w:i w:val="false"/>
          <w:i w:val="false"/>
          <w:iCs w:val="false"/>
          <w:color w:val="333333"/>
          <w:sz w:val="20"/>
          <w:sz w:val="20"/>
          <w:szCs w:val="20"/>
        </w:rPr>
        <w:t>۱۳۸</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141</w:t>
      </w:r>
      <w:r>
        <w:rPr>
          <w:rFonts w:ascii="IRNazanin" w:hAnsi="IRNazanin" w:eastAsia="IRNazanin"/>
          <w:b w:val="false"/>
          <w:b w:val="false"/>
          <w:bCs w:val="false"/>
          <w:i w:val="false"/>
          <w:i w:val="false"/>
          <w:iCs w:val="false"/>
          <w:color w:val="333333"/>
          <w:sz w:val="20"/>
          <w:sz w:val="20"/>
          <w:szCs w:val="20"/>
          <w:rtl w:val="true"/>
        </w:rPr>
        <w:t>؛ محمد جواد مشکور، تاریخ شیعه و فرقههای اسلامی ، ص</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قدامة، روضة الناظر و جنة المناظر،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تعریف‌های یاد شده با اقتباس از درسنامه فقه مقارن ، ص</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الاصول العامة للفقه المقارن ، ص</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 xml:space="preserve">؛ به نقل از موسسه آموزشی پژوهشی مذاهب اسلامی، پرسش و پاسخ ، فقه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مهر</w:t>
      </w:r>
      <w:r>
        <w:rPr>
          <w:rFonts w:eastAsia="IRNazanin" w:cs="IRNazanin"/>
          <w:b w:val="false"/>
          <w:bCs w:val="false"/>
          <w:i w:val="false"/>
          <w:iCs w:val="false"/>
          <w:color w:val="333333"/>
          <w:sz w:val="20"/>
          <w:szCs w:val="20"/>
        </w:rPr>
        <w:t>1391</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الفقه علی المذاهب الاربعة و مذهب اهل البیت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121</w:t>
      </w:r>
      <w:r>
        <w:rPr>
          <w:rFonts w:ascii="IRNazanin" w:hAnsi="IRNazanin" w:eastAsia="IRNazanin"/>
          <w:b w:val="false"/>
          <w:b w:val="false"/>
          <w:bCs w:val="false"/>
          <w:i w:val="false"/>
          <w:i w:val="false"/>
          <w:iCs w:val="false"/>
          <w:color w:val="333333"/>
          <w:sz w:val="20"/>
          <w:sz w:val="20"/>
          <w:szCs w:val="20"/>
          <w:rtl w:val="true"/>
        </w:rPr>
        <w:t>؛ نیز 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ابن‌حزم، المحلّی،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227</w:t>
      </w:r>
      <w:r>
        <w:rPr>
          <w:rFonts w:ascii="IRNazanin" w:hAnsi="IRNazanin" w:eastAsia="IRNazanin"/>
          <w:b w:val="false"/>
          <w:b w:val="false"/>
          <w:bCs w:val="false"/>
          <w:i w:val="false"/>
          <w:i w:val="false"/>
          <w:iCs w:val="false"/>
          <w:color w:val="333333"/>
          <w:sz w:val="20"/>
          <w:sz w:val="20"/>
          <w:szCs w:val="20"/>
          <w:rtl w:val="true"/>
        </w:rPr>
        <w:t>؛ آمدی، الإحکام فی اصول الأحکام ،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علامه حلی، منتهی المطلب ،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339</w:t>
      </w:r>
      <w:r>
        <w:rPr>
          <w:rFonts w:ascii="IRNazanin" w:hAnsi="IRNazanin" w:eastAsia="IRNazanin"/>
          <w:b w:val="false"/>
          <w:b w:val="false"/>
          <w:bCs w:val="false"/>
          <w:i w:val="false"/>
          <w:i w:val="false"/>
          <w:iCs w:val="false"/>
          <w:color w:val="333333"/>
          <w:sz w:val="20"/>
          <w:sz w:val="20"/>
          <w:szCs w:val="20"/>
          <w:rtl w:val="true"/>
        </w:rPr>
        <w:t>؛ موسوعة مصطلحات اصول الفقه عند المسلمین ،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1074</w:t>
      </w:r>
      <w:r>
        <w:rPr>
          <w:rFonts w:ascii="IRNazanin" w:hAnsi="IRNazanin" w:eastAsia="IRNazanin"/>
          <w:b w:val="false"/>
          <w:b w:val="false"/>
          <w:bCs w:val="false"/>
          <w:i w:val="false"/>
          <w:i w:val="false"/>
          <w:iCs w:val="false"/>
          <w:color w:val="333333"/>
          <w:sz w:val="20"/>
          <w:sz w:val="20"/>
          <w:szCs w:val="20"/>
          <w:rtl w:val="true"/>
        </w:rPr>
        <w:t>؛ درآمدی بر فقه مقارن ، ص</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الفقه علی المذاهب الاربعة و مذهب اهل البیت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143</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143</w:t>
      </w:r>
      <w:r>
        <w:rPr>
          <w:rFonts w:ascii="IRNazanin" w:hAnsi="IRNazanin" w:eastAsia="IRNazanin"/>
          <w:b w:val="false"/>
          <w:b w:val="false"/>
          <w:bCs w:val="false"/>
          <w:i w:val="false"/>
          <w:i w:val="false"/>
          <w:iCs w:val="false"/>
          <w:color w:val="333333"/>
          <w:sz w:val="20"/>
          <w:sz w:val="20"/>
          <w:szCs w:val="20"/>
          <w:rtl w:val="true"/>
        </w:rPr>
        <w:t>؛ به نقل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اسدالله رضایی،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کیفیت و چگونگی صلوات بر پیامبر اعظم صلی الله علیه و آله نزد فریقین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طلوع ، پاییز </w:t>
      </w:r>
      <w:r>
        <w:rPr>
          <w:rFonts w:eastAsia="IRNazanin" w:cs="IRNazanin"/>
          <w:b w:val="false"/>
          <w:bCs w:val="false"/>
          <w:i w:val="false"/>
          <w:iCs w:val="false"/>
          <w:color w:val="333333"/>
          <w:sz w:val="20"/>
          <w:szCs w:val="20"/>
        </w:rPr>
        <w:t>86</w:t>
      </w:r>
      <w:r>
        <w:rPr>
          <w:rFonts w:ascii="IRNazanin" w:hAnsi="IRNazanin" w:eastAsia="IRNazanin"/>
          <w:b w:val="false"/>
          <w:b w:val="false"/>
          <w:bCs w:val="false"/>
          <w:i w:val="false"/>
          <w:i w:val="false"/>
          <w:iCs w:val="false"/>
          <w:color w:val="333333"/>
          <w:sz w:val="20"/>
          <w:sz w:val="20"/>
          <w:szCs w:val="20"/>
          <w:rtl w:val="true"/>
        </w:rPr>
        <w:t>، ش</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ناصر مکارم شیرازی، دائرة‌المعارف فقه مقارن ، ص</w:t>
      </w:r>
      <w:r>
        <w:rPr>
          <w:rFonts w:eastAsia="IRNazanin" w:cs="IRNazanin"/>
          <w:b w:val="false"/>
          <w:bCs w:val="false"/>
          <w:i w:val="false"/>
          <w:iCs w:val="false"/>
          <w:color w:val="333333"/>
          <w:sz w:val="20"/>
          <w:szCs w:val="20"/>
        </w:rPr>
        <w:t>427</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الفقه علی المذاهب الأربعه ،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 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298</w:t>
      </w:r>
      <w:r>
        <w:rPr>
          <w:rFonts w:ascii="IRNazanin" w:hAnsi="IRNazanin" w:eastAsia="IRNazanin"/>
          <w:b w:val="false"/>
          <w:b w:val="false"/>
          <w:bCs w:val="false"/>
          <w:i w:val="false"/>
          <w:i w:val="false"/>
          <w:iCs w:val="false"/>
          <w:color w:val="333333"/>
          <w:sz w:val="20"/>
          <w:sz w:val="20"/>
          <w:szCs w:val="20"/>
          <w:rtl w:val="true"/>
        </w:rPr>
        <w:t>؛ الخلاف ،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إذا تَوَضَّأ کادُوا یَقْتَتِلُونَ عَلی وُضوئِه؛ هنگامی که پیامبر وضو می‌گرفت، برای به دست آوردن آب وضوی ایشان گویا با یکدیگر می‌جنگیدند</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صحیح بخاری ،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180</w:t>
      </w:r>
      <w:r>
        <w:rPr>
          <w:rFonts w:ascii="IRNazanin" w:hAnsi="IRNazanin" w:eastAsia="IRNazanin"/>
          <w:b w:val="false"/>
          <w:b w:val="false"/>
          <w:bCs w:val="false"/>
          <w:i w:val="false"/>
          <w:i w:val="false"/>
          <w:iCs w:val="false"/>
          <w:color w:val="333333"/>
          <w:sz w:val="20"/>
          <w:sz w:val="20"/>
          <w:szCs w:val="20"/>
          <w:rtl w:val="true"/>
        </w:rPr>
        <w:t>؛ جامع البیان ، ج</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128</w:t>
      </w:r>
      <w:r>
        <w:rPr>
          <w:rFonts w:ascii="IRNazanin" w:hAnsi="IRNazanin" w:eastAsia="IRNazanin"/>
          <w:b w:val="false"/>
          <w:b w:val="false"/>
          <w:bCs w:val="false"/>
          <w:i w:val="false"/>
          <w:i w:val="false"/>
          <w:iCs w:val="false"/>
          <w:color w:val="333333"/>
          <w:sz w:val="20"/>
          <w:sz w:val="20"/>
          <w:szCs w:val="20"/>
          <w:rtl w:val="true"/>
        </w:rPr>
        <w:t>؛ مسند احمد ،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سیره ابنهشام ،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314</w:t>
      </w:r>
      <w:r>
        <w:rPr>
          <w:rFonts w:ascii="IRNazanin" w:hAnsi="IRNazanin" w:eastAsia="IRNazanin"/>
          <w:b w:val="false"/>
          <w:b w:val="false"/>
          <w:bCs w:val="false"/>
          <w:i w:val="false"/>
          <w:i w:val="false"/>
          <w:iCs w:val="false"/>
          <w:color w:val="333333"/>
          <w:sz w:val="20"/>
          <w:sz w:val="20"/>
          <w:szCs w:val="20"/>
          <w:rtl w:val="true"/>
        </w:rPr>
        <w:t>؛ تاریخ طبری ،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274</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برخی مدعی شده اند که وضوی پیامبر صلی الله علیه و آله به دو شیوه غَسل و مسح بوده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برای اطلاع از ادله بطلان این بحث، 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وضوء النبی شهرستانی</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الکلام ،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367</w:t>
      </w:r>
      <w:r>
        <w:rPr>
          <w:rFonts w:ascii="IRNazanin" w:hAnsi="IRNazanin" w:eastAsia="IRNazanin"/>
          <w:b w:val="false"/>
          <w:b w:val="false"/>
          <w:bCs w:val="false"/>
          <w:i w:val="false"/>
          <w:i w:val="false"/>
          <w:iCs w:val="false"/>
          <w:color w:val="333333"/>
          <w:sz w:val="20"/>
          <w:sz w:val="20"/>
          <w:szCs w:val="20"/>
          <w:rtl w:val="true"/>
        </w:rPr>
        <w:t>؛ شافعی، کتاب الام ،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184</w:t>
      </w:r>
      <w:r>
        <w:rPr>
          <w:rFonts w:ascii="IRNazanin" w:hAnsi="IRNazanin" w:eastAsia="IRNazanin"/>
          <w:b w:val="false"/>
          <w:b w:val="false"/>
          <w:bCs w:val="false"/>
          <w:i w:val="false"/>
          <w:i w:val="false"/>
          <w:iCs w:val="false"/>
          <w:color w:val="333333"/>
          <w:sz w:val="20"/>
          <w:sz w:val="20"/>
          <w:szCs w:val="20"/>
          <w:rtl w:val="true"/>
        </w:rPr>
        <w:t>؛ بیهقی، السنن الکبری ،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345</w:t>
      </w:r>
      <w:r>
        <w:rPr>
          <w:rFonts w:ascii="IRNazanin" w:hAnsi="IRNazanin" w:eastAsia="IRNazanin"/>
          <w:b w:val="false"/>
          <w:b w:val="false"/>
          <w:bCs w:val="false"/>
          <w:i w:val="false"/>
          <w:i w:val="false"/>
          <w:iCs w:val="false"/>
          <w:color w:val="333333"/>
          <w:sz w:val="20"/>
          <w:sz w:val="20"/>
          <w:szCs w:val="20"/>
          <w:rtl w:val="true"/>
        </w:rPr>
        <w:t>؛ بحارالانوار ، ج</w:t>
      </w:r>
      <w:r>
        <w:rPr>
          <w:rFonts w:eastAsia="IRNazanin" w:cs="IRNazanin"/>
          <w:b w:val="false"/>
          <w:bCs w:val="false"/>
          <w:i w:val="false"/>
          <w:iCs w:val="false"/>
          <w:color w:val="333333"/>
          <w:sz w:val="20"/>
          <w:szCs w:val="20"/>
        </w:rPr>
        <w:t>82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الدر المنثور ،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برای نمونه 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صحیح مسلم ،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646</w:t>
      </w:r>
      <w:r>
        <w:rPr>
          <w:rFonts w:ascii="IRNazanin" w:hAnsi="IRNazanin" w:eastAsia="IRNazanin"/>
          <w:b w:val="false"/>
          <w:b w:val="false"/>
          <w:bCs w:val="false"/>
          <w:i w:val="false"/>
          <w:i w:val="false"/>
          <w:iCs w:val="false"/>
          <w:color w:val="333333"/>
          <w:sz w:val="20"/>
          <w:sz w:val="20"/>
          <w:szCs w:val="20"/>
          <w:rtl w:val="true"/>
        </w:rPr>
        <w:t>؛ حلیة الاولیاء ،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322</w:t>
      </w:r>
      <w:r>
        <w:rPr>
          <w:rFonts w:ascii="IRNazanin" w:hAnsi="IRNazanin" w:eastAsia="IRNazanin"/>
          <w:b w:val="false"/>
          <w:b w:val="false"/>
          <w:bCs w:val="false"/>
          <w:i w:val="false"/>
          <w:i w:val="false"/>
          <w:iCs w:val="false"/>
          <w:color w:val="333333"/>
          <w:sz w:val="20"/>
          <w:sz w:val="20"/>
          <w:szCs w:val="20"/>
          <w:rtl w:val="true"/>
        </w:rPr>
        <w:t>؛ مجموعه طه حسین ،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164</w:t>
      </w:r>
      <w:r>
        <w:rPr>
          <w:rFonts w:ascii="IRNazanin" w:hAnsi="IRNazanin" w:eastAsia="IRNazanin"/>
          <w:b w:val="false"/>
          <w:b w:val="false"/>
          <w:bCs w:val="false"/>
          <w:i w:val="false"/>
          <w:i w:val="false"/>
          <w:iCs w:val="false"/>
          <w:color w:val="333333"/>
          <w:sz w:val="20"/>
          <w:sz w:val="20"/>
          <w:szCs w:val="20"/>
          <w:rtl w:val="true"/>
        </w:rPr>
        <w:t>؛ به نقل از ترجمه وضوء النبی شهرستانی، ص</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شهرستانی، وضوء النبی، ص</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صحیح بخاری ،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صحیح مسلم ،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صحیح مسلم ،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ان رسول اللّه صنع کما صنعت و هذا وضوء من لم‌یحدث</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مسند احمد ،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139</w:t>
      </w:r>
      <w:r>
        <w:rPr>
          <w:rFonts w:ascii="IRNazanin" w:hAnsi="IRNazanin" w:eastAsia="IRNazanin"/>
          <w:b w:val="false"/>
          <w:b w:val="false"/>
          <w:bCs w:val="false"/>
          <w:i w:val="false"/>
          <w:i w:val="false"/>
          <w:iCs w:val="false"/>
          <w:color w:val="333333"/>
          <w:sz w:val="20"/>
          <w:sz w:val="20"/>
          <w:szCs w:val="20"/>
          <w:rtl w:val="true"/>
        </w:rPr>
        <w:t>؛ بیهقی، السنن الکبری ،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تفسیر ابن‌کثیر ،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الحدائق الناضره ،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335</w:t>
      </w:r>
      <w:r>
        <w:rPr>
          <w:rFonts w:ascii="IRNazanin" w:hAnsi="IRNazanin" w:eastAsia="IRNazanin"/>
          <w:b w:val="false"/>
          <w:b w:val="false"/>
          <w:bCs w:val="false"/>
          <w:i w:val="false"/>
          <w:i w:val="false"/>
          <w:iCs w:val="false"/>
          <w:color w:val="333333"/>
          <w:sz w:val="20"/>
          <w:sz w:val="20"/>
          <w:szCs w:val="20"/>
          <w:rtl w:val="true"/>
        </w:rPr>
        <w:t>؛ المسائل الفقهیه ، ص</w:t>
      </w:r>
      <w:r>
        <w:rPr>
          <w:rFonts w:eastAsia="IRNazanin" w:cs="IRNazanin"/>
          <w:b w:val="false"/>
          <w:bCs w:val="false"/>
          <w:i w:val="false"/>
          <w:iCs w:val="false"/>
          <w:color w:val="333333"/>
          <w:sz w:val="20"/>
          <w:szCs w:val="20"/>
        </w:rPr>
        <w:t>80</w:t>
      </w:r>
      <w:r>
        <w:rPr>
          <w:rFonts w:ascii="IRNazanin" w:hAnsi="IRNazanin" w:eastAsia="IRNazanin"/>
          <w:b w:val="false"/>
          <w:b w:val="false"/>
          <w:bCs w:val="false"/>
          <w:i w:val="false"/>
          <w:i w:val="false"/>
          <w:iCs w:val="false"/>
          <w:color w:val="333333"/>
          <w:sz w:val="20"/>
          <w:sz w:val="20"/>
          <w:szCs w:val="20"/>
          <w:rtl w:val="true"/>
        </w:rPr>
        <w:t>؛ کنزالعمال ،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103</w:t>
      </w:r>
      <w:r>
        <w:rPr>
          <w:rFonts w:ascii="IRNazanin" w:hAnsi="IRNazanin" w:eastAsia="IRNazanin"/>
          <w:b w:val="false"/>
          <w:b w:val="false"/>
          <w:bCs w:val="false"/>
          <w:i w:val="false"/>
          <w:i w:val="false"/>
          <w:iCs w:val="false"/>
          <w:color w:val="333333"/>
          <w:sz w:val="20"/>
          <w:sz w:val="20"/>
          <w:szCs w:val="20"/>
          <w:rtl w:val="true"/>
        </w:rPr>
        <w:t>؛ تفسیر ابن‌کثیر ،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مناهج الاجتهاد فی الاسلام ، ص</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تذکرة الفقها ،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149</w:t>
      </w:r>
      <w:r>
        <w:rPr>
          <w:rFonts w:ascii="IRNazanin" w:hAnsi="IRNazanin" w:eastAsia="IRNazanin"/>
          <w:b w:val="false"/>
          <w:b w:val="false"/>
          <w:bCs w:val="false"/>
          <w:i w:val="false"/>
          <w:i w:val="false"/>
          <w:iCs w:val="false"/>
          <w:color w:val="333333"/>
          <w:sz w:val="20"/>
          <w:sz w:val="20"/>
          <w:szCs w:val="20"/>
          <w:rtl w:val="true"/>
        </w:rPr>
        <w:t>ـ</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نیز 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الفقه علی المذاهب الأربعه ،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56</w:t>
      </w:r>
      <w:r>
        <w:rPr>
          <w:rFonts w:ascii="IRNazanin" w:hAnsi="IRNazanin" w:eastAsia="IRNazanin"/>
          <w:b w:val="false"/>
          <w:b w:val="false"/>
          <w:bCs w:val="false"/>
          <w:i w:val="false"/>
          <w:i w:val="false"/>
          <w:iCs w:val="false"/>
          <w:color w:val="333333"/>
          <w:sz w:val="20"/>
          <w:sz w:val="20"/>
          <w:szCs w:val="20"/>
          <w:rtl w:val="true"/>
        </w:rPr>
        <w:t>ـ</w:t>
      </w:r>
      <w:r>
        <w:rPr>
          <w:rFonts w:eastAsia="IRNazanin" w:cs="IRNazanin"/>
          <w:b w:val="false"/>
          <w:bCs w:val="false"/>
          <w:i w:val="false"/>
          <w:iCs w:val="false"/>
          <w:color w:val="333333"/>
          <w:sz w:val="20"/>
          <w:szCs w:val="20"/>
        </w:rPr>
        <w:t>60</w:t>
      </w:r>
      <w:r>
        <w:rPr>
          <w:rFonts w:ascii="IRNazanin" w:hAnsi="IRNazanin" w:eastAsia="IRNazanin"/>
          <w:b w:val="false"/>
          <w:b w:val="false"/>
          <w:bCs w:val="false"/>
          <w:i w:val="false"/>
          <w:i w:val="false"/>
          <w:iCs w:val="false"/>
          <w:color w:val="333333"/>
          <w:sz w:val="20"/>
          <w:sz w:val="20"/>
          <w:szCs w:val="20"/>
          <w:rtl w:val="true"/>
        </w:rPr>
        <w:t>؛ فقه السنه ،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xml:space="preserve">؛ الکافی لابن قدامه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فقه حنبلی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922</w:t>
      </w:r>
      <w:r>
        <w:rPr>
          <w:rFonts w:ascii="IRNazanin" w:hAnsi="IRNazanin" w:eastAsia="IRNazanin"/>
          <w:b w:val="false"/>
          <w:b w:val="false"/>
          <w:bCs w:val="false"/>
          <w:i w:val="false"/>
          <w:i w:val="false"/>
          <w:iCs w:val="false"/>
          <w:color w:val="333333"/>
          <w:sz w:val="20"/>
          <w:sz w:val="20"/>
          <w:szCs w:val="20"/>
          <w:rtl w:val="true"/>
        </w:rPr>
        <w:t>؛ به نقل از درآمدی بر فقه مقارن ، ص</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المجموع ،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380</w:t>
      </w:r>
      <w:r>
        <w:rPr>
          <w:rFonts w:ascii="IRNazanin" w:hAnsi="IRNazanin" w:eastAsia="IRNazanin"/>
          <w:b w:val="false"/>
          <w:b w:val="false"/>
          <w:bCs w:val="false"/>
          <w:i w:val="false"/>
          <w:i w:val="false"/>
          <w:iCs w:val="false"/>
          <w:color w:val="333333"/>
          <w:sz w:val="20"/>
          <w:sz w:val="20"/>
          <w:szCs w:val="20"/>
          <w:rtl w:val="true"/>
        </w:rPr>
        <w:t>؛ به نقل از تذکرة الفقها ،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شیخ مفید، المقنعه ، ص</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شیخ طوسی، النهایه ،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217</w:t>
      </w:r>
      <w:r>
        <w:rPr>
          <w:rFonts w:ascii="IRNazanin" w:hAnsi="IRNazanin" w:eastAsia="IRNazanin"/>
          <w:b w:val="false"/>
          <w:b w:val="false"/>
          <w:bCs w:val="false"/>
          <w:i w:val="false"/>
          <w:i w:val="false"/>
          <w:iCs w:val="false"/>
          <w:color w:val="333333"/>
          <w:sz w:val="20"/>
          <w:sz w:val="20"/>
          <w:szCs w:val="20"/>
          <w:rtl w:val="true"/>
        </w:rPr>
        <w:t>؛ تذکرة الفقها ،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مغنیه، الفقه علی المذاهب الخمسه ، ص</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xml:space="preserve">؛ الحاوی الکبیر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فقه شافعی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112</w:t>
      </w:r>
      <w:r>
        <w:rPr>
          <w:rFonts w:ascii="IRNazanin" w:hAnsi="IRNazanin" w:eastAsia="IRNazanin"/>
          <w:b w:val="false"/>
          <w:b w:val="false"/>
          <w:bCs w:val="false"/>
          <w:i w:val="false"/>
          <w:i w:val="false"/>
          <w:iCs w:val="false"/>
          <w:color w:val="333333"/>
          <w:sz w:val="20"/>
          <w:sz w:val="20"/>
          <w:szCs w:val="20"/>
          <w:rtl w:val="true"/>
        </w:rPr>
        <w:t>؛ تذکرة الفقها ،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157</w:t>
      </w:r>
      <w:r>
        <w:rPr>
          <w:rFonts w:ascii="IRNazanin" w:hAnsi="IRNazanin" w:eastAsia="IRNazanin"/>
          <w:b w:val="false"/>
          <w:b w:val="false"/>
          <w:bCs w:val="false"/>
          <w:i w:val="false"/>
          <w:i w:val="false"/>
          <w:iCs w:val="false"/>
          <w:color w:val="333333"/>
          <w:sz w:val="20"/>
          <w:sz w:val="20"/>
          <w:szCs w:val="20"/>
          <w:rtl w:val="true"/>
        </w:rPr>
        <w:t>ـ</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التفسیر الکبیر ، 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المیزان ،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شیخ طوسی، تهذیب الاحکام ،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56</w:t>
      </w:r>
      <w:r>
        <w:rPr>
          <w:rFonts w:ascii="IRNazanin" w:hAnsi="IRNazanin" w:eastAsia="IRNazanin"/>
          <w:b w:val="false"/>
          <w:b w:val="false"/>
          <w:bCs w:val="false"/>
          <w:i w:val="false"/>
          <w:i w:val="false"/>
          <w:iCs w:val="false"/>
          <w:color w:val="333333"/>
          <w:sz w:val="20"/>
          <w:sz w:val="20"/>
          <w:szCs w:val="20"/>
          <w:rtl w:val="true"/>
        </w:rPr>
        <w:t>؛ وسائل الشیعه ،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التفسیر الکبیر ، 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المقنعه ، ص</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شیخ طوسی، الخلاف ،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82</w:t>
      </w:r>
      <w:r>
        <w:rPr>
          <w:rFonts w:ascii="IRNazanin" w:hAnsi="IRNazanin" w:eastAsia="IRNazanin"/>
          <w:b w:val="false"/>
          <w:b w:val="false"/>
          <w:bCs w:val="false"/>
          <w:i w:val="false"/>
          <w:i w:val="false"/>
          <w:iCs w:val="false"/>
          <w:color w:val="333333"/>
          <w:sz w:val="20"/>
          <w:sz w:val="20"/>
          <w:szCs w:val="20"/>
          <w:rtl w:val="true"/>
        </w:rPr>
        <w:t>؛ تذکرة الفقها ،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رساله های عملیه مراجع</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ابن‌قدامه، المغنی ،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111</w:t>
      </w:r>
      <w:r>
        <w:rPr>
          <w:rFonts w:ascii="IRNazanin" w:hAnsi="IRNazanin" w:eastAsia="IRNazanin"/>
          <w:b w:val="false"/>
          <w:b w:val="false"/>
          <w:bCs w:val="false"/>
          <w:i w:val="false"/>
          <w:i w:val="false"/>
          <w:iCs w:val="false"/>
          <w:color w:val="333333"/>
          <w:sz w:val="20"/>
          <w:sz w:val="20"/>
          <w:szCs w:val="20"/>
          <w:rtl w:val="true"/>
        </w:rPr>
        <w:t>؛ الفقه علی المذاهب الخمسه ، ص</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الام ،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باب مسح الرأس؛ الفقه علی المذاهب الخمسه ، ص</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بدایة المجتهد ،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باب مسح الرأس؛ الفقه علی المذاهب الخمسه ، ص</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کافی ،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وسائل الشیعه ،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بدایة المجتهد ،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التفسیر الکبیر ، 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مائده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مؤمنون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الاعتصام بالکتاب و السنه ، ص</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مفاتیح الغیب ، 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تذکرة الفقهاء ،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کنزالعرفان ، ص</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بیشتر این دلایل برگرفته از درسنامه فقه مقارن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حزم، المحلی ،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56</w:t>
      </w:r>
      <w:r>
        <w:rPr>
          <w:rFonts w:ascii="IRNazanin" w:hAnsi="IRNazanin" w:eastAsia="IRNazanin"/>
          <w:b w:val="false"/>
          <w:b w:val="false"/>
          <w:bCs w:val="false"/>
          <w:i w:val="false"/>
          <w:i w:val="false"/>
          <w:iCs w:val="false"/>
          <w:color w:val="333333"/>
          <w:sz w:val="20"/>
          <w:sz w:val="20"/>
          <w:szCs w:val="20"/>
          <w:rtl w:val="true"/>
        </w:rPr>
        <w:t>؛ به نقل وضوءالنبی صلی الله علیه و آله عربی،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444</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سنن ابن‌ماجه ،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460</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453</w:t>
      </w:r>
      <w:r>
        <w:rPr>
          <w:rFonts w:ascii="IRNazanin" w:hAnsi="IRNazanin" w:eastAsia="IRNazanin"/>
          <w:b w:val="false"/>
          <w:b w:val="false"/>
          <w:bCs w:val="false"/>
          <w:i w:val="false"/>
          <w:i w:val="false"/>
          <w:iCs w:val="false"/>
          <w:color w:val="333333"/>
          <w:sz w:val="20"/>
          <w:sz w:val="20"/>
          <w:szCs w:val="20"/>
          <w:rtl w:val="true"/>
        </w:rPr>
        <w:t>؛ سنن ابی‌داود ، ش</w:t>
      </w:r>
      <w:r>
        <w:rPr>
          <w:rFonts w:eastAsia="IRNazanin" w:cs="IRNazanin"/>
          <w:b w:val="false"/>
          <w:bCs w:val="false"/>
          <w:i w:val="false"/>
          <w:iCs w:val="false"/>
          <w:color w:val="333333"/>
          <w:sz w:val="20"/>
          <w:szCs w:val="20"/>
        </w:rPr>
        <w:t>730</w:t>
      </w:r>
      <w:r>
        <w:rPr>
          <w:rFonts w:ascii="IRNazanin" w:hAnsi="IRNazanin" w:eastAsia="IRNazanin"/>
          <w:b w:val="false"/>
          <w:b w:val="false"/>
          <w:bCs w:val="false"/>
          <w:i w:val="false"/>
          <w:i w:val="false"/>
          <w:iCs w:val="false"/>
          <w:color w:val="333333"/>
          <w:sz w:val="20"/>
          <w:sz w:val="20"/>
          <w:szCs w:val="20"/>
          <w:rtl w:val="true"/>
        </w:rPr>
        <w:t>؛ سنن نسائی ، ش</w:t>
      </w:r>
      <w:r>
        <w:rPr>
          <w:rFonts w:eastAsia="IRNazanin" w:cs="IRNazanin"/>
          <w:b w:val="false"/>
          <w:bCs w:val="false"/>
          <w:i w:val="false"/>
          <w:iCs w:val="false"/>
          <w:color w:val="333333"/>
          <w:sz w:val="20"/>
          <w:szCs w:val="20"/>
        </w:rPr>
        <w:t>1124</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 ،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ابواب الوضوء، ص</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مسند احمد ،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1018</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مسند ابی‌شیبه ،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طبری ،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82</w:t>
      </w:r>
      <w:r>
        <w:rPr>
          <w:rFonts w:ascii="IRNazanin" w:hAnsi="IRNazanin" w:eastAsia="IRNazanin"/>
          <w:b w:val="false"/>
          <w:b w:val="false"/>
          <w:bCs w:val="false"/>
          <w:i w:val="false"/>
          <w:i w:val="false"/>
          <w:iCs w:val="false"/>
          <w:color w:val="333333"/>
          <w:sz w:val="20"/>
          <w:sz w:val="20"/>
          <w:szCs w:val="20"/>
          <w:rtl w:val="true"/>
        </w:rPr>
        <w:t>؛ سنن ابن‌ماجه ،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156</w:t>
      </w:r>
      <w:r>
        <w:rPr>
          <w:rFonts w:ascii="IRNazanin" w:hAnsi="IRNazanin" w:eastAsia="IRNazanin"/>
          <w:b w:val="false"/>
          <w:b w:val="false"/>
          <w:bCs w:val="false"/>
          <w:i w:val="false"/>
          <w:i w:val="false"/>
          <w:iCs w:val="false"/>
          <w:color w:val="333333"/>
          <w:sz w:val="20"/>
          <w:sz w:val="20"/>
          <w:szCs w:val="20"/>
          <w:rtl w:val="true"/>
        </w:rPr>
        <w:t>، ش</w:t>
      </w:r>
      <w:r>
        <w:rPr>
          <w:rFonts w:eastAsia="IRNazanin" w:cs="IRNazanin"/>
          <w:b w:val="false"/>
          <w:bCs w:val="false"/>
          <w:i w:val="false"/>
          <w:iCs w:val="false"/>
          <w:color w:val="333333"/>
          <w:sz w:val="20"/>
          <w:szCs w:val="20"/>
        </w:rPr>
        <w:t>458</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طبری ،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مفاتیح الغیب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تفسیر کبیر رازی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161</w:t>
      </w:r>
      <w:r>
        <w:rPr>
          <w:rFonts w:ascii="IRNazanin" w:hAnsi="IRNazanin" w:eastAsia="IRNazanin"/>
          <w:b w:val="false"/>
          <w:b w:val="false"/>
          <w:bCs w:val="false"/>
          <w:i w:val="false"/>
          <w:i w:val="false"/>
          <w:iCs w:val="false"/>
          <w:color w:val="333333"/>
          <w:sz w:val="20"/>
          <w:sz w:val="20"/>
          <w:szCs w:val="20"/>
          <w:rtl w:val="true"/>
        </w:rPr>
        <w:t>؛ روح المعانی ،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قول از محمد رشید رضا، در کتاب المنار نقل شده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درسنامه فقه مقارن ، ص</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نواقض در کتب فقهی غالباً با عنوان الاحداث الموجبة للوضوء ذکر شده اند</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بدایة المجتهد ،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المغنی ،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95</w:t>
      </w:r>
      <w:r>
        <w:rPr>
          <w:rFonts w:ascii="IRNazanin" w:hAnsi="IRNazanin" w:eastAsia="IRNazanin"/>
          <w:b w:val="false"/>
          <w:b w:val="false"/>
          <w:bCs w:val="false"/>
          <w:i w:val="false"/>
          <w:i w:val="false"/>
          <w:iCs w:val="false"/>
          <w:color w:val="333333"/>
          <w:sz w:val="20"/>
          <w:sz w:val="20"/>
          <w:szCs w:val="20"/>
          <w:rtl w:val="true"/>
        </w:rPr>
        <w:t>؛ به نقل از تذکرة الفقها ،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مسئله</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فقه السنه ،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مذی مایعی است که هنگام ملاعبه و لذت خارج می شود و ودی مایعی است که بیشتر پس از ادرار بیرون می آید</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الام ،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المبسوط سرخسی ،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المدونة الکبری ،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نیل الاوطار ،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237</w:t>
      </w:r>
      <w:r>
        <w:rPr>
          <w:rFonts w:ascii="IRNazanin" w:hAnsi="IRNazanin" w:eastAsia="IRNazanin"/>
          <w:b w:val="false"/>
          <w:b w:val="false"/>
          <w:bCs w:val="false"/>
          <w:i w:val="false"/>
          <w:i w:val="false"/>
          <w:iCs w:val="false"/>
          <w:color w:val="333333"/>
          <w:sz w:val="20"/>
          <w:sz w:val="20"/>
          <w:szCs w:val="20"/>
          <w:rtl w:val="true"/>
        </w:rPr>
        <w:t>؛ بدایة المجتهد ،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المغنی ،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134</w:t>
      </w:r>
      <w:r>
        <w:rPr>
          <w:rFonts w:ascii="IRNazanin" w:hAnsi="IRNazanin" w:eastAsia="IRNazanin"/>
          <w:b w:val="false"/>
          <w:b w:val="false"/>
          <w:bCs w:val="false"/>
          <w:i w:val="false"/>
          <w:i w:val="false"/>
          <w:iCs w:val="false"/>
          <w:color w:val="333333"/>
          <w:sz w:val="20"/>
          <w:sz w:val="20"/>
          <w:szCs w:val="20"/>
          <w:rtl w:val="true"/>
        </w:rPr>
        <w:t>؛به نقل از تذکرة الفقها ،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عروة الوثقی ، ص</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االنوم ینقض الوضوء بنفسه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عبدالرحمان الجزیری، الفقه علی مذاهب الاربعة ،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الحنفیة قالوا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النوم لا ینقض بنفسه علی الصحیح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خلافا للشافعیة والحنابلة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وإنما ینقض النوم فی ثلاثة أحوال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المالکیة قالوا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النوم ینقض الوضوء إذا کان ثقیلا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لا ینتفض بالنوم الخفیف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المجموع ،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به نقل از تذکرة الفقها ،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المجموع ،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المبسوط سرخسی ،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به نقل از تذکرة الفقها ،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الفقه علی المذاهب الأربعه ،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79</w:t>
      </w:r>
      <w:r>
        <w:rPr>
          <w:rFonts w:ascii="IRNazanin" w:hAnsi="IRNazanin" w:eastAsia="IRNazanin"/>
          <w:b w:val="false"/>
          <w:b w:val="false"/>
          <w:bCs w:val="false"/>
          <w:i w:val="false"/>
          <w:i w:val="false"/>
          <w:iCs w:val="false"/>
          <w:color w:val="333333"/>
          <w:sz w:val="20"/>
          <w:sz w:val="20"/>
          <w:szCs w:val="20"/>
          <w:rtl w:val="true"/>
        </w:rPr>
        <w:t>؛ فقه السنه ،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اگر بیمارید یا مسافر، یا قضای حاجت کرده اید یا آمیزش جنسی داشته اید و در این حال آب نیافتید، با خاک پاکی تیمم کنید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مائده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نسا</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نیل الاوطار ،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245</w:t>
      </w:r>
      <w:r>
        <w:rPr>
          <w:rFonts w:ascii="IRNazanin" w:hAnsi="IRNazanin" w:eastAsia="IRNazanin"/>
          <w:b w:val="false"/>
          <w:b w:val="false"/>
          <w:bCs w:val="false"/>
          <w:i w:val="false"/>
          <w:i w:val="false"/>
          <w:iCs w:val="false"/>
          <w:color w:val="333333"/>
          <w:sz w:val="20"/>
          <w:sz w:val="20"/>
          <w:szCs w:val="20"/>
          <w:rtl w:val="true"/>
        </w:rPr>
        <w:t>؛ تذکرة الفقها ،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111</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112</w:t>
      </w:r>
      <w:r>
        <w:rPr>
          <w:rFonts w:ascii="IRNazanin" w:hAnsi="IRNazanin" w:eastAsia="IRNazanin"/>
          <w:b w:val="false"/>
          <w:b w:val="false"/>
          <w:bCs w:val="false"/>
          <w:i w:val="false"/>
          <w:i w:val="false"/>
          <w:iCs w:val="false"/>
          <w:color w:val="333333"/>
          <w:sz w:val="20"/>
          <w:sz w:val="20"/>
          <w:szCs w:val="20"/>
          <w:rtl w:val="true"/>
        </w:rPr>
        <w:t>؛ الفقه علی المذاهب الأربعه ،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ـ</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ترجمه تفسیر المیزان ،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کافی ،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555</w:t>
      </w:r>
      <w:r>
        <w:rPr>
          <w:rFonts w:ascii="IRNazanin" w:hAnsi="IRNazanin" w:eastAsia="IRNazanin"/>
          <w:b w:val="false"/>
          <w:b w:val="false"/>
          <w:bCs w:val="false"/>
          <w:i w:val="false"/>
          <w:i w:val="false"/>
          <w:iCs w:val="false"/>
          <w:color w:val="333333"/>
          <w:sz w:val="20"/>
          <w:sz w:val="20"/>
          <w:szCs w:val="20"/>
          <w:rtl w:val="true"/>
        </w:rPr>
        <w:t>؛ وسائل الشیعه ، ج</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الفقه علی المذاهب الخمسه ، ص</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فقه السنه ،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تذکرة الفقها ،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مجموعه رسائل ابن‌عابدین ،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 الفقه علی المذاهب الخمسه ، ص</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الفقه علی المذاهب الاربعه ،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الفقه علی المذاهب الخمسه ، ص</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 ،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المنجد ، ص</w:t>
      </w:r>
      <w:r>
        <w:rPr>
          <w:rFonts w:eastAsia="IRNazanin" w:cs="IRNazanin"/>
          <w:b w:val="false"/>
          <w:bCs w:val="false"/>
          <w:i w:val="false"/>
          <w:iCs w:val="false"/>
          <w:color w:val="333333"/>
          <w:sz w:val="20"/>
          <w:szCs w:val="20"/>
        </w:rPr>
        <w:t>607</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علامه حلی، منتهی المطلب ،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169</w:t>
      </w:r>
      <w:r>
        <w:rPr>
          <w:rFonts w:ascii="IRNazanin" w:hAnsi="IRNazanin" w:eastAsia="IRNazanin"/>
          <w:b w:val="false"/>
          <w:b w:val="false"/>
          <w:bCs w:val="false"/>
          <w:i w:val="false"/>
          <w:i w:val="false"/>
          <w:iCs w:val="false"/>
          <w:color w:val="333333"/>
          <w:sz w:val="20"/>
          <w:sz w:val="20"/>
          <w:szCs w:val="20"/>
          <w:rtl w:val="true"/>
        </w:rPr>
        <w:t>؛ سنن دارمی ،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281</w:t>
      </w:r>
      <w:r>
        <w:rPr>
          <w:rFonts w:ascii="IRNazanin" w:hAnsi="IRNazanin" w:eastAsia="IRNazanin"/>
          <w:b w:val="false"/>
          <w:b w:val="false"/>
          <w:bCs w:val="false"/>
          <w:i w:val="false"/>
          <w:i w:val="false"/>
          <w:iCs w:val="false"/>
          <w:color w:val="333333"/>
          <w:sz w:val="20"/>
          <w:sz w:val="20"/>
          <w:szCs w:val="20"/>
          <w:rtl w:val="true"/>
        </w:rPr>
        <w:t>، مسند احمد ،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113</w:t>
      </w:r>
      <w:r>
        <w:rPr>
          <w:rFonts w:ascii="IRNazanin" w:hAnsi="IRNazanin" w:eastAsia="IRNazanin"/>
          <w:b w:val="false"/>
          <w:b w:val="false"/>
          <w:bCs w:val="false"/>
          <w:i w:val="false"/>
          <w:i w:val="false"/>
          <w:iCs w:val="false"/>
          <w:color w:val="333333"/>
          <w:sz w:val="20"/>
          <w:sz w:val="20"/>
          <w:szCs w:val="20"/>
          <w:rtl w:val="true"/>
        </w:rPr>
        <w:t>؛ به نقل از تذکرة الفقها ،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مسئله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 ،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حمید مبلغی،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قرآن در فقه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مجله فرهنگ کوثر ، اسفند </w:t>
      </w:r>
      <w:r>
        <w:rPr>
          <w:rFonts w:eastAsia="IRNazanin" w:cs="IRNazanin"/>
          <w:b w:val="false"/>
          <w:bCs w:val="false"/>
          <w:i w:val="false"/>
          <w:iCs w:val="false"/>
          <w:color w:val="333333"/>
          <w:sz w:val="20"/>
          <w:szCs w:val="20"/>
        </w:rPr>
        <w:t>1378</w:t>
      </w:r>
      <w:r>
        <w:rPr>
          <w:rFonts w:ascii="IRNazanin" w:hAnsi="IRNazanin" w:eastAsia="IRNazanin"/>
          <w:b w:val="false"/>
          <w:b w:val="false"/>
          <w:bCs w:val="false"/>
          <w:i w:val="false"/>
          <w:i w:val="false"/>
          <w:iCs w:val="false"/>
          <w:color w:val="333333"/>
          <w:sz w:val="20"/>
          <w:sz w:val="20"/>
          <w:szCs w:val="20"/>
          <w:rtl w:val="true"/>
        </w:rPr>
        <w:t>، ش</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علامه حلی، منتهی المطلب ،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صحیح بخاری ، فی الحج، باب من کبّر فی نواحی الکعبه، ج</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صحیح مسلم ،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968</w:t>
      </w:r>
      <w:r>
        <w:rPr>
          <w:rFonts w:ascii="IRNazanin" w:hAnsi="IRNazanin" w:eastAsia="IRNazanin"/>
          <w:b w:val="false"/>
          <w:b w:val="false"/>
          <w:bCs w:val="false"/>
          <w:i w:val="false"/>
          <w:i w:val="false"/>
          <w:iCs w:val="false"/>
          <w:color w:val="333333"/>
          <w:sz w:val="20"/>
          <w:sz w:val="20"/>
          <w:szCs w:val="20"/>
          <w:rtl w:val="true"/>
        </w:rPr>
        <w:t>، ش</w:t>
      </w:r>
      <w:r>
        <w:rPr>
          <w:rFonts w:eastAsia="IRNazanin" w:cs="IRNazanin"/>
          <w:b w:val="false"/>
          <w:bCs w:val="false"/>
          <w:i w:val="false"/>
          <w:iCs w:val="false"/>
          <w:color w:val="333333"/>
          <w:sz w:val="20"/>
          <w:szCs w:val="20"/>
        </w:rPr>
        <w:t>1330</w:t>
      </w:r>
      <w:r>
        <w:rPr>
          <w:rFonts w:ascii="IRNazanin" w:hAnsi="IRNazanin" w:eastAsia="IRNazanin"/>
          <w:b w:val="false"/>
          <w:b w:val="false"/>
          <w:bCs w:val="false"/>
          <w:i w:val="false"/>
          <w:i w:val="false"/>
          <w:iCs w:val="false"/>
          <w:color w:val="333333"/>
          <w:sz w:val="20"/>
          <w:sz w:val="20"/>
          <w:szCs w:val="20"/>
          <w:rtl w:val="true"/>
        </w:rPr>
        <w:t>؛ سنن نسائی ،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220</w:t>
      </w:r>
      <w:r>
        <w:rPr>
          <w:rFonts w:ascii="IRNazanin" w:hAnsi="IRNazanin" w:eastAsia="IRNazanin"/>
          <w:b w:val="false"/>
          <w:b w:val="false"/>
          <w:bCs w:val="false"/>
          <w:i w:val="false"/>
          <w:i w:val="false"/>
          <w:iCs w:val="false"/>
          <w:color w:val="333333"/>
          <w:sz w:val="20"/>
          <w:sz w:val="20"/>
          <w:szCs w:val="20"/>
          <w:rtl w:val="true"/>
        </w:rPr>
        <w:t>؛ سنن بیهقی ،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مسند أحمد ،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 ،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الام ،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94</w:t>
      </w:r>
      <w:r>
        <w:rPr>
          <w:rFonts w:ascii="IRNazanin" w:hAnsi="IRNazanin" w:eastAsia="IRNazanin"/>
          <w:b w:val="false"/>
          <w:b w:val="false"/>
          <w:bCs w:val="false"/>
          <w:i w:val="false"/>
          <w:i w:val="false"/>
          <w:iCs w:val="false"/>
          <w:color w:val="333333"/>
          <w:sz w:val="20"/>
          <w:sz w:val="20"/>
          <w:szCs w:val="20"/>
          <w:rtl w:val="true"/>
        </w:rPr>
        <w:t>؛ بدایة المجتهد ،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108</w:t>
      </w:r>
      <w:r>
        <w:rPr>
          <w:rFonts w:ascii="IRNazanin" w:hAnsi="IRNazanin" w:eastAsia="IRNazanin"/>
          <w:b w:val="false"/>
          <w:b w:val="false"/>
          <w:bCs w:val="false"/>
          <w:i w:val="false"/>
          <w:i w:val="false"/>
          <w:iCs w:val="false"/>
          <w:color w:val="333333"/>
          <w:sz w:val="20"/>
          <w:sz w:val="20"/>
          <w:szCs w:val="20"/>
          <w:rtl w:val="true"/>
        </w:rPr>
        <w:t>؛ المجموع ،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208</w:t>
      </w:r>
      <w:r>
        <w:rPr>
          <w:rFonts w:ascii="IRNazanin" w:hAnsi="IRNazanin" w:eastAsia="IRNazanin"/>
          <w:b w:val="false"/>
          <w:b w:val="false"/>
          <w:bCs w:val="false"/>
          <w:i w:val="false"/>
          <w:i w:val="false"/>
          <w:iCs w:val="false"/>
          <w:color w:val="333333"/>
          <w:sz w:val="20"/>
          <w:sz w:val="20"/>
          <w:szCs w:val="20"/>
          <w:rtl w:val="true"/>
        </w:rPr>
        <w:t>؛ به نقل از الخلاف شیخ طوسی ،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295</w:t>
      </w:r>
      <w:r>
        <w:rPr>
          <w:rFonts w:ascii="IRNazanin" w:hAnsi="IRNazanin" w:eastAsia="IRNazanin"/>
          <w:b w:val="false"/>
          <w:b w:val="false"/>
          <w:bCs w:val="false"/>
          <w:i w:val="false"/>
          <w:i w:val="false"/>
          <w:iCs w:val="false"/>
          <w:color w:val="333333"/>
          <w:sz w:val="20"/>
          <w:sz w:val="20"/>
          <w:szCs w:val="20"/>
          <w:rtl w:val="true"/>
        </w:rPr>
        <w:t>؛ الفقه علی المذاهب الخمسه ، ص</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المجموع ،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166</w:t>
      </w:r>
      <w:r>
        <w:rPr>
          <w:rFonts w:ascii="IRNazanin" w:hAnsi="IRNazanin" w:eastAsia="IRNazanin"/>
          <w:b w:val="false"/>
          <w:b w:val="false"/>
          <w:bCs w:val="false"/>
          <w:i w:val="false"/>
          <w:i w:val="false"/>
          <w:iCs w:val="false"/>
          <w:color w:val="333333"/>
          <w:sz w:val="20"/>
          <w:sz w:val="20"/>
          <w:szCs w:val="20"/>
          <w:rtl w:val="true"/>
        </w:rPr>
        <w:t>؛ بدایة المجتهد ،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114</w:t>
      </w:r>
      <w:r>
        <w:rPr>
          <w:rFonts w:ascii="IRNazanin" w:hAnsi="IRNazanin" w:eastAsia="IRNazanin"/>
          <w:b w:val="false"/>
          <w:b w:val="false"/>
          <w:bCs w:val="false"/>
          <w:i w:val="false"/>
          <w:i w:val="false"/>
          <w:iCs w:val="false"/>
          <w:color w:val="333333"/>
          <w:sz w:val="20"/>
          <w:sz w:val="20"/>
          <w:szCs w:val="20"/>
          <w:rtl w:val="true"/>
        </w:rPr>
        <w:t>؛ المغنی ،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651</w:t>
      </w:r>
      <w:r>
        <w:rPr>
          <w:rFonts w:ascii="IRNazanin" w:hAnsi="IRNazanin" w:eastAsia="IRNazanin"/>
          <w:b w:val="false"/>
          <w:b w:val="false"/>
          <w:bCs w:val="false"/>
          <w:i w:val="false"/>
          <w:i w:val="false"/>
          <w:iCs w:val="false"/>
          <w:color w:val="333333"/>
          <w:sz w:val="20"/>
          <w:sz w:val="20"/>
          <w:szCs w:val="20"/>
          <w:rtl w:val="true"/>
        </w:rPr>
        <w:t>؛ به نقل از تذکرة الفقها ،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444</w:t>
      </w:r>
      <w:r>
        <w:rPr>
          <w:rFonts w:ascii="IRNazanin" w:hAnsi="IRNazanin" w:eastAsia="IRNazanin"/>
          <w:b w:val="false"/>
          <w:b w:val="false"/>
          <w:bCs w:val="false"/>
          <w:i w:val="false"/>
          <w:i w:val="false"/>
          <w:iCs w:val="false"/>
          <w:color w:val="333333"/>
          <w:sz w:val="20"/>
          <w:sz w:val="20"/>
          <w:szCs w:val="20"/>
          <w:rtl w:val="true"/>
        </w:rPr>
        <w:t>، مسئله</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 شیخ طوسی ،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87</w:t>
      </w:r>
      <w:r>
        <w:rPr>
          <w:rFonts w:ascii="IRNazanin" w:hAnsi="IRNazanin" w:eastAsia="IRNazanin"/>
          <w:b w:val="false"/>
          <w:b w:val="false"/>
          <w:bCs w:val="false"/>
          <w:i w:val="false"/>
          <w:i w:val="false"/>
          <w:iCs w:val="false"/>
          <w:color w:val="333333"/>
          <w:sz w:val="20"/>
          <w:sz w:val="20"/>
          <w:szCs w:val="20"/>
          <w:rtl w:val="true"/>
        </w:rPr>
        <w:t>؛ المعتبر ، ص</w:t>
      </w:r>
      <w:r>
        <w:rPr>
          <w:rFonts w:eastAsia="IRNazanin" w:cs="IRNazanin"/>
          <w:b w:val="false"/>
          <w:bCs w:val="false"/>
          <w:i w:val="false"/>
          <w:iCs w:val="false"/>
          <w:color w:val="333333"/>
          <w:sz w:val="20"/>
          <w:szCs w:val="20"/>
        </w:rPr>
        <w:t>154</w:t>
      </w:r>
      <w:r>
        <w:rPr>
          <w:rFonts w:ascii="IRNazanin" w:hAnsi="IRNazanin" w:eastAsia="IRNazanin"/>
          <w:b w:val="false"/>
          <w:b w:val="false"/>
          <w:bCs w:val="false"/>
          <w:i w:val="false"/>
          <w:i w:val="false"/>
          <w:iCs w:val="false"/>
          <w:color w:val="333333"/>
          <w:sz w:val="20"/>
          <w:sz w:val="20"/>
          <w:szCs w:val="20"/>
          <w:rtl w:val="true"/>
        </w:rPr>
        <w:t>؛ السرائر ، ص</w:t>
      </w:r>
      <w:r>
        <w:rPr>
          <w:rFonts w:eastAsia="IRNazanin" w:cs="IRNazanin"/>
          <w:b w:val="false"/>
          <w:bCs w:val="false"/>
          <w:i w:val="false"/>
          <w:iCs w:val="false"/>
          <w:color w:val="333333"/>
          <w:sz w:val="20"/>
          <w:szCs w:val="20"/>
        </w:rPr>
        <w:t>55</w:t>
      </w:r>
      <w:r>
        <w:rPr>
          <w:rFonts w:ascii="IRNazanin" w:hAnsi="IRNazanin" w:eastAsia="IRNazanin"/>
          <w:b w:val="false"/>
          <w:b w:val="false"/>
          <w:bCs w:val="false"/>
          <w:i w:val="false"/>
          <w:i w:val="false"/>
          <w:iCs w:val="false"/>
          <w:color w:val="333333"/>
          <w:sz w:val="20"/>
          <w:sz w:val="20"/>
          <w:szCs w:val="20"/>
          <w:rtl w:val="true"/>
        </w:rPr>
        <w:t>؛ به نقل از تذکرة الفقها ،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445</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الفقه علی المذاهب الأربعه ،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168</w:t>
      </w:r>
      <w:r>
        <w:rPr>
          <w:rFonts w:ascii="IRNazanin" w:hAnsi="IRNazanin" w:eastAsia="IRNazanin"/>
          <w:b w:val="false"/>
          <w:b w:val="false"/>
          <w:bCs w:val="false"/>
          <w:i w:val="false"/>
          <w:i w:val="false"/>
          <w:iCs w:val="false"/>
          <w:color w:val="333333"/>
          <w:sz w:val="20"/>
          <w:sz w:val="20"/>
          <w:szCs w:val="20"/>
          <w:rtl w:val="true"/>
        </w:rPr>
        <w:t xml:space="preserve">؛ العروة الوثقی ،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550</w:t>
      </w:r>
      <w:r>
        <w:rPr>
          <w:rFonts w:ascii="IRNazanin" w:hAnsi="IRNazanin" w:eastAsia="IRNazanin"/>
          <w:b w:val="false"/>
          <w:b w:val="false"/>
          <w:bCs w:val="false"/>
          <w:i w:val="false"/>
          <w:i w:val="false"/>
          <w:iCs w:val="false"/>
          <w:color w:val="333333"/>
          <w:sz w:val="20"/>
          <w:sz w:val="20"/>
          <w:szCs w:val="20"/>
          <w:rtl w:val="true"/>
        </w:rPr>
        <w:t>ـ</w:t>
      </w:r>
      <w:r>
        <w:rPr>
          <w:rFonts w:eastAsia="IRNazanin" w:cs="IRNazanin"/>
          <w:b w:val="false"/>
          <w:bCs w:val="false"/>
          <w:i w:val="false"/>
          <w:iCs w:val="false"/>
          <w:color w:val="333333"/>
          <w:sz w:val="20"/>
          <w:szCs w:val="20"/>
        </w:rPr>
        <w:t>552</w:t>
      </w:r>
      <w:r>
        <w:rPr>
          <w:rFonts w:ascii="IRNazanin" w:hAnsi="IRNazanin" w:eastAsia="IRNazanin"/>
          <w:b w:val="false"/>
          <w:b w:val="false"/>
          <w:bCs w:val="false"/>
          <w:i w:val="false"/>
          <w:i w:val="false"/>
          <w:iCs w:val="false"/>
          <w:color w:val="333333"/>
          <w:sz w:val="20"/>
          <w:sz w:val="20"/>
          <w:szCs w:val="20"/>
          <w:rtl w:val="true"/>
        </w:rPr>
        <w:t>؛ فقه السنه ،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92</w:t>
      </w:r>
      <w:r>
        <w:rPr>
          <w:rFonts w:ascii="IRNazanin" w:hAnsi="IRNazanin" w:eastAsia="IRNazanin"/>
          <w:b w:val="false"/>
          <w:b w:val="false"/>
          <w:bCs w:val="false"/>
          <w:i w:val="false"/>
          <w:i w:val="false"/>
          <w:iCs w:val="false"/>
          <w:color w:val="333333"/>
          <w:sz w:val="20"/>
          <w:sz w:val="20"/>
          <w:szCs w:val="20"/>
          <w:rtl w:val="true"/>
        </w:rPr>
        <w:t>ـ</w:t>
      </w:r>
      <w:r>
        <w:rPr>
          <w:rFonts w:eastAsia="IRNazanin" w:cs="IRNazanin"/>
          <w:b w:val="false"/>
          <w:bCs w:val="false"/>
          <w:i w:val="false"/>
          <w:iCs w:val="false"/>
          <w:color w:val="333333"/>
          <w:sz w:val="20"/>
          <w:szCs w:val="20"/>
        </w:rPr>
        <w:t>94</w:t>
      </w:r>
      <w:r>
        <w:rPr>
          <w:rFonts w:ascii="IRNazanin" w:hAnsi="IRNazanin" w:eastAsia="IRNazanin"/>
          <w:b w:val="false"/>
          <w:b w:val="false"/>
          <w:bCs w:val="false"/>
          <w:i w:val="false"/>
          <w:i w:val="false"/>
          <w:iCs w:val="false"/>
          <w:color w:val="333333"/>
          <w:sz w:val="20"/>
          <w:sz w:val="20"/>
          <w:szCs w:val="20"/>
          <w:rtl w:val="true"/>
        </w:rPr>
        <w:t>؛ به نقل از درآمدی بر فقه مقارن ، ص</w:t>
      </w:r>
      <w:r>
        <w:rPr>
          <w:rFonts w:eastAsia="IRNazanin" w:cs="IRNazanin"/>
          <w:b w:val="false"/>
          <w:bCs w:val="false"/>
          <w:i w:val="false"/>
          <w:iCs w:val="false"/>
          <w:color w:val="333333"/>
          <w:sz w:val="20"/>
          <w:szCs w:val="20"/>
        </w:rPr>
        <w:t>190</w:t>
      </w:r>
      <w:r>
        <w:rPr>
          <w:rFonts w:ascii="IRNazanin" w:hAnsi="IRNazanin" w:eastAsia="IRNazanin"/>
          <w:b w:val="false"/>
          <w:b w:val="false"/>
          <w:bCs w:val="false"/>
          <w:i w:val="false"/>
          <w:i w:val="false"/>
          <w:iCs w:val="false"/>
          <w:color w:val="333333"/>
          <w:sz w:val="20"/>
          <w:sz w:val="20"/>
          <w:szCs w:val="20"/>
          <w:rtl w:val="true"/>
        </w:rPr>
        <w:t>؛ الفقه علی المذاهب الخمسه ، ص</w:t>
      </w:r>
      <w:r>
        <w:rPr>
          <w:rFonts w:eastAsia="IRNazanin" w:cs="IRNazanin"/>
          <w:b w:val="false"/>
          <w:bCs w:val="false"/>
          <w:i w:val="false"/>
          <w:iCs w:val="false"/>
          <w:color w:val="333333"/>
          <w:sz w:val="20"/>
          <w:szCs w:val="20"/>
        </w:rPr>
        <w:t>85</w:t>
      </w:r>
      <w:r>
        <w:rPr>
          <w:rFonts w:ascii="IRNazanin" w:hAnsi="IRNazanin" w:eastAsia="IRNazanin"/>
          <w:b w:val="false"/>
          <w:b w:val="false"/>
          <w:bCs w:val="false"/>
          <w:i w:val="false"/>
          <w:i w:val="false"/>
          <w:iCs w:val="false"/>
          <w:color w:val="333333"/>
          <w:sz w:val="20"/>
          <w:sz w:val="20"/>
          <w:szCs w:val="20"/>
          <w:rtl w:val="true"/>
        </w:rPr>
        <w:t>؛ تذکرة الفقها ،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445</w:t>
      </w:r>
      <w:r>
        <w:rPr>
          <w:rFonts w:ascii="IRNazanin" w:hAnsi="IRNazanin" w:eastAsia="IRNazanin"/>
          <w:b w:val="false"/>
          <w:b w:val="false"/>
          <w:bCs w:val="false"/>
          <w:i w:val="false"/>
          <w:i w:val="false"/>
          <w:iCs w:val="false"/>
          <w:color w:val="333333"/>
          <w:sz w:val="20"/>
          <w:sz w:val="20"/>
          <w:szCs w:val="20"/>
          <w:rtl w:val="true"/>
        </w:rPr>
        <w:t>ـ</w:t>
      </w:r>
      <w:r>
        <w:rPr>
          <w:rFonts w:eastAsia="IRNazanin" w:cs="IRNazanin"/>
          <w:b w:val="false"/>
          <w:bCs w:val="false"/>
          <w:i w:val="false"/>
          <w:iCs w:val="false"/>
          <w:color w:val="333333"/>
          <w:sz w:val="20"/>
          <w:szCs w:val="20"/>
        </w:rPr>
        <w:t>448</w:t>
      </w:r>
      <w:r>
        <w:rPr>
          <w:rFonts w:ascii="IRNazanin" w:hAnsi="IRNazanin" w:eastAsia="IRNazanin"/>
          <w:b w:val="false"/>
          <w:b w:val="false"/>
          <w:bCs w:val="false"/>
          <w:i w:val="false"/>
          <w:i w:val="false"/>
          <w:iCs w:val="false"/>
          <w:color w:val="333333"/>
          <w:sz w:val="20"/>
          <w:sz w:val="20"/>
          <w:szCs w:val="20"/>
          <w:rtl w:val="true"/>
        </w:rPr>
        <w:t xml:space="preserve">، مسئله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المجموع ،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167</w:t>
      </w:r>
      <w:r>
        <w:rPr>
          <w:rFonts w:ascii="IRNazanin" w:hAnsi="IRNazanin" w:eastAsia="IRNazanin"/>
          <w:b w:val="false"/>
          <w:b w:val="false"/>
          <w:bCs w:val="false"/>
          <w:i w:val="false"/>
          <w:i w:val="false"/>
          <w:iCs w:val="false"/>
          <w:color w:val="333333"/>
          <w:sz w:val="20"/>
          <w:sz w:val="20"/>
          <w:szCs w:val="20"/>
          <w:rtl w:val="true"/>
        </w:rPr>
        <w:t>؛ المغنی ،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651</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تذکرة الفقها ،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458</w:t>
      </w:r>
      <w:r>
        <w:rPr>
          <w:rFonts w:ascii="IRNazanin" w:hAnsi="IRNazanin" w:eastAsia="IRNazanin"/>
          <w:b w:val="false"/>
          <w:b w:val="false"/>
          <w:bCs w:val="false"/>
          <w:i w:val="false"/>
          <w:i w:val="false"/>
          <w:iCs w:val="false"/>
          <w:color w:val="333333"/>
          <w:sz w:val="20"/>
          <w:sz w:val="20"/>
          <w:szCs w:val="20"/>
          <w:rtl w:val="true"/>
        </w:rPr>
        <w:t>ـ</w:t>
      </w:r>
      <w:r>
        <w:rPr>
          <w:rFonts w:eastAsia="IRNazanin" w:cs="IRNazanin"/>
          <w:b w:val="false"/>
          <w:bCs w:val="false"/>
          <w:i w:val="false"/>
          <w:iCs w:val="false"/>
          <w:color w:val="333333"/>
          <w:sz w:val="20"/>
          <w:szCs w:val="20"/>
        </w:rPr>
        <w:t>510</w:t>
      </w:r>
      <w:r>
        <w:rPr>
          <w:rFonts w:ascii="IRNazanin" w:hAnsi="IRNazanin" w:eastAsia="IRNazanin"/>
          <w:b w:val="false"/>
          <w:b w:val="false"/>
          <w:bCs w:val="false"/>
          <w:i w:val="false"/>
          <w:i w:val="false"/>
          <w:iCs w:val="false"/>
          <w:color w:val="333333"/>
          <w:sz w:val="20"/>
          <w:sz w:val="20"/>
          <w:szCs w:val="20"/>
          <w:rtl w:val="true"/>
        </w:rPr>
        <w:t>؛ الفقه علی المذاهب الأربعه ،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169</w:t>
      </w:r>
      <w:r>
        <w:rPr>
          <w:rFonts w:ascii="IRNazanin" w:hAnsi="IRNazanin" w:eastAsia="IRNazanin"/>
          <w:b w:val="false"/>
          <w:b w:val="false"/>
          <w:bCs w:val="false"/>
          <w:i w:val="false"/>
          <w:i w:val="false"/>
          <w:iCs w:val="false"/>
          <w:color w:val="333333"/>
          <w:sz w:val="20"/>
          <w:sz w:val="20"/>
          <w:szCs w:val="20"/>
          <w:rtl w:val="true"/>
        </w:rPr>
        <w:t>؛ العروة الوثقی ،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555</w:t>
      </w:r>
      <w:r>
        <w:rPr>
          <w:rFonts w:ascii="IRNazanin" w:hAnsi="IRNazanin" w:eastAsia="IRNazanin"/>
          <w:b w:val="false"/>
          <w:b w:val="false"/>
          <w:bCs w:val="false"/>
          <w:i w:val="false"/>
          <w:i w:val="false"/>
          <w:iCs w:val="false"/>
          <w:color w:val="333333"/>
          <w:sz w:val="20"/>
          <w:sz w:val="20"/>
          <w:szCs w:val="20"/>
          <w:rtl w:val="true"/>
        </w:rPr>
        <w:t>ـ</w:t>
      </w:r>
      <w:r>
        <w:rPr>
          <w:rFonts w:eastAsia="IRNazanin" w:cs="IRNazanin"/>
          <w:b w:val="false"/>
          <w:bCs w:val="false"/>
          <w:i w:val="false"/>
          <w:iCs w:val="false"/>
          <w:color w:val="333333"/>
          <w:sz w:val="20"/>
          <w:szCs w:val="20"/>
        </w:rPr>
        <w:t>565</w:t>
      </w:r>
      <w:r>
        <w:rPr>
          <w:rFonts w:ascii="IRNazanin" w:hAnsi="IRNazanin" w:eastAsia="IRNazanin"/>
          <w:b w:val="false"/>
          <w:b w:val="false"/>
          <w:bCs w:val="false"/>
          <w:i w:val="false"/>
          <w:i w:val="false"/>
          <w:iCs w:val="false"/>
          <w:color w:val="333333"/>
          <w:sz w:val="20"/>
          <w:sz w:val="20"/>
          <w:szCs w:val="20"/>
          <w:rtl w:val="true"/>
        </w:rPr>
        <w:t xml:space="preserve">؛ الفقه علی المذاهب الأربعه و مذهب اهل البیت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288</w:t>
      </w:r>
      <w:r>
        <w:rPr>
          <w:rFonts w:ascii="IRNazanin" w:hAnsi="IRNazanin" w:eastAsia="IRNazanin"/>
          <w:b w:val="false"/>
          <w:b w:val="false"/>
          <w:bCs w:val="false"/>
          <w:i w:val="false"/>
          <w:i w:val="false"/>
          <w:iCs w:val="false"/>
          <w:color w:val="333333"/>
          <w:sz w:val="20"/>
          <w:sz w:val="20"/>
          <w:szCs w:val="20"/>
          <w:rtl w:val="true"/>
        </w:rPr>
        <w:t>؛ به نقل از درآمدی بر فقه مقارن ، ص</w:t>
      </w:r>
      <w:r>
        <w:rPr>
          <w:rFonts w:eastAsia="IRNazanin" w:cs="IRNazanin"/>
          <w:b w:val="false"/>
          <w:bCs w:val="false"/>
          <w:i w:val="false"/>
          <w:iCs w:val="false"/>
          <w:color w:val="333333"/>
          <w:sz w:val="20"/>
          <w:szCs w:val="20"/>
        </w:rPr>
        <w:t>203</w:t>
      </w:r>
      <w:r>
        <w:rPr>
          <w:rFonts w:ascii="IRNazanin" w:hAnsi="IRNazanin" w:eastAsia="IRNazanin"/>
          <w:b w:val="false"/>
          <w:b w:val="false"/>
          <w:bCs w:val="false"/>
          <w:i w:val="false"/>
          <w:i w:val="false"/>
          <w:iCs w:val="false"/>
          <w:color w:val="333333"/>
          <w:sz w:val="20"/>
          <w:sz w:val="20"/>
          <w:szCs w:val="20"/>
          <w:rtl w:val="true"/>
        </w:rPr>
        <w:t>؛ الفقه علی المذاهب الخمسه ، ص</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المغنی ،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758</w:t>
      </w:r>
      <w:r>
        <w:rPr>
          <w:rFonts w:ascii="IRNazanin" w:hAnsi="IRNazanin" w:eastAsia="IRNazanin"/>
          <w:b w:val="false"/>
          <w:b w:val="false"/>
          <w:bCs w:val="false"/>
          <w:i w:val="false"/>
          <w:i w:val="false"/>
          <w:iCs w:val="false"/>
          <w:color w:val="333333"/>
          <w:sz w:val="20"/>
          <w:sz w:val="20"/>
          <w:szCs w:val="20"/>
          <w:rtl w:val="true"/>
        </w:rPr>
        <w:t>؛ المجموع ،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164</w:t>
      </w:r>
      <w:r>
        <w:rPr>
          <w:rFonts w:ascii="IRNazanin" w:hAnsi="IRNazanin" w:eastAsia="IRNazanin"/>
          <w:b w:val="false"/>
          <w:b w:val="false"/>
          <w:bCs w:val="false"/>
          <w:i w:val="false"/>
          <w:i w:val="false"/>
          <w:iCs w:val="false"/>
          <w:color w:val="333333"/>
          <w:sz w:val="20"/>
          <w:sz w:val="20"/>
          <w:szCs w:val="20"/>
          <w:rtl w:val="true"/>
        </w:rPr>
        <w:t>؛ کشف القناع ،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295</w:t>
      </w:r>
      <w:r>
        <w:rPr>
          <w:rFonts w:ascii="IRNazanin" w:hAnsi="IRNazanin" w:eastAsia="IRNazanin"/>
          <w:b w:val="false"/>
          <w:b w:val="false"/>
          <w:bCs w:val="false"/>
          <w:i w:val="false"/>
          <w:i w:val="false"/>
          <w:iCs w:val="false"/>
          <w:color w:val="333333"/>
          <w:sz w:val="20"/>
          <w:sz w:val="20"/>
          <w:szCs w:val="20"/>
          <w:rtl w:val="true"/>
        </w:rPr>
        <w:t>؛ الشرح الکبیر ،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513</w:t>
      </w:r>
      <w:r>
        <w:rPr>
          <w:rFonts w:ascii="IRNazanin" w:hAnsi="IRNazanin" w:eastAsia="IRNazanin"/>
          <w:b w:val="false"/>
          <w:b w:val="false"/>
          <w:bCs w:val="false"/>
          <w:i w:val="false"/>
          <w:i w:val="false"/>
          <w:iCs w:val="false"/>
          <w:color w:val="333333"/>
          <w:sz w:val="20"/>
          <w:sz w:val="20"/>
          <w:szCs w:val="20"/>
          <w:rtl w:val="true"/>
        </w:rPr>
        <w:t>؛ به نقل از تذکرة الفقها ،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405</w:t>
      </w:r>
      <w:r>
        <w:rPr>
          <w:rFonts w:ascii="IRNazanin" w:hAnsi="IRNazanin" w:eastAsia="IRNazanin"/>
          <w:b w:val="false"/>
          <w:b w:val="false"/>
          <w:bCs w:val="false"/>
          <w:i w:val="false"/>
          <w:i w:val="false"/>
          <w:iCs w:val="false"/>
          <w:color w:val="333333"/>
          <w:sz w:val="20"/>
          <w:sz w:val="20"/>
          <w:szCs w:val="20"/>
          <w:rtl w:val="true"/>
        </w:rPr>
        <w:t>؛ الفقه علی المذاهب الخمسه ، ص</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الفقه علی المذاهب الأربعه ،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181</w:t>
      </w:r>
      <w:r>
        <w:rPr>
          <w:rFonts w:ascii="IRNazanin" w:hAnsi="IRNazanin" w:eastAsia="IRNazanin"/>
          <w:b w:val="false"/>
          <w:b w:val="false"/>
          <w:bCs w:val="false"/>
          <w:i w:val="false"/>
          <w:i w:val="false"/>
          <w:iCs w:val="false"/>
          <w:color w:val="333333"/>
          <w:sz w:val="20"/>
          <w:sz w:val="20"/>
          <w:szCs w:val="20"/>
          <w:rtl w:val="true"/>
        </w:rPr>
        <w:t>؛ به نقل از درآمدی بر فقه مقارن ، ص</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الکلام ،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401</w:t>
      </w:r>
      <w:r>
        <w:rPr>
          <w:rFonts w:ascii="IRNazanin" w:hAnsi="IRNazanin" w:eastAsia="IRNazanin"/>
          <w:b w:val="false"/>
          <w:b w:val="false"/>
          <w:bCs w:val="false"/>
          <w:i w:val="false"/>
          <w:i w:val="false"/>
          <w:iCs w:val="false"/>
          <w:color w:val="333333"/>
          <w:sz w:val="20"/>
          <w:sz w:val="20"/>
          <w:szCs w:val="20"/>
          <w:rtl w:val="true"/>
        </w:rPr>
        <w:t>؛ العروة الوثقی ،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596</w:t>
      </w:r>
      <w:r>
        <w:rPr>
          <w:rFonts w:ascii="IRNazanin" w:hAnsi="IRNazanin" w:eastAsia="IRNazanin"/>
          <w:b w:val="false"/>
          <w:b w:val="false"/>
          <w:bCs w:val="false"/>
          <w:i w:val="false"/>
          <w:i w:val="false"/>
          <w:iCs w:val="false"/>
          <w:color w:val="333333"/>
          <w:sz w:val="20"/>
          <w:sz w:val="20"/>
          <w:szCs w:val="20"/>
          <w:rtl w:val="true"/>
        </w:rPr>
        <w:t>؛ شیخ یوسف بحرانی، الحدائق الناضرة فی احکام العترة الطاهرة ،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238</w:t>
      </w:r>
      <w:r>
        <w:rPr>
          <w:rFonts w:ascii="IRNazanin" w:hAnsi="IRNazanin" w:eastAsia="IRNazanin"/>
          <w:b w:val="false"/>
          <w:b w:val="false"/>
          <w:bCs w:val="false"/>
          <w:i w:val="false"/>
          <w:i w:val="false"/>
          <w:iCs w:val="false"/>
          <w:color w:val="333333"/>
          <w:sz w:val="20"/>
          <w:sz w:val="20"/>
          <w:szCs w:val="20"/>
          <w:rtl w:val="true"/>
        </w:rPr>
        <w:t>، الفقه علی المذاهب الأربعه ،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231</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الکلام ،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402</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المجموع شرح المهذّب ،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249</w:t>
      </w:r>
      <w:r>
        <w:rPr>
          <w:rFonts w:ascii="IRNazanin" w:hAnsi="IRNazanin" w:eastAsia="IRNazanin"/>
          <w:b w:val="false"/>
          <w:b w:val="false"/>
          <w:bCs w:val="false"/>
          <w:i w:val="false"/>
          <w:i w:val="false"/>
          <w:iCs w:val="false"/>
          <w:color w:val="333333"/>
          <w:sz w:val="20"/>
          <w:sz w:val="20"/>
          <w:szCs w:val="20"/>
          <w:rtl w:val="true"/>
        </w:rPr>
        <w:t>؛ البغوی، التهذیب ،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165</w:t>
      </w:r>
      <w:r>
        <w:rPr>
          <w:rFonts w:ascii="IRNazanin" w:hAnsi="IRNazanin" w:eastAsia="IRNazanin"/>
          <w:b w:val="false"/>
          <w:b w:val="false"/>
          <w:bCs w:val="false"/>
          <w:i w:val="false"/>
          <w:i w:val="false"/>
          <w:iCs w:val="false"/>
          <w:color w:val="333333"/>
          <w:sz w:val="20"/>
          <w:sz w:val="20"/>
          <w:szCs w:val="20"/>
          <w:rtl w:val="true"/>
        </w:rPr>
        <w:t xml:space="preserve">؛ فتح العزیز فی شرح الوجیز ،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131</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132</w:t>
      </w:r>
      <w:r>
        <w:rPr>
          <w:rFonts w:ascii="IRNazanin" w:hAnsi="IRNazanin" w:eastAsia="IRNazanin"/>
          <w:b w:val="false"/>
          <w:b w:val="false"/>
          <w:bCs w:val="false"/>
          <w:i w:val="false"/>
          <w:i w:val="false"/>
          <w:iCs w:val="false"/>
          <w:color w:val="333333"/>
          <w:sz w:val="20"/>
          <w:sz w:val="20"/>
          <w:szCs w:val="20"/>
          <w:rtl w:val="true"/>
        </w:rPr>
        <w:t>؛ الانصاف ،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94</w:t>
      </w:r>
      <w:r>
        <w:rPr>
          <w:rFonts w:ascii="IRNazanin" w:hAnsi="IRNazanin" w:eastAsia="IRNazanin"/>
          <w:b w:val="false"/>
          <w:b w:val="false"/>
          <w:bCs w:val="false"/>
          <w:i w:val="false"/>
          <w:i w:val="false"/>
          <w:iCs w:val="false"/>
          <w:color w:val="333333"/>
          <w:sz w:val="20"/>
          <w:sz w:val="20"/>
          <w:szCs w:val="20"/>
          <w:rtl w:val="true"/>
        </w:rPr>
        <w:t xml:space="preserve">؛ به نقل 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عبور از مقابل نمازگزار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گنجینه معارف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نیز 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جواهرالکلام ،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404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406</w:t>
      </w:r>
      <w:r>
        <w:rPr>
          <w:rFonts w:ascii="IRNazanin" w:hAnsi="IRNazanin" w:eastAsia="IRNazanin"/>
          <w:b w:val="false"/>
          <w:b w:val="false"/>
          <w:bCs w:val="false"/>
          <w:i w:val="false"/>
          <w:i w:val="false"/>
          <w:iCs w:val="false"/>
          <w:color w:val="333333"/>
          <w:sz w:val="20"/>
          <w:sz w:val="20"/>
          <w:szCs w:val="20"/>
          <w:rtl w:val="true"/>
        </w:rPr>
        <w:t>؛ الفقه علی المذاهب الأربعه ،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233</w:t>
      </w:r>
      <w:r>
        <w:rPr>
          <w:rFonts w:ascii="IRNazanin" w:hAnsi="IRNazanin" w:eastAsia="IRNazanin"/>
          <w:b w:val="false"/>
          <w:b w:val="false"/>
          <w:bCs w:val="false"/>
          <w:i w:val="false"/>
          <w:i w:val="false"/>
          <w:iCs w:val="false"/>
          <w:color w:val="333333"/>
          <w:sz w:val="20"/>
          <w:sz w:val="20"/>
          <w:szCs w:val="20"/>
          <w:rtl w:val="true"/>
        </w:rPr>
        <w:t>ـ</w:t>
      </w:r>
      <w:r>
        <w:rPr>
          <w:rFonts w:eastAsia="IRNazanin" w:cs="IRNazanin"/>
          <w:b w:val="false"/>
          <w:bCs w:val="false"/>
          <w:i w:val="false"/>
          <w:iCs w:val="false"/>
          <w:color w:val="333333"/>
          <w:sz w:val="20"/>
          <w:szCs w:val="20"/>
        </w:rPr>
        <w:t>234</w:t>
      </w:r>
      <w:r>
        <w:rPr>
          <w:rFonts w:ascii="IRNazanin" w:hAnsi="IRNazanin" w:eastAsia="IRNazanin"/>
          <w:b w:val="false"/>
          <w:b w:val="false"/>
          <w:bCs w:val="false"/>
          <w:i w:val="false"/>
          <w:i w:val="false"/>
          <w:iCs w:val="false"/>
          <w:color w:val="333333"/>
          <w:sz w:val="20"/>
          <w:sz w:val="20"/>
          <w:szCs w:val="20"/>
          <w:rtl w:val="true"/>
        </w:rPr>
        <w:t>؛ فقه السنه ،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193</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194</w:t>
      </w:r>
      <w:r>
        <w:rPr>
          <w:rFonts w:ascii="IRNazanin" w:hAnsi="IRNazanin" w:eastAsia="IRNazanin"/>
          <w:b w:val="false"/>
          <w:b w:val="false"/>
          <w:bCs w:val="false"/>
          <w:i w:val="false"/>
          <w:i w:val="false"/>
          <w:iCs w:val="false"/>
          <w:color w:val="333333"/>
          <w:sz w:val="20"/>
          <w:sz w:val="20"/>
          <w:szCs w:val="20"/>
          <w:rtl w:val="true"/>
        </w:rPr>
        <w:t>؛ به نقل از درآمدی بر فقه مقارن ، ص</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المجموع ،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المغنی ،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القواعد النورانیّة الفقهیه ، ص</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برای آگاهی بیشتر از تفصیل این بحث، 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مجله فقه اهل بیت فارسی ، ش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xml:space="preserve">؛ امیر رحمانی،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عبور از مقابل نمازگزار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گنجینه معارف ، </w:t>
      </w:r>
      <w:r>
        <w:rPr>
          <w:rFonts w:eastAsia="IRNazanin" w:cs="IRNazanin"/>
          <w:b w:val="false"/>
          <w:bCs w:val="false"/>
          <w:i w:val="false"/>
          <w:iCs w:val="false"/>
          <w:color w:val="333333"/>
          <w:sz w:val="20"/>
          <w:szCs w:val="20"/>
        </w:rPr>
        <w:t>28/1/1387</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 ،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مسند احمد حنبل ،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151</w:t>
      </w:r>
      <w:r>
        <w:rPr>
          <w:rFonts w:ascii="IRNazanin" w:hAnsi="IRNazanin" w:eastAsia="IRNazanin"/>
          <w:b w:val="false"/>
          <w:b w:val="false"/>
          <w:bCs w:val="false"/>
          <w:i w:val="false"/>
          <w:i w:val="false"/>
          <w:iCs w:val="false"/>
          <w:color w:val="333333"/>
          <w:sz w:val="20"/>
          <w:sz w:val="20"/>
          <w:szCs w:val="20"/>
          <w:rtl w:val="true"/>
        </w:rPr>
        <w:t>؛ صحیح مسلم ،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59</w:t>
      </w:r>
      <w:r>
        <w:rPr>
          <w:rFonts w:ascii="IRNazanin" w:hAnsi="IRNazanin" w:eastAsia="IRNazanin"/>
          <w:b w:val="false"/>
          <w:b w:val="false"/>
          <w:bCs w:val="false"/>
          <w:i w:val="false"/>
          <w:i w:val="false"/>
          <w:iCs w:val="false"/>
          <w:color w:val="333333"/>
          <w:sz w:val="20"/>
          <w:sz w:val="20"/>
          <w:szCs w:val="20"/>
          <w:rtl w:val="true"/>
        </w:rPr>
        <w:t>؛ المجموع نووی ،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250</w:t>
      </w:r>
      <w:r>
        <w:rPr>
          <w:rFonts w:ascii="IRNazanin" w:hAnsi="IRNazanin" w:eastAsia="IRNazanin"/>
          <w:b w:val="false"/>
          <w:b w:val="false"/>
          <w:bCs w:val="false"/>
          <w:i w:val="false"/>
          <w:i w:val="false"/>
          <w:iCs w:val="false"/>
          <w:color w:val="333333"/>
          <w:sz w:val="20"/>
          <w:sz w:val="20"/>
          <w:szCs w:val="20"/>
          <w:rtl w:val="true"/>
        </w:rPr>
        <w:t>؛ المغنی ابنقدامه ،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الحدائق الناضره ،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334</w:t>
      </w:r>
      <w:r>
        <w:rPr>
          <w:rFonts w:ascii="IRNazanin" w:hAnsi="IRNazanin" w:eastAsia="IRNazanin"/>
          <w:b w:val="false"/>
          <w:b w:val="false"/>
          <w:bCs w:val="false"/>
          <w:i w:val="false"/>
          <w:i w:val="false"/>
          <w:iCs w:val="false"/>
          <w:color w:val="333333"/>
          <w:sz w:val="20"/>
          <w:sz w:val="20"/>
          <w:szCs w:val="20"/>
          <w:rtl w:val="true"/>
        </w:rPr>
        <w:t>؛ بحارالانوار ، ج</w:t>
      </w:r>
      <w:r>
        <w:rPr>
          <w:rFonts w:eastAsia="IRNazanin" w:cs="IRNazanin"/>
          <w:b w:val="false"/>
          <w:bCs w:val="false"/>
          <w:i w:val="false"/>
          <w:iCs w:val="false"/>
          <w:color w:val="333333"/>
          <w:sz w:val="20"/>
          <w:szCs w:val="20"/>
        </w:rPr>
        <w:t>80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علل الدارقطنی ،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من‌لایحضره‌الفقیه ،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توبه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سیره ابن هشام،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روح البیان ،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اسدالغابة ،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243</w:t>
      </w:r>
      <w:r>
        <w:rPr>
          <w:rFonts w:ascii="IRNazanin" w:hAnsi="IRNazanin" w:eastAsia="IRNazanin"/>
          <w:b w:val="false"/>
          <w:b w:val="false"/>
          <w:bCs w:val="false"/>
          <w:i w:val="false"/>
          <w:i w:val="false"/>
          <w:iCs w:val="false"/>
          <w:color w:val="333333"/>
          <w:sz w:val="20"/>
          <w:sz w:val="20"/>
          <w:szCs w:val="20"/>
          <w:rtl w:val="true"/>
        </w:rPr>
        <w:t>؛ انساب الاشراف ،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187</w:t>
      </w:r>
      <w:r>
        <w:rPr>
          <w:rFonts w:ascii="IRNazanin" w:hAnsi="IRNazanin" w:eastAsia="IRNazanin"/>
          <w:b w:val="false"/>
          <w:b w:val="false"/>
          <w:bCs w:val="false"/>
          <w:i w:val="false"/>
          <w:i w:val="false"/>
          <w:iCs w:val="false"/>
          <w:color w:val="333333"/>
          <w:sz w:val="20"/>
          <w:sz w:val="20"/>
          <w:szCs w:val="20"/>
          <w:rtl w:val="true"/>
        </w:rPr>
        <w:t>؛ تهذیب ،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روح البیان ،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سبل الهدی ،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358</w:t>
      </w:r>
      <w:r>
        <w:rPr>
          <w:rFonts w:ascii="IRNazanin" w:hAnsi="IRNazanin" w:eastAsia="IRNazanin"/>
          <w:b w:val="false"/>
          <w:b w:val="false"/>
          <w:bCs w:val="false"/>
          <w:i w:val="false"/>
          <w:i w:val="false"/>
          <w:iCs w:val="false"/>
          <w:color w:val="333333"/>
          <w:sz w:val="20"/>
          <w:sz w:val="20"/>
          <w:szCs w:val="20"/>
          <w:rtl w:val="true"/>
        </w:rPr>
        <w:t>؛ الکشف والبیان عن تفسیر القرآن ،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420</w:t>
      </w:r>
      <w:r>
        <w:rPr>
          <w:rFonts w:ascii="IRNazanin" w:hAnsi="IRNazanin" w:eastAsia="IRNazanin"/>
          <w:b w:val="false"/>
          <w:b w:val="false"/>
          <w:bCs w:val="false"/>
          <w:i w:val="false"/>
          <w:i w:val="false"/>
          <w:iCs w:val="false"/>
          <w:color w:val="333333"/>
          <w:sz w:val="20"/>
          <w:sz w:val="20"/>
          <w:szCs w:val="20"/>
          <w:rtl w:val="true"/>
        </w:rPr>
        <w:t>؛ بحارالانوار ، ج</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350</w:t>
      </w:r>
      <w:r>
        <w:rPr>
          <w:rFonts w:ascii="IRNazanin" w:hAnsi="IRNazanin" w:eastAsia="IRNazanin"/>
          <w:b w:val="false"/>
          <w:b w:val="false"/>
          <w:bCs w:val="false"/>
          <w:i w:val="false"/>
          <w:i w:val="false"/>
          <w:iCs w:val="false"/>
          <w:color w:val="333333"/>
          <w:sz w:val="20"/>
          <w:sz w:val="20"/>
          <w:szCs w:val="20"/>
          <w:rtl w:val="true"/>
        </w:rPr>
        <w:t>؛ تفسیر روح البیان ،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کافی ،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میان دو روایت، تعارض و تنافی وجود ندارد؛ زیرا هیچ بعید نیست که جبرئیل دو بار به مناسبت‌های مختلف، مطلبی را نازل کرده باشد؛ چنان‌که برخی سوره‌های قرآن نیز چنین‌اند</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امام علی علیه السلام تحدیث می‌شده؛ یعنی کلام فرشته وحی را می‌شنیده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صحیح بخاری ،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200</w:t>
      </w:r>
      <w:r>
        <w:rPr>
          <w:rFonts w:ascii="IRNazanin" w:hAnsi="IRNazanin" w:eastAsia="IRNazanin"/>
          <w:b w:val="false"/>
          <w:b w:val="false"/>
          <w:bCs w:val="false"/>
          <w:i w:val="false"/>
          <w:i w:val="false"/>
          <w:iCs w:val="false"/>
          <w:color w:val="333333"/>
          <w:sz w:val="20"/>
          <w:sz w:val="20"/>
          <w:szCs w:val="20"/>
          <w:rtl w:val="true"/>
        </w:rPr>
        <w:t>؛ شرح آن به نام ارشاد الساری ،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باب رجال یکلّمون من غیر أن یکونوا انبیاء</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کافی ،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امام صادق علیه السلام فرمود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ینزل الوحی علی نبیّکم فتزعمون أنّه أخذ الأَذان من عبداللّه بن زید؟</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جواهر الکلام ،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وسائل الشیعه ،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نمونه ،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439</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سنن ابن‌ماجه ،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باب بدء الاذان، ص</w:t>
      </w:r>
      <w:r>
        <w:rPr>
          <w:rFonts w:eastAsia="IRNazanin" w:cs="IRNazanin"/>
          <w:b w:val="false"/>
          <w:bCs w:val="false"/>
          <w:i w:val="false"/>
          <w:iCs w:val="false"/>
          <w:color w:val="333333"/>
          <w:sz w:val="20"/>
          <w:szCs w:val="20"/>
        </w:rPr>
        <w:t>233</w:t>
      </w:r>
      <w:r>
        <w:rPr>
          <w:rFonts w:ascii="IRNazanin" w:hAnsi="IRNazanin" w:eastAsia="IRNazanin"/>
          <w:b w:val="false"/>
          <w:b w:val="false"/>
          <w:bCs w:val="false"/>
          <w:i w:val="false"/>
          <w:i w:val="false"/>
          <w:iCs w:val="false"/>
          <w:color w:val="333333"/>
          <w:sz w:val="20"/>
          <w:sz w:val="20"/>
          <w:szCs w:val="20"/>
          <w:rtl w:val="true"/>
        </w:rPr>
        <w:t>؛ سنن ابوداود ،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باب بدء الاذان، ص</w:t>
      </w:r>
      <w:r>
        <w:rPr>
          <w:rFonts w:eastAsia="IRNazanin" w:cs="IRNazanin"/>
          <w:b w:val="false"/>
          <w:bCs w:val="false"/>
          <w:i w:val="false"/>
          <w:iCs w:val="false"/>
          <w:color w:val="333333"/>
          <w:sz w:val="20"/>
          <w:szCs w:val="20"/>
        </w:rPr>
        <w:t>120</w:t>
      </w:r>
      <w:r>
        <w:rPr>
          <w:rFonts w:ascii="IRNazanin" w:hAnsi="IRNazanin" w:eastAsia="IRNazanin"/>
          <w:b w:val="false"/>
          <w:b w:val="false"/>
          <w:bCs w:val="false"/>
          <w:i w:val="false"/>
          <w:i w:val="false"/>
          <w:iCs w:val="false"/>
          <w:color w:val="333333"/>
          <w:sz w:val="20"/>
          <w:sz w:val="20"/>
          <w:szCs w:val="20"/>
          <w:rtl w:val="true"/>
        </w:rPr>
        <w:t>؛ النص و الاجتهاد ، ص</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تشیع در تسنن ، ص</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230</w:t>
      </w:r>
      <w:r>
        <w:rPr>
          <w:rFonts w:ascii="IRNazanin" w:hAnsi="IRNazanin" w:eastAsia="IRNazanin"/>
          <w:b w:val="false"/>
          <w:b w:val="false"/>
          <w:bCs w:val="false"/>
          <w:i w:val="false"/>
          <w:i w:val="false"/>
          <w:iCs w:val="false"/>
          <w:color w:val="333333"/>
          <w:sz w:val="20"/>
          <w:sz w:val="20"/>
          <w:szCs w:val="20"/>
          <w:rtl w:val="true"/>
        </w:rPr>
        <w:t>؛ درسنامه فقه مقارن ، ص</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کافی ،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482</w:t>
      </w:r>
      <w:r>
        <w:rPr>
          <w:rFonts w:ascii="IRNazanin" w:hAnsi="IRNazanin" w:eastAsia="IRNazanin"/>
          <w:b w:val="false"/>
          <w:b w:val="false"/>
          <w:bCs w:val="false"/>
          <w:i w:val="false"/>
          <w:i w:val="false"/>
          <w:iCs w:val="false"/>
          <w:color w:val="333333"/>
          <w:sz w:val="20"/>
          <w:sz w:val="20"/>
          <w:szCs w:val="20"/>
          <w:rtl w:val="true"/>
        </w:rPr>
        <w:t>؛ بحارالانوار ، ج</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354</w:t>
      </w:r>
      <w:r>
        <w:rPr>
          <w:rFonts w:ascii="IRNazanin" w:hAnsi="IRNazanin" w:eastAsia="IRNazanin"/>
          <w:b w:val="false"/>
          <w:b w:val="false"/>
          <w:bCs w:val="false"/>
          <w:i w:val="false"/>
          <w:i w:val="false"/>
          <w:iCs w:val="false"/>
          <w:color w:val="333333"/>
          <w:sz w:val="20"/>
          <w:sz w:val="20"/>
          <w:szCs w:val="20"/>
          <w:rtl w:val="true"/>
        </w:rPr>
        <w:t>؛ الحدائق الناضره ،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436</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الفقه علی المذاهب الخمسه ، ص</w:t>
      </w:r>
      <w:r>
        <w:rPr>
          <w:rFonts w:eastAsia="IRNazanin" w:cs="IRNazanin"/>
          <w:b w:val="false"/>
          <w:bCs w:val="false"/>
          <w:i w:val="false"/>
          <w:iCs w:val="false"/>
          <w:color w:val="333333"/>
          <w:sz w:val="20"/>
          <w:szCs w:val="20"/>
        </w:rPr>
        <w:t>103</w:t>
      </w:r>
      <w:r>
        <w:rPr>
          <w:rFonts w:ascii="IRNazanin" w:hAnsi="IRNazanin" w:eastAsia="IRNazanin"/>
          <w:b w:val="false"/>
          <w:b w:val="false"/>
          <w:bCs w:val="false"/>
          <w:i w:val="false"/>
          <w:i w:val="false"/>
          <w:iCs w:val="false"/>
          <w:color w:val="333333"/>
          <w:sz w:val="20"/>
          <w:sz w:val="20"/>
          <w:szCs w:val="20"/>
          <w:rtl w:val="true"/>
        </w:rPr>
        <w:t>؛ فقه السنه ،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الفقه علی المذاهب الخمسه ، ص</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 ،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130</w:t>
      </w:r>
      <w:r>
        <w:rPr>
          <w:rFonts w:ascii="IRNazanin" w:hAnsi="IRNazanin" w:eastAsia="IRNazanin"/>
          <w:b w:val="false"/>
          <w:b w:val="false"/>
          <w:bCs w:val="false"/>
          <w:i w:val="false"/>
          <w:i w:val="false"/>
          <w:iCs w:val="false"/>
          <w:color w:val="333333"/>
          <w:sz w:val="20"/>
          <w:sz w:val="20"/>
          <w:szCs w:val="20"/>
          <w:rtl w:val="true"/>
        </w:rPr>
        <w:t>؛ بحرانی، الحدائق ،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419</w:t>
      </w:r>
      <w:r>
        <w:rPr>
          <w:rFonts w:ascii="IRNazanin" w:hAnsi="IRNazanin" w:eastAsia="IRNazanin"/>
          <w:b w:val="false"/>
          <w:b w:val="false"/>
          <w:bCs w:val="false"/>
          <w:i w:val="false"/>
          <w:i w:val="false"/>
          <w:iCs w:val="false"/>
          <w:color w:val="333333"/>
          <w:sz w:val="20"/>
          <w:sz w:val="20"/>
          <w:szCs w:val="20"/>
          <w:rtl w:val="true"/>
        </w:rPr>
        <w:t>؛ النهایة فی غریب الحدیث ،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226</w:t>
      </w:r>
      <w:r>
        <w:rPr>
          <w:rFonts w:ascii="IRNazanin" w:hAnsi="IRNazanin" w:eastAsia="IRNazanin"/>
          <w:b w:val="false"/>
          <w:b w:val="false"/>
          <w:bCs w:val="false"/>
          <w:i w:val="false"/>
          <w:i w:val="false"/>
          <w:iCs w:val="false"/>
          <w:color w:val="333333"/>
          <w:sz w:val="20"/>
          <w:sz w:val="20"/>
          <w:szCs w:val="20"/>
          <w:rtl w:val="true"/>
        </w:rPr>
        <w:t xml:space="preserve">؛ لسان العرب ، ماده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ثوب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القاموس ، ماده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ثوب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المغنی ،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420</w:t>
      </w:r>
      <w:r>
        <w:rPr>
          <w:rFonts w:ascii="IRNazanin" w:hAnsi="IRNazanin" w:eastAsia="IRNazanin"/>
          <w:b w:val="false"/>
          <w:b w:val="false"/>
          <w:bCs w:val="false"/>
          <w:i w:val="false"/>
          <w:i w:val="false"/>
          <w:iCs w:val="false"/>
          <w:color w:val="333333"/>
          <w:sz w:val="20"/>
          <w:sz w:val="20"/>
          <w:szCs w:val="20"/>
          <w:rtl w:val="true"/>
        </w:rPr>
        <w:t>؛ الشرح الکبیر ،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سنن ابن‌ماجه ،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237</w:t>
      </w:r>
      <w:r>
        <w:rPr>
          <w:rFonts w:ascii="IRNazanin" w:hAnsi="IRNazanin" w:eastAsia="IRNazanin"/>
          <w:b w:val="false"/>
          <w:b w:val="false"/>
          <w:bCs w:val="false"/>
          <w:i w:val="false"/>
          <w:i w:val="false"/>
          <w:iCs w:val="false"/>
          <w:color w:val="333333"/>
          <w:sz w:val="20"/>
          <w:sz w:val="20"/>
          <w:szCs w:val="20"/>
          <w:rtl w:val="true"/>
        </w:rPr>
        <w:t>، ش</w:t>
      </w:r>
      <w:r>
        <w:rPr>
          <w:rFonts w:eastAsia="IRNazanin" w:cs="IRNazanin"/>
          <w:b w:val="false"/>
          <w:bCs w:val="false"/>
          <w:i w:val="false"/>
          <w:iCs w:val="false"/>
          <w:color w:val="333333"/>
          <w:sz w:val="20"/>
          <w:szCs w:val="20"/>
        </w:rPr>
        <w:t>716</w:t>
      </w:r>
      <w:r>
        <w:rPr>
          <w:rFonts w:ascii="IRNazanin" w:hAnsi="IRNazanin" w:eastAsia="IRNazanin"/>
          <w:b w:val="false"/>
          <w:b w:val="false"/>
          <w:bCs w:val="false"/>
          <w:i w:val="false"/>
          <w:i w:val="false"/>
          <w:iCs w:val="false"/>
          <w:color w:val="333333"/>
          <w:sz w:val="20"/>
          <w:sz w:val="20"/>
          <w:szCs w:val="20"/>
          <w:rtl w:val="true"/>
        </w:rPr>
        <w:t>؛ السیره الحلبیه ، 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‌۹۷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سنن نسایی ،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التثویب فی الاذان</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مسائل الناصریات ، ص</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البیان ، ص</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قواعد الاحکام ،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266</w:t>
      </w:r>
      <w:r>
        <w:rPr>
          <w:rFonts w:ascii="IRNazanin" w:hAnsi="IRNazanin" w:eastAsia="IRNazanin"/>
          <w:b w:val="false"/>
          <w:b w:val="false"/>
          <w:bCs w:val="false"/>
          <w:i w:val="false"/>
          <w:i w:val="false"/>
          <w:iCs w:val="false"/>
          <w:color w:val="333333"/>
          <w:sz w:val="20"/>
          <w:sz w:val="20"/>
          <w:szCs w:val="20"/>
          <w:rtl w:val="true"/>
        </w:rPr>
        <w:t>؛ تذکرة الفقها ،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محدث بحرانی، الحدائق الناظرة ،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420</w:t>
      </w:r>
      <w:r>
        <w:rPr>
          <w:rFonts w:ascii="IRNazanin" w:hAnsi="IRNazanin" w:eastAsia="IRNazanin"/>
          <w:b w:val="false"/>
          <w:b w:val="false"/>
          <w:bCs w:val="false"/>
          <w:i w:val="false"/>
          <w:i w:val="false"/>
          <w:iCs w:val="false"/>
          <w:color w:val="333333"/>
          <w:sz w:val="20"/>
          <w:sz w:val="20"/>
          <w:szCs w:val="20"/>
          <w:rtl w:val="true"/>
        </w:rPr>
        <w:t>؛ شهید ثانی، المسالک ،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الخلاف ،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سألت ابا عبداللّه علیه السلام عن التثویب الذی یکون بین الاذان و الاقامة؟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نعرفه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تهذیب الاحکام ،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وسائل الشیعه ،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650</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موطأ مالک ، کتاب النداء للصلاة، ص</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النص و الاجتهاد ، ص</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نیل الأوطار ،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المحلی ،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خوارزمی، جامع المسانید ،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کنت مع ابن عمر فسمع رجلا یثوب فی المسجد فقال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اخرج بنا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المبتدع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صنعانی، المصنّف ،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475</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نیل الاوطار ،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المؤطا ، ص</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کنزالعمال ،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23174</w:t>
      </w:r>
      <w:r>
        <w:rPr>
          <w:rFonts w:eastAsia="IRNazanin" w:cs="IRNazanin"/>
          <w:b w:val="false"/>
          <w:bCs w:val="false"/>
          <w:i w:val="false"/>
          <w:iCs w:val="false"/>
          <w:color w:val="333333"/>
          <w:sz w:val="20"/>
          <w:szCs w:val="20"/>
          <w:rtl w:val="true"/>
        </w:rPr>
        <w:t xml:space="preserve"> .</w:t>
      </w:r>
    </w:p>
  </w:footnote>
  <w:footnote w:id="1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میزان الاعتدال ،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139</w:t>
      </w:r>
      <w:r>
        <w:rPr>
          <w:rFonts w:ascii="IRNazanin" w:hAnsi="IRNazanin" w:eastAsia="IRNazanin"/>
          <w:b w:val="false"/>
          <w:b w:val="false"/>
          <w:bCs w:val="false"/>
          <w:i w:val="false"/>
          <w:i w:val="false"/>
          <w:iCs w:val="false"/>
          <w:color w:val="333333"/>
          <w:sz w:val="20"/>
          <w:sz w:val="20"/>
          <w:szCs w:val="20"/>
          <w:rtl w:val="true"/>
        </w:rPr>
        <w:t>؛ لسان المیزان ،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268</w:t>
      </w:r>
      <w:r>
        <w:rPr>
          <w:rFonts w:ascii="IRNazanin" w:hAnsi="IRNazanin" w:eastAsia="IRNazanin"/>
          <w:b w:val="false"/>
          <w:b w:val="false"/>
          <w:bCs w:val="false"/>
          <w:i w:val="false"/>
          <w:i w:val="false"/>
          <w:iCs w:val="false"/>
          <w:color w:val="333333"/>
          <w:sz w:val="20"/>
          <w:sz w:val="20"/>
          <w:szCs w:val="20"/>
          <w:rtl w:val="true"/>
        </w:rPr>
        <w:t xml:space="preserve">؛ الأذان بحیّ علی خیر العمل ، ص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بیهقی، السنن الکبری ،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424</w:t>
      </w:r>
      <w:r>
        <w:rPr>
          <w:rFonts w:ascii="IRNazanin" w:hAnsi="IRNazanin" w:eastAsia="IRNazanin"/>
          <w:b w:val="false"/>
          <w:b w:val="false"/>
          <w:bCs w:val="false"/>
          <w:i w:val="false"/>
          <w:i w:val="false"/>
          <w:iCs w:val="false"/>
          <w:color w:val="333333"/>
          <w:sz w:val="20"/>
          <w:sz w:val="20"/>
          <w:szCs w:val="20"/>
          <w:rtl w:val="true"/>
        </w:rPr>
        <w:t>؛ المصنف ،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460</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425</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مسند احمد ،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408</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542</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عربی در فتوحات می‌گوید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جنگ خندق، آن‌گاه که صحابه پیامبر خندق می‌کندند، چون وقت نماز فرارسید، یک نفر از آنان ندا سر 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حَیَّ علی خیر العمل و از آن زمان سنت حسنه شد</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الفتوحات المکیه ،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الانتصار ، ص</w:t>
      </w:r>
      <w:r>
        <w:rPr>
          <w:rFonts w:eastAsia="IRNazanin" w:cs="IRNazanin"/>
          <w:b w:val="false"/>
          <w:bCs w:val="false"/>
          <w:i w:val="false"/>
          <w:iCs w:val="false"/>
          <w:color w:val="333333"/>
          <w:sz w:val="20"/>
          <w:szCs w:val="20"/>
        </w:rPr>
        <w:t>137</w:t>
      </w:r>
      <w:r>
        <w:rPr>
          <w:rFonts w:ascii="IRNazanin" w:hAnsi="IRNazanin" w:eastAsia="IRNazanin"/>
          <w:b w:val="false"/>
          <w:b w:val="false"/>
          <w:bCs w:val="false"/>
          <w:i w:val="false"/>
          <w:i w:val="false"/>
          <w:iCs w:val="false"/>
          <w:color w:val="333333"/>
          <w:sz w:val="20"/>
          <w:sz w:val="20"/>
          <w:szCs w:val="20"/>
          <w:rtl w:val="true"/>
        </w:rPr>
        <w:t xml:space="preserve">، باب وجوب قول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حَیّ عَلی خیر العمل</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حی علی خیر العمل بین الشرعیة و الابتداع ، ص</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الأذان بحی علی خیر العمل ، ص</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بیهقی ،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425</w:t>
      </w:r>
      <w:r>
        <w:rPr>
          <w:rFonts w:ascii="IRNazanin" w:hAnsi="IRNazanin" w:eastAsia="IRNazanin"/>
          <w:b w:val="false"/>
          <w:b w:val="false"/>
          <w:bCs w:val="false"/>
          <w:i w:val="false"/>
          <w:i w:val="false"/>
          <w:iCs w:val="false"/>
          <w:color w:val="333333"/>
          <w:sz w:val="20"/>
          <w:sz w:val="20"/>
          <w:szCs w:val="20"/>
          <w:rtl w:val="true"/>
        </w:rPr>
        <w:t>؛ هیثمی، مجمع الزوائد ،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تجرید قوشجی ، ص</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شیخ صدوق، علل الشرائع ،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سیره حلبی ،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 xml:space="preserve"> .</w:t>
      </w:r>
    </w:p>
  </w:footnote>
  <w:footnote w:id="1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حسین بن علی بن حسن معروف به صاحب فخ</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ابوالفرج اصفهانی مقاتل الطالبیین ، ، ص</w:t>
      </w:r>
      <w:r>
        <w:rPr>
          <w:rFonts w:eastAsia="IRNazanin" w:cs="IRNazanin"/>
          <w:b w:val="false"/>
          <w:bCs w:val="false"/>
          <w:i w:val="false"/>
          <w:iCs w:val="false"/>
          <w:color w:val="333333"/>
          <w:sz w:val="20"/>
          <w:szCs w:val="20"/>
        </w:rPr>
        <w:t>446</w:t>
      </w:r>
      <w:r>
        <w:rPr>
          <w:rFonts w:eastAsia="IRNazanin" w:cs="IRNazanin"/>
          <w:b w:val="false"/>
          <w:bCs w:val="false"/>
          <w:i w:val="false"/>
          <w:iCs w:val="false"/>
          <w:color w:val="333333"/>
          <w:sz w:val="20"/>
          <w:szCs w:val="20"/>
          <w:rtl w:val="true"/>
        </w:rPr>
        <w:t xml:space="preserve"> .</w:t>
      </w:r>
    </w:p>
  </w:footnote>
  <w:footnote w:id="1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سیره حلبی ،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 xml:space="preserve"> .</w:t>
      </w:r>
    </w:p>
  </w:footnote>
  <w:footnote w:id="1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احتجاج طبرسی ، ص</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مستدرک سفینة البحار ،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القطوف الدانیة ،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 به نقل از فقه مقارن ، ص</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النص و الاجتهاد ، ص</w:t>
      </w:r>
      <w:r>
        <w:rPr>
          <w:rFonts w:eastAsia="IRNazanin" w:cs="IRNazanin"/>
          <w:b w:val="false"/>
          <w:bCs w:val="false"/>
          <w:i w:val="false"/>
          <w:iCs w:val="false"/>
          <w:color w:val="333333"/>
          <w:sz w:val="20"/>
          <w:szCs w:val="20"/>
        </w:rPr>
        <w:t>207</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برای آشنایی بیشتر با این بحث، 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سایت آموزشی پژوهشی مؤسسه مذاهب اسلامی، پرسش و پاسخ فقهی </w:t>
      </w:r>
      <w:r>
        <w:rPr>
          <w:rFonts w:eastAsia="IRNazanin" w:cs="IRNazanin"/>
          <w:b w:val="false"/>
          <w:bCs w:val="false"/>
          <w:i w:val="false"/>
          <w:iCs w:val="false"/>
          <w:color w:val="333333"/>
          <w:sz w:val="20"/>
          <w:szCs w:val="20"/>
        </w:rPr>
        <w:t>www.mazaheb.com</w:t>
      </w:r>
      <w:r>
        <w:rPr>
          <w:rFonts w:eastAsia="IRNazanin" w:cs="IRNazanin"/>
          <w:b w:val="false"/>
          <w:bCs w:val="false"/>
          <w:i w:val="false"/>
          <w:iCs w:val="false"/>
          <w:color w:val="333333"/>
          <w:sz w:val="20"/>
          <w:szCs w:val="20"/>
          <w:rtl w:val="true"/>
        </w:rPr>
        <w:t xml:space="preserve"> .</w:t>
      </w:r>
    </w:p>
  </w:footnote>
  <w:footnote w:id="1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صحیح بخاری ، باب تأخیر الظهر الی العصر، ح</w:t>
      </w:r>
      <w:r>
        <w:rPr>
          <w:rFonts w:eastAsia="IRNazanin" w:cs="IRNazanin"/>
          <w:b w:val="false"/>
          <w:bCs w:val="false"/>
          <w:i w:val="false"/>
          <w:iCs w:val="false"/>
          <w:color w:val="333333"/>
          <w:sz w:val="20"/>
          <w:szCs w:val="20"/>
        </w:rPr>
        <w:t>518</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باب ذکر العشاء والعتمة ومن رآه واسعا</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باب وقت العصر، ح</w:t>
      </w:r>
      <w:r>
        <w:rPr>
          <w:rFonts w:eastAsia="IRNazanin" w:cs="IRNazanin"/>
          <w:b w:val="false"/>
          <w:bCs w:val="false"/>
          <w:i w:val="false"/>
          <w:iCs w:val="false"/>
          <w:color w:val="333333"/>
          <w:sz w:val="20"/>
          <w:szCs w:val="20"/>
        </w:rPr>
        <w:t>524</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صحیح مسلم ، باب الجمع بین الصلاتین فی الحضر، ح</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سنن ترمذی ،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354</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سنن بیهقی ،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موطا ،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144</w:t>
      </w:r>
      <w:r>
        <w:rPr>
          <w:rFonts w:ascii="IRNazanin" w:hAnsi="IRNazanin" w:eastAsia="IRNazanin"/>
          <w:b w:val="false"/>
          <w:b w:val="false"/>
          <w:bCs w:val="false"/>
          <w:i w:val="false"/>
          <w:i w:val="false"/>
          <w:iCs w:val="false"/>
          <w:color w:val="333333"/>
          <w:sz w:val="20"/>
          <w:sz w:val="20"/>
          <w:szCs w:val="20"/>
          <w:rtl w:val="true"/>
        </w:rPr>
        <w:t>،کتاب قصر الصلاة فی السفر</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مسند امام احمدبن حنبل ،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کنزالعمال ، کتاب الصلاة، الباب الرابع فی صلاة المسافر، باب جمع،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لا یحضره الفقیه ،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کافی ،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286</w:t>
      </w:r>
      <w:r>
        <w:rPr>
          <w:rFonts w:ascii="IRNazanin" w:hAnsi="IRNazanin" w:eastAsia="IRNazanin"/>
          <w:b w:val="false"/>
          <w:b w:val="false"/>
          <w:bCs w:val="false"/>
          <w:i w:val="false"/>
          <w:i w:val="false"/>
          <w:iCs w:val="false"/>
          <w:color w:val="333333"/>
          <w:sz w:val="20"/>
          <w:sz w:val="20"/>
          <w:szCs w:val="20"/>
          <w:rtl w:val="true"/>
        </w:rPr>
        <w:t xml:space="preserve">؛ وسائل الشیعه ،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ابواب المواقیت، ص</w:t>
      </w:r>
      <w:r>
        <w:rPr>
          <w:rFonts w:eastAsia="IRNazanin" w:cs="IRNazanin"/>
          <w:b w:val="false"/>
          <w:bCs w:val="false"/>
          <w:i w:val="false"/>
          <w:iCs w:val="false"/>
          <w:color w:val="333333"/>
          <w:sz w:val="20"/>
          <w:szCs w:val="20"/>
        </w:rPr>
        <w:t>162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مالک بن انس، از ابوهریره چنین روایت می‌کند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إنّ رَسُولَ اللّه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کانَ یَجْمَعُ بَیْنَ الظُّهرِ وَالْعَصْرِ فی سَفَرِهِ إِلی تَبُوک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پیامبر گرامی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راه تبوک، نماز ظهر و عصر را با هم به جا می‌آورد</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موطأ مالک ، کتاب الصلاة، ص</w:t>
      </w:r>
      <w:r>
        <w:rPr>
          <w:rFonts w:eastAsia="IRNazanin" w:cs="IRNazanin"/>
          <w:b w:val="false"/>
          <w:bCs w:val="false"/>
          <w:i w:val="false"/>
          <w:iCs w:val="false"/>
          <w:color w:val="333333"/>
          <w:sz w:val="20"/>
          <w:szCs w:val="20"/>
        </w:rPr>
        <w:t>124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معاذ بن جبل می گوید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ان النبی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کان فی غزوة تبوک اذا ارتحل قبل زیغ الشمس اخّر الظهر الی ان یجمعها الی العصر فیصلیها جمعاً و اذا ارتحل بعد زیغ الشمس عجل العصر الی الظهر و صلی الظهر و العصر جمیعاً ثم سار و کان اذا ارتحل قبل المغرب اخر المغرب حتی یصلیها مع العشاء و اذا ارتحل بعد المغرب العشاء فصلاها مع المغرب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هرگاه پیامبر در جنگ تبوک می‌خواست پیش از زوال خورشید کوچ کند، ظهر را تأخیر می‌انداخت تا آن را با عصر جمع نماید و هر دو را با هم می‌خواند، و هرگاه می‌خواست بعد از زوال خورشید کوچ کند، عصر را با ظهر می‌انداخت و عصر را با هم می‌خواند و سپس به راه می‌افتاد، و هرگاه قبل از مغرب کوچ می‌نمود، عشا را جلو می‌انداخت تا آن را با مغرب بخواند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سنن ترمذی، الجامع الصحیح ،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439</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کانَ رَسُولُ اللّهِ صلی الله علیه و آله إِذا عَجّل بِهِ السَّیْرُ یَجمَعُ بَیْنَ الْمَغْرِبِ وَالعِشاءِ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هرگاه پیامبر برای پیمودن مسیری عجله داشت، نماز مغرب و عشا را با هم می خواند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بدایة المجتهد،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مالک بن انس به نقل از علی بن حسین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می‌نگارد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کانَ رَسُولُ اللّهِ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أَرادَ أَنْ یَسیرَ یومَهُ جَمَعَ بَیْنَ الظُّهرِ وَالْعَصْرِ وَإِذا أَرادَ أَنْ یَسیرَ لَیْلَهُ جَمَعَ بَیْنَ الْمَغْرِبِ وَالْعِشاء ؛ هرگاه پیامبرمی خواست در روز، طی طریق نماید، نماز ظهر و عصر را با هم ادا می‌کرد و هرگاه می‌خواست در شب مسیری را بپیماید، نماز مغرب و عشا را با هم به جا می‌آورد</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موطأ مالک ، کتاب الصلاة، ص</w:t>
      </w:r>
      <w:r>
        <w:rPr>
          <w:rFonts w:eastAsia="IRNazanin" w:cs="IRNazanin"/>
          <w:b w:val="false"/>
          <w:bCs w:val="false"/>
          <w:i w:val="false"/>
          <w:iCs w:val="false"/>
          <w:color w:val="333333"/>
          <w:sz w:val="20"/>
          <w:szCs w:val="20"/>
        </w:rPr>
        <w:t>125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مالک در موطّأ از نافع چنین روایت می‌نماید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 عَبْدَ اللّهِ بنِ عُمَرَ کانَ إِذا جَمَعَ الأُمَراءَ بَیْنَ المَغْرِبِ وَالْعِشاءِ فی الْمَطَر جَمَعَ مَعَهُمْ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هرگاه امیران، نماز مغرب و عشا را در باران با هم می خواندند، عبداللّه بن عمر هم هر دو نماز را با آنها ادا می نمود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 ح</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نووی می‌گوید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 منهم من قال هو محمول علی الجمع بعذر المرض او نحوه مما هو فی معناه من الاعذار و هذا قول احمد بن حنبل و قاضی حسین و هو المختار فی تأویله لظاهر الحدیث لفعل ابن عباس و موافقه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ابی هریره و لان المشتقه فیه اشد من المطر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برخی گفته‌اند جمع، بر عذر و مرض یا غیرش حمل می‌شود و این سخن احمد بن حنبل و قاضی حسین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توجیه مختار ما، توجیه ظاهر حدیث است؛ به دلیل فعل ابن عباس و موافقت ابوهریره، و نیز به دلیل اینکه مشقت در مریضی، از باران بیشتر است</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ازاله الخطر عمن جمع بین الصلاتین فی الحضر ، ص</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درسنامه فقه مقارن ، ص</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پیامبر اعظم صلی الله علیه و آله ،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سیره و تاریخ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اللّه یرید یکم الیسر و لا یرید بکم العسر</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مسائل فقهیه ، ص</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البیان ،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434</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التفسیر الکبیر ، ج</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العروة الوثقی ،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433</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الفقه علی المذاهب الخمسه ، ص</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115</w:t>
      </w:r>
      <w:r>
        <w:rPr>
          <w:rFonts w:ascii="IRNazanin" w:hAnsi="IRNazanin" w:eastAsia="IRNazanin"/>
          <w:b w:val="false"/>
          <w:b w:val="false"/>
          <w:bCs w:val="false"/>
          <w:i w:val="false"/>
          <w:i w:val="false"/>
          <w:iCs w:val="false"/>
          <w:color w:val="333333"/>
          <w:sz w:val="20"/>
          <w:sz w:val="20"/>
          <w:szCs w:val="20"/>
          <w:rtl w:val="true"/>
        </w:rPr>
        <w:t>؛ تذکرة الفقها ،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249</w:t>
      </w:r>
      <w:r>
        <w:rPr>
          <w:rFonts w:ascii="IRNazanin" w:hAnsi="IRNazanin" w:eastAsia="IRNazanin"/>
          <w:b w:val="false"/>
          <w:b w:val="false"/>
          <w:bCs w:val="false"/>
          <w:i w:val="false"/>
          <w:i w:val="false"/>
          <w:iCs w:val="false"/>
          <w:color w:val="333333"/>
          <w:sz w:val="20"/>
          <w:sz w:val="20"/>
          <w:szCs w:val="20"/>
          <w:rtl w:val="true"/>
        </w:rPr>
        <w:t>؛ فقه السنه ،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141</w:t>
      </w:r>
      <w:r>
        <w:rPr>
          <w:rFonts w:ascii="IRNazanin" w:hAnsi="IRNazanin" w:eastAsia="IRNazanin"/>
          <w:b w:val="false"/>
          <w:b w:val="false"/>
          <w:bCs w:val="false"/>
          <w:i w:val="false"/>
          <w:i w:val="false"/>
          <w:iCs w:val="false"/>
          <w:color w:val="333333"/>
          <w:sz w:val="20"/>
          <w:sz w:val="20"/>
          <w:szCs w:val="20"/>
          <w:rtl w:val="true"/>
        </w:rPr>
        <w:t>؛ الفقه علی المذاهب الأربعه ،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سیره ابنهشام ،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مسند شافعی ، ص</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تفسیر فخر رازی ،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204</w:t>
      </w:r>
      <w:r>
        <w:rPr>
          <w:rFonts w:ascii="IRNazanin" w:hAnsi="IRNazanin" w:eastAsia="IRNazanin"/>
          <w:b w:val="false"/>
          <w:b w:val="false"/>
          <w:bCs w:val="false"/>
          <w:i w:val="false"/>
          <w:i w:val="false"/>
          <w:iCs w:val="false"/>
          <w:color w:val="333333"/>
          <w:sz w:val="20"/>
          <w:sz w:val="20"/>
          <w:szCs w:val="20"/>
          <w:rtl w:val="true"/>
        </w:rPr>
        <w:t>؛ مستدرک حاکم ،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مستدرک حاکم ،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الدرّ المنثور ،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السنن الکبری ،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حجر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طبری ، ج</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الفقه علی المذاهب الأربعه ،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222</w:t>
      </w:r>
      <w:r>
        <w:rPr>
          <w:rFonts w:ascii="IRNazanin" w:hAnsi="IRNazanin" w:eastAsia="IRNazanin"/>
          <w:b w:val="false"/>
          <w:b w:val="false"/>
          <w:bCs w:val="false"/>
          <w:i w:val="false"/>
          <w:i w:val="false"/>
          <w:iCs w:val="false"/>
          <w:color w:val="333333"/>
          <w:sz w:val="20"/>
          <w:sz w:val="20"/>
          <w:szCs w:val="20"/>
          <w:rtl w:val="true"/>
        </w:rPr>
        <w:t>؛ فقه السنه ،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 xml:space="preserve">؛ الفقه علی المذاهب الأربعه و مذهب اهل البیت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366</w:t>
      </w:r>
      <w:r>
        <w:rPr>
          <w:rFonts w:ascii="IRNazanin" w:hAnsi="IRNazanin" w:eastAsia="IRNazanin"/>
          <w:b w:val="false"/>
          <w:b w:val="false"/>
          <w:bCs w:val="false"/>
          <w:i w:val="false"/>
          <w:i w:val="false"/>
          <w:iCs w:val="false"/>
          <w:color w:val="333333"/>
          <w:sz w:val="20"/>
          <w:sz w:val="20"/>
          <w:szCs w:val="20"/>
          <w:rtl w:val="true"/>
        </w:rPr>
        <w:t>؛ تذکرة الفقها ،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132</w:t>
      </w:r>
      <w:r>
        <w:rPr>
          <w:rFonts w:ascii="IRNazanin" w:hAnsi="IRNazanin" w:eastAsia="IRNazanin"/>
          <w:b w:val="false"/>
          <w:b w:val="false"/>
          <w:bCs w:val="false"/>
          <w:i w:val="false"/>
          <w:i w:val="false"/>
          <w:iCs w:val="false"/>
          <w:color w:val="333333"/>
          <w:sz w:val="20"/>
          <w:sz w:val="20"/>
          <w:szCs w:val="20"/>
          <w:rtl w:val="true"/>
        </w:rPr>
        <w:t>ـ</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صحیح مسلم ،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باب حجة من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یجهر بالبسمله</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مستدرک حاکم ،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فخر رازی ،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برای اطلاع بیشتر، 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اصغر رضوانی، فقه مقارن ، ص</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السنن الکبری ،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باب الدلیل علی ان بسم الله الرحمن الرحیم آیة تامة من الفاتحه؛ تفسیر فخر رازی ،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تهذیب الاحکام ،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289</w:t>
      </w:r>
      <w:r>
        <w:rPr>
          <w:rFonts w:ascii="IRNazanin" w:hAnsi="IRNazanin" w:eastAsia="IRNazanin"/>
          <w:b w:val="false"/>
          <w:b w:val="false"/>
          <w:bCs w:val="false"/>
          <w:i w:val="false"/>
          <w:i w:val="false"/>
          <w:iCs w:val="false"/>
          <w:color w:val="333333"/>
          <w:sz w:val="20"/>
          <w:sz w:val="20"/>
          <w:szCs w:val="20"/>
          <w:rtl w:val="true"/>
        </w:rPr>
        <w:t>؛ کافی ،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312</w:t>
      </w:r>
      <w:r>
        <w:rPr>
          <w:rFonts w:ascii="IRNazanin" w:hAnsi="IRNazanin" w:eastAsia="IRNazanin"/>
          <w:b w:val="false"/>
          <w:b w:val="false"/>
          <w:bCs w:val="false"/>
          <w:i w:val="false"/>
          <w:i w:val="false"/>
          <w:iCs w:val="false"/>
          <w:color w:val="333333"/>
          <w:sz w:val="20"/>
          <w:sz w:val="20"/>
          <w:szCs w:val="20"/>
          <w:rtl w:val="true"/>
        </w:rPr>
        <w:t>؛ عیون اخبارالرضا ،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مستدرک ،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سنن دارقطنی ،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305</w:t>
      </w:r>
      <w:r>
        <w:rPr>
          <w:rFonts w:ascii="IRNazanin" w:hAnsi="IRNazanin" w:eastAsia="IRNazanin"/>
          <w:b w:val="false"/>
          <w:b w:val="false"/>
          <w:bCs w:val="false"/>
          <w:i w:val="false"/>
          <w:i w:val="false"/>
          <w:iCs w:val="false"/>
          <w:color w:val="333333"/>
          <w:sz w:val="20"/>
          <w:sz w:val="20"/>
          <w:szCs w:val="20"/>
          <w:rtl w:val="true"/>
        </w:rPr>
        <w:t>؛ الدرّ المنثور ،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الدرّ المنثور ،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فخر رازی ،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جواهرالکلام ، 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وسائل الشیعه ،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ابواب قواطع الصلاة، باب</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264</w:t>
      </w:r>
      <w:r>
        <w:rPr>
          <w:rFonts w:ascii="IRNazanin" w:hAnsi="IRNazanin" w:eastAsia="IRNazanin"/>
          <w:b w:val="false"/>
          <w:b w:val="false"/>
          <w:bCs w:val="false"/>
          <w:i w:val="false"/>
          <w:i w:val="false"/>
          <w:iCs w:val="false"/>
          <w:color w:val="333333"/>
          <w:sz w:val="20"/>
          <w:sz w:val="20"/>
          <w:szCs w:val="20"/>
          <w:rtl w:val="true"/>
        </w:rPr>
        <w:t>؛ العروة الوثقی ،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706</w:t>
      </w:r>
      <w:r>
        <w:rPr>
          <w:rFonts w:ascii="IRNazanin" w:hAnsi="IRNazanin" w:eastAsia="IRNazanin"/>
          <w:b w:val="false"/>
          <w:b w:val="false"/>
          <w:bCs w:val="false"/>
          <w:i w:val="false"/>
          <w:i w:val="false"/>
          <w:iCs w:val="false"/>
          <w:color w:val="333333"/>
          <w:sz w:val="20"/>
          <w:sz w:val="20"/>
          <w:szCs w:val="20"/>
          <w:rtl w:val="true"/>
        </w:rPr>
        <w:t xml:space="preserve">؛ تذکرة الفقها ،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الاعلام ، ص</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تذکرة الفقها ،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زحیلی، الفقه الاسلامی و ادلته ،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874</w:t>
      </w:r>
      <w:r>
        <w:rPr>
          <w:rFonts w:ascii="IRNazanin" w:hAnsi="IRNazanin" w:eastAsia="IRNazanin"/>
          <w:b w:val="false"/>
          <w:b w:val="false"/>
          <w:bCs w:val="false"/>
          <w:i w:val="false"/>
          <w:i w:val="false"/>
          <w:iCs w:val="false"/>
          <w:color w:val="333333"/>
          <w:sz w:val="20"/>
          <w:sz w:val="20"/>
          <w:szCs w:val="20"/>
          <w:rtl w:val="true"/>
        </w:rPr>
        <w:t>؛ الفقه علی المذاهب الأربعه ،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217</w:t>
      </w:r>
      <w:r>
        <w:rPr>
          <w:rFonts w:ascii="IRNazanin" w:hAnsi="IRNazanin" w:eastAsia="IRNazanin"/>
          <w:b w:val="false"/>
          <w:b w:val="false"/>
          <w:bCs w:val="false"/>
          <w:i w:val="false"/>
          <w:i w:val="false"/>
          <w:iCs w:val="false"/>
          <w:color w:val="333333"/>
          <w:sz w:val="20"/>
          <w:sz w:val="20"/>
          <w:szCs w:val="20"/>
          <w:rtl w:val="true"/>
        </w:rPr>
        <w:t>؛ فقه السنه ،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106</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المدونه الکبری ،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169</w:t>
      </w:r>
      <w:r>
        <w:rPr>
          <w:rFonts w:ascii="IRNazanin" w:hAnsi="IRNazanin" w:eastAsia="IRNazanin"/>
          <w:b w:val="false"/>
          <w:b w:val="false"/>
          <w:bCs w:val="false"/>
          <w:i w:val="false"/>
          <w:i w:val="false"/>
          <w:iCs w:val="false"/>
          <w:color w:val="333333"/>
          <w:sz w:val="20"/>
          <w:sz w:val="20"/>
          <w:szCs w:val="20"/>
          <w:rtl w:val="true"/>
        </w:rPr>
        <w:t>؛ نیز 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بدایة المجتهد ،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137</w:t>
      </w:r>
      <w:r>
        <w:rPr>
          <w:rFonts w:ascii="IRNazanin" w:hAnsi="IRNazanin" w:eastAsia="IRNazanin"/>
          <w:b w:val="false"/>
          <w:b w:val="false"/>
          <w:bCs w:val="false"/>
          <w:i w:val="false"/>
          <w:i w:val="false"/>
          <w:iCs w:val="false"/>
          <w:color w:val="333333"/>
          <w:sz w:val="20"/>
          <w:sz w:val="20"/>
          <w:szCs w:val="20"/>
          <w:rtl w:val="true"/>
        </w:rPr>
        <w:t>، به نقل از ابن‌رشد قرطبی</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الفقه علی المذاهب الأربعه ،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آئینه آئین مزدکی ، ص</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به نقل از درسنامه فقه مقارن ، ص</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جواهرالکلام ، 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بدایة المجتهد و نهایة المقتصد ،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برای آشنایی بیشتر با روایات و بررسی ادله آن، 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درسنامه فقه مقارن ، ص</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194</w:t>
      </w:r>
      <w:r>
        <w:rPr>
          <w:rFonts w:ascii="IRNazanin" w:hAnsi="IRNazanin" w:eastAsia="IRNazanin"/>
          <w:b w:val="false"/>
          <w:b w:val="false"/>
          <w:bCs w:val="false"/>
          <w:i w:val="false"/>
          <w:i w:val="false"/>
          <w:iCs w:val="false"/>
          <w:color w:val="333333"/>
          <w:sz w:val="20"/>
          <w:sz w:val="20"/>
          <w:szCs w:val="20"/>
          <w:rtl w:val="true"/>
        </w:rPr>
        <w:t>؛ فقه مقارن ، ص</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ترمذی ،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98</w:t>
      </w:r>
      <w:r>
        <w:rPr>
          <w:rFonts w:ascii="IRNazanin" w:hAnsi="IRNazanin" w:eastAsia="IRNazanin"/>
          <w:b w:val="false"/>
          <w:b w:val="false"/>
          <w:bCs w:val="false"/>
          <w:i w:val="false"/>
          <w:i w:val="false"/>
          <w:iCs w:val="false"/>
          <w:color w:val="333333"/>
          <w:sz w:val="20"/>
          <w:sz w:val="20"/>
          <w:szCs w:val="20"/>
          <w:rtl w:val="true"/>
        </w:rPr>
        <w:t xml:space="preserve">، باب ما جاء فی وصف الصلاة، ح </w:t>
      </w:r>
      <w:r>
        <w:rPr>
          <w:rFonts w:eastAsia="IRNazanin" w:cs="IRNazanin"/>
          <w:b w:val="false"/>
          <w:bCs w:val="false"/>
          <w:i w:val="false"/>
          <w:iCs w:val="false"/>
          <w:color w:val="333333"/>
          <w:sz w:val="20"/>
          <w:szCs w:val="20"/>
        </w:rPr>
        <w:t>304</w:t>
      </w:r>
      <w:r>
        <w:rPr>
          <w:rFonts w:ascii="IRNazanin" w:hAnsi="IRNazanin" w:eastAsia="IRNazanin"/>
          <w:b w:val="false"/>
          <w:b w:val="false"/>
          <w:bCs w:val="false"/>
          <w:i w:val="false"/>
          <w:i w:val="false"/>
          <w:iCs w:val="false"/>
          <w:color w:val="333333"/>
          <w:sz w:val="20"/>
          <w:sz w:val="20"/>
          <w:szCs w:val="20"/>
          <w:rtl w:val="true"/>
        </w:rPr>
        <w:t>؛ سنن بیهقی ،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101</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102</w:t>
      </w:r>
      <w:r>
        <w:rPr>
          <w:rFonts w:ascii="IRNazanin" w:hAnsi="IRNazanin" w:eastAsia="IRNazanin"/>
          <w:b w:val="false"/>
          <w:b w:val="false"/>
          <w:bCs w:val="false"/>
          <w:i w:val="false"/>
          <w:i w:val="false"/>
          <w:iCs w:val="false"/>
          <w:color w:val="333333"/>
          <w:sz w:val="20"/>
          <w:sz w:val="20"/>
          <w:szCs w:val="20"/>
          <w:rtl w:val="true"/>
        </w:rPr>
        <w:t>؛ سنن أبی‌داود ،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194</w:t>
      </w:r>
      <w:r>
        <w:rPr>
          <w:rFonts w:ascii="IRNazanin" w:hAnsi="IRNazanin" w:eastAsia="IRNazanin"/>
          <w:b w:val="false"/>
          <w:b w:val="false"/>
          <w:bCs w:val="false"/>
          <w:i w:val="false"/>
          <w:i w:val="false"/>
          <w:iCs w:val="false"/>
          <w:color w:val="333333"/>
          <w:sz w:val="20"/>
          <w:sz w:val="20"/>
          <w:szCs w:val="20"/>
          <w:rtl w:val="true"/>
        </w:rPr>
        <w:t>، باب افتتاح الصّلاة، ح</w:t>
      </w:r>
      <w:r>
        <w:rPr>
          <w:rFonts w:eastAsia="IRNazanin" w:cs="IRNazanin"/>
          <w:b w:val="false"/>
          <w:bCs w:val="false"/>
          <w:i w:val="false"/>
          <w:iCs w:val="false"/>
          <w:color w:val="333333"/>
          <w:sz w:val="20"/>
          <w:szCs w:val="20"/>
        </w:rPr>
        <w:t>730</w:t>
      </w:r>
      <w:r>
        <w:rPr>
          <w:rFonts w:ascii="IRNazanin" w:hAnsi="IRNazanin" w:eastAsia="IRNazanin"/>
          <w:b w:val="false"/>
          <w:b w:val="false"/>
          <w:bCs w:val="false"/>
          <w:i w:val="false"/>
          <w:i w:val="false"/>
          <w:iCs w:val="false"/>
          <w:color w:val="333333"/>
          <w:sz w:val="20"/>
          <w:sz w:val="20"/>
          <w:szCs w:val="20"/>
          <w:rtl w:val="true"/>
        </w:rPr>
        <w:t>ـ</w:t>
      </w:r>
      <w:r>
        <w:rPr>
          <w:rFonts w:eastAsia="IRNazanin" w:cs="IRNazanin"/>
          <w:b w:val="false"/>
          <w:bCs w:val="false"/>
          <w:i w:val="false"/>
          <w:iCs w:val="false"/>
          <w:color w:val="333333"/>
          <w:sz w:val="20"/>
          <w:szCs w:val="20"/>
        </w:rPr>
        <w:t>736</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از ابواب افعال الصلاة،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الوسائل ،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420</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 ج </w:t>
      </w:r>
      <w:r>
        <w:rPr>
          <w:rFonts w:eastAsia="IRNazanin" w:cs="IRNazanin"/>
          <w:b w:val="false"/>
          <w:bCs w:val="false"/>
          <w:i w:val="false"/>
          <w:iCs w:val="false"/>
          <w:color w:val="333333"/>
          <w:sz w:val="20"/>
          <w:szCs w:val="20"/>
        </w:rPr>
        <w:t>84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184</w:t>
      </w:r>
    </w:p>
  </w:footnote>
  <w:footnote w:id="2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المجموع شرح المهذب ،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رشید رضا، تفسیر القران الحکیم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تفسیر المنار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شیخ مفید، المقنه ، ص</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سید مرتضی، الانتصار ، ص</w:t>
      </w:r>
      <w:r>
        <w:rPr>
          <w:rFonts w:eastAsia="IRNazanin" w:cs="IRNazanin"/>
          <w:b w:val="false"/>
          <w:bCs w:val="false"/>
          <w:i w:val="false"/>
          <w:iCs w:val="false"/>
          <w:color w:val="333333"/>
          <w:sz w:val="20"/>
          <w:szCs w:val="20"/>
        </w:rPr>
        <w:t>144</w:t>
      </w:r>
      <w:r>
        <w:rPr>
          <w:rFonts w:ascii="IRNazanin" w:hAnsi="IRNazanin" w:eastAsia="IRNazanin"/>
          <w:b w:val="false"/>
          <w:b w:val="false"/>
          <w:bCs w:val="false"/>
          <w:i w:val="false"/>
          <w:i w:val="false"/>
          <w:iCs w:val="false"/>
          <w:color w:val="333333"/>
          <w:sz w:val="20"/>
          <w:sz w:val="20"/>
          <w:szCs w:val="20"/>
          <w:rtl w:val="true"/>
        </w:rPr>
        <w:t>؛ شیخ طوسی، الخلاف ،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332</w:t>
      </w:r>
      <w:r>
        <w:rPr>
          <w:rFonts w:ascii="IRNazanin" w:hAnsi="IRNazanin" w:eastAsia="IRNazanin"/>
          <w:b w:val="false"/>
          <w:b w:val="false"/>
          <w:bCs w:val="false"/>
          <w:i w:val="false"/>
          <w:i w:val="false"/>
          <w:iCs w:val="false"/>
          <w:color w:val="333333"/>
          <w:sz w:val="20"/>
          <w:sz w:val="20"/>
          <w:szCs w:val="20"/>
          <w:rtl w:val="true"/>
        </w:rPr>
        <w:t>؛ علامه حلی، تذکرة الفقهاء،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الام ،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311</w:t>
      </w:r>
      <w:r>
        <w:rPr>
          <w:rFonts w:ascii="IRNazanin" w:hAnsi="IRNazanin" w:eastAsia="IRNazanin"/>
          <w:b w:val="false"/>
          <w:b w:val="false"/>
          <w:bCs w:val="false"/>
          <w:i w:val="false"/>
          <w:i w:val="false"/>
          <w:iCs w:val="false"/>
          <w:color w:val="333333"/>
          <w:sz w:val="20"/>
          <w:sz w:val="20"/>
          <w:szCs w:val="20"/>
          <w:rtl w:val="true"/>
        </w:rPr>
        <w:t>؛ نووی، المجموع ،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الفقه علی المذاهب الأربعه ،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217</w:t>
      </w:r>
      <w:r>
        <w:rPr>
          <w:rFonts w:ascii="IRNazanin" w:hAnsi="IRNazanin" w:eastAsia="IRNazanin"/>
          <w:b w:val="false"/>
          <w:b w:val="false"/>
          <w:bCs w:val="false"/>
          <w:i w:val="false"/>
          <w:i w:val="false"/>
          <w:iCs w:val="false"/>
          <w:color w:val="333333"/>
          <w:sz w:val="20"/>
          <w:sz w:val="20"/>
          <w:szCs w:val="20"/>
          <w:rtl w:val="true"/>
        </w:rPr>
        <w:t xml:space="preserve">؛ فقه السنه ،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110</w:t>
      </w:r>
      <w:r>
        <w:rPr>
          <w:rFonts w:ascii="IRNazanin" w:hAnsi="IRNazanin" w:eastAsia="IRNazanin"/>
          <w:b w:val="false"/>
          <w:b w:val="false"/>
          <w:bCs w:val="false"/>
          <w:i w:val="false"/>
          <w:i w:val="false"/>
          <w:iCs w:val="false"/>
          <w:color w:val="333333"/>
          <w:sz w:val="20"/>
          <w:sz w:val="20"/>
          <w:szCs w:val="20"/>
          <w:rtl w:val="true"/>
        </w:rPr>
        <w:t>؛ جواهر الکلام ،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العروة الوثقی ،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720</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الخلاف و الوفاق بین الإمامیة و بین أئمة الحجاز و العراق </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صحیح مسلم ،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381</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537</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بیضاوی، أنوار التنزیل و أسرار التأویل ،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ابوهریره عبدالرحمان بن صخر دوسی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که هشتصد صحابی و تابعی از او روایت کرده‌اند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وی به حق نشانه و ضرب المثل جعل حدیث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هر گاه سخنی از جعل حدیث و افترا بر پیامبر بیاید، ابوهریره در صدر جاعلان است و نام او با جعل حدیث ملازم گشته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او از کسانی است که احادیث بسیار زیادی از رسول گرامی اسلام روایت کرده، تا جایی که در کتب معتبر تاریخی، آمار آن را </w:t>
      </w:r>
      <w:r>
        <w:rPr>
          <w:rFonts w:eastAsia="IRNazanin" w:cs="IRNazanin"/>
          <w:b w:val="false"/>
          <w:bCs w:val="false"/>
          <w:i w:val="false"/>
          <w:iCs w:val="false"/>
          <w:color w:val="333333"/>
          <w:sz w:val="20"/>
          <w:szCs w:val="20"/>
        </w:rPr>
        <w:t>5374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حدیث گفته 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هر چند عده ای مدت مصاحبت وی را با پیامبر چهار سال می دانند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اثیر، اسدالغابه ،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آنجا که وی در ماه صفرسال هفتم هجری در فتح خیبر با پیامبر همراه شد و در ذی القعده سال هشتم هجری که از سوی حضرت به بحرین منتقل گردید، رابطه اش با پیامبر تمام شد؛ یعنی فقط یک سال و نه ماه در مدینه بود، قول چهار سال نمی تواند، صحیح باشد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محمود ابوریه، بازرگان حدیث ، ص</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بیشتر احادیثی که وی روایت کرده، از صحابه معروف روایت نشده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ابن حجر عسقلانی، الاصابه ،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هر حال، وی به عنوان یکی از دشمنان سرسخت حضرت علی علیه السلام ،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ثقفی کوفی، الغارات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راه نشر احادیثی که حاوی طعن بر علی علیه السلام و مذمت یاران حضرت و نقل فضایل عثمان و معاویه بود، بیشترین خدمت را به بنی امیه کرد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بازرگان حدیث ، ص</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او از معاویه پول می گرفت تا در ذم حضرت علی علیه السلام و اهل بیت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جعل حدیث نماید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الاصابه ،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 اسدالغابه ،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تا زمان مرگش به این کار اشتغال داشت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الاصابه ،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محدثان شیعه و گروهی از اهل تسنن، روایات او را معتبر نمی دانند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ابوحنیفه می گوید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تمامی صحابه عادل هستند، مگر ابوهریره و أنس بن مالک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شرح ابنابیالحدید ،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خلیفه دوم هم پس از تأدیب او، خطاب به وی گفت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یا عدوّالله و عدوّ کتابه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سیر اعلام النبلاء ،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612</w:t>
      </w:r>
      <w:r>
        <w:rPr>
          <w:rFonts w:ascii="IRNazanin" w:hAnsi="IRNazanin" w:eastAsia="IRNazanin"/>
          <w:b w:val="false"/>
          <w:b w:val="false"/>
          <w:bCs w:val="false"/>
          <w:i w:val="false"/>
          <w:i w:val="false"/>
          <w:iCs w:val="false"/>
          <w:color w:val="333333"/>
          <w:sz w:val="20"/>
          <w:sz w:val="20"/>
          <w:szCs w:val="20"/>
          <w:rtl w:val="true"/>
        </w:rPr>
        <w:t>؛ الطبقات الکبری ،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نیز عائشه در مقام اعتراض به او گفت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اکثرت عن رسول الله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سیر اعلام النبلاء ،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در جای دیگر گفته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 هذه الأحادیث التی تبلغنا أنّک تحدّث بها عن النبی هل سمعت اِلاّ ما سمعنا؟ وهل رأیت إلاّ ما رأینا؟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64</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مروان حکم، در مقام اعتراض می گوید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مردم تو را متهم می کنند که این حجم زیاد از احادیث با مدت زمانی ـ کوتاه ـ که با پیامبر بودی تناسب ندارد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انّ الناس قد قالوا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اکثر الحدیث عن رسول الله وانما قدم قبل وفاته بیسیر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برای اطلاع بیشتر 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سید عبدالحسین شرف الدین عاملی، ابوهریره و احادیث ساختگی ، ص</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محمود ابوریه، شیخ المضریه ابوهریره ، ص</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ابی الحدید معتزلی، شرح نهج‌البلاغة ،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عبقات الانوار ،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247</w:t>
      </w:r>
      <w:r>
        <w:rPr>
          <w:rFonts w:ascii="IRNazanin" w:hAnsi="IRNazanin" w:eastAsia="IRNazanin"/>
          <w:b w:val="false"/>
          <w:b w:val="false"/>
          <w:bCs w:val="false"/>
          <w:i w:val="false"/>
          <w:i w:val="false"/>
          <w:iCs w:val="false"/>
          <w:color w:val="333333"/>
          <w:sz w:val="20"/>
          <w:sz w:val="20"/>
          <w:szCs w:val="20"/>
          <w:rtl w:val="true"/>
        </w:rPr>
        <w:t>؛ اضواء علی السنة المحمدیه ، ص</w:t>
      </w:r>
      <w:r>
        <w:rPr>
          <w:rFonts w:eastAsia="IRNazanin" w:cs="IRNazanin"/>
          <w:b w:val="false"/>
          <w:bCs w:val="false"/>
          <w:i w:val="false"/>
          <w:iCs w:val="false"/>
          <w:color w:val="333333"/>
          <w:sz w:val="20"/>
          <w:szCs w:val="20"/>
        </w:rPr>
        <w:t>204</w:t>
      </w:r>
      <w:r>
        <w:rPr>
          <w:rFonts w:ascii="IRNazanin" w:hAnsi="IRNazanin" w:eastAsia="IRNazanin"/>
          <w:b w:val="false"/>
          <w:b w:val="false"/>
          <w:bCs w:val="false"/>
          <w:i w:val="false"/>
          <w:i w:val="false"/>
          <w:iCs w:val="false"/>
          <w:color w:val="333333"/>
          <w:sz w:val="20"/>
          <w:sz w:val="20"/>
          <w:szCs w:val="20"/>
          <w:rtl w:val="true"/>
        </w:rPr>
        <w:t>؛ علامه شرف الدین، ابوهریره ، ص</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الامیر سلطانی، حکم التأمین فی الصلاة</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مسنداحمد ،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424</w:t>
      </w:r>
      <w:r>
        <w:rPr>
          <w:rFonts w:ascii="IRNazanin" w:hAnsi="IRNazanin" w:eastAsia="IRNazanin"/>
          <w:b w:val="false"/>
          <w:b w:val="false"/>
          <w:bCs w:val="false"/>
          <w:i w:val="false"/>
          <w:i w:val="false"/>
          <w:iCs w:val="false"/>
          <w:color w:val="333333"/>
          <w:sz w:val="20"/>
          <w:sz w:val="20"/>
          <w:szCs w:val="20"/>
          <w:rtl w:val="true"/>
        </w:rPr>
        <w:t>؛ سنن ابی داود ، باب افتتاح الصلاة،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194</w:t>
      </w:r>
      <w:r>
        <w:rPr>
          <w:rFonts w:ascii="IRNazanin" w:hAnsi="IRNazanin" w:eastAsia="IRNazanin"/>
          <w:b w:val="false"/>
          <w:b w:val="false"/>
          <w:bCs w:val="false"/>
          <w:i w:val="false"/>
          <w:i w:val="false"/>
          <w:iCs w:val="false"/>
          <w:color w:val="333333"/>
          <w:sz w:val="20"/>
          <w:sz w:val="20"/>
          <w:szCs w:val="20"/>
          <w:rtl w:val="true"/>
        </w:rPr>
        <w:t>؛ سنن ابنماجه ، باب اتمام الصلاة،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355</w:t>
      </w:r>
      <w:r>
        <w:rPr>
          <w:rFonts w:ascii="IRNazanin" w:hAnsi="IRNazanin" w:eastAsia="IRNazanin"/>
          <w:b w:val="false"/>
          <w:b w:val="false"/>
          <w:bCs w:val="false"/>
          <w:i w:val="false"/>
          <w:i w:val="false"/>
          <w:iCs w:val="false"/>
          <w:color w:val="333333"/>
          <w:sz w:val="20"/>
          <w:sz w:val="20"/>
          <w:szCs w:val="20"/>
          <w:rtl w:val="true"/>
        </w:rPr>
        <w:t>؛ بیهقی، سنن کبری ،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سنن دارمی ، باب صفة صلاة رسول الله،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 ،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ابواب قرائت نماز، 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2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صدوق، من لا یحضره الفقیه ،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کافی ،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313</w:t>
      </w:r>
      <w:r>
        <w:rPr>
          <w:rFonts w:ascii="IRNazanin" w:hAnsi="IRNazanin" w:eastAsia="IRNazanin"/>
          <w:b w:val="false"/>
          <w:b w:val="false"/>
          <w:bCs w:val="false"/>
          <w:i w:val="false"/>
          <w:i w:val="false"/>
          <w:iCs w:val="false"/>
          <w:color w:val="333333"/>
          <w:sz w:val="20"/>
          <w:sz w:val="20"/>
          <w:szCs w:val="20"/>
          <w:rtl w:val="true"/>
        </w:rPr>
        <w:t>؛ الإستبصار ،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318</w:t>
      </w:r>
      <w:r>
        <w:rPr>
          <w:rFonts w:ascii="IRNazanin" w:hAnsi="IRNazanin" w:eastAsia="IRNazanin"/>
          <w:b w:val="false"/>
          <w:b w:val="false"/>
          <w:bCs w:val="false"/>
          <w:i w:val="false"/>
          <w:i w:val="false"/>
          <w:iCs w:val="false"/>
          <w:color w:val="333333"/>
          <w:sz w:val="20"/>
          <w:sz w:val="20"/>
          <w:szCs w:val="20"/>
          <w:rtl w:val="true"/>
        </w:rPr>
        <w:t>؛ تهذیب‌الأحکام ،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الفقه علی المذاهب الأربعه ،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219</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220</w:t>
      </w:r>
      <w:r>
        <w:rPr>
          <w:rFonts w:ascii="IRNazanin" w:hAnsi="IRNazanin" w:eastAsia="IRNazanin"/>
          <w:b w:val="false"/>
          <w:b w:val="false"/>
          <w:bCs w:val="false"/>
          <w:i w:val="false"/>
          <w:i w:val="false"/>
          <w:iCs w:val="false"/>
          <w:color w:val="333333"/>
          <w:sz w:val="20"/>
          <w:sz w:val="20"/>
          <w:szCs w:val="20"/>
          <w:rtl w:val="true"/>
        </w:rPr>
        <w:t>؛ فقه السنه ،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111</w:t>
      </w:r>
      <w:r>
        <w:rPr>
          <w:rFonts w:ascii="IRNazanin" w:hAnsi="IRNazanin" w:eastAsia="IRNazanin"/>
          <w:b w:val="false"/>
          <w:b w:val="false"/>
          <w:bCs w:val="false"/>
          <w:i w:val="false"/>
          <w:i w:val="false"/>
          <w:iCs w:val="false"/>
          <w:color w:val="333333"/>
          <w:sz w:val="20"/>
          <w:sz w:val="20"/>
          <w:szCs w:val="20"/>
          <w:rtl w:val="true"/>
        </w:rPr>
        <w:t>ـ</w:t>
      </w:r>
      <w:r>
        <w:rPr>
          <w:rFonts w:eastAsia="IRNazanin" w:cs="IRNazanin"/>
          <w:b w:val="false"/>
          <w:bCs w:val="false"/>
          <w:i w:val="false"/>
          <w:iCs w:val="false"/>
          <w:color w:val="333333"/>
          <w:sz w:val="20"/>
          <w:szCs w:val="20"/>
        </w:rPr>
        <w:t>127</w:t>
      </w:r>
      <w:r>
        <w:rPr>
          <w:rFonts w:ascii="IRNazanin" w:hAnsi="IRNazanin" w:eastAsia="IRNazanin"/>
          <w:b w:val="false"/>
          <w:b w:val="false"/>
          <w:bCs w:val="false"/>
          <w:i w:val="false"/>
          <w:i w:val="false"/>
          <w:iCs w:val="false"/>
          <w:color w:val="333333"/>
          <w:sz w:val="20"/>
          <w:sz w:val="20"/>
          <w:szCs w:val="20"/>
          <w:rtl w:val="true"/>
        </w:rPr>
        <w:t>؛ العروة الوثقی ،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643</w:t>
      </w:r>
      <w:r>
        <w:rPr>
          <w:rFonts w:ascii="IRNazanin" w:hAnsi="IRNazanin" w:eastAsia="IRNazanin"/>
          <w:b w:val="false"/>
          <w:b w:val="false"/>
          <w:bCs w:val="false"/>
          <w:i w:val="false"/>
          <w:i w:val="false"/>
          <w:iCs w:val="false"/>
          <w:color w:val="333333"/>
          <w:sz w:val="20"/>
          <w:sz w:val="20"/>
          <w:szCs w:val="20"/>
          <w:rtl w:val="true"/>
        </w:rPr>
        <w:t>؛ تحریرالوسیله ،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 ، ص</w:t>
      </w:r>
      <w:r>
        <w:rPr>
          <w:rFonts w:eastAsia="IRNazanin" w:cs="IRNazanin"/>
          <w:b w:val="false"/>
          <w:bCs w:val="false"/>
          <w:i w:val="false"/>
          <w:iCs w:val="false"/>
          <w:color w:val="333333"/>
          <w:sz w:val="20"/>
          <w:szCs w:val="20"/>
        </w:rPr>
        <w:t>115</w:t>
      </w:r>
      <w:r>
        <w:rPr>
          <w:rFonts w:ascii="IRNazanin" w:hAnsi="IRNazanin" w:eastAsia="IRNazanin"/>
          <w:b w:val="false"/>
          <w:b w:val="false"/>
          <w:bCs w:val="false"/>
          <w:i w:val="false"/>
          <w:i w:val="false"/>
          <w:iCs w:val="false"/>
          <w:color w:val="333333"/>
          <w:sz w:val="20"/>
          <w:sz w:val="20"/>
          <w:szCs w:val="20"/>
          <w:rtl w:val="true"/>
        </w:rPr>
        <w:t>؛ الخلاف ،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379</w:t>
      </w:r>
      <w:r>
        <w:rPr>
          <w:rFonts w:ascii="IRNazanin" w:hAnsi="IRNazanin" w:eastAsia="IRNazanin"/>
          <w:b w:val="false"/>
          <w:b w:val="false"/>
          <w:bCs w:val="false"/>
          <w:i w:val="false"/>
          <w:i w:val="false"/>
          <w:iCs w:val="false"/>
          <w:color w:val="333333"/>
          <w:sz w:val="20"/>
          <w:sz w:val="20"/>
          <w:szCs w:val="20"/>
          <w:rtl w:val="true"/>
        </w:rPr>
        <w:t>؛ تحریر الوسیله ،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165</w:t>
      </w:r>
      <w:r>
        <w:rPr>
          <w:rFonts w:ascii="IRNazanin" w:hAnsi="IRNazanin" w:eastAsia="IRNazanin"/>
          <w:b w:val="false"/>
          <w:b w:val="false"/>
          <w:bCs w:val="false"/>
          <w:i w:val="false"/>
          <w:i w:val="false"/>
          <w:iCs w:val="false"/>
          <w:color w:val="333333"/>
          <w:sz w:val="20"/>
          <w:sz w:val="20"/>
          <w:szCs w:val="20"/>
          <w:rtl w:val="true"/>
        </w:rPr>
        <w:t>؛ بحارالانوار ، ج</w:t>
      </w:r>
      <w:r>
        <w:rPr>
          <w:rFonts w:eastAsia="IRNazanin" w:cs="IRNazanin"/>
          <w:b w:val="false"/>
          <w:bCs w:val="false"/>
          <w:i w:val="false"/>
          <w:iCs w:val="false"/>
          <w:color w:val="333333"/>
          <w:sz w:val="20"/>
          <w:szCs w:val="20"/>
        </w:rPr>
        <w:t>82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وزارة الأوقاف والشئون الإسلامیة، الموسوعة الفقهیة الکویتیة ، ج</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بدایة المجتهد ، ص</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النووی، الاذکار النوویة ، ص</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نیل الاوطار ،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النووی، الاذکار النوویة ، ص</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الموسوعة الفقهیة الکویتیة ، ج</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نیل الاوطار ،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میان مورخان، این حادثه به نام فاجعه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بئر معونه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معروف است</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نیل الاوطار ،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اقتباس از پایگاه مؤسسه مذاهب اسلامی، پرسش و پاسخ فقه ، </w:t>
      </w:r>
      <w:r>
        <w:rPr>
          <w:rFonts w:eastAsia="IRNazanin" w:cs="IRNazanin"/>
          <w:b w:val="false"/>
          <w:bCs w:val="false"/>
          <w:i w:val="false"/>
          <w:iCs w:val="false"/>
          <w:color w:val="333333"/>
          <w:sz w:val="20"/>
          <w:szCs w:val="20"/>
        </w:rPr>
        <w:t>4/4/1391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برای اطلاع بیشتر 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شیخ طوسی، الخلاف ،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بعد؛ فقه مقارن ، ص</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سنن بیهقی ،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فقه السنه ،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102</w:t>
      </w:r>
      <w:r>
        <w:rPr>
          <w:rFonts w:ascii="IRNazanin" w:hAnsi="IRNazanin" w:eastAsia="IRNazanin"/>
          <w:b w:val="false"/>
          <w:b w:val="false"/>
          <w:bCs w:val="false"/>
          <w:i w:val="false"/>
          <w:i w:val="false"/>
          <w:iCs w:val="false"/>
          <w:color w:val="333333"/>
          <w:sz w:val="20"/>
          <w:sz w:val="20"/>
          <w:szCs w:val="20"/>
          <w:rtl w:val="true"/>
        </w:rPr>
        <w:t>؛ تذکرة الفقها ،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185</w:t>
      </w:r>
      <w:r>
        <w:rPr>
          <w:rFonts w:ascii="IRNazanin" w:hAnsi="IRNazanin" w:eastAsia="IRNazanin"/>
          <w:b w:val="false"/>
          <w:b w:val="false"/>
          <w:bCs w:val="false"/>
          <w:i w:val="false"/>
          <w:i w:val="false"/>
          <w:iCs w:val="false"/>
          <w:color w:val="333333"/>
          <w:sz w:val="20"/>
          <w:sz w:val="20"/>
          <w:szCs w:val="20"/>
          <w:rtl w:val="true"/>
        </w:rPr>
        <w:t xml:space="preserve">؛ الفقه علی المذاهب الأربعه و مذهب اهل البیت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ـ</w:t>
      </w:r>
      <w:r>
        <w:rPr>
          <w:rFonts w:eastAsia="IRNazanin" w:cs="IRNazanin"/>
          <w:b w:val="false"/>
          <w:bCs w:val="false"/>
          <w:i w:val="false"/>
          <w:iCs w:val="false"/>
          <w:color w:val="333333"/>
          <w:sz w:val="20"/>
          <w:szCs w:val="20"/>
        </w:rPr>
        <w:t>237</w:t>
      </w:r>
      <w:r>
        <w:rPr>
          <w:rFonts w:ascii="IRNazanin" w:hAnsi="IRNazanin" w:eastAsia="IRNazanin"/>
          <w:b w:val="false"/>
          <w:b w:val="false"/>
          <w:bCs w:val="false"/>
          <w:i w:val="false"/>
          <w:i w:val="false"/>
          <w:iCs w:val="false"/>
          <w:color w:val="333333"/>
          <w:sz w:val="20"/>
          <w:sz w:val="20"/>
          <w:szCs w:val="20"/>
          <w:rtl w:val="true"/>
        </w:rPr>
        <w:t>؛ وسائل الشیعه ،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ابواب ما یسجد علیه، باب</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به نقل از درآمدی بر فقه مقارن ، ص</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صحیح بخاری ،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 کتاب الادب، و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155</w:t>
      </w:r>
      <w:r>
        <w:rPr>
          <w:rFonts w:ascii="IRNazanin" w:hAnsi="IRNazanin" w:eastAsia="IRNazanin"/>
          <w:b w:val="false"/>
          <w:b w:val="false"/>
          <w:bCs w:val="false"/>
          <w:i w:val="false"/>
          <w:i w:val="false"/>
          <w:iCs w:val="false"/>
          <w:color w:val="333333"/>
          <w:sz w:val="20"/>
          <w:sz w:val="20"/>
          <w:szCs w:val="20"/>
          <w:rtl w:val="true"/>
        </w:rPr>
        <w:t>، باب الاذان للمسافر؛ المبسوط سرخسی ،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154</w:t>
      </w:r>
      <w:r>
        <w:rPr>
          <w:rFonts w:ascii="IRNazanin" w:hAnsi="IRNazanin" w:eastAsia="IRNazanin"/>
          <w:b w:val="false"/>
          <w:b w:val="false"/>
          <w:bCs w:val="false"/>
          <w:i w:val="false"/>
          <w:i w:val="false"/>
          <w:iCs w:val="false"/>
          <w:color w:val="333333"/>
          <w:sz w:val="20"/>
          <w:sz w:val="20"/>
          <w:szCs w:val="20"/>
          <w:rtl w:val="true"/>
        </w:rPr>
        <w:t>؛ نووی، شرح مسلم ،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96</w:t>
      </w:r>
      <w:r>
        <w:rPr>
          <w:rFonts w:ascii="IRNazanin" w:hAnsi="IRNazanin" w:eastAsia="IRNazanin"/>
          <w:b w:val="false"/>
          <w:b w:val="false"/>
          <w:bCs w:val="false"/>
          <w:i w:val="false"/>
          <w:i w:val="false"/>
          <w:iCs w:val="false"/>
          <w:color w:val="333333"/>
          <w:sz w:val="20"/>
          <w:sz w:val="20"/>
          <w:szCs w:val="20"/>
          <w:rtl w:val="true"/>
        </w:rPr>
        <w:t>؛ امام شافعی، کتاب الام ،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184</w:t>
      </w:r>
      <w:r>
        <w:rPr>
          <w:rFonts w:ascii="IRNazanin" w:hAnsi="IRNazanin" w:eastAsia="IRNazanin"/>
          <w:b w:val="false"/>
          <w:b w:val="false"/>
          <w:bCs w:val="false"/>
          <w:i w:val="false"/>
          <w:i w:val="false"/>
          <w:iCs w:val="false"/>
          <w:color w:val="333333"/>
          <w:sz w:val="20"/>
          <w:sz w:val="20"/>
          <w:szCs w:val="20"/>
          <w:rtl w:val="true"/>
        </w:rPr>
        <w:t>؛ سنن دار قطنی ،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279</w:t>
      </w:r>
      <w:r>
        <w:rPr>
          <w:rFonts w:ascii="IRNazanin" w:hAnsi="IRNazanin" w:eastAsia="IRNazanin"/>
          <w:b w:val="false"/>
          <w:b w:val="false"/>
          <w:bCs w:val="false"/>
          <w:i w:val="false"/>
          <w:i w:val="false"/>
          <w:iCs w:val="false"/>
          <w:color w:val="333333"/>
          <w:sz w:val="20"/>
          <w:sz w:val="20"/>
          <w:szCs w:val="20"/>
          <w:rtl w:val="true"/>
        </w:rPr>
        <w:t>؛ حاشیة الدسوقی ،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233</w:t>
      </w:r>
      <w:r>
        <w:rPr>
          <w:rFonts w:ascii="IRNazanin" w:hAnsi="IRNazanin" w:eastAsia="IRNazanin"/>
          <w:b w:val="false"/>
          <w:b w:val="false"/>
          <w:bCs w:val="false"/>
          <w:i w:val="false"/>
          <w:i w:val="false"/>
          <w:iCs w:val="false"/>
          <w:color w:val="333333"/>
          <w:sz w:val="20"/>
          <w:sz w:val="20"/>
          <w:szCs w:val="20"/>
          <w:rtl w:val="true"/>
        </w:rPr>
        <w:t>؛ ابن‌قدامه، المغنی ،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525</w:t>
      </w:r>
      <w:r>
        <w:rPr>
          <w:rFonts w:ascii="IRNazanin" w:hAnsi="IRNazanin" w:eastAsia="IRNazanin"/>
          <w:b w:val="false"/>
          <w:b w:val="false"/>
          <w:bCs w:val="false"/>
          <w:i w:val="false"/>
          <w:i w:val="false"/>
          <w:iCs w:val="false"/>
          <w:color w:val="333333"/>
          <w:sz w:val="20"/>
          <w:sz w:val="20"/>
          <w:szCs w:val="20"/>
          <w:rtl w:val="true"/>
        </w:rPr>
        <w:t>؛ بحارالانوار ، ج</w:t>
      </w:r>
      <w:r>
        <w:rPr>
          <w:rFonts w:eastAsia="IRNazanin" w:cs="IRNazanin"/>
          <w:b w:val="false"/>
          <w:bCs w:val="false"/>
          <w:i w:val="false"/>
          <w:iCs w:val="false"/>
          <w:color w:val="333333"/>
          <w:sz w:val="20"/>
          <w:szCs w:val="20"/>
        </w:rPr>
        <w:t>82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279</w:t>
      </w:r>
      <w:r>
        <w:rPr>
          <w:rFonts w:ascii="IRNazanin" w:hAnsi="IRNazanin" w:eastAsia="IRNazanin"/>
          <w:b w:val="false"/>
          <w:b w:val="false"/>
          <w:bCs w:val="false"/>
          <w:i w:val="false"/>
          <w:i w:val="false"/>
          <w:iCs w:val="false"/>
          <w:color w:val="333333"/>
          <w:sz w:val="20"/>
          <w:sz w:val="20"/>
          <w:szCs w:val="20"/>
          <w:rtl w:val="true"/>
        </w:rPr>
        <w:t>؛ جواهر الکلام ،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صحیح بخاری ، کتاب الصلاة، حدیث</w:t>
      </w:r>
      <w:r>
        <w:rPr>
          <w:rFonts w:eastAsia="IRNazanin" w:cs="IRNazanin"/>
          <w:b w:val="false"/>
          <w:bCs w:val="false"/>
          <w:i w:val="false"/>
          <w:iCs w:val="false"/>
          <w:color w:val="333333"/>
          <w:sz w:val="20"/>
          <w:szCs w:val="20"/>
        </w:rPr>
        <w:t>428</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جصاص حنفی، احکام القران ،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209</w:t>
      </w:r>
      <w:r>
        <w:rPr>
          <w:rFonts w:ascii="IRNazanin" w:hAnsi="IRNazanin" w:eastAsia="IRNazanin"/>
          <w:b w:val="false"/>
          <w:b w:val="false"/>
          <w:bCs w:val="false"/>
          <w:i w:val="false"/>
          <w:i w:val="false"/>
          <w:iCs w:val="false"/>
          <w:color w:val="333333"/>
          <w:sz w:val="20"/>
          <w:sz w:val="20"/>
          <w:szCs w:val="20"/>
          <w:rtl w:val="true"/>
        </w:rPr>
        <w:t>، باب السجود علی الوجه</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بیهقی، السنن الکبری ،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421</w:t>
      </w:r>
      <w:r>
        <w:rPr>
          <w:rFonts w:ascii="IRNazanin" w:hAnsi="IRNazanin" w:eastAsia="IRNazanin"/>
          <w:b w:val="false"/>
          <w:b w:val="false"/>
          <w:bCs w:val="false"/>
          <w:i w:val="false"/>
          <w:i w:val="false"/>
          <w:iCs w:val="false"/>
          <w:color w:val="333333"/>
          <w:sz w:val="20"/>
          <w:sz w:val="20"/>
          <w:szCs w:val="20"/>
          <w:rtl w:val="true"/>
        </w:rPr>
        <w:t>، کتاب الصلاه، باب الصلاه علی الخمره؛ صحیح بخاری ،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 سنن دارمی ،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319</w:t>
      </w:r>
      <w:r>
        <w:rPr>
          <w:rFonts w:ascii="IRNazanin" w:hAnsi="IRNazanin" w:eastAsia="IRNazanin"/>
          <w:b w:val="false"/>
          <w:b w:val="false"/>
          <w:bCs w:val="false"/>
          <w:i w:val="false"/>
          <w:i w:val="false"/>
          <w:iCs w:val="false"/>
          <w:color w:val="333333"/>
          <w:sz w:val="20"/>
          <w:sz w:val="20"/>
          <w:szCs w:val="20"/>
          <w:rtl w:val="true"/>
        </w:rPr>
        <w:t>؛ سنن ابن‌ماجه ،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328</w:t>
      </w:r>
      <w:r>
        <w:rPr>
          <w:rFonts w:ascii="IRNazanin" w:hAnsi="IRNazanin" w:eastAsia="IRNazanin"/>
          <w:b w:val="false"/>
          <w:b w:val="false"/>
          <w:bCs w:val="false"/>
          <w:i w:val="false"/>
          <w:i w:val="false"/>
          <w:iCs w:val="false"/>
          <w:color w:val="333333"/>
          <w:sz w:val="20"/>
          <w:sz w:val="20"/>
          <w:szCs w:val="20"/>
          <w:rtl w:val="true"/>
        </w:rPr>
        <w:t>؛ مسند احمد حنبل ،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269</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ابن‌قتیبه دینوری، غریب الحدیث،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بیهقی، السنن الکبری ،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سنن ابیداود ،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204</w:t>
      </w:r>
      <w:r>
        <w:rPr>
          <w:rFonts w:ascii="IRNazanin" w:hAnsi="IRNazanin" w:eastAsia="IRNazanin"/>
          <w:b w:val="false"/>
          <w:b w:val="false"/>
          <w:bCs w:val="false"/>
          <w:i w:val="false"/>
          <w:i w:val="false"/>
          <w:iCs w:val="false"/>
          <w:color w:val="333333"/>
          <w:sz w:val="20"/>
          <w:sz w:val="20"/>
          <w:szCs w:val="20"/>
          <w:rtl w:val="true"/>
        </w:rPr>
        <w:t>، باب السجود علی الانف و الجبهه و ص</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السجود علی الانف</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مسند احمد حنبل ،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301</w:t>
      </w:r>
      <w:r>
        <w:rPr>
          <w:rFonts w:ascii="IRNazanin" w:hAnsi="IRNazanin" w:eastAsia="IRNazanin"/>
          <w:b w:val="false"/>
          <w:b w:val="false"/>
          <w:bCs w:val="false"/>
          <w:i w:val="false"/>
          <w:i w:val="false"/>
          <w:iCs w:val="false"/>
          <w:color w:val="333333"/>
          <w:sz w:val="20"/>
          <w:sz w:val="20"/>
          <w:szCs w:val="20"/>
          <w:rtl w:val="true"/>
        </w:rPr>
        <w:t>؛ متقی هندی، کنز العمال ،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465</w:t>
      </w:r>
      <w:r>
        <w:rPr>
          <w:rFonts w:ascii="IRNazanin" w:hAnsi="IRNazanin" w:eastAsia="IRNazanin"/>
          <w:b w:val="false"/>
          <w:b w:val="false"/>
          <w:bCs w:val="false"/>
          <w:i w:val="false"/>
          <w:i w:val="false"/>
          <w:iCs w:val="false"/>
          <w:color w:val="333333"/>
          <w:sz w:val="20"/>
          <w:sz w:val="20"/>
          <w:szCs w:val="20"/>
          <w:rtl w:val="true"/>
        </w:rPr>
        <w:t>، کتاب الصلاه، السجود و ما یتعلق به؛ ناصرالدین البانی، تمام المنه ، ص</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سنن بیهقی ،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105</w:t>
      </w:r>
      <w:r>
        <w:rPr>
          <w:rFonts w:ascii="IRNazanin" w:hAnsi="IRNazanin" w:eastAsia="IRNazanin"/>
          <w:b w:val="false"/>
          <w:b w:val="false"/>
          <w:bCs w:val="false"/>
          <w:i w:val="false"/>
          <w:i w:val="false"/>
          <w:iCs w:val="false"/>
          <w:color w:val="333333"/>
          <w:sz w:val="20"/>
          <w:sz w:val="20"/>
          <w:szCs w:val="20"/>
          <w:rtl w:val="true"/>
        </w:rPr>
        <w:t>، باب الکشف عن الجبهة فی السجود</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439</w:t>
      </w:r>
      <w:r>
        <w:rPr>
          <w:rFonts w:ascii="IRNazanin" w:hAnsi="IRNazanin" w:eastAsia="IRNazanin"/>
          <w:b w:val="false"/>
          <w:b w:val="false"/>
          <w:bCs w:val="false"/>
          <w:i w:val="false"/>
          <w:i w:val="false"/>
          <w:iCs w:val="false"/>
          <w:color w:val="333333"/>
          <w:sz w:val="20"/>
          <w:sz w:val="20"/>
          <w:szCs w:val="20"/>
          <w:rtl w:val="true"/>
        </w:rPr>
        <w:t>، کتاب الصلاة</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کنز العمال ،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سعد، الطبقات ،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79</w:t>
      </w:r>
      <w:r>
        <w:rPr>
          <w:rFonts w:ascii="IRNazanin" w:hAnsi="IRNazanin" w:eastAsia="IRNazanin"/>
          <w:b w:val="false"/>
          <w:b w:val="false"/>
          <w:bCs w:val="false"/>
          <w:i w:val="false"/>
          <w:i w:val="false"/>
          <w:iCs w:val="false"/>
          <w:color w:val="333333"/>
          <w:sz w:val="20"/>
          <w:sz w:val="20"/>
          <w:szCs w:val="20"/>
          <w:rtl w:val="true"/>
        </w:rPr>
        <w:t>، در احوال مسروق بن اجدع</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برای آشنایی با روایات اهل بیت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شیخ حر عاملی، وسائل الشیعه،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r>
        <w:rPr>
          <w:rFonts w:ascii="IRNazanin" w:hAnsi="IRNazanin" w:eastAsia="IRNazanin"/>
          <w:b w:val="false"/>
          <w:b w:val="false"/>
          <w:bCs w:val="false"/>
          <w:i w:val="false"/>
          <w:i w:val="false"/>
          <w:iCs w:val="false"/>
          <w:color w:val="333333"/>
          <w:sz w:val="20"/>
          <w:sz w:val="20"/>
          <w:szCs w:val="20"/>
          <w:rtl w:val="true"/>
        </w:rPr>
        <w:t>؛ مؤمنون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برای مطالعه بیشتر 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سیدرضا حسینی نسب، سجده بر تربت یا نهایت تواضع برای خدا ، نشر مؤسسه سید الشهداء؛ همو، شیعه پاسخ میدهد ، نشر مشعر؛ م، ع، عطائی، مهر نماز اختراع شیعه یا انکار اهل‌سنت ، نشر حضرت عباس علیه السلام ؛ سیدمحمد شفیعی، ایده ها و عقیده ها، نشر بنیاد معارف اسلامی؛ علامه امینی، سیرتنا و سنتنا، که روایات صحاح را در باب سجده گردآوری نموده است؛ علی اصغر رضوانی، شیعهشناسی و پاسخ به شبهات ، نشر مشعر</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کان الصادق علیه السلام لایسجد الاّ علی تراب من تربة الحسین علیه السلام </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الحدائق الناضره ،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260</w:t>
      </w:r>
      <w:r>
        <w:rPr>
          <w:rFonts w:ascii="IRNazanin" w:hAnsi="IRNazanin" w:eastAsia="IRNazanin"/>
          <w:b w:val="false"/>
          <w:b w:val="false"/>
          <w:bCs w:val="false"/>
          <w:i w:val="false"/>
          <w:i w:val="false"/>
          <w:iCs w:val="false"/>
          <w:color w:val="333333"/>
          <w:sz w:val="20"/>
          <w:sz w:val="20"/>
          <w:szCs w:val="20"/>
          <w:rtl w:val="true"/>
        </w:rPr>
        <w:t>؛ جواهرالکلام ،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437</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الحدائق الناضره ،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524</w:t>
      </w:r>
      <w:r>
        <w:rPr>
          <w:rFonts w:ascii="IRNazanin" w:hAnsi="IRNazanin" w:eastAsia="IRNazanin"/>
          <w:b w:val="false"/>
          <w:b w:val="false"/>
          <w:bCs w:val="false"/>
          <w:i w:val="false"/>
          <w:i w:val="false"/>
          <w:iCs w:val="false"/>
          <w:color w:val="333333"/>
          <w:sz w:val="20"/>
          <w:sz w:val="20"/>
          <w:szCs w:val="20"/>
          <w:rtl w:val="true"/>
        </w:rPr>
        <w:t>؛ من لا یحضره الفقیه ،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جواد مغنیه، الفقه علی المذاهب الخمسه ، ص</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المجموع ،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465</w:t>
      </w:r>
      <w:r>
        <w:rPr>
          <w:rFonts w:ascii="IRNazanin" w:hAnsi="IRNazanin" w:eastAsia="IRNazanin"/>
          <w:b w:val="false"/>
          <w:b w:val="false"/>
          <w:bCs w:val="false"/>
          <w:i w:val="false"/>
          <w:i w:val="false"/>
          <w:iCs w:val="false"/>
          <w:color w:val="333333"/>
          <w:sz w:val="20"/>
          <w:sz w:val="20"/>
          <w:szCs w:val="20"/>
          <w:rtl w:val="true"/>
        </w:rPr>
        <w:t>؛ فتح العزیز ،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503</w:t>
      </w:r>
      <w:r>
        <w:rPr>
          <w:rFonts w:ascii="IRNazanin" w:hAnsi="IRNazanin" w:eastAsia="IRNazanin"/>
          <w:b w:val="false"/>
          <w:b w:val="false"/>
          <w:bCs w:val="false"/>
          <w:i w:val="false"/>
          <w:i w:val="false"/>
          <w:iCs w:val="false"/>
          <w:color w:val="333333"/>
          <w:sz w:val="20"/>
          <w:sz w:val="20"/>
          <w:szCs w:val="20"/>
          <w:rtl w:val="true"/>
        </w:rPr>
        <w:t>؛ الشرح الکبیر ،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616</w:t>
      </w:r>
      <w:r>
        <w:rPr>
          <w:rFonts w:eastAsia="IRNazanin" w:cs="IRNazanin"/>
          <w:b w:val="false"/>
          <w:bCs w:val="false"/>
          <w:i w:val="false"/>
          <w:iCs w:val="false"/>
          <w:color w:val="333333"/>
          <w:sz w:val="20"/>
          <w:szCs w:val="20"/>
          <w:rtl w:val="true"/>
        </w:rPr>
        <w:t xml:space="preserve"> .</w:t>
      </w:r>
    </w:p>
  </w:footnote>
  <w:footnote w:id="2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صحیح مسلم ،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سنن دار قطنی ،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فقه السنه ،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103</w:t>
      </w:r>
      <w:r>
        <w:rPr>
          <w:rFonts w:ascii="IRNazanin" w:hAnsi="IRNazanin" w:eastAsia="IRNazanin"/>
          <w:b w:val="false"/>
          <w:b w:val="false"/>
          <w:bCs w:val="false"/>
          <w:i w:val="false"/>
          <w:i w:val="false"/>
          <w:iCs w:val="false"/>
          <w:color w:val="333333"/>
          <w:sz w:val="20"/>
          <w:sz w:val="20"/>
          <w:szCs w:val="20"/>
          <w:rtl w:val="true"/>
        </w:rPr>
        <w:t>؛ تذکرة الفقها ،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230</w:t>
      </w:r>
      <w:r>
        <w:rPr>
          <w:rFonts w:ascii="IRNazanin" w:hAnsi="IRNazanin" w:eastAsia="IRNazanin"/>
          <w:b w:val="false"/>
          <w:b w:val="false"/>
          <w:bCs w:val="false"/>
          <w:i w:val="false"/>
          <w:i w:val="false"/>
          <w:iCs w:val="false"/>
          <w:color w:val="333333"/>
          <w:sz w:val="20"/>
          <w:sz w:val="20"/>
          <w:szCs w:val="20"/>
          <w:rtl w:val="true"/>
        </w:rPr>
        <w:t>ـ</w:t>
      </w:r>
      <w:r>
        <w:rPr>
          <w:rFonts w:eastAsia="IRNazanin" w:cs="IRNazanin"/>
          <w:b w:val="false"/>
          <w:bCs w:val="false"/>
          <w:i w:val="false"/>
          <w:iCs w:val="false"/>
          <w:color w:val="333333"/>
          <w:sz w:val="20"/>
          <w:szCs w:val="20"/>
        </w:rPr>
        <w:t>232</w:t>
      </w:r>
      <w:r>
        <w:rPr>
          <w:rFonts w:ascii="IRNazanin" w:hAnsi="IRNazanin" w:eastAsia="IRNazanin"/>
          <w:b w:val="false"/>
          <w:b w:val="false"/>
          <w:bCs w:val="false"/>
          <w:i w:val="false"/>
          <w:i w:val="false"/>
          <w:iCs w:val="false"/>
          <w:color w:val="333333"/>
          <w:sz w:val="20"/>
          <w:sz w:val="20"/>
          <w:szCs w:val="20"/>
          <w:rtl w:val="true"/>
        </w:rPr>
        <w:t>؛ الفقه علی المذاهب الخمسه ،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187</w:t>
      </w:r>
      <w:r>
        <w:rPr>
          <w:rFonts w:ascii="IRNazanin" w:hAnsi="IRNazanin" w:eastAsia="IRNazanin"/>
          <w:b w:val="false"/>
          <w:b w:val="false"/>
          <w:bCs w:val="false"/>
          <w:i w:val="false"/>
          <w:i w:val="false"/>
          <w:iCs w:val="false"/>
          <w:color w:val="333333"/>
          <w:sz w:val="20"/>
          <w:sz w:val="20"/>
          <w:szCs w:val="20"/>
          <w:rtl w:val="true"/>
        </w:rPr>
        <w:t>ـ</w:t>
      </w:r>
      <w:r>
        <w:rPr>
          <w:rFonts w:eastAsia="IRNazanin" w:cs="IRNazanin"/>
          <w:b w:val="false"/>
          <w:bCs w:val="false"/>
          <w:i w:val="false"/>
          <w:iCs w:val="false"/>
          <w:color w:val="333333"/>
          <w:sz w:val="20"/>
          <w:szCs w:val="20"/>
        </w:rPr>
        <w:t>189</w:t>
      </w:r>
      <w:r>
        <w:rPr>
          <w:rFonts w:ascii="IRNazanin" w:hAnsi="IRNazanin" w:eastAsia="IRNazanin"/>
          <w:b w:val="false"/>
          <w:b w:val="false"/>
          <w:bCs w:val="false"/>
          <w:i w:val="false"/>
          <w:i w:val="false"/>
          <w:iCs w:val="false"/>
          <w:color w:val="333333"/>
          <w:sz w:val="20"/>
          <w:sz w:val="20"/>
          <w:szCs w:val="20"/>
          <w:rtl w:val="true"/>
        </w:rPr>
        <w:t>؛ به نقل از درآمدی بر فقه مقارن ، ص</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تذکرة الفقهاء ،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الحاوی الکبیر فی فقه مذهب الامام شافعی ،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الفقه علی المذاهب الاربعة و مذهب اهل البیت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344</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381</w:t>
      </w:r>
      <w:r>
        <w:rPr>
          <w:rFonts w:ascii="IRNazanin" w:hAnsi="IRNazanin" w:eastAsia="IRNazanin"/>
          <w:b w:val="false"/>
          <w:b w:val="false"/>
          <w:bCs w:val="false"/>
          <w:i w:val="false"/>
          <w:i w:val="false"/>
          <w:iCs w:val="false"/>
          <w:color w:val="333333"/>
          <w:sz w:val="20"/>
          <w:sz w:val="20"/>
          <w:szCs w:val="20"/>
          <w:rtl w:val="true"/>
        </w:rPr>
        <w:t>؛ المجموع، شرح المهذّب للشیرازی ،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نووی می گوید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فالصّلاة علی النبی فی التشهد الاخر فرض، بلا خلاف عندنا</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اعانة الطالبین ،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200</w:t>
      </w:r>
      <w:r>
        <w:rPr>
          <w:rFonts w:ascii="IRNazanin" w:hAnsi="IRNazanin" w:eastAsia="IRNazanin"/>
          <w:b w:val="false"/>
          <w:b w:val="false"/>
          <w:bCs w:val="false"/>
          <w:i w:val="false"/>
          <w:i w:val="false"/>
          <w:iCs w:val="false"/>
          <w:color w:val="333333"/>
          <w:sz w:val="20"/>
          <w:sz w:val="20"/>
          <w:szCs w:val="20"/>
          <w:rtl w:val="true"/>
        </w:rPr>
        <w:t>؛ ینابیع الموده ،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104</w:t>
      </w:r>
      <w:r>
        <w:rPr>
          <w:rFonts w:ascii="IRNazanin" w:hAnsi="IRNazanin" w:eastAsia="IRNazanin"/>
          <w:b w:val="false"/>
          <w:b w:val="false"/>
          <w:bCs w:val="false"/>
          <w:i w:val="false"/>
          <w:i w:val="false"/>
          <w:iCs w:val="false"/>
          <w:color w:val="333333"/>
          <w:sz w:val="20"/>
          <w:sz w:val="20"/>
          <w:szCs w:val="20"/>
          <w:rtl w:val="true"/>
        </w:rPr>
        <w:t>؛ زرندی حنفی، نظم دررالسمطین ، ص</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النص و الاجتهاد ، ص</w:t>
      </w:r>
      <w:r>
        <w:rPr>
          <w:rFonts w:eastAsia="IRNazanin" w:cs="IRNazanin"/>
          <w:b w:val="false"/>
          <w:bCs w:val="false"/>
          <w:i w:val="false"/>
          <w:iCs w:val="false"/>
          <w:color w:val="333333"/>
          <w:sz w:val="20"/>
          <w:szCs w:val="20"/>
        </w:rPr>
        <w:t>81</w:t>
      </w:r>
      <w:r>
        <w:rPr>
          <w:rFonts w:ascii="IRNazanin" w:hAnsi="IRNazanin" w:eastAsia="IRNazanin"/>
          <w:b w:val="false"/>
          <w:b w:val="false"/>
          <w:bCs w:val="false"/>
          <w:i w:val="false"/>
          <w:i w:val="false"/>
          <w:iCs w:val="false"/>
          <w:color w:val="333333"/>
          <w:sz w:val="20"/>
          <w:sz w:val="20"/>
          <w:szCs w:val="20"/>
          <w:rtl w:val="true"/>
        </w:rPr>
        <w:t>؛ شرح الاخبار ،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489</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الفقه علی المذهب الاربعة ،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381</w:t>
      </w:r>
      <w:r>
        <w:rPr>
          <w:rFonts w:ascii="IRNazanin" w:hAnsi="IRNazanin" w:eastAsia="IRNazanin"/>
          <w:b w:val="false"/>
          <w:b w:val="false"/>
          <w:bCs w:val="false"/>
          <w:i w:val="false"/>
          <w:i w:val="false"/>
          <w:iCs w:val="false"/>
          <w:color w:val="333333"/>
          <w:sz w:val="20"/>
          <w:sz w:val="20"/>
          <w:szCs w:val="20"/>
          <w:rtl w:val="true"/>
        </w:rPr>
        <w:t>؛ فقه السنه ،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الام ،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کاسانی، بدائع الصنائع ،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69</w:t>
      </w:r>
      <w:r>
        <w:rPr>
          <w:rFonts w:ascii="IRNazanin" w:hAnsi="IRNazanin" w:eastAsia="IRNazanin"/>
          <w:b w:val="false"/>
          <w:b w:val="false"/>
          <w:bCs w:val="false"/>
          <w:i w:val="false"/>
          <w:i w:val="false"/>
          <w:iCs w:val="false"/>
          <w:color w:val="333333"/>
          <w:sz w:val="20"/>
          <w:sz w:val="20"/>
          <w:szCs w:val="20"/>
          <w:rtl w:val="true"/>
        </w:rPr>
        <w:t>، کتاب الصلاة؛ الفقه علی المذاهب الاربعة ،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381</w:t>
      </w:r>
      <w:r>
        <w:rPr>
          <w:rFonts w:ascii="IRNazanin" w:hAnsi="IRNazanin" w:eastAsia="IRNazanin"/>
          <w:b w:val="false"/>
          <w:b w:val="false"/>
          <w:bCs w:val="false"/>
          <w:i w:val="false"/>
          <w:i w:val="false"/>
          <w:iCs w:val="false"/>
          <w:color w:val="333333"/>
          <w:sz w:val="20"/>
          <w:sz w:val="20"/>
          <w:szCs w:val="20"/>
          <w:rtl w:val="true"/>
        </w:rPr>
        <w:t>؛ المحلّی بالآثار ،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مسئله</w:t>
      </w:r>
      <w:r>
        <w:rPr>
          <w:rFonts w:eastAsia="IRNazanin" w:cs="IRNazanin"/>
          <w:b w:val="false"/>
          <w:bCs w:val="false"/>
          <w:i w:val="false"/>
          <w:iCs w:val="false"/>
          <w:color w:val="333333"/>
          <w:sz w:val="20"/>
          <w:szCs w:val="20"/>
        </w:rPr>
        <w:t>458</w:t>
      </w:r>
      <w:r>
        <w:rPr>
          <w:rFonts w:ascii="IRNazanin" w:hAnsi="IRNazanin" w:eastAsia="IRNazanin"/>
          <w:b w:val="false"/>
          <w:b w:val="false"/>
          <w:bCs w:val="false"/>
          <w:i w:val="false"/>
          <w:i w:val="false"/>
          <w:iCs w:val="false"/>
          <w:color w:val="333333"/>
          <w:sz w:val="20"/>
          <w:sz w:val="20"/>
          <w:szCs w:val="20"/>
          <w:rtl w:val="true"/>
        </w:rPr>
        <w:t>؛ فقه السنه ،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الفقه علی المذاهب الاربعة ،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381</w:t>
      </w:r>
      <w:r>
        <w:rPr>
          <w:rFonts w:ascii="IRNazanin" w:hAnsi="IRNazanin" w:eastAsia="IRNazanin"/>
          <w:b w:val="false"/>
          <w:b w:val="false"/>
          <w:bCs w:val="false"/>
          <w:i w:val="false"/>
          <w:i w:val="false"/>
          <w:iCs w:val="false"/>
          <w:color w:val="333333"/>
          <w:sz w:val="20"/>
          <w:sz w:val="20"/>
          <w:szCs w:val="20"/>
          <w:rtl w:val="true"/>
        </w:rPr>
        <w:t>؛ المحلّی بالآثار ،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مسئله</w:t>
      </w:r>
      <w:r>
        <w:rPr>
          <w:rFonts w:eastAsia="IRNazanin" w:cs="IRNazanin"/>
          <w:b w:val="false"/>
          <w:bCs w:val="false"/>
          <w:i w:val="false"/>
          <w:iCs w:val="false"/>
          <w:color w:val="333333"/>
          <w:sz w:val="20"/>
          <w:szCs w:val="20"/>
        </w:rPr>
        <w:t>458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فقه السنه ،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فتح الباری ، 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198</w:t>
      </w:r>
      <w:r>
        <w:rPr>
          <w:rFonts w:ascii="IRNazanin" w:hAnsi="IRNazanin" w:eastAsia="IRNazanin"/>
          <w:b w:val="false"/>
          <w:b w:val="false"/>
          <w:bCs w:val="false"/>
          <w:i w:val="false"/>
          <w:i w:val="false"/>
          <w:iCs w:val="false"/>
          <w:color w:val="333333"/>
          <w:sz w:val="20"/>
          <w:sz w:val="20"/>
          <w:szCs w:val="20"/>
          <w:rtl w:val="true"/>
        </w:rPr>
        <w:t xml:space="preserve">، کتاب الدعوات، باب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السنن الکبری ،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بدایة المجتهد ،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126</w:t>
      </w:r>
      <w:r>
        <w:rPr>
          <w:rFonts w:ascii="IRNazanin" w:hAnsi="IRNazanin" w:eastAsia="IRNazanin"/>
          <w:b w:val="false"/>
          <w:b w:val="false"/>
          <w:bCs w:val="false"/>
          <w:i w:val="false"/>
          <w:i w:val="false"/>
          <w:iCs w:val="false"/>
          <w:color w:val="333333"/>
          <w:sz w:val="20"/>
          <w:sz w:val="20"/>
          <w:szCs w:val="20"/>
          <w:rtl w:val="true"/>
        </w:rPr>
        <w:t>؛ به نقل از الفقه علی المذاهب الخمسه ، ص</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الفقه علی المذاهب الخمسه ، ص</w:t>
      </w:r>
      <w:r>
        <w:rPr>
          <w:rFonts w:eastAsia="IRNazanin" w:cs="IRNazanin"/>
          <w:b w:val="false"/>
          <w:bCs w:val="false"/>
          <w:i w:val="false"/>
          <w:iCs w:val="false"/>
          <w:color w:val="333333"/>
          <w:sz w:val="20"/>
          <w:szCs w:val="20"/>
        </w:rPr>
        <w:t>115</w:t>
      </w:r>
      <w:r>
        <w:rPr>
          <w:rFonts w:ascii="IRNazanin" w:hAnsi="IRNazanin" w:eastAsia="IRNazanin"/>
          <w:b w:val="false"/>
          <w:b w:val="false"/>
          <w:bCs w:val="false"/>
          <w:i w:val="false"/>
          <w:i w:val="false"/>
          <w:iCs w:val="false"/>
          <w:color w:val="333333"/>
          <w:sz w:val="20"/>
          <w:sz w:val="20"/>
          <w:szCs w:val="20"/>
          <w:rtl w:val="true"/>
        </w:rPr>
        <w:t>؛ الفقه علی المذاهب الأربعه ،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229</w:t>
      </w:r>
      <w:r>
        <w:rPr>
          <w:rFonts w:ascii="IRNazanin" w:hAnsi="IRNazanin" w:eastAsia="IRNazanin"/>
          <w:b w:val="false"/>
          <w:b w:val="false"/>
          <w:bCs w:val="false"/>
          <w:i w:val="false"/>
          <w:i w:val="false"/>
          <w:iCs w:val="false"/>
          <w:color w:val="333333"/>
          <w:sz w:val="20"/>
          <w:sz w:val="20"/>
          <w:szCs w:val="20"/>
          <w:rtl w:val="true"/>
        </w:rPr>
        <w:t>؛ فقه السنه ،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140</w:t>
      </w:r>
      <w:r>
        <w:rPr>
          <w:rFonts w:ascii="IRNazanin" w:hAnsi="IRNazanin" w:eastAsia="IRNazanin"/>
          <w:b w:val="false"/>
          <w:b w:val="false"/>
          <w:bCs w:val="false"/>
          <w:i w:val="false"/>
          <w:i w:val="false"/>
          <w:iCs w:val="false"/>
          <w:color w:val="333333"/>
          <w:sz w:val="20"/>
          <w:sz w:val="20"/>
          <w:szCs w:val="20"/>
          <w:rtl w:val="true"/>
        </w:rPr>
        <w:t>؛ تذکرة الفقها ،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247</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روایات آمده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خداوند متعال پیامبرش حضرت محمد صلی الله علیه و آله را به معراج برد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جبرئیل اذان گفت و نماز را به پیامبر آموخت، به همین کیفیت و شکلی که می‌خوانیم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سپس در تشهد به او 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 خودت و بر اهل بیتت درود بفرست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پیامبر 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صَلَّی اللَّهُ عَلَیَّ وَ عَلَی أَهْلِ بَیْتِی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کافی ،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486</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برای نمونه 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اطعیوا الله و اطیعوا الرسول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59</w:t>
      </w:r>
      <w:r>
        <w:rPr>
          <w:rFonts w:ascii="IRNazanin" w:hAnsi="IRNazanin" w:eastAsia="IRNazanin"/>
          <w:b w:val="false"/>
          <w:b w:val="false"/>
          <w:bCs w:val="false"/>
          <w:i w:val="false"/>
          <w:i w:val="false"/>
          <w:iCs w:val="false"/>
          <w:color w:val="333333"/>
          <w:sz w:val="20"/>
          <w:sz w:val="20"/>
          <w:szCs w:val="20"/>
          <w:rtl w:val="true"/>
        </w:rPr>
        <w:t>، مائده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أَطیعوا الله والرَسول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132</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وأَطیعوا اللهَ ورَسوله اِن کنتم مؤمنین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انفال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ما کان لِمؤمن و لا مُؤمنة اِذا قضی الله و رَسولُه أَمراً أن یکون لَهم الخیرة مِن أمرهم و مَن یعص الله و رَسوله فقد ضَلّ ضَلالاً مُبیناً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احزاب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اِن کنتم تُحبون الله فاتَبعونی یُحببکم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صحیح بخاری ،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155</w:t>
      </w:r>
      <w:r>
        <w:rPr>
          <w:rFonts w:ascii="IRNazanin" w:hAnsi="IRNazanin" w:eastAsia="IRNazanin"/>
          <w:b w:val="false"/>
          <w:b w:val="false"/>
          <w:bCs w:val="false"/>
          <w:i w:val="false"/>
          <w:i w:val="false"/>
          <w:iCs w:val="false"/>
          <w:color w:val="333333"/>
          <w:sz w:val="20"/>
          <w:sz w:val="20"/>
          <w:szCs w:val="20"/>
          <w:rtl w:val="true"/>
        </w:rPr>
        <w:t>؛ الام ،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184</w:t>
      </w:r>
      <w:r>
        <w:rPr>
          <w:rFonts w:ascii="IRNazanin" w:hAnsi="IRNazanin" w:eastAsia="IRNazanin"/>
          <w:b w:val="false"/>
          <w:b w:val="false"/>
          <w:bCs w:val="false"/>
          <w:i w:val="false"/>
          <w:i w:val="false"/>
          <w:iCs w:val="false"/>
          <w:color w:val="333333"/>
          <w:sz w:val="20"/>
          <w:sz w:val="20"/>
          <w:szCs w:val="20"/>
          <w:rtl w:val="true"/>
        </w:rPr>
        <w:t>؛ المجموع ،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290</w:t>
      </w:r>
      <w:r>
        <w:rPr>
          <w:rFonts w:ascii="IRNazanin" w:hAnsi="IRNazanin" w:eastAsia="IRNazanin"/>
          <w:b w:val="false"/>
          <w:b w:val="false"/>
          <w:bCs w:val="false"/>
          <w:i w:val="false"/>
          <w:i w:val="false"/>
          <w:iCs w:val="false"/>
          <w:color w:val="333333"/>
          <w:sz w:val="20"/>
          <w:sz w:val="20"/>
          <w:szCs w:val="20"/>
          <w:rtl w:val="true"/>
        </w:rPr>
        <w:t>؛ اعانة الطالبین ،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145</w:t>
      </w:r>
      <w:r>
        <w:rPr>
          <w:rFonts w:ascii="IRNazanin" w:hAnsi="IRNazanin" w:eastAsia="IRNazanin"/>
          <w:b w:val="false"/>
          <w:b w:val="false"/>
          <w:bCs w:val="false"/>
          <w:i w:val="false"/>
          <w:i w:val="false"/>
          <w:iCs w:val="false"/>
          <w:color w:val="333333"/>
          <w:sz w:val="20"/>
          <w:sz w:val="20"/>
          <w:szCs w:val="20"/>
          <w:rtl w:val="true"/>
        </w:rPr>
        <w:t>؛ الحدائق الناضره ، 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423</w:t>
      </w:r>
      <w:r>
        <w:rPr>
          <w:rFonts w:ascii="IRNazanin" w:hAnsi="IRNazanin" w:eastAsia="IRNazanin"/>
          <w:b w:val="false"/>
          <w:b w:val="false"/>
          <w:bCs w:val="false"/>
          <w:i w:val="false"/>
          <w:i w:val="false"/>
          <w:iCs w:val="false"/>
          <w:color w:val="333333"/>
          <w:sz w:val="20"/>
          <w:sz w:val="20"/>
          <w:szCs w:val="20"/>
          <w:rtl w:val="true"/>
        </w:rPr>
        <w:t>؛ جواهر الکلام ،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ابراهیم جناتی، منابع اجتهاد از دیدگاه مذاهب اسلامی ، ص </w:t>
      </w:r>
      <w:r>
        <w:rPr>
          <w:rFonts w:ascii="IRNazanin" w:hAnsi="IRNazanin" w:eastAsia="IRNazanin"/>
          <w:b w:val="false"/>
          <w:b w:val="false"/>
          <w:bCs w:val="false"/>
          <w:i w:val="false"/>
          <w:i w:val="false"/>
          <w:iCs w:val="false"/>
          <w:color w:val="333333"/>
          <w:sz w:val="20"/>
          <w:sz w:val="20"/>
          <w:szCs w:val="20"/>
        </w:rPr>
        <w:t>۳</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دائرة‌المعارف فقه مقارن ، ص </w:t>
      </w:r>
      <w:r>
        <w:rPr>
          <w:rFonts w:ascii="IRNazanin" w:hAnsi="IRNazanin" w:eastAsia="IRNazanin"/>
          <w:b w:val="false"/>
          <w:b w:val="false"/>
          <w:bCs w:val="false"/>
          <w:i w:val="false"/>
          <w:i w:val="false"/>
          <w:iCs w:val="false"/>
          <w:color w:val="333333"/>
          <w:sz w:val="20"/>
          <w:sz w:val="20"/>
          <w:szCs w:val="20"/>
        </w:rPr>
        <w:t>۱۵۸</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دائرة المعارف فقه مقارن ، ص</w:t>
      </w:r>
      <w:r>
        <w:rPr>
          <w:rFonts w:ascii="IRNazanin" w:hAnsi="IRNazanin" w:eastAsia="IRNazanin"/>
          <w:b w:val="false"/>
          <w:b w:val="false"/>
          <w:bCs w:val="false"/>
          <w:i w:val="false"/>
          <w:i w:val="false"/>
          <w:iCs w:val="false"/>
          <w:color w:val="333333"/>
          <w:sz w:val="20"/>
          <w:sz w:val="20"/>
          <w:szCs w:val="20"/>
        </w:rPr>
        <w:t>۱۹۶</w:t>
      </w:r>
      <w:r>
        <w:rPr>
          <w:rFonts w:ascii="IRNazanin" w:hAnsi="IRNazanin" w:eastAsia="IRNazanin"/>
          <w:b w:val="false"/>
          <w:b w:val="false"/>
          <w:bCs w:val="false"/>
          <w:i w:val="false"/>
          <w:i w:val="false"/>
          <w:iCs w:val="false"/>
          <w:color w:val="333333"/>
          <w:sz w:val="20"/>
          <w:sz w:val="20"/>
          <w:szCs w:val="20"/>
          <w:rtl w:val="true"/>
        </w:rPr>
        <w:t>؛ به نقل از روضة الناظر ، 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۱۴۱</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درآمدی بر فقه مقارن ، ص</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درسنامه فقه مقارن ، ص</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 w:type="paragraph" w:styleId="Contents6">
    <w:name w:val="TOC 6"/>
    <w:basedOn w:val="Index"/>
    <w:pPr>
      <w:tabs>
        <w:tab w:val="clear" w:pos="708"/>
        <w:tab w:val="right" w:pos="7609" w:leader="dot"/>
      </w:tabs>
      <w:ind w:left="141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image" Target="media/image3.jpeg"/><Relationship Id="rId11" Type="http://schemas.openxmlformats.org/officeDocument/2006/relationships/image" Target="media/image3.jpeg"/><Relationship Id="rId12" Type="http://schemas.openxmlformats.org/officeDocument/2006/relationships/footer" Target="footer5.xml"/><Relationship Id="rId13" Type="http://schemas.openxmlformats.org/officeDocument/2006/relationships/image" Target="media/image4.jpeg"/><Relationship Id="rId14" Type="http://schemas.openxmlformats.org/officeDocument/2006/relationships/image" Target="media/image4.jpeg"/><Relationship Id="rId15" Type="http://schemas.openxmlformats.org/officeDocument/2006/relationships/footer" Target="footer6.xml"/><Relationship Id="rId16" Type="http://schemas.openxmlformats.org/officeDocument/2006/relationships/image" Target="media/image5.jpeg"/><Relationship Id="rId17" Type="http://schemas.openxmlformats.org/officeDocument/2006/relationships/image" Target="media/image5.jpeg"/><Relationship Id="rId18" Type="http://schemas.openxmlformats.org/officeDocument/2006/relationships/footer" Target="footer7.xml"/><Relationship Id="rId19" Type="http://schemas.openxmlformats.org/officeDocument/2006/relationships/image" Target="media/image6.jpeg"/><Relationship Id="rId20" Type="http://schemas.openxmlformats.org/officeDocument/2006/relationships/image" Target="media/image6.jpeg"/><Relationship Id="rId21" Type="http://schemas.openxmlformats.org/officeDocument/2006/relationships/footer" Target="footer8.xml"/><Relationship Id="rId22" Type="http://schemas.openxmlformats.org/officeDocument/2006/relationships/image" Target="media/image7.jpeg"/><Relationship Id="rId23" Type="http://schemas.openxmlformats.org/officeDocument/2006/relationships/image" Target="media/image7.jpeg"/><Relationship Id="rId24" Type="http://schemas.openxmlformats.org/officeDocument/2006/relationships/footer" Target="footer9.xml"/><Relationship Id="rId25" Type="http://schemas.openxmlformats.org/officeDocument/2006/relationships/image" Target="media/image8.jpeg"/><Relationship Id="rId26" Type="http://schemas.openxmlformats.org/officeDocument/2006/relationships/image" Target="media/image8.jpeg"/><Relationship Id="rId27" Type="http://schemas.openxmlformats.org/officeDocument/2006/relationships/footer" Target="footer10.xml"/><Relationship Id="rId28" Type="http://schemas.openxmlformats.org/officeDocument/2006/relationships/footer" Target="footer11.xml"/><Relationship Id="rId29" Type="http://schemas.openxmlformats.org/officeDocument/2006/relationships/footer" Target="footer12.xml"/><Relationship Id="rId30" Type="http://schemas.openxmlformats.org/officeDocument/2006/relationships/footer" Target="footer13.xml"/><Relationship Id="rId31" Type="http://schemas.openxmlformats.org/officeDocument/2006/relationships/footer" Target="footer14.xml"/><Relationship Id="rId32" Type="http://schemas.openxmlformats.org/officeDocument/2006/relationships/footer" Target="footer15.xml"/><Relationship Id="rId33" Type="http://schemas.openxmlformats.org/officeDocument/2006/relationships/footer" Target="footer16.xml"/><Relationship Id="rId34" Type="http://schemas.openxmlformats.org/officeDocument/2006/relationships/footer" Target="footer17.xml"/><Relationship Id="rId35" Type="http://schemas.openxmlformats.org/officeDocument/2006/relationships/footer" Target="footer18.xml"/><Relationship Id="rId36" Type="http://schemas.openxmlformats.org/officeDocument/2006/relationships/footer" Target="footer19.xml"/><Relationship Id="rId37" Type="http://schemas.openxmlformats.org/officeDocument/2006/relationships/footer" Target="footer20.xml"/><Relationship Id="rId38" Type="http://schemas.openxmlformats.org/officeDocument/2006/relationships/footer" Target="footer21.xml"/><Relationship Id="rId39" Type="http://schemas.openxmlformats.org/officeDocument/2006/relationships/footer" Target="footer22.xml"/><Relationship Id="rId40" Type="http://schemas.openxmlformats.org/officeDocument/2006/relationships/footer" Target="footer23.xml"/><Relationship Id="rId41" Type="http://schemas.openxmlformats.org/officeDocument/2006/relationships/footer" Target="footer24.xml"/><Relationship Id="rId42" Type="http://schemas.openxmlformats.org/officeDocument/2006/relationships/footer" Target="footer25.xml"/><Relationship Id="rId43" Type="http://schemas.openxmlformats.org/officeDocument/2006/relationships/footer" Target="footer26.xml"/><Relationship Id="rId44" Type="http://schemas.openxmlformats.org/officeDocument/2006/relationships/footer" Target="footer27.xml"/><Relationship Id="rId45" Type="http://schemas.openxmlformats.org/officeDocument/2006/relationships/footer" Target="footer28.xml"/><Relationship Id="rId46" Type="http://schemas.openxmlformats.org/officeDocument/2006/relationships/footer" Target="footer29.xml"/><Relationship Id="rId47" Type="http://schemas.openxmlformats.org/officeDocument/2006/relationships/footer" Target="footer30.xml"/><Relationship Id="rId48" Type="http://schemas.openxmlformats.org/officeDocument/2006/relationships/footer" Target="footer31.xml"/><Relationship Id="rId49" Type="http://schemas.openxmlformats.org/officeDocument/2006/relationships/footer" Target="footer32.xml"/><Relationship Id="rId50" Type="http://schemas.openxmlformats.org/officeDocument/2006/relationships/footer" Target="footer33.xml"/><Relationship Id="rId51" Type="http://schemas.openxmlformats.org/officeDocument/2006/relationships/footer" Target="footer34.xml"/><Relationship Id="rId52" Type="http://schemas.openxmlformats.org/officeDocument/2006/relationships/footer" Target="footer35.xml"/><Relationship Id="rId53" Type="http://schemas.openxmlformats.org/officeDocument/2006/relationships/footer" Target="footer36.xml"/><Relationship Id="rId54" Type="http://schemas.openxmlformats.org/officeDocument/2006/relationships/footer" Target="footer37.xml"/><Relationship Id="rId55" Type="http://schemas.openxmlformats.org/officeDocument/2006/relationships/footer" Target="footer38.xml"/><Relationship Id="rId56" Type="http://schemas.openxmlformats.org/officeDocument/2006/relationships/footer" Target="footer39.xml"/><Relationship Id="rId57" Type="http://schemas.openxmlformats.org/officeDocument/2006/relationships/footer" Target="footer40.xml"/><Relationship Id="rId58" Type="http://schemas.openxmlformats.org/officeDocument/2006/relationships/footer" Target="footer41.xml"/><Relationship Id="rId59" Type="http://schemas.openxmlformats.org/officeDocument/2006/relationships/footer" Target="footer42.xml"/><Relationship Id="rId60" Type="http://schemas.openxmlformats.org/officeDocument/2006/relationships/footer" Target="footer43.xml"/><Relationship Id="rId61" Type="http://schemas.openxmlformats.org/officeDocument/2006/relationships/footer" Target="footer44.xml"/><Relationship Id="rId62" Type="http://schemas.openxmlformats.org/officeDocument/2006/relationships/footer" Target="footer45.xml"/><Relationship Id="rId63" Type="http://schemas.openxmlformats.org/officeDocument/2006/relationships/footer" Target="footer46.xml"/><Relationship Id="rId64" Type="http://schemas.openxmlformats.org/officeDocument/2006/relationships/footer" Target="footer47.xml"/><Relationship Id="rId65" Type="http://schemas.openxmlformats.org/officeDocument/2006/relationships/footer" Target="footer48.xml"/><Relationship Id="rId66" Type="http://schemas.openxmlformats.org/officeDocument/2006/relationships/footer" Target="footer49.xml"/><Relationship Id="rId67" Type="http://schemas.openxmlformats.org/officeDocument/2006/relationships/footer" Target="footer50.xml"/><Relationship Id="rId68" Type="http://schemas.openxmlformats.org/officeDocument/2006/relationships/footer" Target="footer51.xml"/><Relationship Id="rId69" Type="http://schemas.openxmlformats.org/officeDocument/2006/relationships/footer" Target="footer52.xml"/><Relationship Id="rId70" Type="http://schemas.openxmlformats.org/officeDocument/2006/relationships/footer" Target="footer53.xml"/><Relationship Id="rId71" Type="http://schemas.openxmlformats.org/officeDocument/2006/relationships/footer" Target="footer54.xml"/><Relationship Id="rId72" Type="http://schemas.openxmlformats.org/officeDocument/2006/relationships/footer" Target="footer55.xml"/><Relationship Id="rId73" Type="http://schemas.openxmlformats.org/officeDocument/2006/relationships/footer" Target="footer56.xml"/><Relationship Id="rId74" Type="http://schemas.openxmlformats.org/officeDocument/2006/relationships/footer" Target="footer57.xml"/><Relationship Id="rId75" Type="http://schemas.openxmlformats.org/officeDocument/2006/relationships/footer" Target="footer58.xml"/><Relationship Id="rId76" Type="http://schemas.openxmlformats.org/officeDocument/2006/relationships/footer" Target="footer59.xml"/><Relationship Id="rId77" Type="http://schemas.openxmlformats.org/officeDocument/2006/relationships/footer" Target="footer60.xml"/><Relationship Id="rId78" Type="http://schemas.openxmlformats.org/officeDocument/2006/relationships/footer" Target="footer61.xml"/><Relationship Id="rId79" Type="http://schemas.openxmlformats.org/officeDocument/2006/relationships/footer" Target="footer62.xml"/><Relationship Id="rId80" Type="http://schemas.openxmlformats.org/officeDocument/2006/relationships/footer" Target="footer63.xml"/><Relationship Id="rId81" Type="http://schemas.openxmlformats.org/officeDocument/2006/relationships/footer" Target="footer64.xml"/><Relationship Id="rId82" Type="http://schemas.openxmlformats.org/officeDocument/2006/relationships/footer" Target="footer65.xml"/><Relationship Id="rId83" Type="http://schemas.openxmlformats.org/officeDocument/2006/relationships/footer" Target="footer66.xml"/><Relationship Id="rId84" Type="http://schemas.openxmlformats.org/officeDocument/2006/relationships/footer" Target="footer67.xml"/><Relationship Id="rId85" Type="http://schemas.openxmlformats.org/officeDocument/2006/relationships/footer" Target="footer68.xml"/><Relationship Id="rId86" Type="http://schemas.openxmlformats.org/officeDocument/2006/relationships/footer" Target="footer69.xml"/><Relationship Id="rId87" Type="http://schemas.openxmlformats.org/officeDocument/2006/relationships/footer" Target="footer70.xml"/><Relationship Id="rId88" Type="http://schemas.openxmlformats.org/officeDocument/2006/relationships/footer" Target="footer71.xml"/><Relationship Id="rId89" Type="http://schemas.openxmlformats.org/officeDocument/2006/relationships/footer" Target="footer72.xml"/><Relationship Id="rId90" Type="http://schemas.openxmlformats.org/officeDocument/2006/relationships/footer" Target="footer73.xml"/><Relationship Id="rId91" Type="http://schemas.openxmlformats.org/officeDocument/2006/relationships/footer" Target="footer74.xml"/><Relationship Id="rId92" Type="http://schemas.openxmlformats.org/officeDocument/2006/relationships/footer" Target="footer75.xml"/><Relationship Id="rId93" Type="http://schemas.openxmlformats.org/officeDocument/2006/relationships/footer" Target="footer76.xml"/><Relationship Id="rId94" Type="http://schemas.openxmlformats.org/officeDocument/2006/relationships/footer" Target="footer77.xml"/><Relationship Id="rId95" Type="http://schemas.openxmlformats.org/officeDocument/2006/relationships/footer" Target="footer78.xml"/><Relationship Id="rId96" Type="http://schemas.openxmlformats.org/officeDocument/2006/relationships/footer" Target="footer79.xml"/><Relationship Id="rId97" Type="http://schemas.openxmlformats.org/officeDocument/2006/relationships/footer" Target="footer80.xml"/><Relationship Id="rId98" Type="http://schemas.openxmlformats.org/officeDocument/2006/relationships/footer" Target="footer81.xml"/><Relationship Id="rId99" Type="http://schemas.openxmlformats.org/officeDocument/2006/relationships/footer" Target="footer82.xml"/><Relationship Id="rId100" Type="http://schemas.openxmlformats.org/officeDocument/2006/relationships/footer" Target="footer83.xml"/><Relationship Id="rId101" Type="http://schemas.openxmlformats.org/officeDocument/2006/relationships/footer" Target="footer84.xml"/><Relationship Id="rId102" Type="http://schemas.openxmlformats.org/officeDocument/2006/relationships/footer" Target="footer85.xml"/><Relationship Id="rId103" Type="http://schemas.openxmlformats.org/officeDocument/2006/relationships/footer" Target="footer86.xml"/><Relationship Id="rId104" Type="http://schemas.openxmlformats.org/officeDocument/2006/relationships/footer" Target="footer87.xml"/><Relationship Id="rId105" Type="http://schemas.openxmlformats.org/officeDocument/2006/relationships/footer" Target="footer88.xml"/><Relationship Id="rId106" Type="http://schemas.openxmlformats.org/officeDocument/2006/relationships/footer" Target="footer89.xml"/><Relationship Id="rId107" Type="http://schemas.openxmlformats.org/officeDocument/2006/relationships/footer" Target="footer90.xml"/><Relationship Id="rId108" Type="http://schemas.openxmlformats.org/officeDocument/2006/relationships/footer" Target="footer91.xml"/><Relationship Id="rId109" Type="http://schemas.openxmlformats.org/officeDocument/2006/relationships/footer" Target="footer92.xml"/><Relationship Id="rId110" Type="http://schemas.openxmlformats.org/officeDocument/2006/relationships/footer" Target="footer93.xml"/><Relationship Id="rId111" Type="http://schemas.openxmlformats.org/officeDocument/2006/relationships/footer" Target="footer94.xml"/><Relationship Id="rId112" Type="http://schemas.openxmlformats.org/officeDocument/2006/relationships/footer" Target="footer95.xml"/><Relationship Id="rId113" Type="http://schemas.openxmlformats.org/officeDocument/2006/relationships/footer" Target="footer96.xml"/><Relationship Id="rId114" Type="http://schemas.openxmlformats.org/officeDocument/2006/relationships/footer" Target="footer97.xml"/><Relationship Id="rId115" Type="http://schemas.openxmlformats.org/officeDocument/2006/relationships/footer" Target="footer98.xml"/><Relationship Id="rId116" Type="http://schemas.openxmlformats.org/officeDocument/2006/relationships/footer" Target="footer99.xml"/><Relationship Id="rId117" Type="http://schemas.openxmlformats.org/officeDocument/2006/relationships/footer" Target="footer100.xml"/><Relationship Id="rId118" Type="http://schemas.openxmlformats.org/officeDocument/2006/relationships/footer" Target="footer101.xml"/><Relationship Id="rId119" Type="http://schemas.openxmlformats.org/officeDocument/2006/relationships/footer" Target="footer102.xml"/><Relationship Id="rId120" Type="http://schemas.openxmlformats.org/officeDocument/2006/relationships/footer" Target="footer103.xml"/><Relationship Id="rId121" Type="http://schemas.openxmlformats.org/officeDocument/2006/relationships/footer" Target="footer104.xml"/><Relationship Id="rId122" Type="http://schemas.openxmlformats.org/officeDocument/2006/relationships/footer" Target="footer105.xml"/><Relationship Id="rId123" Type="http://schemas.openxmlformats.org/officeDocument/2006/relationships/footer" Target="footer106.xml"/><Relationship Id="rId124" Type="http://schemas.openxmlformats.org/officeDocument/2006/relationships/footer" Target="footer107.xml"/><Relationship Id="rId125" Type="http://schemas.openxmlformats.org/officeDocument/2006/relationships/footer" Target="footer108.xml"/><Relationship Id="rId126" Type="http://schemas.openxmlformats.org/officeDocument/2006/relationships/footer" Target="footer109.xml"/><Relationship Id="rId127" Type="http://schemas.openxmlformats.org/officeDocument/2006/relationships/footer" Target="footer110.xml"/><Relationship Id="rId128" Type="http://schemas.openxmlformats.org/officeDocument/2006/relationships/footer" Target="footer111.xml"/><Relationship Id="rId129" Type="http://schemas.openxmlformats.org/officeDocument/2006/relationships/footer" Target="footer112.xml"/><Relationship Id="rId130" Type="http://schemas.openxmlformats.org/officeDocument/2006/relationships/footer" Target="footer113.xml"/><Relationship Id="rId131" Type="http://schemas.openxmlformats.org/officeDocument/2006/relationships/footer" Target="footer114.xml"/><Relationship Id="rId132" Type="http://schemas.openxmlformats.org/officeDocument/2006/relationships/footer" Target="footer115.xml"/><Relationship Id="rId133" Type="http://schemas.openxmlformats.org/officeDocument/2006/relationships/footer" Target="footer116.xml"/><Relationship Id="rId134" Type="http://schemas.openxmlformats.org/officeDocument/2006/relationships/footer" Target="footer117.xml"/><Relationship Id="rId135" Type="http://schemas.openxmlformats.org/officeDocument/2006/relationships/footer" Target="footer118.xml"/><Relationship Id="rId136" Type="http://schemas.openxmlformats.org/officeDocument/2006/relationships/footer" Target="footer119.xml"/><Relationship Id="rId137" Type="http://schemas.openxmlformats.org/officeDocument/2006/relationships/footer" Target="footer120.xml"/><Relationship Id="rId138" Type="http://schemas.openxmlformats.org/officeDocument/2006/relationships/footer" Target="footer121.xml"/><Relationship Id="rId139" Type="http://schemas.openxmlformats.org/officeDocument/2006/relationships/footer" Target="footer122.xml"/><Relationship Id="rId140" Type="http://schemas.openxmlformats.org/officeDocument/2006/relationships/footer" Target="footer123.xml"/><Relationship Id="rId141" Type="http://schemas.openxmlformats.org/officeDocument/2006/relationships/footer" Target="footer124.xml"/><Relationship Id="rId142" Type="http://schemas.openxmlformats.org/officeDocument/2006/relationships/footer" Target="footer125.xml"/><Relationship Id="rId143" Type="http://schemas.openxmlformats.org/officeDocument/2006/relationships/footer" Target="footer126.xml"/><Relationship Id="rId144" Type="http://schemas.openxmlformats.org/officeDocument/2006/relationships/footer" Target="footer127.xml"/><Relationship Id="rId145" Type="http://schemas.openxmlformats.org/officeDocument/2006/relationships/footer" Target="footer128.xml"/><Relationship Id="rId146" Type="http://schemas.openxmlformats.org/officeDocument/2006/relationships/footer" Target="footer129.xml"/><Relationship Id="rId147" Type="http://schemas.openxmlformats.org/officeDocument/2006/relationships/footer" Target="footer130.xml"/><Relationship Id="rId148" Type="http://schemas.openxmlformats.org/officeDocument/2006/relationships/footer" Target="footer131.xml"/><Relationship Id="rId149" Type="http://schemas.openxmlformats.org/officeDocument/2006/relationships/footer" Target="footer132.xml"/><Relationship Id="rId150" Type="http://schemas.openxmlformats.org/officeDocument/2006/relationships/footer" Target="footer133.xml"/><Relationship Id="rId151" Type="http://schemas.openxmlformats.org/officeDocument/2006/relationships/footer" Target="footer134.xml"/><Relationship Id="rId152" Type="http://schemas.openxmlformats.org/officeDocument/2006/relationships/footer" Target="footer135.xml"/><Relationship Id="rId153" Type="http://schemas.openxmlformats.org/officeDocument/2006/relationships/footer" Target="footer136.xml"/><Relationship Id="rId154" Type="http://schemas.openxmlformats.org/officeDocument/2006/relationships/footer" Target="footer137.xml"/><Relationship Id="rId155" Type="http://schemas.openxmlformats.org/officeDocument/2006/relationships/footer" Target="footer138.xml"/><Relationship Id="rId156" Type="http://schemas.openxmlformats.org/officeDocument/2006/relationships/footer" Target="footer139.xml"/><Relationship Id="rId157" Type="http://schemas.openxmlformats.org/officeDocument/2006/relationships/footer" Target="footer140.xml"/><Relationship Id="rId158" Type="http://schemas.openxmlformats.org/officeDocument/2006/relationships/footer" Target="footer141.xml"/><Relationship Id="rId159" Type="http://schemas.openxmlformats.org/officeDocument/2006/relationships/footer" Target="footer142.xml"/><Relationship Id="rId160" Type="http://schemas.openxmlformats.org/officeDocument/2006/relationships/footer" Target="footer143.xml"/><Relationship Id="rId161" Type="http://schemas.openxmlformats.org/officeDocument/2006/relationships/footer" Target="footer144.xml"/><Relationship Id="rId162" Type="http://schemas.openxmlformats.org/officeDocument/2006/relationships/footer" Target="footer145.xml"/><Relationship Id="rId163" Type="http://schemas.openxmlformats.org/officeDocument/2006/relationships/footer" Target="footer146.xml"/><Relationship Id="rId164" Type="http://schemas.openxmlformats.org/officeDocument/2006/relationships/footer" Target="footer147.xml"/><Relationship Id="rId165" Type="http://schemas.openxmlformats.org/officeDocument/2006/relationships/footer" Target="footer148.xml"/><Relationship Id="rId166" Type="http://schemas.openxmlformats.org/officeDocument/2006/relationships/footer" Target="footer149.xml"/><Relationship Id="rId167" Type="http://schemas.openxmlformats.org/officeDocument/2006/relationships/footer" Target="footer150.xml"/><Relationship Id="rId168" Type="http://schemas.openxmlformats.org/officeDocument/2006/relationships/footer" Target="footer151.xml"/><Relationship Id="rId169" Type="http://schemas.openxmlformats.org/officeDocument/2006/relationships/footer" Target="footer152.xml"/><Relationship Id="rId170" Type="http://schemas.openxmlformats.org/officeDocument/2006/relationships/footer" Target="footer153.xml"/><Relationship Id="rId171" Type="http://schemas.openxmlformats.org/officeDocument/2006/relationships/footer" Target="footer154.xml"/><Relationship Id="rId172" Type="http://schemas.openxmlformats.org/officeDocument/2006/relationships/footer" Target="footer155.xml"/><Relationship Id="rId173" Type="http://schemas.openxmlformats.org/officeDocument/2006/relationships/footer" Target="footer156.xml"/><Relationship Id="rId174" Type="http://schemas.openxmlformats.org/officeDocument/2006/relationships/footer" Target="footer157.xml"/><Relationship Id="rId175" Type="http://schemas.openxmlformats.org/officeDocument/2006/relationships/footer" Target="footer158.xml"/><Relationship Id="rId176" Type="http://schemas.openxmlformats.org/officeDocument/2006/relationships/footer" Target="footer159.xml"/><Relationship Id="rId177" Type="http://schemas.openxmlformats.org/officeDocument/2006/relationships/footer" Target="footer160.xml"/><Relationship Id="rId178" Type="http://schemas.openxmlformats.org/officeDocument/2006/relationships/footer" Target="footer161.xml"/><Relationship Id="rId179" Type="http://schemas.openxmlformats.org/officeDocument/2006/relationships/footer" Target="footer162.xml"/><Relationship Id="rId180" Type="http://schemas.openxmlformats.org/officeDocument/2006/relationships/footer" Target="footer163.xml"/><Relationship Id="rId181" Type="http://schemas.openxmlformats.org/officeDocument/2006/relationships/footer" Target="footer164.xml"/><Relationship Id="rId182" Type="http://schemas.openxmlformats.org/officeDocument/2006/relationships/footer" Target="footer165.xml"/><Relationship Id="rId183" Type="http://schemas.openxmlformats.org/officeDocument/2006/relationships/footer" Target="footer166.xml"/><Relationship Id="rId184" Type="http://schemas.openxmlformats.org/officeDocument/2006/relationships/footer" Target="footer167.xml"/><Relationship Id="rId185" Type="http://schemas.openxmlformats.org/officeDocument/2006/relationships/footer" Target="footer168.xml"/><Relationship Id="rId186" Type="http://schemas.openxmlformats.org/officeDocument/2006/relationships/footer" Target="footer169.xml"/><Relationship Id="rId187" Type="http://schemas.openxmlformats.org/officeDocument/2006/relationships/footer" Target="footer170.xml"/><Relationship Id="rId188" Type="http://schemas.openxmlformats.org/officeDocument/2006/relationships/footer" Target="footer171.xml"/><Relationship Id="rId189" Type="http://schemas.openxmlformats.org/officeDocument/2006/relationships/footer" Target="footer172.xml"/><Relationship Id="rId190" Type="http://schemas.openxmlformats.org/officeDocument/2006/relationships/footer" Target="footer173.xml"/><Relationship Id="rId191" Type="http://schemas.openxmlformats.org/officeDocument/2006/relationships/footer" Target="footer174.xml"/><Relationship Id="rId192" Type="http://schemas.openxmlformats.org/officeDocument/2006/relationships/footer" Target="footer175.xml"/><Relationship Id="rId193" Type="http://schemas.openxmlformats.org/officeDocument/2006/relationships/footer" Target="footer176.xml"/><Relationship Id="rId194" Type="http://schemas.openxmlformats.org/officeDocument/2006/relationships/footer" Target="footer177.xml"/><Relationship Id="rId195" Type="http://schemas.openxmlformats.org/officeDocument/2006/relationships/footer" Target="footer178.xml"/><Relationship Id="rId196" Type="http://schemas.openxmlformats.org/officeDocument/2006/relationships/footer" Target="footer179.xml"/><Relationship Id="rId197" Type="http://schemas.openxmlformats.org/officeDocument/2006/relationships/footer" Target="footer180.xml"/><Relationship Id="rId198" Type="http://schemas.openxmlformats.org/officeDocument/2006/relationships/footer" Target="footer181.xml"/><Relationship Id="rId199" Type="http://schemas.openxmlformats.org/officeDocument/2006/relationships/footer" Target="footer182.xml"/><Relationship Id="rId200" Type="http://schemas.openxmlformats.org/officeDocument/2006/relationships/footer" Target="footer183.xml"/><Relationship Id="rId201" Type="http://schemas.openxmlformats.org/officeDocument/2006/relationships/footer" Target="footer184.xml"/><Relationship Id="rId202" Type="http://schemas.openxmlformats.org/officeDocument/2006/relationships/footer" Target="footer185.xml"/><Relationship Id="rId203" Type="http://schemas.openxmlformats.org/officeDocument/2006/relationships/footer" Target="footer186.xml"/><Relationship Id="rId204" Type="http://schemas.openxmlformats.org/officeDocument/2006/relationships/footer" Target="footer187.xml"/><Relationship Id="rId205" Type="http://schemas.openxmlformats.org/officeDocument/2006/relationships/footer" Target="footer188.xml"/><Relationship Id="rId206" Type="http://schemas.openxmlformats.org/officeDocument/2006/relationships/image" Target="media/image2.jpeg"/><Relationship Id="rId207" Type="http://schemas.openxmlformats.org/officeDocument/2006/relationships/image" Target="media/image2.jpeg"/><Relationship Id="rId208" Type="http://schemas.openxmlformats.org/officeDocument/2006/relationships/footer" Target="footer189.xml"/><Relationship Id="rId209" Type="http://schemas.openxmlformats.org/officeDocument/2006/relationships/footnotes" Target="footnotes.xml"/><Relationship Id="rId210" Type="http://schemas.openxmlformats.org/officeDocument/2006/relationships/numbering" Target="numbering.xml"/><Relationship Id="rId211" Type="http://schemas.openxmlformats.org/officeDocument/2006/relationships/fontTable" Target="fontTable.xml"/><Relationship Id="rId212" Type="http://schemas.openxmlformats.org/officeDocument/2006/relationships/settings" Target="settings.xml"/><Relationship Id="rId213"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194</Pages>
  <Words>32277</Words>
  <Characters>126932</Characters>
  <CharactersWithSpaces>157926</CharactersWithSpaces>
  <Paragraphs>1928</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2026-08-18T05:51:12Z</dcterms:created>
  <dc:creator>ghaemiyeh.com</dc:creator>
  <dc:description/>
  <dc:language>en-US</dc:language>
  <cp:lastModifiedBy/>
  <dcterms:modified xsi:type="dcterms:W3CDTF">2026-08-18T09:21:17Z</dcterms:modified>
  <cp:revision>1</cp:revision>
  <dc:subject/>
  <dc:title>نماز در فرق</dc:title>
</cp:coreProperties>
</file>

<file path=docProps/custom.xml><?xml version="1.0" encoding="utf-8"?>
<Properties xmlns="http://schemas.openxmlformats.org/officeDocument/2006/custom-properties" xmlns:vt="http://schemas.openxmlformats.org/officeDocument/2006/docPropsVTypes"/>
</file>