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ارتباط و ملاقات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031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031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0318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00320_274958925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00322_2749589250">
            <w:r>
              <w:rPr>
                <w:webHidden/>
                <w:rStyle w:val="IndexLink"/>
                <w:rtl w:val="true"/>
              </w:rPr>
              <w:t>معنای ارتباط و ملاقات و انواع آن</w:t>
            </w:r>
            <w:r>
              <w:rPr>
                <w:rStyle w:val="IndexLink"/>
                <w:rtl w:val="true"/>
              </w:rPr>
              <w:tab/>
            </w:r>
            <w:r>
              <w:rPr>
                <w:rStyle w:val="IndexLink"/>
              </w:rPr>
              <w:t>10</w:t>
            </w:r>
          </w:hyperlink>
        </w:p>
        <w:p>
          <w:pPr>
            <w:pStyle w:val="Contents2"/>
            <w:tabs>
              <w:tab w:val="clear" w:pos="8743"/>
              <w:tab w:val="right" w:pos="9026" w:leader="dot"/>
            </w:tabs>
            <w:rPr/>
          </w:pPr>
          <w:hyperlink w:anchor="__RefHeading___Toc1200324_2749589250">
            <w:r>
              <w:rPr>
                <w:webHidden/>
                <w:rStyle w:val="IndexLink"/>
                <w:rtl w:val="true"/>
              </w:rPr>
              <w:t>فرضیه های بحث</w:t>
            </w:r>
            <w:r>
              <w:rPr>
                <w:rStyle w:val="IndexLink"/>
                <w:rtl w:val="true"/>
              </w:rPr>
              <w:tab/>
            </w:r>
            <w:r>
              <w:rPr>
                <w:rStyle w:val="IndexLink"/>
              </w:rPr>
              <w:t>14</w:t>
            </w:r>
          </w:hyperlink>
        </w:p>
        <w:p>
          <w:pPr>
            <w:pStyle w:val="Contents3"/>
            <w:tabs>
              <w:tab w:val="clear" w:pos="8459"/>
              <w:tab w:val="right" w:pos="9026" w:leader="dot"/>
            </w:tabs>
            <w:rPr/>
          </w:pPr>
          <w:hyperlink w:anchor="__RefHeading___Toc1200326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00328_2749589250">
            <w:r>
              <w:rPr>
                <w:webHidden/>
                <w:rStyle w:val="IndexLink"/>
                <w:rtl w:val="true"/>
              </w:rPr>
              <w:t>دیدگاه نخست</w:t>
            </w:r>
            <w:r>
              <w:rPr>
                <w:rStyle w:val="IndexLink"/>
                <w:rtl w:val="true"/>
              </w:rPr>
              <w:t xml:space="preserve">: </w:t>
            </w:r>
            <w:r>
              <w:rPr>
                <w:rStyle w:val="IndexLink"/>
                <w:rtl w:val="true"/>
              </w:rPr>
              <w:t>امکان ملاقات</w:t>
            </w:r>
            <w:r>
              <w:rPr>
                <w:rStyle w:val="IndexLink"/>
                <w:rtl w:val="true"/>
              </w:rPr>
              <w:tab/>
            </w:r>
            <w:r>
              <w:rPr>
                <w:rStyle w:val="IndexLink"/>
              </w:rPr>
              <w:t>23</w:t>
            </w:r>
          </w:hyperlink>
        </w:p>
        <w:p>
          <w:pPr>
            <w:pStyle w:val="Contents4"/>
            <w:tabs>
              <w:tab w:val="clear" w:pos="8176"/>
              <w:tab w:val="right" w:pos="9026" w:leader="dot"/>
            </w:tabs>
            <w:rPr/>
          </w:pPr>
          <w:hyperlink w:anchor="__RefHeading___Toc1200330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00332_2749589250">
            <w:r>
              <w:rPr>
                <w:webHidden/>
                <w:rStyle w:val="IndexLink"/>
                <w:rtl w:val="true"/>
              </w:rPr>
              <w:t>الف</w:t>
            </w:r>
            <w:r>
              <w:rPr>
                <w:rStyle w:val="IndexLink"/>
                <w:rtl w:val="true"/>
              </w:rPr>
              <w:t xml:space="preserve">) </w:t>
            </w:r>
            <w:r>
              <w:rPr>
                <w:rStyle w:val="IndexLink"/>
                <w:rtl w:val="true"/>
              </w:rPr>
              <w:t>روایات</w:t>
            </w:r>
            <w:r>
              <w:rPr>
                <w:rStyle w:val="IndexLink"/>
                <w:rtl w:val="true"/>
              </w:rPr>
              <w:tab/>
            </w:r>
            <w:r>
              <w:rPr>
                <w:rStyle w:val="IndexLink"/>
              </w:rPr>
              <w:t>24</w:t>
            </w:r>
          </w:hyperlink>
        </w:p>
        <w:p>
          <w:pPr>
            <w:pStyle w:val="Contents4"/>
            <w:tabs>
              <w:tab w:val="clear" w:pos="8176"/>
              <w:tab w:val="right" w:pos="9026" w:leader="dot"/>
            </w:tabs>
            <w:rPr/>
          </w:pPr>
          <w:hyperlink w:anchor="__RefHeading___Toc1200334_2749589250">
            <w:r>
              <w:rPr>
                <w:webHidden/>
                <w:rStyle w:val="IndexLink"/>
                <w:rtl w:val="true"/>
              </w:rPr>
              <w:t>ب</w:t>
            </w:r>
            <w:r>
              <w:rPr>
                <w:rStyle w:val="IndexLink"/>
                <w:rtl w:val="true"/>
              </w:rPr>
              <w:t xml:space="preserve">) </w:t>
            </w:r>
            <w:r>
              <w:rPr>
                <w:rStyle w:val="IndexLink"/>
                <w:rtl w:val="true"/>
              </w:rPr>
              <w:t>تشرفات</w:t>
            </w:r>
            <w:r>
              <w:rPr>
                <w:rStyle w:val="IndexLink"/>
                <w:rtl w:val="true"/>
              </w:rPr>
              <w:tab/>
            </w:r>
            <w:r>
              <w:rPr>
                <w:rStyle w:val="IndexLink"/>
              </w:rPr>
              <w:t>32</w:t>
            </w:r>
          </w:hyperlink>
        </w:p>
        <w:p>
          <w:pPr>
            <w:pStyle w:val="Contents5"/>
            <w:tabs>
              <w:tab w:val="clear" w:pos="7892"/>
              <w:tab w:val="right" w:pos="9026" w:leader="dot"/>
            </w:tabs>
            <w:rPr/>
          </w:pPr>
          <w:hyperlink w:anchor="__RefHeading___Toc1200336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200338_2749589250">
            <w:r>
              <w:rPr>
                <w:webHidden/>
                <w:rStyle w:val="IndexLink"/>
              </w:rPr>
              <w:t>1</w:t>
            </w:r>
            <w:r>
              <w:rPr>
                <w:rStyle w:val="IndexLink"/>
                <w:rtl w:val="true"/>
              </w:rPr>
              <w:t xml:space="preserve">. </w:t>
            </w:r>
            <w:r>
              <w:rPr>
                <w:rStyle w:val="IndexLink"/>
                <w:rtl w:val="true"/>
              </w:rPr>
              <w:t>تواتر حکایت‌ها</w:t>
            </w:r>
            <w:r>
              <w:rPr>
                <w:rStyle w:val="IndexLink"/>
                <w:rtl w:val="true"/>
              </w:rPr>
              <w:tab/>
            </w:r>
            <w:r>
              <w:rPr>
                <w:rStyle w:val="IndexLink"/>
              </w:rPr>
              <w:t>33</w:t>
            </w:r>
          </w:hyperlink>
        </w:p>
        <w:p>
          <w:pPr>
            <w:pStyle w:val="Contents5"/>
            <w:tabs>
              <w:tab w:val="clear" w:pos="7892"/>
              <w:tab w:val="right" w:pos="9026" w:leader="dot"/>
            </w:tabs>
            <w:rPr/>
          </w:pPr>
          <w:hyperlink w:anchor="__RefHeading___Toc1200340_2749589250">
            <w:r>
              <w:rPr>
                <w:webHidden/>
                <w:rStyle w:val="IndexLink"/>
              </w:rPr>
              <w:t>2</w:t>
            </w:r>
            <w:r>
              <w:rPr>
                <w:rStyle w:val="IndexLink"/>
                <w:rtl w:val="true"/>
              </w:rPr>
              <w:t xml:space="preserve">. </w:t>
            </w:r>
            <w:r>
              <w:rPr>
                <w:rStyle w:val="IndexLink"/>
                <w:rtl w:val="true"/>
              </w:rPr>
              <w:t>اعتراف تشرف‌یافتگان</w:t>
            </w:r>
            <w:r>
              <w:rPr>
                <w:rStyle w:val="IndexLink"/>
                <w:rtl w:val="true"/>
              </w:rPr>
              <w:tab/>
            </w:r>
            <w:r>
              <w:rPr>
                <w:rStyle w:val="IndexLink"/>
              </w:rPr>
              <w:t>34</w:t>
            </w:r>
          </w:hyperlink>
        </w:p>
        <w:p>
          <w:pPr>
            <w:pStyle w:val="Contents5"/>
            <w:tabs>
              <w:tab w:val="clear" w:pos="7892"/>
              <w:tab w:val="right" w:pos="9026" w:leader="dot"/>
            </w:tabs>
            <w:rPr/>
          </w:pPr>
          <w:hyperlink w:anchor="__RefHeading___Toc1200342_2749589250">
            <w:r>
              <w:rPr>
                <w:webHidden/>
                <w:rStyle w:val="IndexLink"/>
              </w:rPr>
              <w:t>3</w:t>
            </w:r>
            <w:r>
              <w:rPr>
                <w:rStyle w:val="IndexLink"/>
                <w:rtl w:val="true"/>
              </w:rPr>
              <w:t xml:space="preserve">. </w:t>
            </w:r>
            <w:r>
              <w:rPr>
                <w:rStyle w:val="IndexLink"/>
                <w:rtl w:val="true"/>
              </w:rPr>
              <w:t>تأیید علمای شیعه</w:t>
            </w:r>
            <w:r>
              <w:rPr>
                <w:rStyle w:val="IndexLink"/>
                <w:rtl w:val="true"/>
              </w:rPr>
              <w:tab/>
            </w:r>
            <w:r>
              <w:rPr>
                <w:rStyle w:val="IndexLink"/>
              </w:rPr>
              <w:t>36</w:t>
            </w:r>
          </w:hyperlink>
        </w:p>
        <w:p>
          <w:pPr>
            <w:pStyle w:val="Contents5"/>
            <w:tabs>
              <w:tab w:val="clear" w:pos="7892"/>
              <w:tab w:val="right" w:pos="9026" w:leader="dot"/>
            </w:tabs>
            <w:rPr/>
          </w:pPr>
          <w:hyperlink w:anchor="__RefHeading___Toc1200344_2749589250">
            <w:r>
              <w:rPr>
                <w:webHidden/>
                <w:rStyle w:val="IndexLink"/>
              </w:rPr>
              <w:t>4</w:t>
            </w:r>
            <w:r>
              <w:rPr>
                <w:rStyle w:val="IndexLink"/>
                <w:rtl w:val="true"/>
              </w:rPr>
              <w:t xml:space="preserve">. </w:t>
            </w:r>
            <w:r>
              <w:rPr>
                <w:rStyle w:val="IndexLink"/>
                <w:rtl w:val="true"/>
              </w:rPr>
              <w:t>نقل اعمال و ادعیه از سوی امام زمان عجل الله تعالی فرجه الشریف</w:t>
            </w:r>
            <w:r>
              <w:rPr>
                <w:rStyle w:val="IndexLink"/>
                <w:rtl w:val="true"/>
              </w:rPr>
              <w:tab/>
            </w:r>
            <w:r>
              <w:rPr>
                <w:rStyle w:val="IndexLink"/>
              </w:rPr>
              <w:t>37</w:t>
            </w:r>
          </w:hyperlink>
        </w:p>
        <w:p>
          <w:pPr>
            <w:pStyle w:val="Contents3"/>
            <w:tabs>
              <w:tab w:val="clear" w:pos="8459"/>
              <w:tab w:val="right" w:pos="9026" w:leader="dot"/>
            </w:tabs>
            <w:rPr/>
          </w:pPr>
          <w:hyperlink w:anchor="__RefHeading___Toc1200346_2749589250">
            <w:r>
              <w:rPr>
                <w:webHidden/>
                <w:rStyle w:val="IndexLink"/>
                <w:rtl w:val="true"/>
              </w:rPr>
              <w:t>دیدگاه دوم</w:t>
            </w:r>
            <w:r>
              <w:rPr>
                <w:rStyle w:val="IndexLink"/>
                <w:rtl w:val="true"/>
              </w:rPr>
              <w:t xml:space="preserve">: </w:t>
            </w:r>
            <w:r>
              <w:rPr>
                <w:rStyle w:val="IndexLink"/>
                <w:rtl w:val="true"/>
              </w:rPr>
              <w:t>عدم‌امکان ملاقات</w:t>
            </w:r>
            <w:r>
              <w:rPr>
                <w:rStyle w:val="IndexLink"/>
                <w:rtl w:val="true"/>
              </w:rPr>
              <w:tab/>
            </w:r>
            <w:r>
              <w:rPr>
                <w:rStyle w:val="IndexLink"/>
              </w:rPr>
              <w:t>49</w:t>
            </w:r>
          </w:hyperlink>
        </w:p>
        <w:p>
          <w:pPr>
            <w:pStyle w:val="Contents2"/>
            <w:tabs>
              <w:tab w:val="clear" w:pos="8743"/>
              <w:tab w:val="right" w:pos="9026" w:leader="dot"/>
            </w:tabs>
            <w:rPr/>
          </w:pPr>
          <w:hyperlink w:anchor="__RefHeading___Toc1200348_2749589250">
            <w:r>
              <w:rPr>
                <w:webHidden/>
                <w:rStyle w:val="IndexLink"/>
                <w:rtl w:val="true"/>
              </w:rPr>
              <w:t>دلایل عدم‌امکان ملاقات</w:t>
            </w:r>
            <w:r>
              <w:rPr>
                <w:rStyle w:val="IndexLink"/>
                <w:rtl w:val="true"/>
              </w:rPr>
              <w:tab/>
            </w:r>
            <w:r>
              <w:rPr>
                <w:rStyle w:val="IndexLink"/>
              </w:rPr>
              <w:t>55</w:t>
            </w:r>
          </w:hyperlink>
        </w:p>
        <w:p>
          <w:pPr>
            <w:pStyle w:val="Contents3"/>
            <w:tabs>
              <w:tab w:val="clear" w:pos="8459"/>
              <w:tab w:val="right" w:pos="9026" w:leader="dot"/>
            </w:tabs>
            <w:rPr/>
          </w:pPr>
          <w:hyperlink w:anchor="__RefHeading___Toc1200350_274958925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200352_2749589250">
            <w:r>
              <w:rPr>
                <w:webHidden/>
                <w:rStyle w:val="IndexLink"/>
                <w:rtl w:val="true"/>
              </w:rPr>
              <w:t>الف</w:t>
            </w:r>
            <w:r>
              <w:rPr>
                <w:rStyle w:val="IndexLink"/>
                <w:rtl w:val="true"/>
              </w:rPr>
              <w:t xml:space="preserve">) </w:t>
            </w:r>
            <w:r>
              <w:rPr>
                <w:rStyle w:val="IndexLink"/>
                <w:rtl w:val="true"/>
              </w:rPr>
              <w:t>روایات غیرتوقیع</w:t>
            </w:r>
            <w:r>
              <w:rPr>
                <w:rStyle w:val="IndexLink"/>
                <w:rtl w:val="true"/>
              </w:rPr>
              <w:tab/>
            </w:r>
            <w:r>
              <w:rPr>
                <w:rStyle w:val="IndexLink"/>
              </w:rPr>
              <w:t>56</w:t>
            </w:r>
          </w:hyperlink>
        </w:p>
        <w:p>
          <w:pPr>
            <w:pStyle w:val="Contents3"/>
            <w:tabs>
              <w:tab w:val="clear" w:pos="8459"/>
              <w:tab w:val="right" w:pos="9026" w:leader="dot"/>
            </w:tabs>
            <w:rPr/>
          </w:pPr>
          <w:hyperlink w:anchor="__RefHeading___Toc1200354_2749589250">
            <w:r>
              <w:rPr>
                <w:webHidden/>
                <w:rStyle w:val="IndexLink"/>
                <w:rtl w:val="true"/>
              </w:rPr>
              <w:t>ب</w:t>
            </w:r>
            <w:r>
              <w:rPr>
                <w:rStyle w:val="IndexLink"/>
                <w:rtl w:val="true"/>
              </w:rPr>
              <w:t xml:space="preserve">) </w:t>
            </w:r>
            <w:r>
              <w:rPr>
                <w:rStyle w:val="IndexLink"/>
                <w:rtl w:val="true"/>
              </w:rPr>
              <w:t>توقیع‌شریف</w:t>
            </w:r>
            <w:r>
              <w:rPr>
                <w:rStyle w:val="IndexLink"/>
                <w:rtl w:val="true"/>
              </w:rPr>
              <w:tab/>
            </w:r>
            <w:r>
              <w:rPr>
                <w:rStyle w:val="IndexLink"/>
              </w:rPr>
              <w:t>64</w:t>
            </w:r>
          </w:hyperlink>
        </w:p>
        <w:p>
          <w:pPr>
            <w:pStyle w:val="Contents4"/>
            <w:tabs>
              <w:tab w:val="clear" w:pos="8176"/>
              <w:tab w:val="right" w:pos="9026" w:leader="dot"/>
            </w:tabs>
            <w:rPr/>
          </w:pPr>
          <w:hyperlink w:anchor="__RefHeading___Toc1200356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00358_2749589250">
            <w:r>
              <w:rPr>
                <w:webHidden/>
                <w:rStyle w:val="IndexLink"/>
              </w:rPr>
              <w:t>1</w:t>
            </w:r>
            <w:r>
              <w:rPr>
                <w:rStyle w:val="IndexLink"/>
                <w:rtl w:val="true"/>
              </w:rPr>
              <w:t xml:space="preserve">. </w:t>
            </w:r>
            <w:r>
              <w:rPr>
                <w:rStyle w:val="IndexLink"/>
                <w:rtl w:val="true"/>
              </w:rPr>
              <w:t>متن توقیع شریف</w:t>
            </w:r>
            <w:r>
              <w:rPr>
                <w:rStyle w:val="IndexLink"/>
                <w:rtl w:val="true"/>
              </w:rPr>
              <w:tab/>
            </w:r>
            <w:r>
              <w:rPr>
                <w:rStyle w:val="IndexLink"/>
              </w:rPr>
              <w:t>65</w:t>
            </w:r>
          </w:hyperlink>
        </w:p>
        <w:p>
          <w:pPr>
            <w:pStyle w:val="Contents4"/>
            <w:tabs>
              <w:tab w:val="clear" w:pos="8176"/>
              <w:tab w:val="right" w:pos="9026" w:leader="dot"/>
            </w:tabs>
            <w:rPr/>
          </w:pPr>
          <w:hyperlink w:anchor="__RefHeading___Toc1200360_2749589250">
            <w:r>
              <w:rPr>
                <w:webHidden/>
                <w:rStyle w:val="IndexLink"/>
              </w:rPr>
              <w:t>2</w:t>
            </w:r>
            <w:r>
              <w:rPr>
                <w:rStyle w:val="IndexLink"/>
                <w:rtl w:val="true"/>
              </w:rPr>
              <w:t xml:space="preserve">. </w:t>
            </w:r>
            <w:r>
              <w:rPr>
                <w:rStyle w:val="IndexLink"/>
                <w:rtl w:val="true"/>
              </w:rPr>
              <w:t>سند توقیع</w:t>
            </w:r>
            <w:r>
              <w:rPr>
                <w:rStyle w:val="IndexLink"/>
                <w:rtl w:val="true"/>
              </w:rPr>
              <w:tab/>
            </w:r>
            <w:r>
              <w:rPr>
                <w:rStyle w:val="IndexLink"/>
              </w:rPr>
              <w:t>66</w:t>
            </w:r>
          </w:hyperlink>
        </w:p>
        <w:p>
          <w:pPr>
            <w:pStyle w:val="Contents4"/>
            <w:tabs>
              <w:tab w:val="clear" w:pos="8176"/>
              <w:tab w:val="right" w:pos="9026" w:leader="dot"/>
            </w:tabs>
            <w:rPr/>
          </w:pPr>
          <w:hyperlink w:anchor="__RefHeading___Toc1200362_2749589250">
            <w:r>
              <w:rPr>
                <w:webHidden/>
                <w:rStyle w:val="IndexLink"/>
              </w:rPr>
              <w:t>3</w:t>
            </w:r>
            <w:r>
              <w:rPr>
                <w:rStyle w:val="IndexLink"/>
                <w:rtl w:val="true"/>
              </w:rPr>
              <w:t xml:space="preserve">. </w:t>
            </w:r>
            <w:r>
              <w:rPr>
                <w:rStyle w:val="IndexLink"/>
                <w:rtl w:val="true"/>
              </w:rPr>
              <w:t>دلالت توقیع</w:t>
            </w:r>
            <w:r>
              <w:rPr>
                <w:rStyle w:val="IndexLink"/>
                <w:rtl w:val="true"/>
              </w:rPr>
              <w:tab/>
            </w:r>
            <w:r>
              <w:rPr>
                <w:rStyle w:val="IndexLink"/>
              </w:rPr>
              <w:t>73</w:t>
            </w:r>
          </w:hyperlink>
        </w:p>
        <w:p>
          <w:pPr>
            <w:pStyle w:val="Contents4"/>
            <w:tabs>
              <w:tab w:val="clear" w:pos="8176"/>
              <w:tab w:val="right" w:pos="9026" w:leader="dot"/>
            </w:tabs>
            <w:rPr/>
          </w:pPr>
          <w:hyperlink w:anchor="__RefHeading___Toc1200364_2749589250">
            <w:r>
              <w:rPr>
                <w:webHidden/>
                <w:rStyle w:val="IndexLink"/>
              </w:rPr>
              <w:t>4</w:t>
            </w:r>
            <w:r>
              <w:rPr>
                <w:rStyle w:val="IndexLink"/>
                <w:rtl w:val="true"/>
              </w:rPr>
              <w:t xml:space="preserve">. </w:t>
            </w:r>
            <w:r>
              <w:rPr>
                <w:rStyle w:val="IndexLink"/>
                <w:rtl w:val="true"/>
              </w:rPr>
              <w:t>متن‌شناسی توقیع</w:t>
            </w:r>
            <w:r>
              <w:rPr>
                <w:rStyle w:val="IndexLink"/>
                <w:rtl w:val="true"/>
              </w:rPr>
              <w:tab/>
            </w:r>
            <w:r>
              <w:rPr>
                <w:rStyle w:val="IndexLink"/>
              </w:rPr>
              <w:t>79</w:t>
            </w:r>
          </w:hyperlink>
        </w:p>
        <w:p>
          <w:pPr>
            <w:pStyle w:val="Contents4"/>
            <w:tabs>
              <w:tab w:val="clear" w:pos="8176"/>
              <w:tab w:val="right" w:pos="9026" w:leader="dot"/>
            </w:tabs>
            <w:rPr/>
          </w:pPr>
          <w:hyperlink w:anchor="__RefHeading___Toc1200366_2749589250">
            <w:r>
              <w:rPr>
                <w:webHidden/>
                <w:rStyle w:val="IndexLink"/>
              </w:rPr>
              <w:t>5</w:t>
            </w:r>
            <w:r>
              <w:rPr>
                <w:rStyle w:val="IndexLink"/>
                <w:rtl w:val="true"/>
              </w:rPr>
              <w:t xml:space="preserve">. </w:t>
            </w:r>
            <w:r>
              <w:rPr>
                <w:rStyle w:val="IndexLink"/>
                <w:rtl w:val="true"/>
              </w:rPr>
              <w:t>تعارض توقیع با نقل تشرفات</w:t>
            </w:r>
            <w:r>
              <w:rPr>
                <w:rStyle w:val="IndexLink"/>
                <w:rtl w:val="true"/>
              </w:rPr>
              <w:tab/>
            </w:r>
            <w:r>
              <w:rPr>
                <w:rStyle w:val="IndexLink"/>
              </w:rPr>
              <w:t>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5_40393"/>
      <w:bookmarkStart w:id="1" w:name="pg3125_40393"/>
      <w:bookmarkEnd w:id="1"/>
    </w:p>
    <w:p>
      <w:pPr>
        <w:pStyle w:val="Heading2"/>
        <w:numPr>
          <w:ilvl w:val="1"/>
          <w:numId w:val="1"/>
        </w:numPr>
        <w:rPr/>
      </w:pPr>
      <w:bookmarkStart w:id="2" w:name="pg3125_40393"/>
      <w:bookmarkStart w:id="3" w:name="__RefHeading___Toc120031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 قنبرعلی،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رؤیت و ملاقات با امام زمان عجل الله تعالی فرجه الشریف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قنبرعلی 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031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125_40397"/>
    </w:p>
    <w:p>
      <w:pPr>
        <w:pStyle w:val="Heading2"/>
        <w:numPr>
          <w:ilvl w:val="1"/>
          <w:numId w:val="1"/>
        </w:numPr>
        <w:rPr/>
      </w:pPr>
      <w:bookmarkStart w:id="8" w:name="__RefHeading___Toc120031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معنای ارتباط و ملاقات و انواع آن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فرضیه های بحث</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ملاقات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حکایت‌ها</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تشرف‌یافتگان</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علمای شیعه</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اعمال و ادعیه از سوی امام زمان عجل الله تعالی فرجه الشریف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عدم‌امکان ملاقات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دلایل عدم‌امکان ملاقات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غیرتوقیع</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توقیع‌شریف</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توقیع شریف</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توقیع</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توقیع</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متن‌شناسی توقیع</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توقیع با نقل تشرفات</w:t>
      </w:r>
      <w:r>
        <w:rPr>
          <w:rFonts w:eastAsia="IRNazanin" w:cs="IRNazanin"/>
          <w:color w:val="111111"/>
          <w:sz w:val="28"/>
          <w:szCs w:val="28"/>
          <w:lang w:bidi="fa-IR"/>
        </w:rPr>
        <w:t>96</w:t>
      </w:r>
      <w:bookmarkStart w:id="10" w:name="pg3125_40399"/>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200320_274958925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ملاقات با امام زمان عجل الله تعالی فرجه الشریف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شایع ترین و بحث انگیز ترین مسائلی است که برای نوع مردم در مورد امکان این قضیه و چند و چون آن، سؤالاتی فراوانی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کنکاشی است پیرامون این موضوع که با اسلوب علمی به طرح و بررسی امکان ارتباط و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می 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اعتقاد به وجود مقدس امام زمان عجل الله تعالی فرجه الشریف و پذیرش امامت آن حضرت، امری بدیهی و ضروری مذهب شیعه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قرآنی و روایی این اعتقاد تاکنون به خوبی تبیین شده، ولی با توجه به شرایط خاص تاریخی عصر غیبت، فروعات مباحث درباره حضرت حجت عجل الله تعالی فرجه الشریف به خوبی تبیین نگردیده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نظیر ویژگی‌های زندگی حضرت در زمان غیبت، آثار و پی‌آمدهای مسئله غیبت در تفکر شیعی،</w:t>
      </w:r>
    </w:p>
    <w:p>
      <w:pPr>
        <w:pStyle w:val="BookText"/>
        <w:rPr/>
      </w:pPr>
      <w:r>
        <w:rPr>
          <w:rFonts w:ascii="IRNazanin" w:hAnsi="IRNazanin" w:eastAsia="IRNazanin"/>
          <w:color w:val="111111"/>
          <w:sz w:val="28"/>
          <w:sz w:val="28"/>
          <w:szCs w:val="28"/>
          <w:rtl w:val="true"/>
          <w:lang w:bidi="fa-IR"/>
        </w:rPr>
        <w:t>علل طولانی شدن غیبت و نقش مردم در این خصوص، شرایط ظهور و نشانه های آن، تاکنون‌کمتر مورد تأمل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رسالت دین‌پژوهان و نخبگان فکری ـ فرهنگی را در خصوص تحقیق و تتبع جامع و بازنگری دقیق این گونه مباحث، دو چندان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دراین باره، یکی از موضوع‌هایی که قرن‌ها پس از رحلت آخرین نایب خاص حضرت و آغاز غیبت کبرا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تاکنون در میان شیعیان مطرح بوده، مسئله رؤیت و ملاقات با حضرت حجت عجل الله تعالی فرجه الشریف در این زمان است که از جهاتی جای بحث و بررسی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این بحث با اهمیت، تاکنون مورد پردازش صاحب نظران قرار نگرفته و ابعاد آن به خوبی شفاف سازی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پرداختن به این بحث، با توجه به حساسیت موضوع، افزون بر اتقان علمی، از نظر شکل و فرم نیز دقت و ظرافت خاصی را می‌طلبد؛ به گونه‌ای که هر نوع کج‌اندیشی و افراط و تفریط در نحوه طرح این مسئله، عوارض و آسیب‌های زیادی را می‌تواند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جامع‌نگری و اعتدال، مهم‌ترین شرط ورود به این وادی، به شمار می‌آید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کتاب‌های موجود در این زمینه، کمتر کتابی به آسیب شناسی این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میان نویسندگان بیشتر مرسوم شده، شرح‌حال‌نگاری و حکایت‌نویسی است که برخی نیز با سطحی نگری عوامانه و بدون توجه کافی به پالایش و تفکیک حکایت‌های معتبر از نقل‌های بی‌اساس، تنها به گرد آوری حکایت‌ها و گفته های بی ربط و با ربط، همت گماشته اند و ناخواسته بر ابهامات مسئله افزوده‌اند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نگارنده با طرح این موضوع، هرگز مدعی نیست که حقّ مطلب را ادا کرده، ولی سعی نموده ضمن درک خلأها و توجه دادن به برخی افراط و تفریط‌های صورت گرفته و کاستی‌های موجود در این زمینه، با روش مناسب، به طرح و بررسی این موضوع بپردازد و در حد توان قدم مؤثری در این مسیر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امکان ارتباط و ملاقات و وقوع آن در عصر غیبت کبرا و نیز ارزیابی دلایل و دیدگاه‌های ارائه شده دراین‌باره و یافتن پاسخ به این پرسش های مهم و همگانی، هدف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کبرا دیدار با حضرت امکان ندارد؟ یا این‌که بنا به مصالحی و به گونه‌ای استثنایی و موردی ملاقات امکان دارد؟ مقتضای ادله و روایات در این‌باره چیست؟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اصل مسئله امکان تشرف را در عصر غیبت، به گونه اجمالی پذیرفته‌اند، اما در ویژگی‌های این مسئله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فرقه‌های</w:t>
      </w:r>
      <w:bookmarkStart w:id="13" w:name="pg3125_40402"/>
    </w:p>
    <w:p>
      <w:pPr>
        <w:pStyle w:val="BookText"/>
        <w:rPr/>
      </w:pPr>
      <w:bookmarkEnd w:id="13"/>
      <w:r>
        <w:rPr>
          <w:rFonts w:ascii="IRNazanin" w:hAnsi="IRNazanin" w:eastAsia="IRNazanin"/>
          <w:color w:val="111111"/>
          <w:sz w:val="28"/>
          <w:sz w:val="28"/>
          <w:szCs w:val="28"/>
          <w:rtl w:val="true"/>
          <w:lang w:bidi="fa-IR"/>
        </w:rPr>
        <w:t>شیعی و بعضی از نویسندگان معاصر نیز در این موضوع تردید کرده‌اند و یا آن را انکار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مورد نظر در سه بخش سامان‌دهی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طرح موضوع، تبیین ابعاد موضوع، پرسش‌ها و فرضیه‌های بحث اختصاص دارد؛ در بخش دوم، نظریه پذیرش دیدار، پیروان این نظریه، دلایل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خواهد بود؛ در بخش سوم، دیدگاه مخالفان وقوع ملاقات، پیروان آن و دلایل آن بررسی می‌شود و در پایان، بحث جمع‌بندی می‌گردد</w:t>
      </w:r>
      <w:r>
        <w:rPr>
          <w:rFonts w:eastAsia="IRNazanin" w:cs="IRNazanin"/>
          <w:color w:val="111111"/>
          <w:sz w:val="28"/>
          <w:szCs w:val="28"/>
          <w:rtl w:val="true"/>
          <w:lang w:bidi="fa-IR"/>
        </w:rPr>
        <w:t>.</w:t>
      </w:r>
    </w:p>
    <w:p>
      <w:pPr>
        <w:pStyle w:val="Heading2"/>
        <w:numPr>
          <w:ilvl w:val="1"/>
          <w:numId w:val="1"/>
        </w:numPr>
        <w:rPr/>
      </w:pPr>
      <w:bookmarkStart w:id="14" w:name="__RefHeading___Toc1200322_2749589250"/>
      <w:bookmarkStart w:id="15" w:name="_Toc5"/>
      <w:bookmarkEnd w:id="14"/>
      <w:r>
        <w:rPr>
          <w:rtl w:val="true"/>
        </w:rPr>
        <w:t>معنای ارتباط و ملاقات و انواع آن</w:t>
      </w:r>
      <w:bookmarkEnd w:id="15"/>
    </w:p>
    <w:p>
      <w:pPr>
        <w:pStyle w:val="BookText"/>
        <w:rPr/>
      </w:pPr>
      <w:r>
        <w:rPr>
          <w:rFonts w:ascii="IRNazanin" w:hAnsi="IRNazanin" w:eastAsia="IRNazanin"/>
          <w:color w:val="111111"/>
          <w:sz w:val="28"/>
          <w:sz w:val="28"/>
          <w:szCs w:val="28"/>
          <w:rtl w:val="true"/>
          <w:lang w:bidi="fa-IR"/>
        </w:rPr>
        <w:t>واژه ارتباط به معنای پیوند، اتصال و هم‌بستگی است که بیشتر برای ایجاد پیوند دو طرفه و دو جانبه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ثلاثی مجرد آن،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چیزی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کلمه ملاقات، معنایی اخص از ارتباط دارد که مفهوم نوعی گفت‌وگو و شناخت را نیز در بردارد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اصطلاح ارتباط و ملاقات با امام عصر عجل الله تعالی فرجه الشریف در نزد عرف، به معنای درک حضور، گفت‌وگو و شرف‌یابی است که حالت‌های مختلفی می‌تواند داشته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ارتباط و ملاقات، در دو دوره غیبت صغرا و</w:t>
      </w:r>
    </w:p>
    <w:p>
      <w:pPr>
        <w:pStyle w:val="BookText"/>
        <w:rPr/>
      </w:pPr>
      <w:r>
        <w:rPr>
          <w:rFonts w:ascii="IRNazanin" w:hAnsi="IRNazanin" w:eastAsia="IRNazanin"/>
          <w:color w:val="111111"/>
          <w:sz w:val="28"/>
          <w:sz w:val="28"/>
          <w:szCs w:val="28"/>
          <w:rtl w:val="true"/>
          <w:lang w:bidi="fa-IR"/>
        </w:rPr>
        <w:t>کبرا متفاوت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دوره نخست، خارج از موضوع بحث است و ارتباط و ملاقات در عصر غیبت کبرا چند نوع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که بیشتر صبغه عرفانی دارد، دارای قلمرو گسترده‌ای است که هم مطلق توجه معنوی و انس و توسل به حضرت را شامل می‌شود و هم به طور خاص، مکاشفات روحی از راه پیوند و ایجاد سنخیت میان شخص و امام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ارتباط ضوابطی را می‌طلبد و میزان موفقیت در آن، به میزان طهارت روحی و صفای باطنی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تعریف خاصی را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ملاقات که ظرف تحقق آن عالم رؤیاست، شخص، حضرت را متناسب با عالم رؤیا ملاقات می‌کند و با حضرت نشست و برخاست یا گفت‌وگو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ملاقات نیز ممکن است برای بسیاری از افراد رخ بدهد، به ویژه در شرایط روحی مناسب و حالات توجه و توسل به آن حضرت ـ البته صرف رؤیا، از نظر حجیت شرعی تکلیف‌آور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حال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حضرت با چشم ظاهری و در بیداری، منظور از این نوع ملاقات است؛ با ایشان تماس بگیرد، چه امام را بشناسد و چه</w:t>
      </w:r>
    </w:p>
    <w:p>
      <w:pPr>
        <w:pStyle w:val="BookText"/>
        <w:rPr/>
      </w:pPr>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در بیداری، از نظر شناختن و نشناختن امام، صورت های مختلفی دارد که آنها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حضرت با عنوان غیرحقیقی، به گونه‌ای که دیدار‌کننده به هنگام ملاقات و بعد از آن، هیچ‌گونه توجه و التفاتی به حضرت ندارد و ایشان در این دیدار، فردی ناشناس و عادی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این نوع دیدار برای بعضی چندبار رخ دهد، به ویژه در مکان‌هایی که حضرت آن‌جا رفت‌و‌آمد و با افراد فراوانی برخورد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در این‌گونه دیدار، امام را ملاقات می‌کند، ولی چون شناختی در کار نیست، ثمره چندانی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حضرت با عنوان حقیقی ایشان، طوری که شخص، در همان زمان دیدار، حضرت را بشناسد و یا حضرت خود را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ملاقات یعنی دیدار همراه با شناخت، بسیار نادر و اندک است؛ زیرا کثرت چنین ملاقات‌هایی با حکمت و فلسفه غیبت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استثنایی اجازه چنین تشرفی داده شود، بنا به مصالح خاصی است، هرچند ما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نقل‌های تشرفات نیز این نوع ملاقات، بسیار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حضرت در هنگام غفلت از حضور امام</w:t>
      </w:r>
    </w:p>
    <w:p>
      <w:pPr>
        <w:pStyle w:val="BookText"/>
        <w:rPr/>
      </w:pPr>
      <w:r>
        <w:rPr>
          <w:rFonts w:ascii="IRNazanin" w:hAnsi="IRNazanin" w:eastAsia="IRNazanin"/>
          <w:color w:val="111111"/>
          <w:sz w:val="28"/>
          <w:sz w:val="28"/>
          <w:szCs w:val="28"/>
          <w:rtl w:val="true"/>
          <w:lang w:bidi="fa-IR"/>
        </w:rPr>
        <w:t>که شخص، امام را ملاقات می‌کند، ولی پی به هویت امام نمی‌برد و حضرت را شخصی عادی می‌پندارد، یا این‌که حضرت با تصرفات غیبی نمی‌گذارد که ملاقات‌کننده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پایان ملاقات نیز شخص، به دلیل مشاهده کرامات و معجزات در این دیدار یا نشانه‌های دیگر، متوجه حضور حضرت می‌شود و اطمینان می‌یابد که او امام بوده است؛ برخلاف صورت اول که شخص بعد از دیدار نیز متوجه قضیه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نقل تشرفاتی که درکتاب‌ها ثبت شده و از زبان برخی عالمان و اهل تقوا نقل می‌شود، از این گونه ملاقات‌ها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و مشاهده حضرت در حال بیداری، از میان سه گونه دیدار، محل بحث و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ملاقات در حال بیداری، به لحاظ این‌که سخنی از ملاقات در آن مطرح نیست و گویی دیداری صورت نمی‌گیرد جدا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پرسش مهم درباره این بحث مطرح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دیدار با امام زمان عجل الله تعالی فرجه الشریف و مشاهده جمال مبارک آن حضرت در زمان غیبت کبرا امکان دارد؟ آیا این راه برای همگان گشوده است یا به افراد خاص و شرایط خاص تعلق دارد؟ غیبت حضرت به معنای رؤیت‌ناپذیر بودن جسم حضرت است یا به معنای ناشناس بودن</w:t>
      </w:r>
      <w:bookmarkStart w:id="16" w:name="pg3125_40406"/>
    </w:p>
    <w:p>
      <w:pPr>
        <w:pStyle w:val="BookText"/>
        <w:rPr/>
      </w:pPr>
      <w:bookmarkEnd w:id="16"/>
      <w:r>
        <w:rPr>
          <w:rFonts w:ascii="IRNazanin" w:hAnsi="IRNazanin" w:eastAsia="IRNazanin"/>
          <w:color w:val="111111"/>
          <w:sz w:val="28"/>
          <w:sz w:val="28"/>
          <w:szCs w:val="28"/>
          <w:rtl w:val="true"/>
          <w:lang w:bidi="fa-IR"/>
        </w:rPr>
        <w:t>امام؟در صورت حصول چنین توفیقی، نقل آن برای دیگران جایز است یا نه؟ وظیفه دیگران در برابر نقل ملاقات چیست؟ آیا باید آن را تکذیب کنند؟</w:t>
      </w:r>
    </w:p>
    <w:p>
      <w:pPr>
        <w:pStyle w:val="Heading2"/>
        <w:numPr>
          <w:ilvl w:val="1"/>
          <w:numId w:val="1"/>
        </w:numPr>
        <w:rPr/>
      </w:pPr>
      <w:bookmarkStart w:id="17" w:name="__RefHeading___Toc1200324_2749589250"/>
      <w:bookmarkStart w:id="18" w:name="_Toc6"/>
      <w:bookmarkEnd w:id="17"/>
      <w:r>
        <w:rPr>
          <w:rtl w:val="true"/>
        </w:rPr>
        <w:t>فرضیه های بحث</w:t>
      </w:r>
      <w:bookmarkEnd w:id="18"/>
    </w:p>
    <w:p>
      <w:pPr>
        <w:pStyle w:val="Heading3"/>
        <w:numPr>
          <w:ilvl w:val="2"/>
          <w:numId w:val="1"/>
        </w:numPr>
        <w:rPr/>
      </w:pPr>
      <w:bookmarkStart w:id="19" w:name="__RefHeading___Toc1200326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این موضوع را می‌توان به صورت کلی در قالب دو فرضیه مثبت و منفی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فرضیه نیز از دو جنبه طرح‌شدنی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عقلی قضیه و امکان عرفی و عملی آن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عقلی از جهت نظری قابل طرح و گفت‌وگوست که با توجه به روشن بودن مسئله، لازم نیست بدان بپردازیم؛ زیرا امکان عقلی ملاقات، امری اجماعی است؛ نه در میان عالمان شیعه کسی را می‌توان یافت که آن را نفی کرده باشد و نه دلیلی بر انکار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حضرت نه موجب تناقض است تا استحاله عقلی را به همراه آورد، و نه هیچ‌گونه محذور عقلی دیگری را در پی دارد، بلکه دلایل عقلی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مقتضی رؤیت و ملاقات،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مانند فلسفه امامت، ضرورت وجود حجت در هر عصر، نیاز و اضطرار مردم به امام عجل الله تعالی فرجه الشریف مقتضی آن است که مردم بتوانند با امام رابطه برقرار سازند و از برکات حضور وی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حضور ملموس امام زمان عجل الله تعالی فرجه الشریف در عصر</w:t>
      </w:r>
    </w:p>
    <w:p>
      <w:pPr>
        <w:pStyle w:val="BookText"/>
        <w:rPr/>
      </w:pPr>
      <w:r>
        <w:rPr>
          <w:rFonts w:ascii="IRNazanin" w:hAnsi="IRNazanin" w:eastAsia="IRNazanin"/>
          <w:color w:val="111111"/>
          <w:sz w:val="28"/>
          <w:sz w:val="28"/>
          <w:szCs w:val="28"/>
          <w:rtl w:val="true"/>
          <w:lang w:bidi="fa-IR"/>
        </w:rPr>
        <w:t>غیبت محرومند، به دلیل عدم‌مقتضی نیست بلکه به دلیل وجود مانع است که روایت‌های مربوط به فلسفه غیبت، به برخی از این موانع اشاره نموده‌اند؛ مانند خوف قتل، بیعت نکردن با حاکمان باطل، آماده نبودن مردم و جامعه برای پذیرش و تحقق برنامه‌های گسترده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صرف وجود مقتضی در ترتب آثار آن کافی نیست، بلکه عدم مانع نیز شرط تمامیت مقتضی به‌شمار می‌رود، از این‌رو، تعلیق در مواردی است که موانع هم‌چنان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این موانع که موجب محرومیت و دوری مردم از امام شده، به نوع مردم مربوط است که ظهور و حضور آشکار امام، منوط به زدودن این موانع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حرمان نوعی، با رؤیت و ارتباط لحظه‌ای، فردی و استثنایی منافاتی ندارد و آن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کسانی یافت شوند که اصل مسئله را انکار کنند، این ادعا نیاز به اثبات دارد که البته هیچ دلیلی بر اثبات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وجود روایات و تشرفات، هیچ‌گونه ابهامی را در اثبات مسئله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این‌باره جای تأمل دارد، امکان عرفی، یعنی وقوع ملاقات است که آیا در عصر غیبت کبرا، چنین اتفاقی رخ داده یا 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مسئله را عالمان شیعه پذیرفته‌اند، در</w:t>
      </w:r>
    </w:p>
    <w:p>
      <w:pPr>
        <w:pStyle w:val="BookText"/>
        <w:rPr/>
      </w:pPr>
      <w:r>
        <w:rPr>
          <w:rFonts w:ascii="IRNazanin" w:hAnsi="IRNazanin" w:eastAsia="IRNazanin"/>
          <w:color w:val="111111"/>
          <w:sz w:val="28"/>
          <w:sz w:val="28"/>
          <w:szCs w:val="28"/>
          <w:rtl w:val="true"/>
          <w:lang w:bidi="fa-IR"/>
        </w:rPr>
        <w:t>میان نویسندگان کسانی هستند که هم در اصل وقوع ملاقات و هم در ویژگی‌های آن، استنباط‌ها و دیدگاه‌های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مقوله مهم به شمار می‌رود، تبیین و بررسی دلایل اثباتی این بحث است که نتیجه آن سرنوشت بحث ما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بدیهی‌است که خاستگاه اصلی این بحث نیز، در بیان دیدگاه‌های نخبگان فکری و آرای خواص و عالمان شیعه نمود می‌یابد و نگرش های خام عامیانه، در نتیجه‌گیری بحث سهمی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تذکر از این نظر لازم است که برخی به این مرز‌بندی توجه نکرده‌اند و نگرش‌های تقلیدی برخاسته از احساسات مذهبی را در این مورد مداخله داده اند، در حالی‌که این مسئله نیازمند بحث استدلالی و نگاه تخصصی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اختلاف در مورد امکان و عدم‌امکان ملاقات، اختلاف نظر در مورد چگونگی خفای حضرت از چشم مردم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دیده‌نشدن و پنهان‌بودن حضرت از انظار عمومی، از نوع خفای شخصی به شمار می‌رود یا از نوع خفای عنوان؟ این پرسش نیز از چنددستگی روایاتی ناشی می‌شود که در مورد چگونگی خفای حضرت در زمان غیبت،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خفای شخص، دیده نشدن جسم</w:t>
      </w:r>
    </w:p>
    <w:p>
      <w:pPr>
        <w:pStyle w:val="BookText"/>
        <w:rPr/>
      </w:pPr>
      <w:r>
        <w:rPr>
          <w:rFonts w:ascii="IRNazanin" w:hAnsi="IRNazanin" w:eastAsia="IRNazanin"/>
          <w:color w:val="111111"/>
          <w:sz w:val="28"/>
          <w:sz w:val="28"/>
          <w:szCs w:val="28"/>
          <w:rtl w:val="true"/>
          <w:lang w:bidi="fa-IR"/>
        </w:rPr>
        <w:t>حضرت و مراد از خفای عنوان، ناشناس بودن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عنوان، طبیعی و معمولی می‌نماید، چنان‌که دیگر به خروج از حالت عادی و استفاده از قدرت قهری فراطبیعی نیازی نیست، ولی خفای شخص، ملازم خروج از حالت عادی و روند طبیعی است که به دو روش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حضرت در زمان غیبت، در وضعیتی متفاوت با شرایط موجود به سر می‌برد، چنان‌که فرقه شیخیه</w:t>
      </w:r>
      <w:r>
        <w:rPr>
          <w:rStyle w:val="FootnoteAnchor"/>
          <w:rtl w:val="true"/>
        </w:rPr>
        <w:footnoteReference w:id="4"/>
      </w:r>
      <w:r>
        <w:rPr>
          <w:rFonts w:ascii="IRNazanin" w:hAnsi="IRNazanin" w:eastAsia="IRNazanin"/>
          <w:color w:val="111111"/>
          <w:sz w:val="28"/>
          <w:sz w:val="28"/>
          <w:szCs w:val="28"/>
          <w:rtl w:val="true"/>
          <w:lang w:bidi="fa-IR"/>
        </w:rPr>
        <w:t xml:space="preserve">می‌گویند و آن 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به صورت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یا این‌که به دلیل تصرفات غیبی و تکوینی است که از ناحیه حضرت به اذن الهی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یا از راه تصرف در دستگاه بینایی فرد یا افراد حاضر صورت می‌گیرد و یا از راه تصرف در فضا و مکانی اتفاق می‌افتد که حضرت در آن‌جا حضور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خفای شخصی و خفای عنوان از این جهت لازم است که بحث ملاقات در فرض دوم، یعنی خفای عنوان، جای طرح دارد، ولی در فرض اول که بنا به هر دلیلی رؤیت و دسترس به حضرت ممکن نیست، این مسئله موضوعیت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بنابر آن‌چه از ظاهر اخبار و روایات برمی‌آید، امام زمان عجل الله تعالی فرجه الشریف در عصر غیبت، همانند زمان حضور، به طور طبیعی و با جسم عنصری زندگی می‌کند؛ نه این‌که حضرت در زمان غیبت، موجودی نامرئی، با بدن مثالی باشد و روحانی زندگی کند؛ چنان‌که فرقه شیخیه دچار این پندار باطل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باره باید به روایات مربوط به چگونگی زندگی حضرت در عصر غیبت،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به کار رفته در این روایات که وضعیت زندگی حضرت حجت عجل الله تعالی فرجه الشریف را در زمان غیبت بازگو کرده، بر هر دو نوعِ خفای شخص و خفای عنوان دلالت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روایت‌ها، تعبیرهایی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لاترون شخصه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فیراهم ولایرونه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ولایرونه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چشم می‌خورد که به معنای دیده نشدن حضرت در مراسم حج و دیگر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دیگر این تعبیرآمده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 و لایعرفونه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که تصریح دارد مردم حضرت را می‌بینند، ولی ایشان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تعبیر، در نگاه اول و به ظاهر با هم فرق دارند، ولی با دقت و تأمل در مضمون و کلمات به کار رفته در آن، معلوم می‌شود که میان این دو دسته از روایات، تعارض و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دسته اول، در صورتی می‌تواند بر نفی رؤیت دلالت 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کاربردی واحد و معنایی منحصر به فرد باشد تا از نفی و اثبات آن چنین نتیجه‌ای به دست آید؛ در حالی‌که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دسته از این روایات کاربردی دوگانه دارد؛ هم به معنای ظاهری، یعنی دیدن و ندیدن با چشم سر، و هم به معنای کنایی و عرفی، یعنی نشناختن، تشخیص ندادن و عدم توجه و التفات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نوع‌کاربرد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و روایات نیز موارد مشابه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توصیف وضعیت حضرت مهدی عجل الله تعالی فرجه الشریف در عصر غیبت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دورها و قصورها جوالةٌ فی شرق هذه الأرض و غربها تسمع الکلام و تُسلِّم علی الجماعة تَری و لا تُری؛</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وارد خانه‌ها و مجتمع‌ها می‌شود و در سراسر کشور از شرق تا غرب در سیر و حرکت است و</w:t>
      </w:r>
    </w:p>
    <w:p>
      <w:pPr>
        <w:pStyle w:val="BookText"/>
        <w:rPr/>
      </w:pPr>
      <w:r>
        <w:rPr>
          <w:rFonts w:ascii="IRNazanin" w:hAnsi="IRNazanin" w:eastAsia="IRNazanin"/>
          <w:color w:val="111111"/>
          <w:sz w:val="28"/>
          <w:sz w:val="28"/>
          <w:szCs w:val="28"/>
          <w:rtl w:val="true"/>
          <w:lang w:bidi="fa-IR"/>
        </w:rPr>
        <w:t>از مناطق مختلف بازدید می‌کند؛ سخنان مردم را گوش می‌دهد و بر اهل مجلس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می‌شناسد، در حالی‌که خود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 علی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قرینه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نیست، بلکه نشناختن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إِنَّهُمْ یرَوْنَهُ بَعِیدًا وَ نَراهُ قَریباً</w:t>
      </w:r>
      <w:r>
        <w:rPr>
          <w:rFonts w:eastAsia="Times New Roman" w:cs="Times New Roman" w:ascii="Times New Roman" w:hAnsi="Times New Roman"/>
          <w:color w:val="111111"/>
          <w:sz w:val="28"/>
          <w:szCs w:val="28"/>
          <w:lang w:val="en-US" w:bidi="en-US"/>
        </w:rPr>
        <w:t>f</w:t>
      </w:r>
      <w:r>
        <w:rPr>
          <w:rStyle w:val="FootnoteAnchor"/>
          <w:rtl w:val="true"/>
        </w:rPr>
        <w:footnoteReference w:id="10"/>
      </w:r>
      <w:r>
        <w:rPr>
          <w:rFonts w:ascii="IRNazanin" w:hAnsi="IRNazanin" w:eastAsia="IRNazanin"/>
          <w:color w:val="111111"/>
          <w:sz w:val="28"/>
          <w:sz w:val="28"/>
          <w:szCs w:val="28"/>
          <w:rtl w:val="true"/>
          <w:lang w:bidi="fa-IR"/>
        </w:rPr>
        <w:t xml:space="preserve">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ظاهری رؤیت و دیدن با چشم سر نیست، بلکه به معنای باور به کار رفته است؛ چنان‌که در نگاه تسامحی عرف نیز گاهی در مورد پیش‌بینی، قضاوت و اظهار نظر در مورد موضوعی، تعبیرهایی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آیات و روایات و نیز در متفاهم عرف، گاهی به معنای کنایی به کار می‌رود و التفات نکردن به چیزی، به منزله ندیدن آن تلقی می‌گردد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از این‌رو،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روایت‌های دسته اول نیز در معنای نفی رؤیت تعین ندارد بلکه هر دو احتمال در مفاد آن مطرح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تنها در میان این دو دسته روایات، هیچ تعارضی دیده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روایات به معنای عدم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حمل نیز روایاتی‌اند که به رفت‌و‌آمد حضرت در میان مردم به طور ناشناس و حضور در خانه‌ها، بازار، مجالس و محافل</w:t>
      </w:r>
      <w:r>
        <w:rPr>
          <w:rStyle w:val="FootnoteAnchor"/>
          <w:rtl w:val="true"/>
        </w:rPr>
        <w:footnoteReference w:id="11"/>
      </w:r>
      <w:r>
        <w:rPr>
          <w:rFonts w:ascii="IRNazanin" w:hAnsi="IRNazanin" w:eastAsia="IRNazanin"/>
          <w:color w:val="111111"/>
          <w:sz w:val="28"/>
          <w:sz w:val="28"/>
          <w:szCs w:val="28"/>
          <w:rtl w:val="true"/>
          <w:lang w:bidi="fa-IR"/>
        </w:rPr>
        <w:t>و دیگر جاها تصریح دارند و نیز روایاتی که وضعیت حضرت و شیعیان را در زمان غیبت، به یوسف علیه السلام و برادرانش تشبیه می‌کنند، چنان‌که خواهد آمد، شاهد و مفسر این نوع روایات می‌تواند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صراحت کلام محمد بن عثمان عمری، دومین نایب خاص حضرت و سوگند او مبنی بر این‌که حضرت هر سال در موسم حج شرکت می‌کند و با مردم دیدار دارد، این مطلب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مراسم، حاجیان را هم می‌بیند و هم می شناسد، مردم هم امام را می‌بینند ولی او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 یعرفهم و یرونه و لایعرفونه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این‌جمله نایب خاص حضرت که دقیقاً تعبیر امام صادق علیه السلام را به کار برده، هیچ‌گونه ابهامی را در دلالت روایت مبنی بر خفای عنوان و ناشناس بودن حضرت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خفای شخص و دیده نشدن جسم حضرت، مستلزم زندگی غیرطبیعی و خروج از حالت عادی است؛ در حالی‌که بر اساس روایات بحث غیبت، حضرت زندگی معمولی و طبیعی دارد و از راه خفای عنوان و ناشناس بودن، در میان مردم رفت‌و‌آمد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خفای شخص با استفاده از قدرت اعجاز</w:t>
      </w:r>
      <w:r>
        <w:rPr>
          <w:rStyle w:val="FootnoteAnchor"/>
          <w:rtl w:val="true"/>
        </w:rPr>
        <w:footnoteReference w:id="13"/>
      </w:r>
      <w:r>
        <w:rPr>
          <w:rFonts w:ascii="IRNazanin" w:hAnsi="IRNazanin" w:eastAsia="IRNazanin"/>
          <w:color w:val="111111"/>
          <w:sz w:val="28"/>
          <w:sz w:val="28"/>
          <w:szCs w:val="28"/>
          <w:rtl w:val="true"/>
          <w:lang w:bidi="fa-IR"/>
        </w:rPr>
        <w:t>ممکن است، ولی چنین چیزی فقط در مواردی خواهد بود که حکمت خاصی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دلیلی برای استفاده از نیروی اعجاز وجود ندارد؛ زیرا سنت الهی بر این است که در عالم طبیعت، جریان امور به صورت عادی باشد و چون اعجاز بر خلاف روند طبیعی و قانون جاری در عالم است، تنها به طور استثنایی و بنا به مصالح خاصی استفاده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گفت که حضرت در زمان غیبت به طور عادی و طبیعی با خفای عنوان زندگی می‌کند، مگر در موارد خاصی که استفاده از قدرت اعجاز به صورت خفای شخص لازم باشد، نه به طور همیشگی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بیان‌گر ناشناس بودن حضرت است، نه نامرئی بودن</w:t>
      </w:r>
      <w:bookmarkStart w:id="21" w:name="pg3125_40415"/>
    </w:p>
    <w:p>
      <w:pPr>
        <w:pStyle w:val="BookText"/>
        <w:rPr/>
      </w:pPr>
      <w:bookmarkEnd w:id="21"/>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چنین شرایطی که حضرت به طور ناشناس زندگی می‌کند، آیا کسی چنین توفیقی دارد که با حضرت دیدار کند یا نه، موضوعی است که در بخش‌های بعد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دو دیدگاه امکان ملاقات و عدم آن را در پی می‌آوریم و ادله آن دو را بررسی می‌کنیم</w:t>
      </w:r>
      <w:r>
        <w:rPr>
          <w:rFonts w:eastAsia="IRNazanin" w:cs="IRNazanin"/>
          <w:color w:val="111111"/>
          <w:sz w:val="28"/>
          <w:szCs w:val="28"/>
          <w:rtl w:val="true"/>
          <w:lang w:bidi="fa-IR"/>
        </w:rPr>
        <w:t>:</w:t>
      </w:r>
    </w:p>
    <w:p>
      <w:pPr>
        <w:pStyle w:val="Heading3"/>
        <w:numPr>
          <w:ilvl w:val="2"/>
          <w:numId w:val="1"/>
        </w:numPr>
        <w:rPr/>
      </w:pPr>
      <w:bookmarkStart w:id="22" w:name="__RefHeading___Toc1200328_2749589250"/>
      <w:bookmarkStart w:id="23" w:name="_Toc8"/>
      <w:bookmarkEnd w:id="22"/>
      <w:r>
        <w:rPr>
          <w:rtl w:val="true"/>
        </w:rPr>
        <w:t>دیدگاه نخست</w:t>
      </w:r>
      <w:r>
        <w:rPr>
          <w:rtl w:val="true"/>
        </w:rPr>
        <w:t xml:space="preserve">: </w:t>
      </w:r>
      <w:r>
        <w:rPr>
          <w:rtl w:val="true"/>
        </w:rPr>
        <w:t>امکان ملاقات</w:t>
      </w:r>
      <w:bookmarkEnd w:id="23"/>
    </w:p>
    <w:p>
      <w:pPr>
        <w:pStyle w:val="Heading4"/>
        <w:numPr>
          <w:ilvl w:val="3"/>
          <w:numId w:val="1"/>
        </w:numPr>
        <w:rPr/>
      </w:pPr>
      <w:bookmarkStart w:id="24" w:name="__RefHeading___Toc1200330_274958925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منظور از امکان، معنای فلسفی آن یعنی امکان عقلی نیست، بلکه منظور از آن معنای عرفی، یعنی امکان عملی و حصول رؤیت و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امکان ملاقات را به صورت موجبه جزئیه اثبات می‌کند، در مقابل سلب کلی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دیدگاه امکان ملاقات را به روشنی پذیرفته اند، به اسامی بزرگانی از شیعه می‌توان اشاره کرد که همگی صاحب تألیف و برخی صاحب مکتب و صاحب تشرف نیز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سیدمرتضی علم الهدی، سید بن طاووس، علامه حلی، علامه بحرالعلوم و مقدس اردبیلی</w:t>
      </w:r>
      <w:r>
        <w:rPr>
          <w:rFonts w:eastAsia="IRNazanin" w:cs="IRNazanin"/>
          <w:color w:val="111111"/>
          <w:sz w:val="28"/>
          <w:szCs w:val="28"/>
          <w:rtl w:val="true"/>
          <w:lang w:bidi="fa-IR"/>
        </w:rPr>
        <w:t>.</w:t>
      </w:r>
      <w:r>
        <w:rPr>
          <w:rStyle w:val="FootnoteAnchor"/>
          <w:rtl w:val="true"/>
        </w:rPr>
        <w:footnoteReference w:id="14"/>
      </w:r>
      <w:bookmarkStart w:id="26" w:name="pg3125_40416"/>
    </w:p>
    <w:p>
      <w:pPr>
        <w:pStyle w:val="BookText"/>
        <w:rPr/>
      </w:pPr>
      <w:bookmarkEnd w:id="26"/>
      <w:r>
        <w:rPr>
          <w:rFonts w:ascii="IRNazanin" w:hAnsi="IRNazanin" w:eastAsia="IRNazanin"/>
          <w:color w:val="111111"/>
          <w:sz w:val="28"/>
          <w:sz w:val="28"/>
          <w:szCs w:val="28"/>
          <w:rtl w:val="true"/>
          <w:lang w:bidi="fa-IR"/>
        </w:rPr>
        <w:t>از میان عالمان گذشته و امروز نیز بزرگانی 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فیض کاشانی، محدث نوری، شیخ محمود عراقی، شیخ علی‌اکبر نهاوندی، محمدتقی موسوی اصفهانی، آیت الله صافی‌گلپایگانی و سیدمحمد صدر می‌توان نام برد که در قسمت های بعد، به دیدگاه‌های برخی از آنان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نظریه، گرچه ممکن است در جزئیات و کم و کیف قضیه اختلاف نظر داشته باشند، در دو مورد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عصر غیبت اصل را بر خفا و عدم رؤیت می‌گذارند و دوم این‌که استثنا از این قاعده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دیدگاه نخست بر امکان وقوع ملاقات را به دو دسته می‌توان تقسیم کرد</w:t>
      </w:r>
      <w:r>
        <w:rPr>
          <w:rFonts w:eastAsia="IRNazanin" w:cs="IRNazanin"/>
          <w:color w:val="111111"/>
          <w:sz w:val="28"/>
          <w:szCs w:val="28"/>
          <w:rtl w:val="true"/>
          <w:lang w:bidi="fa-IR"/>
        </w:rPr>
        <w:t>:</w:t>
      </w:r>
    </w:p>
    <w:p>
      <w:pPr>
        <w:pStyle w:val="Heading4"/>
        <w:numPr>
          <w:ilvl w:val="3"/>
          <w:numId w:val="1"/>
        </w:numPr>
        <w:rPr/>
      </w:pPr>
      <w:bookmarkStart w:id="27" w:name="__RefHeading___Toc1200332_2749589250"/>
      <w:bookmarkStart w:id="28" w:name="_Toc10"/>
      <w:bookmarkEnd w:id="27"/>
      <w:r>
        <w:rPr>
          <w:rtl w:val="true"/>
        </w:rPr>
        <w:t>الف</w:t>
      </w:r>
      <w:r>
        <w:rPr>
          <w:rtl w:val="true"/>
        </w:rPr>
        <w:t xml:space="preserve">) </w:t>
      </w:r>
      <w:r>
        <w:rPr>
          <w:rtl w:val="true"/>
        </w:rPr>
        <w:t>روایات</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دلایل روایی، آن دسته از روایاتی است که به طور مطابقی یا تضمنی و التزامی، دست‌کم بر اثبات قسم اول ملاقات از نوع سوم، یعنی دیدار بدون شناخت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ملاقات قسم دوم و سوم یعنی دیدار همراه با شناخت که محل نزاع اصلی است، در حوزه تعریف روایات نمی‌گنجد و به اثبات از راه تجربه عینی و یقینی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در نظر گرفتن شیوه ملاقات می‌توان به روایات استشهاد نمود و دست‌کم از آنها برای اثبات دیدگاه اول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نظر نحوه دلالت، چند 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و بر رؤیت حضرت به گونه روشن و آشکار دلالت دارند؛ نظیر روایات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می‌کند که حضرت در مقام بیان سنت های جاری الهی بر پیامبران نسبت به حضرت مهدی عجل الله تعالی فرجه الشریف، بعد از ذکر سنت موسی علیه السلام و سنت عیسی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سنَّته من یوسف فالسَّتر یجعل الله بینه و بین الخلق حجاباً یرونه ولایعرفونه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سنت یوسفی در مورد حضرت مهدی عجل الله تعالی فرجه الشریف، پنهان بودن او از نظر مردم و ناشناس بودن او در میان آنان است که او را می‌بینند، ولی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روایتی از زبان 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خاص حضرت حجت عجل الله تعالی فرجه الشریف که وی قسم یاد می‌کند و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إنَّ صاحب هذا الأمر لیحضر الموسم کلَّ سنة فیری النّاس و یعرفهم و یرونه و لایعرفونه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خدا قسم که حضرت صاحب الامر هر ساله در مراسم حج شرکت می‌کند، به گونه‌ای که او حاجیان را می‌بیند و می‌شناسد و آنها نیز حضرت را می‌بینند، ولی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حتی هنگام مواجهه و گفت‌وگو با حضرت نیز متوجه نیستند که در محضر امام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تأکید و سوگند نایب دوم حضرت بر این مسئله و نیز وثاقت گفتار وی، فرمایش ایشان در اثبات مسئله رؤیت حضرت، ارزشی کمتر از روایت ندارد، به ویژه این‌که مضمون آن با کلام امام صادق علیه السلام در روایت قبل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قسمت اخیر کلامش، دقیقاً همان تعابیر امام صادق علیه السلام را به کار برده است که از این نظر، کلام ایشان به منزله نقل روایت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زندگی طبیعی وحضور ناشناس حضرت درمیان شهر و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صدیر صیرفی از امام صادق علیه السلام نقل می‌کند، حضرت، ناشناس بودن امام زمان عجل الله تعالی فرجه الشریف در میان مردم را به ناشناس بودن یوسف علیه السلام برای برادران او تشبیه می‌کند و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هذا الأمر یتردَّد بینهم و یمشی فی أسواقهم و یطأ فرشهم و لایعرفونه حتّی‌یأذن الله أن یعرِّفهم</w:t>
      </w:r>
    </w:p>
    <w:p>
      <w:pPr>
        <w:pStyle w:val="BookText"/>
        <w:rPr/>
      </w:pPr>
      <w:r>
        <w:rPr>
          <w:rFonts w:ascii="IRNazanin" w:hAnsi="IRNazanin" w:eastAsia="IRNazanin"/>
          <w:color w:val="111111"/>
          <w:sz w:val="28"/>
          <w:sz w:val="28"/>
          <w:szCs w:val="28"/>
          <w:rtl w:val="true"/>
          <w:lang w:bidi="fa-IR"/>
        </w:rPr>
        <w:t>نفسهُ کما أذن لیوسف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صاحب امر شما، در میان مردم رفت‌وآمد می‌کند، در بازارشان حرکت می‌نماید و در خانه‌ها و محافلشان حضور می‌یابد و بر فرش‌هایشان فرود می‌آید، در حالی که مردم او را نمی‌شناسند مگر این‌که به اذن الهی حضرت خودش را برای کسی معرفی کند همانند یوسف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در حدیثی طولانی، از امیر مؤمنان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ماشیةٌ فی طرقها داخلةٌ فی دورها و قصورها جوّالة فی شرق هذه الأرض و غربها تسمع الکلام و تسلِّم علی الجماعة تَری و لاتُری؛</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عجل الله تعالی فرجه الشریف در مسیر و جاده ها حرکت می‌کند، وارد خانه‌ها و مجتمع‌ها می‌شود و در سراسر کشور از شرق تا غرب در سیر و حرکت است و از مناطق مختلف بازدید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مردم را گوش می‌دهد و بر اهل مجلس سلام می‌کند، مردم را می‌شناسد، درحالی‌که خود شناخته نمی‌شود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اخیر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با توجه به بندهای پیشین آن، منظور نشناختن است، نه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حضرت در اماکن و مجالس مردم و</w:t>
      </w:r>
    </w:p>
    <w:p>
      <w:pPr>
        <w:pStyle w:val="BookText"/>
        <w:rPr/>
      </w:pPr>
      <w:r>
        <w:rPr>
          <w:rFonts w:ascii="IRNazanin" w:hAnsi="IRNazanin" w:eastAsia="IRNazanin"/>
          <w:color w:val="111111"/>
          <w:sz w:val="28"/>
          <w:sz w:val="28"/>
          <w:szCs w:val="28"/>
          <w:rtl w:val="true"/>
          <w:lang w:bidi="fa-IR"/>
        </w:rPr>
        <w:t>سلام کردن ایشان بر جماعت، قرینه بر ناشناس بودن حضرت به شمار می‌رود که عرفاً از آن به ندیدن نیز تعبیر می‌شود و عدم توجه، به‌منزله عدم رؤیت تلقی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استثنای عده ای خاص دلالت دارد که از محل زندگی حضرت آگاهند؛ برخی از این روایات بعضی بر اسثنای خواص شیعه و برخی بر استثنای خدمت گذاران و متولیان امور حضرت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از امام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لصاحب هذا الأمر غیبتین إحداهما تطول حتّی یقول بعضهم مات و بعضهم یقول قُتل و بعضهم یقول ذهب فلایبقی علی أمره من أصحابه إلّا نفرٌ یسیر لایطِّلع علی موضعه أحدٌ من ولی ٍّ و لاغیره إلّا المولی الَّذی یلی أَمره؛</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این امر دو غیبت است که یکی از آن دو به قدری طولانی است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و بعضی دیگر می‌پندارند 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خیال می‌کنند که او فوت شده و اثری از او باقی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زمره یاران وی، افراد باوفا بسیار اندک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دوستان و غیردوستان</w:t>
      </w:r>
    </w:p>
    <w:p>
      <w:pPr>
        <w:pStyle w:val="BookText"/>
        <w:rPr/>
      </w:pPr>
      <w:r>
        <w:rPr>
          <w:rFonts w:ascii="IRNazanin" w:hAnsi="IRNazanin" w:eastAsia="IRNazanin"/>
          <w:color w:val="111111"/>
          <w:sz w:val="28"/>
          <w:sz w:val="28"/>
          <w:szCs w:val="28"/>
          <w:rtl w:val="true"/>
          <w:lang w:bidi="fa-IR"/>
        </w:rPr>
        <w:t>از‌محل او آگاهی ندارد، مگر آن شخصی که عهده‌دار کار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چنین فردی محل او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صیرفی از امام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غیبتان إحداهما قصیرةٌ و الاُخری طویلة ٌ؛ الغیبة الأولی لایعلم بمکانه فیها إلّا خاصَّةُ شیعته و الأُخری لایعلم بمکانه فیها إلّا خاصَّةُ موالیه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قائم دو غیبت است که یکی از آن دو کوتاه و دیگری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غیبت اول این است که کسی جز خواص شیعه از محل زندگی اش آگاه نیست و ویژگی غیبت دوم این است که کسی از دوستان حضرت نیز از محل او باخبر نیست، مگر افراد ویژه‌ای ازخواص و دوستان برگزیده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ویژه‌ای از پیروان حضرت یا عده‌ای از ملازمان ایشان، یا افراد خدمت‌گذار مخصوص حضرت باشند؛ چنان‌که در روایت پیشین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روایت و نیز روایت قبل، عده خاصی را استثنا کرده که از وضع و محل زندگی حضرت با اطلاعند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نیز صحیح است و راوی آن، بزرگانی</w:t>
      </w:r>
    </w:p>
    <w:p>
      <w:pPr>
        <w:pStyle w:val="BookText"/>
        <w:rPr/>
      </w:pPr>
      <w:r>
        <w:rPr>
          <w:rFonts w:ascii="IRNazanin" w:hAnsi="IRNazanin" w:eastAsia="IRNazanin"/>
          <w:color w:val="111111"/>
          <w:sz w:val="28"/>
          <w:sz w:val="28"/>
          <w:szCs w:val="28"/>
          <w:rtl w:val="true"/>
          <w:lang w:bidi="fa-IR"/>
        </w:rPr>
        <w:t>چون کلینی، محمد بن یحیی، محمد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محبوب و اسحاق بن عمار صیرفی هستند که همگی از اکابر اصحاب شیعه و ثقات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دال بر مصاحبت و همراهی عده‌ای در رکاب حضرت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از امام صادق علیه السلام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لصاحب هذا الأمر من غیبة و لابدَّ له فی غیبته من عزلة و نعم المنزل طیبة و ما بثلاثین من وحشة؛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خواسته و سنت الهی بر این است که صاحب این امر ناگزیر غیبتی دارد و در دوران غیبت نیز ناچار از کناره‌گیری و دوری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طیبه محلی مناسب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سی نفر همراه، هرگز تنها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روایات، ملاقات با امام زمان عجل الله تعالی فرجه الشریف در زمان غیبت به طور محدود تأیید می‌شود؛ زیرا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دسته اول مردم حضرت را مثل فردی معمولی می‌بینند، اما به ایشان توجه و التفات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توجه نکردن و نشناختن نیز در موضوع بحث</w:t>
      </w:r>
    </w:p>
    <w:p>
      <w:pPr>
        <w:pStyle w:val="BookText"/>
        <w:rPr/>
      </w:pPr>
      <w:r>
        <w:rPr>
          <w:rFonts w:ascii="IRNazanin" w:hAnsi="IRNazanin" w:eastAsia="IRNazanin"/>
          <w:color w:val="111111"/>
          <w:sz w:val="28"/>
          <w:sz w:val="28"/>
          <w:szCs w:val="28"/>
          <w:rtl w:val="true"/>
          <w:lang w:bidi="fa-IR"/>
        </w:rPr>
        <w:t>نمی‌گنجد؛ چون شناخت و عدم‌شناخت حضرت به هنگام ملاقات، مربوط به انواع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اختلاف بوده و دیدگاه اول به اثبات آن می‌پردازد، امکان گفت‌وگو و رؤیت حضرت است که این دسته از روایات چنین چیزی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دسته دوم نیز که بر مانند حضور امام در میان مردم، سلام کردن و شرکت ایشان در مجالس دلالت دارد، به روشنی از مشاهده حضرت خبر می‌دهد؛ چون در این روایات، صحبت از مشاهده و ملاقات نکردن نیست، بلکه سخن از نشناختن است که این امر نیز از فلسفه غیبت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دسته سوم، بر نفی اطلاع از محل استقرار حضرت دلالت می‌کند و در این مورد، عده ای از خواص موالیان حضرت را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ملاقات و مشاهده حضرت را در دیگر اماکن نفی نمی‌نماید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دسته چهارم نیز از همراهی عده‌ای از خواص شیعیان با حضرت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همراهی سی نفر را با حضرت بیان می‌کند که البته هرگز مشاهده و ملاقات اتفاقی و لحظه ای را از دیگران نفی نمی‌کند، ضمن این‌که احتمال دارد منظور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عدد سی که کثرت و تعداد تخمینی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حدیث بر تنها نبودن حضرت در زمان غیبت و همراهی جمعی از خواص با</w:t>
      </w:r>
      <w:bookmarkStart w:id="29" w:name="pg3125_40424"/>
    </w:p>
    <w:p>
      <w:pPr>
        <w:pStyle w:val="BookText"/>
        <w:rPr/>
      </w:pPr>
      <w:bookmarkEnd w:id="29"/>
      <w:r>
        <w:rPr>
          <w:rFonts w:ascii="IRNazanin" w:hAnsi="IRNazanin" w:eastAsia="IRNazanin"/>
          <w:color w:val="111111"/>
          <w:sz w:val="28"/>
          <w:sz w:val="28"/>
          <w:szCs w:val="28"/>
          <w:rtl w:val="true"/>
          <w:lang w:bidi="fa-IR"/>
        </w:rPr>
        <w:t>ایشان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مجموع روایات استفاده می‌شود که آن‌چه در باب ارتباط با حضرت در این روایات تأکید شده، ناشناس ماندن حضرت در بیشتر ملاقات‌ها و برخورد‌هاست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جاهایی ناشناس می‌ماند که اذن شناخت ندهد و مصلحت خاصی درکار نباشد، وگرنه شناخت نیز به دست می‌آید؛ دیگر آن‌که در زمان غیبت کبرا نیز عده‌ای از خواص شیعه یا دست‌کم جمعی از همراهان حضرت، با وی حشر و نشر دارند</w:t>
      </w:r>
      <w:r>
        <w:rPr>
          <w:rFonts w:eastAsia="IRNazanin" w:cs="IRNazanin"/>
          <w:color w:val="111111"/>
          <w:sz w:val="28"/>
          <w:szCs w:val="28"/>
          <w:rtl w:val="true"/>
          <w:lang w:bidi="fa-IR"/>
        </w:rPr>
        <w:t>.</w:t>
      </w:r>
    </w:p>
    <w:p>
      <w:pPr>
        <w:pStyle w:val="Heading4"/>
        <w:numPr>
          <w:ilvl w:val="3"/>
          <w:numId w:val="1"/>
        </w:numPr>
        <w:rPr/>
      </w:pPr>
      <w:bookmarkStart w:id="30" w:name="__RefHeading___Toc1200334_2749589250"/>
      <w:bookmarkStart w:id="31" w:name="_Toc11"/>
      <w:bookmarkEnd w:id="30"/>
      <w:r>
        <w:rPr>
          <w:rtl w:val="true"/>
        </w:rPr>
        <w:t>ب</w:t>
      </w:r>
      <w:r>
        <w:rPr>
          <w:rtl w:val="true"/>
        </w:rPr>
        <w:t xml:space="preserve">) </w:t>
      </w:r>
      <w:r>
        <w:rPr>
          <w:rtl w:val="true"/>
        </w:rPr>
        <w:t>تشرفات</w:t>
      </w:r>
      <w:bookmarkEnd w:id="31"/>
    </w:p>
    <w:p>
      <w:pPr>
        <w:pStyle w:val="Heading5"/>
        <w:numPr>
          <w:ilvl w:val="4"/>
          <w:numId w:val="1"/>
        </w:numPr>
        <w:rPr/>
      </w:pPr>
      <w:bookmarkStart w:id="32" w:name="__RefHeading___Toc1200336_274958925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موضوع تشرفات، قوی‌ترین دلیل بر اثبات دیدگاه اول به شمار می‌رود؛ زیرا بهترین دلیل بر امکان چیزی، وقوع خارجی آن است که هیچ گونه ابهام و تردیدی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عده بسیاری به محضر مبارک ولی عصر عجل الله تعالی فرجه الشریف در طول دوران غیبت کبرا، چه به صورت ناشناس و چه از روی شناخت و توجه، دلیل قاطعی بر اثبات مسئله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درستی حکایات و نقل مشاهدات، دلایل متعددی طرح می‌شود که وقوع تشرفات را قطعی و مسلّم می‌نماید و هیچ‌گونه شبهه‌ای در مورد اصل وقوع تشرفات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این دلایل می‌پردازیم</w:t>
      </w:r>
      <w:r>
        <w:rPr>
          <w:rFonts w:eastAsia="IRNazanin" w:cs="IRNazanin"/>
          <w:color w:val="111111"/>
          <w:sz w:val="28"/>
          <w:szCs w:val="28"/>
          <w:rtl w:val="true"/>
          <w:lang w:bidi="fa-IR"/>
        </w:rPr>
        <w:t>:</w:t>
      </w:r>
      <w:bookmarkStart w:id="34" w:name="pg3125_40425"/>
    </w:p>
    <w:p>
      <w:pPr>
        <w:pStyle w:val="Heading5"/>
        <w:numPr>
          <w:ilvl w:val="4"/>
          <w:numId w:val="1"/>
        </w:numPr>
        <w:rPr/>
      </w:pPr>
      <w:bookmarkStart w:id="35" w:name="__RefHeading___Toc1200338_2749589250"/>
      <w:bookmarkStart w:id="36" w:name="_Toc13"/>
      <w:bookmarkEnd w:id="34"/>
      <w:bookmarkEnd w:id="35"/>
      <w:r>
        <w:rPr/>
        <w:t>1</w:t>
      </w:r>
      <w:r>
        <w:rPr>
          <w:rtl w:val="true"/>
        </w:rPr>
        <w:t xml:space="preserve">. </w:t>
      </w:r>
      <w:r>
        <w:rPr>
          <w:rtl w:val="true"/>
        </w:rPr>
        <w:t>تواتر حکایت‌ها</w:t>
      </w:r>
      <w:bookmarkEnd w:id="36"/>
    </w:p>
    <w:p>
      <w:pPr>
        <w:pStyle w:val="BookText"/>
        <w:rPr/>
      </w:pPr>
      <w:r>
        <w:rPr>
          <w:rFonts w:ascii="IRNazanin" w:hAnsi="IRNazanin" w:eastAsia="IRNazanin"/>
          <w:color w:val="111111"/>
          <w:sz w:val="28"/>
          <w:sz w:val="28"/>
          <w:szCs w:val="28"/>
          <w:rtl w:val="true"/>
          <w:lang w:bidi="fa-IR"/>
        </w:rPr>
        <w:t>تعداد حکایات نقل شده مبنی بر ملاقات با حضرت ولی عصر عجل الله تعالی فرجه الشریف در حال بیداری، بیشتر از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به سند و بررسی اعتبار نقل‌کنندگان نیاز ندارد؛ زیرا در تواتر، سند لحاظ نمی‌شود، بلکه کثرت و عدم‌امکان اتحاد و تبانی مخبران برکذب، کافی و حجت بوده و موجب به دست آمدن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بزرگان اصل تواتر حکایات تشرفات را نیز به گونه اجمالی پذیرفته‌اند و بیشتر اهل تحقیق به این موضوع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حکایت‌ها و داستان‌هایی که درباره ملاقات با امام زمان نقل شده، به دلیل فراوانی گردآوردنی نمی‌نماید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شیخ ابوطالب تبریزی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طول غیبت کبرا تا این زمان به ملاقات حضرت مهدی عجل الله تعالی فرجه الشریف مشرف شده‌اند، شمردنی و جمع‌شدنی نیستند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دیگر نویسندگانی</w:t>
      </w:r>
      <w:r>
        <w:rPr>
          <w:rStyle w:val="FootnoteAnchor"/>
          <w:rtl w:val="true"/>
        </w:rPr>
        <w:footnoteReference w:id="24"/>
      </w:r>
      <w:r>
        <w:rPr>
          <w:rFonts w:ascii="IRNazanin" w:hAnsi="IRNazanin" w:eastAsia="IRNazanin"/>
          <w:color w:val="111111"/>
          <w:sz w:val="28"/>
          <w:sz w:val="28"/>
          <w:szCs w:val="28"/>
          <w:rtl w:val="true"/>
          <w:lang w:bidi="fa-IR"/>
        </w:rPr>
        <w:t>هستند که به برتر از تواتر</w:t>
      </w:r>
      <w:bookmarkStart w:id="37" w:name="pg3125_40426"/>
    </w:p>
    <w:p>
      <w:pPr>
        <w:pStyle w:val="BookText"/>
        <w:rPr/>
      </w:pPr>
      <w:bookmarkEnd w:id="37"/>
      <w:r>
        <w:rPr>
          <w:rFonts w:ascii="IRNazanin" w:hAnsi="IRNazanin" w:eastAsia="IRNazanin"/>
          <w:color w:val="111111"/>
          <w:sz w:val="28"/>
          <w:sz w:val="28"/>
          <w:szCs w:val="28"/>
          <w:rtl w:val="true"/>
          <w:lang w:bidi="fa-IR"/>
        </w:rPr>
        <w:t>بودن این حکایات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نقل‌کنندگان و تشرف‌یافتگان، جزء فقیهان، زاهدان و شخصیت‌های علمی و مذهبی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این تشرفات با کرامات خاصی همراه بوده که صدور آن از غیر امام معصوم علیه السلام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باتوجه به فراوانی نقل‌کنندگان و وجود بسیاری از استوانه های شیعه نظیر سید بن طاووس، علامه بحر‌العلوم و مقدس اردبیلی درمیان آنان و نیز صدور برخی از کرامت‌های حضرت در هنگام تشرفات، وقوع تشرفات بسیاری به محضر مقدس امام زمان عجل الله تعالی فرجه الشریف، یقینی است و احتمال کذب در مورد مجموع این‌نقل‌ها، نامعقول و ناممکن می‌نماید</w:t>
      </w:r>
      <w:r>
        <w:rPr>
          <w:rFonts w:eastAsia="IRNazanin" w:cs="IRNazanin"/>
          <w:color w:val="111111"/>
          <w:sz w:val="28"/>
          <w:szCs w:val="28"/>
          <w:rtl w:val="true"/>
          <w:lang w:bidi="fa-IR"/>
        </w:rPr>
        <w:t>.</w:t>
      </w:r>
    </w:p>
    <w:p>
      <w:pPr>
        <w:pStyle w:val="Heading5"/>
        <w:numPr>
          <w:ilvl w:val="4"/>
          <w:numId w:val="1"/>
        </w:numPr>
        <w:rPr/>
      </w:pPr>
      <w:bookmarkStart w:id="38" w:name="__RefHeading___Toc1200340_2749589250"/>
      <w:bookmarkStart w:id="39" w:name="_Toc14"/>
      <w:bookmarkEnd w:id="38"/>
      <w:r>
        <w:rPr/>
        <w:t>2</w:t>
      </w:r>
      <w:r>
        <w:rPr>
          <w:rtl w:val="true"/>
        </w:rPr>
        <w:t xml:space="preserve">. </w:t>
      </w:r>
      <w:r>
        <w:rPr>
          <w:rtl w:val="true"/>
        </w:rPr>
        <w:t>اعتراف تشرف‌یافتگان</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تواتر نقل تشرفات یقین‌آور و حجت است، بسیاری از تشرف‌یافتگان، بر مشاهده و گفت‌وگو با حضرت، اعتراف کرده‌اند، با وجود این‌که روش علما در این خصوص، بر رازداری، پنهان‌کاری و کتمان حالت‌های سری و تشرفات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درمیان تعداد بی‌شمار نقل تشرفات، بسیاری هستند که در وثاقت آنان جای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w:t>
      </w:r>
    </w:p>
    <w:p>
      <w:pPr>
        <w:pStyle w:val="BookText"/>
        <w:rPr/>
      </w:pPr>
      <w:r>
        <w:rPr>
          <w:rFonts w:ascii="IRNazanin" w:hAnsi="IRNazanin" w:eastAsia="IRNazanin"/>
          <w:color w:val="111111"/>
          <w:sz w:val="28"/>
          <w:sz w:val="28"/>
          <w:szCs w:val="28"/>
          <w:rtl w:val="true"/>
          <w:lang w:bidi="fa-IR"/>
        </w:rPr>
        <w:t>بزرگان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بغدادی</w:t>
      </w:r>
      <w:r>
        <w:rPr>
          <w:rStyle w:val="FootnoteAnchor"/>
          <w:rtl w:val="true"/>
        </w:rPr>
        <w:footnoteReference w:id="25"/>
      </w:r>
      <w:r>
        <w:rPr>
          <w:rFonts w:ascii="IRNazanin" w:hAnsi="IRNazanin" w:eastAsia="IRNazanin"/>
          <w:color w:val="111111"/>
          <w:sz w:val="28"/>
          <w:sz w:val="28"/>
          <w:szCs w:val="28"/>
          <w:rtl w:val="true"/>
          <w:lang w:bidi="fa-IR"/>
        </w:rPr>
        <w:t>که تمام ماجرا را بازگو کرده است، سیداحمد رشتی،</w:t>
      </w:r>
      <w:r>
        <w:rPr>
          <w:rStyle w:val="FootnoteAnchor"/>
          <w:rtl w:val="true"/>
        </w:rPr>
        <w:footnoteReference w:id="26"/>
      </w:r>
      <w:r>
        <w:rPr>
          <w:rFonts w:ascii="IRNazanin" w:hAnsi="IRNazanin" w:eastAsia="IRNazanin"/>
          <w:color w:val="111111"/>
          <w:sz w:val="28"/>
          <w:sz w:val="28"/>
          <w:szCs w:val="28"/>
          <w:rtl w:val="true"/>
          <w:lang w:bidi="fa-IR"/>
        </w:rPr>
        <w:t>سید بن طاووس،</w:t>
      </w:r>
      <w:r>
        <w:rPr>
          <w:rStyle w:val="FootnoteAnchor"/>
          <w:rtl w:val="true"/>
        </w:rPr>
        <w:footnoteReference w:id="27"/>
      </w:r>
      <w:r>
        <w:rPr>
          <w:rFonts w:ascii="IRNazanin" w:hAnsi="IRNazanin" w:eastAsia="IRNazanin"/>
          <w:color w:val="111111"/>
          <w:sz w:val="28"/>
          <w:sz w:val="28"/>
          <w:szCs w:val="28"/>
          <w:rtl w:val="true"/>
          <w:lang w:bidi="fa-IR"/>
        </w:rPr>
        <w:t>علی بن ابراهیم مهزیار،</w:t>
      </w:r>
      <w:r>
        <w:rPr>
          <w:rStyle w:val="FootnoteAnchor"/>
          <w:rtl w:val="true"/>
        </w:rPr>
        <w:footnoteReference w:id="28"/>
      </w:r>
      <w:r>
        <w:rPr>
          <w:rFonts w:ascii="IRNazanin" w:hAnsi="IRNazanin" w:eastAsia="IRNazanin"/>
          <w:color w:val="111111"/>
          <w:sz w:val="28"/>
          <w:sz w:val="28"/>
          <w:szCs w:val="28"/>
          <w:rtl w:val="true"/>
          <w:lang w:bidi="fa-IR"/>
        </w:rPr>
        <w:t>علامه بحرالعلوم،</w:t>
      </w:r>
      <w:r>
        <w:rPr>
          <w:rStyle w:val="FootnoteAnchor"/>
          <w:rtl w:val="true"/>
        </w:rPr>
        <w:footnoteReference w:id="29"/>
      </w:r>
      <w:r>
        <w:rPr>
          <w:rFonts w:ascii="IRNazanin" w:hAnsi="IRNazanin" w:eastAsia="IRNazanin"/>
          <w:color w:val="111111"/>
          <w:sz w:val="28"/>
          <w:sz w:val="28"/>
          <w:szCs w:val="28"/>
          <w:rtl w:val="true"/>
          <w:lang w:bidi="fa-IR"/>
        </w:rPr>
        <w:t>محمدعلی قشنری تهرانی،</w:t>
      </w:r>
      <w:r>
        <w:rPr>
          <w:rStyle w:val="FootnoteAnchor"/>
          <w:rtl w:val="true"/>
        </w:rPr>
        <w:footnoteReference w:id="30"/>
      </w:r>
      <w:r>
        <w:rPr>
          <w:rFonts w:ascii="IRNazanin" w:hAnsi="IRNazanin" w:eastAsia="IRNazanin"/>
          <w:color w:val="111111"/>
          <w:sz w:val="28"/>
          <w:sz w:val="28"/>
          <w:szCs w:val="28"/>
          <w:rtl w:val="true"/>
          <w:lang w:bidi="fa-IR"/>
        </w:rPr>
        <w:t>محمد بن عیسی بحرینی،</w:t>
      </w:r>
      <w:r>
        <w:rPr>
          <w:rStyle w:val="FootnoteAnchor"/>
          <w:rtl w:val="true"/>
        </w:rPr>
        <w:footnoteReference w:id="31"/>
      </w:r>
      <w:r>
        <w:rPr>
          <w:rFonts w:ascii="IRNazanin" w:hAnsi="IRNazanin" w:eastAsia="IRNazanin"/>
          <w:color w:val="111111"/>
          <w:sz w:val="28"/>
          <w:sz w:val="28"/>
          <w:szCs w:val="28"/>
          <w:rtl w:val="true"/>
          <w:lang w:bidi="fa-IR"/>
        </w:rPr>
        <w:t>حسن بن مثله جمکرانی‌</w:t>
      </w:r>
      <w:r>
        <w:rPr>
          <w:rStyle w:val="FootnoteAnchor"/>
          <w:rtl w:val="true"/>
        </w:rPr>
        <w:footnoteReference w:id="32"/>
      </w:r>
      <w:r>
        <w:rPr>
          <w:rFonts w:ascii="IRNazanin" w:hAnsi="IRNazanin" w:eastAsia="IRNazanin"/>
          <w:color w:val="111111"/>
          <w:sz w:val="28"/>
          <w:sz w:val="28"/>
          <w:szCs w:val="28"/>
          <w:rtl w:val="true"/>
          <w:lang w:bidi="fa-IR"/>
        </w:rPr>
        <w:t>و آیت‌الله مرعشی نجفی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 کدام از این بزرگان، جریان تشرف را با جزئیات کامل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این نقل تشرفات، مبنای بعضی از تشکیلات مذهبی و وقایع تاریخی گردیده است؛ نظیر جریان تشرف حسن بن مثله جمکرانی که اساس ماجرای مسجد مقدس جمکران، نماز مسجد و نماز امام زمان عجل الله تعالی فرجه الشریف به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تشرف محمد بن عیسی بحرینی، منشأ نجات شیعیان بحرین از توطئه دشمنان شیعه در آن واقعه تاریخی به شمار می‌آید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هرچند بنای بیشتر علما بر دوری از ریا و</w:t>
      </w:r>
      <w:bookmarkStart w:id="40" w:name="pg3125_40428"/>
    </w:p>
    <w:p>
      <w:pPr>
        <w:pStyle w:val="BookText"/>
        <w:rPr/>
      </w:pPr>
      <w:bookmarkEnd w:id="40"/>
      <w:r>
        <w:rPr>
          <w:rFonts w:ascii="IRNazanin" w:hAnsi="IRNazanin" w:eastAsia="IRNazanin"/>
          <w:color w:val="111111"/>
          <w:sz w:val="28"/>
          <w:sz w:val="28"/>
          <w:szCs w:val="28"/>
          <w:rtl w:val="true"/>
          <w:lang w:bidi="fa-IR"/>
        </w:rPr>
        <w:t>شهرت و بر کتمان و پنهان این‌گونه نکات بوده، بسیاری از آنان موضوع را کتبی یا شفاهی برای دیگران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شبهه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 و فقهای بزرگواری که به آنها نسبت دیدار و ارتباط با حضرت را داده‌اند، نه در کتاب‌های خود چنین ادعای را مطرح‌کرده‌اند و نه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به طور کامل بی‌اساس و غیر واقع بینانه است؛ زیرا بعضی از علما مثل آیت‌ا‌لله مرعشی، تشرفات خود را هم نوشته اند و هم برای دیگران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اگر این تشرفات را صاحبان آن به دیگران نقل نمی‌کردند، چگونه دیگران این نقل‌ها را با خصوصیات دقیق آن که گاه دربردارنده نقل ادعیه و اذکار از ناحیه حضرت است، پذیرفته‌اند و بازگو نموده‌اند؟</w:t>
      </w:r>
    </w:p>
    <w:p>
      <w:pPr>
        <w:pStyle w:val="BookText"/>
        <w:rPr/>
      </w:pPr>
      <w:r>
        <w:rPr>
          <w:rFonts w:ascii="IRNazanin" w:hAnsi="IRNazanin" w:eastAsia="IRNazanin"/>
          <w:color w:val="111111"/>
          <w:sz w:val="28"/>
          <w:sz w:val="28"/>
          <w:szCs w:val="28"/>
          <w:rtl w:val="true"/>
          <w:lang w:bidi="fa-IR"/>
        </w:rPr>
        <w:t>بنابراین، سیره بیشتر تشرف‌یافتگان چنین بوده که در حال حیات تشرف خود را نقل و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تشرفات نیز به صورت اسرار باقی مانده‌اند و برای کسی بازگو نشده‌اند</w:t>
      </w:r>
      <w:r>
        <w:rPr>
          <w:rFonts w:eastAsia="IRNazanin" w:cs="IRNazanin"/>
          <w:color w:val="111111"/>
          <w:sz w:val="28"/>
          <w:szCs w:val="28"/>
          <w:rtl w:val="true"/>
          <w:lang w:bidi="fa-IR"/>
        </w:rPr>
        <w:t>.</w:t>
      </w:r>
    </w:p>
    <w:p>
      <w:pPr>
        <w:pStyle w:val="Heading5"/>
        <w:numPr>
          <w:ilvl w:val="4"/>
          <w:numId w:val="1"/>
        </w:numPr>
        <w:rPr/>
      </w:pPr>
      <w:bookmarkStart w:id="41" w:name="__RefHeading___Toc1200342_2749589250"/>
      <w:bookmarkStart w:id="42" w:name="_Toc15"/>
      <w:bookmarkEnd w:id="41"/>
      <w:r>
        <w:rPr/>
        <w:t>3</w:t>
      </w:r>
      <w:r>
        <w:rPr>
          <w:rtl w:val="true"/>
        </w:rPr>
        <w:t xml:space="preserve">. </w:t>
      </w:r>
      <w:r>
        <w:rPr>
          <w:rtl w:val="true"/>
        </w:rPr>
        <w:t>تأیید علمای شیعه</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بیشتر عالمان شیعه اصل جریان تشرفات و وقوع آن را در طول‌دوران غیبت، تأیید</w:t>
      </w:r>
      <w:bookmarkStart w:id="43" w:name="pg3125_40429"/>
    </w:p>
    <w:p>
      <w:pPr>
        <w:pStyle w:val="BookText"/>
        <w:rPr/>
      </w:pPr>
      <w:bookmarkEnd w:id="43"/>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سخت‌گیری های بسیارشان در این‌باره که هر نوع نقل و ادعا را نمی‌پذیرند، بر درستی نقل‌های افراد مورد وثوق در این مورد، تردیدی روا ندارند و در کتاب‌های خود آن را ثبت و ضبط کرده‌اند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اعتماد علمای بزرگ شیعه از متقدمان و متأخران به صدها نفر از نیکان و افراد شناخته شده از اهل ورع و تقوا و نقل تشرفات آنان در کتاب‌های خود، عملاً بر درستی این مسئله شهادت می‌دهد؛ زیرا این اعتماد قوی و گسترده علمای بزرگ شیعه، با وجود دقت ها و ملاحظات آنان در این مورد، گواه و شاهد صدق حکایات معتبر به شمار می‌آید</w:t>
      </w:r>
      <w:r>
        <w:rPr>
          <w:rFonts w:eastAsia="IRNazanin" w:cs="IRNazanin"/>
          <w:color w:val="111111"/>
          <w:sz w:val="28"/>
          <w:szCs w:val="28"/>
          <w:rtl w:val="true"/>
          <w:lang w:bidi="fa-IR"/>
        </w:rPr>
        <w:t>.</w:t>
      </w:r>
    </w:p>
    <w:p>
      <w:pPr>
        <w:pStyle w:val="Heading5"/>
        <w:numPr>
          <w:ilvl w:val="4"/>
          <w:numId w:val="1"/>
        </w:numPr>
        <w:rPr/>
      </w:pPr>
      <w:bookmarkStart w:id="44" w:name="__RefHeading___Toc1200344_2749589250"/>
      <w:bookmarkStart w:id="45" w:name="_Toc16"/>
      <w:bookmarkEnd w:id="44"/>
      <w:r>
        <w:rPr/>
        <w:t>4</w:t>
      </w:r>
      <w:r>
        <w:rPr>
          <w:rtl w:val="true"/>
        </w:rPr>
        <w:t xml:space="preserve">. </w:t>
      </w:r>
      <w:r>
        <w:rPr>
          <w:rtl w:val="true"/>
        </w:rPr>
        <w:t>نقل اعمال و ادعیه از سوی امام زمان عجل الله تعالی فرجه الشریف</w:t>
      </w:r>
      <w:bookmarkEnd w:id="45"/>
    </w:p>
    <w:p>
      <w:pPr>
        <w:pStyle w:val="BookText"/>
        <w:rPr/>
      </w:pPr>
      <w:r>
        <w:rPr>
          <w:rFonts w:ascii="IRNazanin" w:hAnsi="IRNazanin" w:eastAsia="IRNazanin"/>
          <w:color w:val="111111"/>
          <w:sz w:val="28"/>
          <w:sz w:val="28"/>
          <w:szCs w:val="28"/>
          <w:rtl w:val="true"/>
          <w:lang w:bidi="fa-IR"/>
        </w:rPr>
        <w:t>اذکار و ادعیه موجود در منابع روایی شیعه که به حضرت منسوب می‌شوند، برخی در زمان غیبت صغرا و برخی دیگر در زمان غیبت کبرا روایت شده‌اند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نقل دعاها، زیارات و اعمال مستحبه در</w:t>
      </w:r>
    </w:p>
    <w:p>
      <w:pPr>
        <w:pStyle w:val="BookText"/>
        <w:rPr/>
      </w:pPr>
      <w:r>
        <w:rPr>
          <w:rFonts w:ascii="IRNazanin" w:hAnsi="IRNazanin" w:eastAsia="IRNazanin"/>
          <w:color w:val="111111"/>
          <w:sz w:val="28"/>
          <w:sz w:val="28"/>
          <w:szCs w:val="28"/>
          <w:rtl w:val="true"/>
          <w:lang w:bidi="fa-IR"/>
        </w:rPr>
        <w:t>عصر غیبت کبرا، مستلزم وقوع ملاقات و تشرفات است وگرنه انتساب آن به حضرت صحیح نخواهد بود، به ویژه این‌که بیشتر بزرگان شیعه در مورد انتساب امر نامعلوم به امام معصوم به شدت محتاط بوده‌اند و هرگز چیزی را که اطمینان به صدور آن از معصوم نداشته اند، به آن حضرت نسبت نداده‌اند، به ویژه در احکام، عبادات و دعاهای 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حضرت در برخی از تشرفات راه‌کارهای خاصی را نیز صادر فرموده است؛ نظیر فرمان تأسیس مسجد مقدس جمکران و رجوع شیعیان به آن مکان مقدس در جریان‌تشرف حسن بن مثله جمکرانی در هفدهم رمضان سال</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این‌فرمان، حضرت ضمن دستور ساخت مسجد و توجه دادن شیعیان به لزوم گرامی داشت این مکان مقدس، نماز مسجد جمکران و دو رکعت نماز ویژه امام زمان عجل الله تعالی فرجه الشریف را با کیفیت خاص در آن مسجد سفارش فرموده اند که این موضوع، مشهور و مشهود عموم مردم به شمار می‌رود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تشرفات، دعاهای مأثور از حضرت</w:t>
      </w:r>
    </w:p>
    <w:p>
      <w:pPr>
        <w:pStyle w:val="BookText"/>
        <w:rPr/>
      </w:pPr>
      <w:r>
        <w:rPr>
          <w:rFonts w:ascii="IRNazanin" w:hAnsi="IRNazanin" w:eastAsia="IRNazanin"/>
          <w:color w:val="111111"/>
          <w:sz w:val="28"/>
          <w:sz w:val="28"/>
          <w:szCs w:val="28"/>
          <w:rtl w:val="true"/>
          <w:lang w:bidi="fa-IR"/>
        </w:rPr>
        <w:t>حجت یا دستورهایی در مورد چگونگی بعضی اعمال مستحب نظیر نحوه زیارت مشاهد مشرفه،</w:t>
      </w:r>
      <w:r>
        <w:rPr>
          <w:rStyle w:val="FootnoteAnchor"/>
          <w:rtl w:val="true"/>
        </w:rPr>
        <w:footnoteReference w:id="38"/>
      </w:r>
      <w:r>
        <w:rPr>
          <w:rFonts w:ascii="IRNazanin" w:hAnsi="IRNazanin" w:eastAsia="IRNazanin"/>
          <w:color w:val="111111"/>
          <w:sz w:val="28"/>
          <w:sz w:val="28"/>
          <w:szCs w:val="28"/>
          <w:rtl w:val="true"/>
          <w:lang w:bidi="fa-IR"/>
        </w:rPr>
        <w:t>نحوه استخاره،</w:t>
      </w:r>
      <w:r>
        <w:rPr>
          <w:rStyle w:val="FootnoteAnchor"/>
          <w:rtl w:val="true"/>
        </w:rPr>
        <w:footnoteReference w:id="39"/>
      </w:r>
      <w:r>
        <w:rPr>
          <w:rFonts w:ascii="IRNazanin" w:hAnsi="IRNazanin" w:eastAsia="IRNazanin"/>
          <w:color w:val="111111"/>
          <w:sz w:val="28"/>
          <w:sz w:val="28"/>
          <w:szCs w:val="28"/>
          <w:rtl w:val="true"/>
          <w:lang w:bidi="fa-IR"/>
        </w:rPr>
        <w:t>اذکار مستحبه در حال رکوع،</w:t>
      </w:r>
      <w:r>
        <w:rPr>
          <w:rStyle w:val="FootnoteAnchor"/>
          <w:rtl w:val="true"/>
        </w:rPr>
        <w:footnoteReference w:id="40"/>
      </w:r>
      <w:r>
        <w:rPr>
          <w:rFonts w:ascii="IRNazanin" w:hAnsi="IRNazanin" w:eastAsia="IRNazanin"/>
          <w:color w:val="111111"/>
          <w:sz w:val="28"/>
          <w:sz w:val="28"/>
          <w:szCs w:val="28"/>
          <w:rtl w:val="true"/>
          <w:lang w:bidi="fa-IR"/>
        </w:rPr>
        <w:t>دعا در حال قنوت‌</w:t>
      </w:r>
      <w:r>
        <w:rPr>
          <w:rStyle w:val="FootnoteAnchor"/>
          <w:rtl w:val="true"/>
        </w:rPr>
        <w:footnoteReference w:id="41"/>
      </w:r>
      <w:r>
        <w:rPr>
          <w:rFonts w:ascii="IRNazanin" w:hAnsi="IRNazanin" w:eastAsia="IRNazanin"/>
          <w:color w:val="111111"/>
          <w:sz w:val="28"/>
          <w:sz w:val="28"/>
          <w:szCs w:val="28"/>
          <w:rtl w:val="true"/>
          <w:lang w:bidi="fa-IR"/>
        </w:rPr>
        <w:t>و توصیه به خواندن زیارت جامعه</w:t>
      </w:r>
      <w:r>
        <w:rPr>
          <w:rStyle w:val="FootnoteAnchor"/>
          <w:rtl w:val="true"/>
        </w:rPr>
        <w:footnoteReference w:id="42"/>
      </w:r>
      <w:r>
        <w:rPr>
          <w:rFonts w:ascii="IRNazanin" w:hAnsi="IRNazanin" w:eastAsia="IRNazanin"/>
          <w:color w:val="111111"/>
          <w:sz w:val="28"/>
          <w:sz w:val="28"/>
          <w:szCs w:val="28"/>
          <w:rtl w:val="true"/>
          <w:lang w:bidi="fa-IR"/>
        </w:rPr>
        <w:t>نیز نقل گردیده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ادعیه و آثار در منابع معتبر شیعی و عمل به آن، دلیل محکمی بر وقوع تشرفات نقل‌کنندگان آن است؛ زیرا دینی بودن احکام و اعمال و انتساب آن به معصوم، به اثبات آن با دلیل قطعی یا اطمینان‌آور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چنین انتسابی از مصادیق بدعت و افترا در دین خواهد بود که از شأن علما و پارسایانی که خود حافظان دین و مذهب بوده‌اند، به دور است؛ زیرا آنان حتی در انتساب یک کلمه به معصوم احتیاط می‌کرده‌اند، چه رسد به انتساب اعمال دینی، دعاها و اذکار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اول هم از جهت نظری، دلایل محکم روایی برای اثبات دارد و هم از لحاظ تحقق خارجی و مصداق‌یابی، نقل تشرفات و تواتر اجمالی بر وقوع آن، دلیلی مطمئن بر درستی این دیدگاه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نخست از نظر اثباتی در تنگنا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پرداختن به پاسخ دیدگاه منکران و توجیه دلایل آنان است که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علما در این مسئله نمی‌تواند دلیلی مستقل شمرده شود، اما نظری کارشناسانه، مؤید و پشتوانه‌ای قوی بر استواری دیدگاه اول و تقویت و تثبیت موضوع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طور فشرده به ذکر برخی از نظریات آنان در این خصوص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شاخص مرحوم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این باره اظهار نظر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کتاب تنزیه الأنبیاء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نداریم که در زمان غیبت، کسی به ملاقات امام زمان عجل الله تعالی فرجه الشریف نمی‌رسد و هیچ بشری با آن حضرت ارتباط ندارد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نفی ملاقات و ارتباط چیزی نیست که راهی</w:t>
      </w:r>
    </w:p>
    <w:p>
      <w:pPr>
        <w:pStyle w:val="BookText"/>
        <w:rPr/>
      </w:pPr>
      <w:r>
        <w:rPr>
          <w:rFonts w:ascii="IRNazanin" w:hAnsi="IRNazanin" w:eastAsia="IRNazanin"/>
          <w:color w:val="111111"/>
          <w:sz w:val="28"/>
          <w:sz w:val="28"/>
          <w:szCs w:val="28"/>
          <w:rtl w:val="true"/>
          <w:lang w:bidi="fa-IR"/>
        </w:rPr>
        <w:t>برای اثبات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معتقد است که دست کم از نظر سلبی، هیچ دلیلی بر ادعای عدم رؤیت و انکار ملاقات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الشافی فی الإمامه افزون بر نفی انکار رؤیت، بر اثبات موضوع ملاقات نیز تأکید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باور نداریم که حضرت به طور خصوصی برای عده‌ای از دوستان و پیروان خود نیز ظاهر نگردد، بلکه از نظر ما، احتمال چنین چیزی وجود دارد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سید در کتاب رسائل، به طور روشن بر اثبات مسئله ملاقات در عصر غیبت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دست‌رس به امام زمان برای بسیاری از دوستان و معتقدان به حضرت ممکن است و آنهایی‌که به امامت حضرت معتقدند، در زمان غیبت نیز بهره‌مندی از درک حضور امام برای‌آنان میسر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جای دیگری از کتاب تنزیه الأنبیاء این عده خاص از اولیا و شیعیان حضرت را به افرادی محدود می‌کند که در امر رازداری و حفظ اسرار موفقند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 به حضرت، برای کسانی که ترسی از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حضرت یا به اصل مکتب و یا به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ممکن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سید مرتضی ملاقات و دست‌رس به حضرت را دست‌کم برای عده‌ای ازخواص ممکن می‌داند که درپی افشاگری یا شهرت‌طلبی نیستند؛ آنان‌که ملاقات و دست‌رس به حضرت را دست‌مایه غرور، سوءاستفاده و ادعاهای باطل خود نگردانند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مرتضی این مطالب را نه نظریه‌ای شخصی که به منزله نظریه‌ای کارشناسانه در می‌افکند و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مطرح در این موضوع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درجه یک مرحوم مفید است که به دلیل شخصیت ممتاز علمی‌اش در میان علمای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در کتاب الغیبه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نیستیم که امام از همه اولیای خود پنهان است، بلکه شاید بسیاری از دوستان ویژه حضرت، با امام دیدار کنند و امام برای آنان ظاهر گردد، زیرا هیچ‌کس جز از حال خود، از وضع دیگران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برای او ظاهر شود، در آن حال</w:t>
      </w:r>
    </w:p>
    <w:p>
      <w:pPr>
        <w:pStyle w:val="BookText"/>
        <w:rPr/>
      </w:pPr>
      <w:r>
        <w:rPr>
          <w:rFonts w:ascii="IRNazanin" w:hAnsi="IRNazanin" w:eastAsia="IRNazanin"/>
          <w:color w:val="111111"/>
          <w:sz w:val="28"/>
          <w:sz w:val="28"/>
          <w:szCs w:val="28"/>
          <w:rtl w:val="true"/>
          <w:lang w:bidi="fa-IR"/>
        </w:rPr>
        <w:t>علت پنهان بودن از وی برطرف گردیده و اگر هم ظاهر نگردد، می‌داند که علت بی‌توفیقی، به خاطر بی‌لیاقتی خود او یا مصالح دیگر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جای دیگری از کتاب الغیبه، به موضوع دیدار خصوصی یاران و دوستان خاص حضرت که ممکن است به صورت سرّی با امام دیدار کنند،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حضرت گرچه مانع حضور علنی و رسمی وی در جامعه شدند و جلو تصرفات و تدبیر آشکار حضرت را گرفتند، هرگز نتوانستند مانع ارتباط خصوصی امام با دوستان آن حضرت و رسیدن بعضی به ملاقات حضرت به طور پنهانی و سرّی بشوند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بر وجود ارتباط سرّی میان حضرت و عده خاصی از پیروان و شیعیان ایشان در زمان غیبت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معاصران آن دو بزرگوار است، در کتاب کنز الفوائد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یقین نداریم که کسی، امام زمان را در زمان غیبت ملاقات نمی‌کند و حضرت را نمی‌شناسد، بلکه این امر گاهی برای گروهی از دوستان حضرت رخ</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حضرت ملاقات می‌کنند، ولی آن را مخفی می‌دارند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تشرفاتی نیز از وی نقل شده و از بزرگان علمای متقدم شیعه به شمار می‌رود، در این موضوع، به امکان تشرف و ملاقات خصوصی بعضی از خواص به محضر حضرت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در کتاب الطرایف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حضرت برای عموم شیعیان آشکار نیست، هیچ مانعی وجود ندارد که ایشان با گروهی از افراد خاص شیعه ملاقات کند و آنان به طور مستقیم از گفتار و رفتار حضرت استفاده کنند و آن را پنهان بدارند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سید در کتاب کشف المحجه نیز خطاب به فرزندش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امام تو، برای‌کسی که مورد عنایت الهی باشد، باز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به موضوع تشرف بعضی از خواص در بعضی موارد تصریح دارد و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زمان غیبت اتفاق می‌افتد که بعضی از</w:t>
      </w:r>
    </w:p>
    <w:p>
      <w:pPr>
        <w:pStyle w:val="BookText"/>
        <w:rPr/>
      </w:pPr>
      <w:r>
        <w:rPr>
          <w:rFonts w:ascii="IRNazanin" w:hAnsi="IRNazanin" w:eastAsia="IRNazanin"/>
          <w:color w:val="111111"/>
          <w:sz w:val="28"/>
          <w:sz w:val="28"/>
          <w:szCs w:val="28"/>
          <w:rtl w:val="true"/>
          <w:lang w:bidi="fa-IR"/>
        </w:rPr>
        <w:t>بزرگان دین به محضر حضرت شرف‌یاب شوند و حکم الهی را به طور مستقیم از ایشان دریافت 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نیز امکان ملاقات و شناخت حضرت را برای بعضی از خواص در عصر غیبت مطرح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بعضی از فرزانگان شیعه گاه به حضور حضرت برسند و ایشان را در این ملاقات بشناسند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 موسوی اصفهانی، ضمن این‌که درخواست دیدار با حضرت را از لوازم محبت و ایمان به حضرت می‌شمارد،</w:t>
      </w:r>
      <w:r>
        <w:rPr>
          <w:rStyle w:val="FootnoteAnchor"/>
          <w:rtl w:val="true"/>
        </w:rPr>
        <w:footnoteReference w:id="54"/>
      </w:r>
      <w:r>
        <w:rPr>
          <w:rFonts w:ascii="IRNazanin" w:hAnsi="IRNazanin" w:eastAsia="IRNazanin"/>
          <w:color w:val="111111"/>
          <w:sz w:val="28"/>
          <w:sz w:val="28"/>
          <w:szCs w:val="28"/>
          <w:rtl w:val="true"/>
          <w:lang w:bidi="fa-IR"/>
        </w:rPr>
        <w:t>امکان ملاقات و مشاهده حضرت را به دلیل اخبار و نقل متواتر تشرفات، مسلم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روایات و حکایات در مورد مؤمنان رستگار به دیدار آن بزرگوار، سبب باور اهل یقین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صدر، ضمن این‌که طعن در نقل تشرفات را به دلیل متواتر بودن این حکایات مردود</w:t>
      </w:r>
    </w:p>
    <w:p>
      <w:pPr>
        <w:pStyle w:val="BookText"/>
        <w:rPr/>
      </w:pPr>
      <w:r>
        <w:rPr>
          <w:rFonts w:ascii="IRNazanin" w:hAnsi="IRNazanin" w:eastAsia="IRNazanin"/>
          <w:color w:val="111111"/>
          <w:sz w:val="28"/>
          <w:sz w:val="28"/>
          <w:szCs w:val="28"/>
          <w:rtl w:val="true"/>
          <w:lang w:bidi="fa-IR"/>
        </w:rPr>
        <w:t>می‌داند، وثاقت و تقوای نقل‌کنندگان را دلیل محکم بر درستی اخبار تشرفات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بسیاری تعداد این حکایات، مانع از تعمد بر کذب نقل‌کنندگان آن است و احتمال کذب از راه تواتر منتفی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وثاقت و تقوای بیشتر نقل‌کنندگان این حکایات، خود معیار درستی موضوع به شمار می‌آید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وی حتی ناشناس برخورد کردن حضرت با مردم را مسئله‌ای روزمره و معمولی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برخورد حضرت مهدی عجل الله تعالی فرجه الشریف با مردم، به طور دائم در هر روز ثابت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لطف‌الله صافی گلپایگانی که خود تحقیقات و نوشته‌های بسیاری در موضوع مهدویت دارد، در کتاب ارزش‌مند منتخب‌الأثر، ضمن اذعان به وقوع ملاقات، وجود این تشرفات را مهم‌ترین دلیل بر اثبات وجود حضرت می‌شمارد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امامت و مهدویت خود نیز تردید در مورد صحت حکایات تشرفات را برای شخص عاقل ناممکن می‌داند و شرف‌یابی بعضی را به حضور حضرت</w:t>
      </w:r>
    </w:p>
    <w:p>
      <w:pPr>
        <w:pStyle w:val="BookText"/>
        <w:rPr/>
      </w:pPr>
      <w:r>
        <w:rPr>
          <w:rFonts w:ascii="IRNazanin" w:hAnsi="IRNazanin" w:eastAsia="IRNazanin"/>
          <w:color w:val="111111"/>
          <w:sz w:val="28"/>
          <w:sz w:val="28"/>
          <w:szCs w:val="28"/>
          <w:rtl w:val="true"/>
          <w:lang w:bidi="fa-IR"/>
        </w:rPr>
        <w:t>، ثابت و قطعی ذکر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خراسانی، معتقد است که تواتر اجمالی بر امکان رؤیت قائم عجل الله تعالی فرجه الشریف دلیلی قطعی است که از کثرت ادعای اشخاص صالح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ادعای آنان را به منزله حدیث برمی‌شمارد و صلاح بسیاری از ایشان را از حیث تقوا و ورع و وثوق و اطمینان، کمتر از راویان احادیث نمی‌داند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عده‌ای که ذکر شد، بسیاری از علمای بزرگ، کتاب‌های مستقلی در موضوع تشرفات نوشته اند و موارد بسیاری را نقل کرده‌اند؛ از جمله مرحوم مجلسی در بحارالأنوار، محدث نوری در دو کتاب جنة المأوی‌</w:t>
      </w:r>
      <w:r>
        <w:rPr>
          <w:rStyle w:val="FootnoteAnchor"/>
          <w:rtl w:val="true"/>
        </w:rPr>
        <w:footnoteReference w:id="61"/>
      </w:r>
      <w:r>
        <w:rPr>
          <w:rFonts w:ascii="IRNazanin" w:hAnsi="IRNazanin" w:eastAsia="IRNazanin"/>
          <w:color w:val="111111"/>
          <w:sz w:val="28"/>
          <w:sz w:val="28"/>
          <w:szCs w:val="28"/>
          <w:rtl w:val="true"/>
          <w:lang w:bidi="fa-IR"/>
        </w:rPr>
        <w:t>و کتاب نجم الثاقب، شیخ علی اکبر نهاوندی در کتاب عبقری‌الحسان، شیخ محمود عراقی در کتاب دارالسلام و دیگر شخصیت های علمی صاحب تألیف، به ویژه نویسندگانی که در این دو دهه اخیر در این زمینه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می‌توان به کتاب میر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های‌محبت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مسعود پورسیدآقایی اشاره کرد که نویسنده با نگاه</w:t>
      </w:r>
    </w:p>
    <w:p>
      <w:pPr>
        <w:pStyle w:val="BookText"/>
        <w:rPr/>
      </w:pPr>
      <w:r>
        <w:rPr>
          <w:rFonts w:ascii="IRNazanin" w:hAnsi="IRNazanin" w:eastAsia="IRNazanin"/>
          <w:color w:val="111111"/>
          <w:sz w:val="28"/>
          <w:sz w:val="28"/>
          <w:szCs w:val="28"/>
          <w:rtl w:val="true"/>
          <w:lang w:bidi="fa-IR"/>
        </w:rPr>
        <w:t>ویژه و طرح ابتکاری، عطوفت، مهر و محبت حضرت ولی عصر عجل الله تعالی فرجه الشریف به مردم را در قالب نقل‌تشرفات، به خوبی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اشاره شد، اصل موضوع تشرفات و ملاقات از نظرگاه علما و اهل‌تحقیق دراین زمینه، امری یقینی و متواتر است؛ البته جزئیات مسئله، در محل بحث ما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تأییدها و تصریح‌های شخصیت های علمی چون سیدمرتضی، شیخ طوسی، سید بن طاووس و محقق نائینی به امکان تشرف در عصر غیبت، پشتوانه‌ای قوی بر درستی دیدگاه اول و تثبیت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کلیت قضیه، امری است مسلم و اصرار کسانی که بر انکار ملاقات پافشاری می‌کنند، علاوه بر این‌که مستلزم تخطئه صاحب نظران شیعی در طول بیش از ده قرن است، اصراری ناموجه و بی‌دلیل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علامه‌مجلسی در بحارالانوار به نقل از رجال کشی این روایت را نقل کرده که امام حسن عسکری علیه السلام در توقیعی به شیعیان این‌گونه توصیه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عذر لأحد من موالینا فی التّشکیک فیما یؤّدیه عنّا ثقاتنا؛</w:t>
      </w:r>
      <w:r>
        <w:rPr>
          <w:rStyle w:val="FootnoteAnchor"/>
          <w:rtl w:val="true"/>
        </w:rPr>
        <w:footnoteReference w:id="62"/>
      </w:r>
      <w:bookmarkStart w:id="46" w:name="pg3125_40441"/>
    </w:p>
    <w:p>
      <w:pPr>
        <w:pStyle w:val="BookText"/>
        <w:rPr/>
      </w:pPr>
      <w:bookmarkEnd w:id="46"/>
      <w:r>
        <w:rPr>
          <w:rFonts w:ascii="IRNazanin" w:hAnsi="IRNazanin" w:eastAsia="IRNazanin"/>
          <w:color w:val="111111"/>
          <w:sz w:val="28"/>
          <w:sz w:val="28"/>
          <w:szCs w:val="28"/>
          <w:rtl w:val="true"/>
          <w:lang w:bidi="fa-IR"/>
        </w:rPr>
        <w:t>برای شک و تردید، به آن‌چه از سوی افراد موثق و مورد اعتماد ما نقل و بازگو می‌شود، هیچ جای عذر و بهانه‌ای برای شیعیان و پیروان ما وجود ندارد</w:t>
      </w:r>
      <w:r>
        <w:rPr>
          <w:rFonts w:eastAsia="IRNazanin" w:cs="IRNazanin"/>
          <w:color w:val="111111"/>
          <w:sz w:val="28"/>
          <w:szCs w:val="28"/>
          <w:rtl w:val="true"/>
          <w:lang w:bidi="fa-IR"/>
        </w:rPr>
        <w:t>.</w:t>
      </w:r>
    </w:p>
    <w:p>
      <w:pPr>
        <w:pStyle w:val="Heading3"/>
        <w:numPr>
          <w:ilvl w:val="2"/>
          <w:numId w:val="1"/>
        </w:numPr>
        <w:rPr/>
      </w:pPr>
      <w:bookmarkStart w:id="47" w:name="__RefHeading___Toc1200346_2749589250"/>
      <w:bookmarkStart w:id="48" w:name="_Toc17"/>
      <w:bookmarkEnd w:id="47"/>
      <w:r>
        <w:rPr>
          <w:rtl w:val="true"/>
        </w:rPr>
        <w:t>دیدگاه دوم</w:t>
      </w:r>
      <w:r>
        <w:rPr>
          <w:rtl w:val="true"/>
        </w:rPr>
        <w:t xml:space="preserve">: </w:t>
      </w:r>
      <w:r>
        <w:rPr>
          <w:rtl w:val="true"/>
        </w:rPr>
        <w:t>عدم‌امکان ملاقات</w:t>
      </w:r>
      <w:bookmarkEnd w:id="48"/>
    </w:p>
    <w:p>
      <w:pPr>
        <w:pStyle w:val="BookText"/>
        <w:rPr/>
      </w:pPr>
      <w:r>
        <w:rPr>
          <w:rFonts w:ascii="IRNazanin" w:hAnsi="IRNazanin" w:eastAsia="IRNazanin"/>
          <w:color w:val="111111"/>
          <w:sz w:val="28"/>
          <w:sz w:val="28"/>
          <w:szCs w:val="28"/>
          <w:rtl w:val="true"/>
          <w:lang w:bidi="fa-IR"/>
        </w:rPr>
        <w:t>در این بخش، به طرح و بررسی دیدگاه مخالف، یعنی انکار رویت و ملاقات در زمان غیبت کبرا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موضوع رؤیت و امکان ملاقات با حضرت را نفی می‌کنند،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مخالف ادعای رؤیت و مشاهده حضرتند و آن را تکذیب می‌کنند، بعضی‌امکان رؤیت همراه با شناخت را چه در حال رؤیت و چه بعد از ملاقات نفی می‌کنند و آن را غیر عملی می‌دانند و بعضی دیگر نیز رؤیت حضرت را در زمان غیبت کبرا مطلقاً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گروه اول در صف مخالفان ملاقات قرار دارند و خود را به تکذیب مکلف می‌دانند، از جهت نظری پیروان دیدگاه اول به شمار می‌روند؛ چون در امکان اصل مسئله مخالفتی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دیگر، به ویژه گروه اخیر، رو در روی دیدگاه اول قرار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یدالله دوزدوزانی از جمله کسانی به شمار می‌رود که مسئله امکان ملاقات در عصر غیبت را به شدت به نقد کشانده و در مقام نفی و انکار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رساله‌ای تحت عنوان تحقیق لطیف</w:t>
      </w:r>
    </w:p>
    <w:p>
      <w:pPr>
        <w:pStyle w:val="BookText"/>
        <w:rPr/>
      </w:pPr>
      <w:r>
        <w:rPr>
          <w:rFonts w:ascii="IRNazanin" w:hAnsi="IRNazanin" w:eastAsia="IRNazanin"/>
          <w:color w:val="111111"/>
          <w:sz w:val="28"/>
          <w:sz w:val="28"/>
          <w:szCs w:val="28"/>
          <w:rtl w:val="true"/>
          <w:lang w:bidi="fa-IR"/>
        </w:rPr>
        <w:t xml:space="preserve">حول توقیع الشریف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امکان ملاقات، هرگونه امکان رؤیت را به شدت انکار می‌کند و قائل به نفی مطلق می‌شود که در بحث توقیع به نقد و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ذاکری نیز در مقاله‌ای در مجله حوزه‌</w:t>
      </w:r>
      <w:r>
        <w:rPr>
          <w:rStyle w:val="FootnoteAnchor"/>
          <w:rtl w:val="true"/>
        </w:rPr>
        <w:footnoteReference w:id="63"/>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طرح دیدگاه موافقان و مخالفان، بر دلایل دیدگاه اول خدشه وارد ساخته و با نفی امکان ارتباط و جانب‌داری از دیدگاه دوم، تلاش فراوانی برای اثبات این دیدگاه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تقریر دیدگاه دوم دلایل آن را در چند دسته از روایات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شریف حضرت به علی بن محمد سمری؛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ناشناخته بودن حضرت در میان مردم دلالت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دیده نشدن امام در مراسم حج دلالت می‌کند؛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لزوم امتحان شیعه در زمان غیبت</w:t>
      </w:r>
    </w:p>
    <w:p>
      <w:pPr>
        <w:pStyle w:val="BookText"/>
        <w:rPr/>
      </w:pP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بررسی دلایل روایی دیدگاه دوم، تقریر ایشان را در نظر می‌گیریم، ولی پیش از آن، لازم است به منظور شناخت فضای ذهنی معتقدان به انکار و نحوه نگرش آنان به این مسئله، به انگیزه‌های انکار نیز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درانگیزه‌های طرف‌داران دیدگاه دوم، بر انکار و تکذیب ملاقات نشان می‌دهد که مخالفان ملاقات، بیشتر با هدف جلوگیری از شیوع خرافات و بدعت و نیز تعبد به بعضی روایات مثل توقیع، چنین موضع تندی را دراین‌باره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تعبدی را از روایات یا خصوص توقیع می‌توان به دست آورد؟ آیا عامل اصلاح و پاس‌داری از دین مجوز چنین انکاری را می‌دهد؟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خواهد آمد، می‌توان دو نکته را از اندیشه طرف‌داران انکار برگفت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دیدگاه دوم، بر اساس توقیع صادر شده از ناحیه حضرت مبنی بر تکذیب ادعای مشاهده، مدعی رؤیت را چه در ادعایش صادق یا کاذب باشد، محکوم به تکذیب می‌کنند؛</w:t>
      </w:r>
      <w:r>
        <w:rPr>
          <w:rStyle w:val="FootnoteAnchor"/>
          <w:rtl w:val="true"/>
        </w:rPr>
        <w:footnoteReference w:id="65"/>
      </w:r>
      <w:r>
        <w:rPr>
          <w:rFonts w:ascii="IRNazanin" w:hAnsi="IRNazanin" w:eastAsia="IRNazanin"/>
          <w:color w:val="111111"/>
          <w:sz w:val="28"/>
          <w:sz w:val="28"/>
          <w:szCs w:val="28"/>
          <w:rtl w:val="true"/>
          <w:lang w:bidi="fa-IR"/>
        </w:rPr>
        <w:t>بلکه آن را ناظر به تکذیب خصوص ادعای صدق می‌دانند و ادعای</w:t>
      </w:r>
    </w:p>
    <w:p>
      <w:pPr>
        <w:pStyle w:val="BookText"/>
        <w:rPr/>
      </w:pPr>
      <w:r>
        <w:rPr>
          <w:rFonts w:ascii="IRNazanin" w:hAnsi="IRNazanin" w:eastAsia="IRNazanin"/>
          <w:color w:val="111111"/>
          <w:sz w:val="28"/>
          <w:sz w:val="28"/>
          <w:szCs w:val="28"/>
          <w:rtl w:val="true"/>
          <w:lang w:bidi="fa-IR"/>
        </w:rPr>
        <w:t>کذب را از موضوع توقیع خارج می‌شمارند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آنها معتقدند که حتی اگر آن مدعی، صادق، عالم، عادل و پرهیزکار باشد، باید او را تکذیب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چنین برداشت انعطاف ناپذیری از توقیع، خود گویای نگاه افراطی به مسئله است که قضاوت در مورد میزان ناصواب بودن این نگرش به توقیع، در بحث توقیع درفصل‌های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عامل محرک در انکار ملاقات، انگیزه مبارزه با خرافات و جلوگیری از نفوذ بدعت‌ها در مسائل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صاحب تحقیق لطیف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امکان‌مشاهده حضرت و گسترش آن در میان مردم، موجب ابتذال و توهین به مقام امام می‌گردد</w:t>
      </w:r>
      <w:r>
        <w:rPr>
          <w:rFonts w:eastAsia="IRNazanin" w:cs="IRNazanin"/>
          <w:color w:val="111111"/>
          <w:sz w:val="28"/>
          <w:szCs w:val="28"/>
          <w:rtl w:val="true"/>
          <w:lang w:bidi="fa-IR"/>
        </w:rPr>
        <w:t>.</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با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انگیزه خود را از قلم به دست شدن در این مورد، مقابله با رواج کتاب‌هایی ذکر می‌کند که به قول ایشان، سرشار از حکایت‌ها و داستان‌های نادرست و برخاسته از تصورات و خیالات نویسندگان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این داستان‌ها را باعث عقیده مند شدن به ناصواب‌ها</w:t>
      </w:r>
    </w:p>
    <w:p>
      <w:pPr>
        <w:pStyle w:val="BookText"/>
        <w:rPr/>
      </w:pPr>
      <w:r>
        <w:rPr>
          <w:rFonts w:ascii="IRNazanin" w:hAnsi="IRNazanin" w:eastAsia="IRNazanin"/>
          <w:color w:val="111111"/>
          <w:sz w:val="28"/>
          <w:sz w:val="28"/>
          <w:szCs w:val="28"/>
          <w:rtl w:val="true"/>
          <w:lang w:bidi="fa-IR"/>
        </w:rPr>
        <w:t>برمی‌شمرد و عقاید برگرفته ازحکایت‌ها و خواب‌ها را موجب بدبینی اهل اندیشه و تعقل به عقاید شیعه بیان می‌کند و آنها را مانع رشد و گسترش می‌داند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موضع آفت‌زدایی و پالایش عقاید دینی و ارزش های ناب شیعی از وهمیات و خرافات، امری است بسیار مقدس و میمون که هیچ خردمند متعهدی در قداست و ضرورت آن تردید ندارد، اما آیا مرزی برای این مصلحت‌سنجی وجود دارد یا به هر قیمتی باید بر آن پای فشرد؟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رعایت اعتدال در این گونه موارد، خود معیار قداست به شمار می‌آید و خروج از آن، ما را بر خلاف مسیر هدف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نباید در پیمودن راه برای برطرف ساختن یک اشتباه، به اشتباه بزرگ‌تری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موضوع بحث، خطر و زیان انکار مطلق و اعلام بسته بودن باب ارتباط، نه تنها کمتر از آسیب‌های شیوع خرافات نیست که چنین روی‌کرد بدبینانه‌ای، موجب تضعیف احساسات قلبی و کاهش علاقه و وابستگی مردم به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خلأ و روحیه خسارت‌بار یأس و بی‌تفاوتی در اذهان افراد، زیان های سنگینی به دنبال دارد؛ همان چیزی که پیروان انکار، ناخودآگاه</w:t>
      </w:r>
    </w:p>
    <w:p>
      <w:pPr>
        <w:pStyle w:val="BookText"/>
        <w:rPr/>
      </w:pPr>
      <w:r>
        <w:rPr>
          <w:rFonts w:ascii="IRNazanin" w:hAnsi="IRNazanin" w:eastAsia="IRNazanin"/>
          <w:color w:val="111111"/>
          <w:sz w:val="28"/>
          <w:sz w:val="28"/>
          <w:szCs w:val="28"/>
          <w:rtl w:val="true"/>
          <w:lang w:bidi="fa-IR"/>
        </w:rPr>
        <w:t>دچار این لغزش‌گردیده‌اند و از پی‌آمدهای سوء روی‌کرد منفی‌گرایانه انکار مطلق غفلت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هدف جلوگیری از رواج خرافات و مقابله با ادعاهای دروغین افراد سودجو، سعی کرده‌اند با انکار اصل موضوع، هیچ‌گونه زمینه‌ای برای رشد خرافات باقی نگذارند؛ غافل از این‌که به جای پرداختن به درمان بیماری، به ذبح خود بیمار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قسمت های بعد روشن خواهد شد، مع‌الاسف این ذهنیت منفی که از آفت های تحقیق به شمار می‌آید، به‌صورت پیش‌فرض، تا حد زیادی در نحوه نگرش و روی‌کرد انکارگرایان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مانع نگاه بی‌طرفانه در این مورد گردیده و بر تمام روند بحث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ذهنیت و پیش فرض، هم در مطلق گویی مکرر نویسنده تحقیق لطیف به خوبی دیده می‌شود و هم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غرض تثبیت دیدگاه انکار، تنظیم و سامان‌دهی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راه حل برچیدن بساط حقه‌بازان و بستن دکان افراد دغل‌پیشه، این نیست که بدون توجه به جوانب قضیه و دقت کافی به دلایل مسئله، اصل موضوع را حاشا و انکار نمود، بلکه راه‌حل مشکل این است که از باب امر به معروف و تعهد دینی، با نگاه آسیب‌شناسانه، آفات را از پیکر اعتقادات دینی و</w:t>
      </w:r>
      <w:bookmarkStart w:id="49" w:name="pg3125_40447"/>
    </w:p>
    <w:p>
      <w:pPr>
        <w:pStyle w:val="BookText"/>
        <w:rPr/>
      </w:pPr>
      <w:bookmarkEnd w:id="49"/>
      <w:r>
        <w:rPr>
          <w:rFonts w:ascii="IRNazanin" w:hAnsi="IRNazanin" w:eastAsia="IRNazanin"/>
          <w:color w:val="111111"/>
          <w:sz w:val="28"/>
          <w:sz w:val="28"/>
          <w:szCs w:val="28"/>
          <w:rtl w:val="true"/>
          <w:lang w:bidi="fa-IR"/>
        </w:rPr>
        <w:t>مذهبی زدود و با تبیین و تفسیر صحیح مسئله، به هدایت و توجیه افکار عمومی پرداخت؛ نه این‌که اصل موضوع را زدود و از آن کناره گرفت و در نهایت، جامعه را نیز از آثار مثبت و برکات فراوان این مسئله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فرضیه یاد شده، در دیگر حوزه‌ها و مسائل دینی نیز جاری است؛ در حالی که هیچ‌کدام از پیروان دیدگاه انکار، به نتیجه آن ملتزم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گذشته از نتیجه برآمده از دلایل دو طرف، نفس تأمل در انگیزه‌های مصلحت‌جویانه و خیرخواهانه پیروان دیدگاه انکار که درصدد بنای بن‌بستی بی‌حاصلند، بیان‌گر بی‌ثمر بودن راهی است که در پیش گرفته‌اند؛ ضمن این‌که روایات مسئله نیز آنان 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نه از باب محاکمه پیش از اقامه دعوا بلکه از باب ضرورت شفاف‌سازی فضای بحث و با در نظر گرفتن سیرکلی مباحث در فصل‌های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یادآوری، بحث دیدگاه دوم را با بررسی دلایل انکارکنندگان ملاقات پی‌می‌گیریم</w:t>
      </w:r>
      <w:r>
        <w:rPr>
          <w:rFonts w:eastAsia="IRNazanin" w:cs="IRNazanin"/>
          <w:color w:val="111111"/>
          <w:sz w:val="28"/>
          <w:szCs w:val="28"/>
          <w:rtl w:val="true"/>
          <w:lang w:bidi="fa-IR"/>
        </w:rPr>
        <w:t>.</w:t>
      </w:r>
    </w:p>
    <w:p>
      <w:pPr>
        <w:pStyle w:val="Heading2"/>
        <w:numPr>
          <w:ilvl w:val="1"/>
          <w:numId w:val="1"/>
        </w:numPr>
        <w:rPr/>
      </w:pPr>
      <w:bookmarkStart w:id="50" w:name="__RefHeading___Toc1200348_2749589250"/>
      <w:bookmarkStart w:id="51" w:name="_Toc18"/>
      <w:bookmarkEnd w:id="50"/>
      <w:r>
        <w:rPr>
          <w:rtl w:val="true"/>
        </w:rPr>
        <w:t>دلایل عدم‌امکان ملاقات</w:t>
      </w:r>
      <w:bookmarkEnd w:id="51"/>
    </w:p>
    <w:p>
      <w:pPr>
        <w:pStyle w:val="Heading3"/>
        <w:numPr>
          <w:ilvl w:val="2"/>
          <w:numId w:val="1"/>
        </w:numPr>
        <w:rPr/>
      </w:pPr>
      <w:bookmarkStart w:id="52" w:name="__RefHeading___Toc1200350_2749589250"/>
      <w:bookmarkStart w:id="53" w:name="_Toc19"/>
      <w:bookmarkEnd w:id="52"/>
      <w:r>
        <w:rPr>
          <w:rtl w:val="true"/>
        </w:rPr>
        <w:t>اشاره</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دیدگاه مخالف مدعی وجود روایاتی هستند که امکان مشاهده و دسترس به حضرت را در زمان</w:t>
      </w:r>
      <w:bookmarkStart w:id="54" w:name="pg3125_40448"/>
    </w:p>
    <w:p>
      <w:pPr>
        <w:pStyle w:val="BookText"/>
        <w:rPr/>
      </w:pPr>
      <w:bookmarkEnd w:id="54"/>
      <w:r>
        <w:rPr>
          <w:rFonts w:ascii="IRNazanin" w:hAnsi="IRNazanin" w:eastAsia="IRNazanin"/>
          <w:color w:val="111111"/>
          <w:sz w:val="28"/>
          <w:sz w:val="28"/>
          <w:szCs w:val="28"/>
          <w:rtl w:val="true"/>
          <w:lang w:bidi="fa-IR"/>
        </w:rPr>
        <w:t>غیبت نفی می‌کند، اما تأمل در این نوع روایات نشان می‌دهد که در این‌خصوص غیر از روایت توقیع که جای بحث دارد، روایات دیگری یافت نمی‌شود که بر اثبات مدعای آنان مبنی بر تکذیب و انکار رؤیت و ملاقات دلالت کند؛ چنان‌که بعضی از اهل‌تحقیق نیز بدان اشاره کرده‌اند</w:t>
      </w:r>
      <w:r>
        <w:rPr>
          <w:rStyle w:val="FootnoteAnchor"/>
          <w:rtl w:val="true"/>
        </w:rPr>
        <w:footnoteReference w:id="70"/>
      </w:r>
      <w:r>
        <w:rPr>
          <w:rFonts w:ascii="IRNazanin" w:hAnsi="IRNazanin" w:eastAsia="IRNazanin"/>
          <w:color w:val="111111"/>
          <w:sz w:val="28"/>
          <w:sz w:val="28"/>
          <w:szCs w:val="28"/>
          <w:rtl w:val="true"/>
          <w:lang w:bidi="fa-IR"/>
        </w:rPr>
        <w:t>ـ البته نویسنده تحقیق لطیف، مدعی کثرت روایاتی است‌که با توقیع تقارب مفهومی دارد</w:t>
      </w:r>
      <w:r>
        <w:rPr>
          <w:rStyle w:val="FootnoteAnchor"/>
          <w:rtl w:val="true"/>
        </w:rPr>
        <w:footnoteReference w:id="71"/>
      </w:r>
      <w:r>
        <w:rPr>
          <w:rFonts w:ascii="IRNazanin" w:hAnsi="IRNazanin" w:eastAsia="IRNazanin"/>
          <w:color w:val="111111"/>
          <w:sz w:val="28"/>
          <w:sz w:val="28"/>
          <w:szCs w:val="28"/>
          <w:rtl w:val="true"/>
          <w:lang w:bidi="fa-IR"/>
        </w:rPr>
        <w:t>و موجب تواتر مضمون توقیع می‌گردد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این حال، ما در این‌جا دلایل و مستندات روایی دیدگاه مخالف را در دو مرحله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گذرا به طرح و بررسی روایات غیرتوقیع می‌پردازیم و آن‌گاه با توجه به اهمیت بحث توقیع، آن را به طور مفصل بررسی می‌کنیم</w:t>
      </w:r>
      <w:r>
        <w:rPr>
          <w:rFonts w:eastAsia="IRNazanin" w:cs="IRNazanin"/>
          <w:color w:val="111111"/>
          <w:sz w:val="28"/>
          <w:szCs w:val="28"/>
          <w:rtl w:val="true"/>
          <w:lang w:bidi="fa-IR"/>
        </w:rPr>
        <w:t>.</w:t>
      </w:r>
    </w:p>
    <w:p>
      <w:pPr>
        <w:pStyle w:val="Heading3"/>
        <w:numPr>
          <w:ilvl w:val="2"/>
          <w:numId w:val="1"/>
        </w:numPr>
        <w:rPr/>
      </w:pPr>
      <w:bookmarkStart w:id="55" w:name="__RefHeading___Toc1200352_2749589250"/>
      <w:bookmarkStart w:id="56" w:name="_Toc20"/>
      <w:bookmarkEnd w:id="55"/>
      <w:r>
        <w:rPr>
          <w:rtl w:val="true"/>
        </w:rPr>
        <w:t>الف</w:t>
      </w:r>
      <w:r>
        <w:rPr>
          <w:rtl w:val="true"/>
        </w:rPr>
        <w:t xml:space="preserve">) </w:t>
      </w:r>
      <w:r>
        <w:rPr>
          <w:rtl w:val="true"/>
        </w:rPr>
        <w:t>روایات غیرتوقیع</w:t>
      </w:r>
      <w:bookmarkEnd w:id="56"/>
    </w:p>
    <w:p>
      <w:pPr>
        <w:pStyle w:val="BookText"/>
        <w:rPr/>
      </w:pPr>
      <w:r>
        <w:rPr>
          <w:rFonts w:ascii="IRNazanin" w:hAnsi="IRNazanin" w:eastAsia="IRNazanin"/>
          <w:color w:val="111111"/>
          <w:sz w:val="28"/>
          <w:sz w:val="28"/>
          <w:szCs w:val="28"/>
          <w:rtl w:val="true"/>
          <w:lang w:bidi="fa-IR"/>
        </w:rPr>
        <w:t>این روایات، چند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طلب و جست‌وجوی امام نهی می‌کنند؛ نظیر توقیعی که از سوی حضرت درباره منع از فاش کردن نام و مکان حضرت و مانند آن صادر شده و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بحث فقد طلب ومن طلب فقد دلّ ومن دلّ فقد أشاط ومن أشاط فقد أشرک؛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هرکس چیزی را پرس‌و‌جو کند، آن را می‌خواهد و هرکه آن را خواست، نشانه می‌گیرد و هرکه آن را نشانه گرفت، به خاطر این‌که دشمن را راهنمایی کرده است، در کار دشمن شریک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دللتهم علی الاسم أذاعوه و إن عرفوا المکان دلّوا علیه؛</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نام حضرت را به آنها بگویم، آن را منتشر می‌کنند و اگر جای حضرت را بدانند، آن را افشا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می‌نماید، این‌گونه از روایات، به زمان غیب صغرا نظر دارد که خطر دست‌گیری یا شهادت حضرت، مطرح بوده؛ چون علت منع در هر دو روایت، احتمال شناسایی حضرت و آسیب رساندن دشمنان به ایشان بیان شده که در غیبت کبرا چنین چیزی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بر ناشناس بودن حضرت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ناشناخته بودن حضرت به طور عام خبر می‌دهد که حضرت در میان مردم رفت و‌آمد می‌کند، ولی مردم او</w:t>
      </w:r>
    </w:p>
    <w:p>
      <w:pPr>
        <w:pStyle w:val="BookText"/>
        <w:rPr/>
      </w:pPr>
      <w:r>
        <w:rPr>
          <w:rFonts w:ascii="IRNazanin" w:hAnsi="IRNazanin" w:eastAsia="IRNazanin"/>
          <w:color w:val="111111"/>
          <w:sz w:val="28"/>
          <w:sz w:val="28"/>
          <w:szCs w:val="28"/>
          <w:rtl w:val="true"/>
          <w:lang w:bidi="fa-IR"/>
        </w:rPr>
        <w:t xml:space="preserve">را نمی‌شناسند؛ نظیر سخن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ولایعرفونه حتی یأذن الله أن یعرّفهم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حضرت را نمی‌شناسند، مگر این‌که حضرت به اذن الهی خودش را برای کسی معرفی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دیگر بر ناشناس بودن حضرت در خصوص مراسم حج دلالت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یفقد النّاس إمامهم یشهد الموسم فیراهم ولایرونه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زمانی خواهد آمد که مردم به امامشان دست‌رس ندارند؛ امام در مراسم حج حاضر می‌شود و مردم را می‌شناسد، ولی مردم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غیبتان یشهد فی إحداهما الموسم یری النّاس و لایرونه؛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برای حضرت قائم عجل الله تعالی فرجه الشریف دو غیبت است که در یکی از آنها در مراسم حج حاضر می‌شود و مردم را می‌شناسد، ولی مردم او را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دو روایت اخیر نیز از امام صادق علیه السلام نقل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نه تنها بر نفی رؤیت و ملاقات دلالت نمی‌کند، بلکه از شمار روایاتی است که دلیل بر اثبات رؤیت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برخی از این</w:t>
      </w:r>
    </w:p>
    <w:p>
      <w:pPr>
        <w:pStyle w:val="BookText"/>
        <w:rPr/>
      </w:pPr>
      <w:r>
        <w:rPr>
          <w:rFonts w:ascii="IRNazanin" w:hAnsi="IRNazanin" w:eastAsia="IRNazanin"/>
          <w:color w:val="111111"/>
          <w:sz w:val="28"/>
          <w:sz w:val="28"/>
          <w:szCs w:val="28"/>
          <w:rtl w:val="true"/>
          <w:lang w:bidi="fa-IR"/>
        </w:rPr>
        <w:t xml:space="preserve">روایات اشاره کردیم؛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به مشاهده و رؤیت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اخیر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دیگر روایات و ابتدای این دو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حضرت در مراسم حج، به طور طبیعی مثل افراد عادی حضور دارد و همه کسانی که با او مواجه می‌شوند، حضرت را می‌بینند ولی متوجه و ملتفت ایشان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چنان‌که پیش‌تر گفتیم، در نقل جناب محمد بن عثمان نایب خاص دوم حضرت، ایشان قسم یاد می‌کند که حضرت هر سال در مراسم حج شرکت می‌فرماید و مردم نیز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هم با ظاهر فرمایش نایب خاص حضرت که از همه به حال حضرت آگاه‌تر است و هم با روایاتی که حضرت را تشبیه به یوسف</w:t>
      </w:r>
      <w:r>
        <w:rPr>
          <w:rStyle w:val="FootnoteAnchor"/>
          <w:rtl w:val="true"/>
        </w:rPr>
        <w:footnoteReference w:id="78"/>
      </w:r>
      <w:r>
        <w:rPr>
          <w:rFonts w:ascii="IRNazanin" w:hAnsi="IRNazanin" w:eastAsia="IRNazanin"/>
          <w:color w:val="111111"/>
          <w:sz w:val="28"/>
          <w:sz w:val="28"/>
          <w:szCs w:val="28"/>
          <w:rtl w:val="true"/>
          <w:lang w:bidi="fa-IR"/>
        </w:rPr>
        <w:t xml:space="preserve">نموده و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 و لایعرفونه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تعارض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بر فرض پذیرش دلالت این روایات بر نشناختن و ندیدن حضرت، این روایات فقط دیدن و ملاقات حضرت را در خصوص مراسم حج، نفی می‌کند، نه در زمان‌ها و مکان‌های دیگر و نمی‌تواند دلیل بر مدعای ایشان باشد؛ چون دلیل، اخص از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نهی از ذکر اسم حضرت و ندیدن شخصی او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لاترون شخصه و لایحلُّ لکم ذکره باسمه؛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شما حضرت را نمی‌بیند و جایز نیست از او با اسمش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لایُری جسمه و لایسمّی اسمه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حضرت دیده نمی‌شود و نباید به اسم خوانده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نیز ربطی به مسئله ملاقات و تشرفات ندارد؛ زیرا روایت اول به دوران‌غیبت صغرا و خطرهایی مربوط است که دشمنان برای تن‌درستی حضرت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از اسم و طلب و جست‌وجوی حضرت نیز عدم‌امکان ردیابی و شناسایی حضرت در دوران غیبت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علمای شیعه در عصر غیبت کبرا تسمیه حضرت را جایز برمی‌شمارند؛ چون در این زمان، دلیلی برای تقیه و مخفی کردن نام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لاترون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لایری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ندیدن نوعی است؛ یعنی نوع مردم آن‌گونه که دیگران را ملاقات و دیدار</w:t>
      </w:r>
    </w:p>
    <w:p>
      <w:pPr>
        <w:pStyle w:val="BookText"/>
        <w:rPr/>
      </w:pPr>
      <w:r>
        <w:rPr>
          <w:rFonts w:ascii="IRNazanin" w:hAnsi="IRNazanin" w:eastAsia="IRNazanin"/>
          <w:color w:val="111111"/>
          <w:sz w:val="28"/>
          <w:sz w:val="28"/>
          <w:szCs w:val="28"/>
          <w:rtl w:val="true"/>
          <w:lang w:bidi="fa-IR"/>
        </w:rPr>
        <w:t>می‌کنند، حضرت را نمی‌بینند و چنین مسئله‌ای با تشرفات استثنایی و پراکنده که به طور خاص و به دلایل خاصی اتفاق می‌افتد،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فقدان و غیبت حضرت را عامل امتحان مردم بیان می‌کنند؛ زیرا امتحان که جزء فلسفه غیبت است، بدون خفای حضرت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معتقدان به نفی‌ارتباط، این امر را دلیل بر عدم امکان ملاقات و ارتباط شمرده‌اند وگرنه فلسفه غیبت نقض خواهد شد و فرقی میان غیبت و غیرغیبت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این موضوع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یکی از ابواب کتاب الغیبه خود را به روایات این موضوع اختصاص داده و بیست روایت را در این‌باره یاد می‌کند که در این‌جا به یکی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در مورد یاران عرب‌تبار حضرت مهدی عجل الله تعالی فرجه الشریف می‌پرسد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القائم من العرب شی 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تعداد کمی از عرب‌ها با حضرت مهدی عجل الله تعالی فرجه الشریف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یصف هذا الأمرمنهم لکثیر؛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شنیده‌ایم، تعداد عرب ها در سپاه حضرت</w:t>
      </w:r>
    </w:p>
    <w:p>
      <w:pPr>
        <w:pStyle w:val="BookText"/>
        <w:rPr/>
      </w:pPr>
      <w:r>
        <w:rPr>
          <w:rFonts w:ascii="IRNazanin" w:hAnsi="IRNazanin" w:eastAsia="IRNazanin"/>
          <w:color w:val="111111"/>
          <w:sz w:val="28"/>
          <w:sz w:val="28"/>
          <w:szCs w:val="28"/>
          <w:rtl w:val="true"/>
          <w:lang w:bidi="fa-IR"/>
        </w:rPr>
        <w:t>زیاد است؟</w:t>
      </w:r>
    </w:p>
    <w:p>
      <w:pPr>
        <w:pStyle w:val="BookText"/>
        <w:rPr/>
      </w:pPr>
      <w:r>
        <w:rPr>
          <w:rFonts w:ascii="IRNazanin" w:hAnsi="IRNazanin" w:eastAsia="IRNazanin"/>
          <w:color w:val="111111"/>
          <w:sz w:val="28"/>
          <w:sz w:val="28"/>
          <w:szCs w:val="28"/>
          <w:rtl w:val="true"/>
          <w:lang w:bidi="fa-IR"/>
        </w:rPr>
        <w:t>حضرت‌می‌فرماید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للنّاس من أن یمحّصوا و یمیّزوا و یغربلوا و سیخرج من الغربال خلقٌ کثیر؛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امتحان در زمان غیبت حضرت به گونه‌ای مردم را تکان می‌دهد که بسیاری از مردم عرب در این غربال شدید، از دور خارج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نیز نمی‌تواند دلیل بر نفی ارتباط و ملاقات باشد؛ زیرا فلسفه غیبت، خفای حضرت از دید عموم است که با رؤیت بعضی افراد به دلیل مصلحت‌هایی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مصلحت‌ها عبارت است از مصلحت اثبات وجود، مصلحت قضای نیازها و بعضی مصلحت‌های حکیمانه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رؤیت عده‌ای، به معنای نفی غیبت کبرا نیست؛ زیرا ویژگی غیبت صغرا و تفاوت آن با غیبت کبرا، در انقطاع ارتباط رسمی و منظم نایبان خاص و تشکیلات سفیران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و تشکیلات سری نایبان خاص، برای ارتباط میان حضرت و شیعیان بود، ولی در غیبت کبرا، چنین ارتباطی خاص وجود ندارد و امور مردم به وکلای عام سپرده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غیبت کبرا هرگز به معنای انقطاع مطلق</w:t>
      </w:r>
    </w:p>
    <w:p>
      <w:pPr>
        <w:pStyle w:val="BookText"/>
        <w:rPr/>
      </w:pPr>
      <w:r>
        <w:rPr>
          <w:rFonts w:ascii="IRNazanin" w:hAnsi="IRNazanin" w:eastAsia="IRNazanin"/>
          <w:color w:val="111111"/>
          <w:sz w:val="28"/>
          <w:sz w:val="28"/>
          <w:szCs w:val="28"/>
          <w:rtl w:val="true"/>
          <w:lang w:bidi="fa-IR"/>
        </w:rPr>
        <w:t>ارتباط میان حضرت و شیعیان نیست تا رؤیت و ملاقات موردی با آن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تشکیلات واسطه که در عصر غیبت صغرا سمت نیابت داشتند، در این عصر حذف گردیده است و باب و نماینده و سفیری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هیچ دلیلی وجود ندارد که حضرت در عصر غیبت کبرا، به طور مطلق از مردم و شیعیان قطع ارتباط کرده باشد؛ بلکه روایات، نقل تشرفات، وجود ادعیه و اذکار و اتفاق علما همه و همه خلاف آن را اثبات کرده است، چنان‌که پیش‌تر به تفصیل در این مورد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حق مطلب این است که هیچ‌کدام از این روایات، بر نفی ملاقات و تشرفات متفرقه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مسئله همان چیزی است که محقق و نویسنده کتاب سیمای آفتاب متذکر شده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تحقیق، روایاتی در کار نیست در مسئله تکذیب مدعی مشاهده، جز یک روایت، و آن نیز همان توقیعی است که حضرت ولی‌عصر عجل الله تعالی فرجه الشریف به علی بن محمد سمری، صادر نموده است و آن هم در موقعیت خاص نیابت می‌باشد، نه مطلق مشاهده و تشرف</w:t>
      </w:r>
      <w:r>
        <w:rPr>
          <w:rFonts w:eastAsia="IRNazanin" w:cs="IRNazanin"/>
          <w:color w:val="111111"/>
          <w:sz w:val="28"/>
          <w:szCs w:val="28"/>
          <w:rtl w:val="true"/>
          <w:lang w:bidi="fa-IR"/>
        </w:rPr>
        <w:t>.</w:t>
      </w:r>
      <w:r>
        <w:rPr>
          <w:rStyle w:val="FootnoteAnchor"/>
          <w:rtl w:val="true"/>
        </w:rPr>
        <w:footnoteReference w:id="82"/>
      </w:r>
      <w:bookmarkStart w:id="57" w:name="pg3125_40456"/>
    </w:p>
    <w:p>
      <w:pPr>
        <w:pStyle w:val="Heading3"/>
        <w:numPr>
          <w:ilvl w:val="2"/>
          <w:numId w:val="1"/>
        </w:numPr>
        <w:rPr/>
      </w:pPr>
      <w:bookmarkStart w:id="58" w:name="__RefHeading___Toc1200354_2749589250"/>
      <w:bookmarkStart w:id="59" w:name="_Toc21"/>
      <w:bookmarkEnd w:id="57"/>
      <w:bookmarkEnd w:id="58"/>
      <w:r>
        <w:rPr>
          <w:rtl w:val="true"/>
        </w:rPr>
        <w:t>ب</w:t>
      </w:r>
      <w:r>
        <w:rPr>
          <w:rtl w:val="true"/>
        </w:rPr>
        <w:t xml:space="preserve">) </w:t>
      </w:r>
      <w:r>
        <w:rPr>
          <w:rtl w:val="true"/>
        </w:rPr>
        <w:t>توقیع‌شریف</w:t>
      </w:r>
      <w:bookmarkEnd w:id="59"/>
    </w:p>
    <w:p>
      <w:pPr>
        <w:pStyle w:val="Heading4"/>
        <w:numPr>
          <w:ilvl w:val="3"/>
          <w:numId w:val="1"/>
        </w:numPr>
        <w:rPr/>
      </w:pPr>
      <w:bookmarkStart w:id="60" w:name="__RefHeading___Toc1200356_274958925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دلیل توقیع، شاخص‌ترین دلیل پیروان دیدگاه دوم، مایه دل‌گرمی آنان گردیده است؛ چنان‌که خود آنان نیز اذعان دارند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معتبرترین دلیل بر نفی رؤیت و مشاهده امام زمان عجل الله تعالی فرجه الشریف در عصر غیبت، توقیعی است که شش روز پیش از مرگ علی بن محمد سمری، آخرین سفیر خاص حضرت از آن ناحیه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توقیع، مدعی مشاهده، دروغ‌گوست و ادعای وی قابل پذیرش نیست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این نظر، روایت توقیع، قوی‌ترین دلیلی است که می‌تواند مستمسک دیدگاه دوم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دو گروه موافق و مخالف ارتباط، به این توقیع عنایت داشته‌اند و بیشتر گفت‌وگوهای آنان بر این محور قرار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اهمیت و نقش تعیین کننده بحث توقیع در سرنوشت مسئله محل نزاع، این دلیل، به بحث همه جانبه و بررسی جامع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که این بحث در ضمن مراحل چهارگانه متن، سند، دلالت و حل تعارض میان آن با نقل تشرفات مورد توجه کافی قرار گیرد</w:t>
      </w:r>
      <w:r>
        <w:rPr>
          <w:rFonts w:eastAsia="IRNazanin" w:cs="IRNazanin"/>
          <w:color w:val="111111"/>
          <w:sz w:val="28"/>
          <w:szCs w:val="28"/>
          <w:rtl w:val="true"/>
          <w:lang w:bidi="fa-IR"/>
        </w:rPr>
        <w:t>.</w:t>
      </w:r>
      <w:bookmarkStart w:id="62" w:name="pg3125_40457"/>
    </w:p>
    <w:p>
      <w:pPr>
        <w:pStyle w:val="Heading4"/>
        <w:numPr>
          <w:ilvl w:val="3"/>
          <w:numId w:val="1"/>
        </w:numPr>
        <w:rPr/>
      </w:pPr>
      <w:bookmarkStart w:id="63" w:name="__RefHeading___Toc1200358_2749589250"/>
      <w:bookmarkStart w:id="64" w:name="_Toc23"/>
      <w:bookmarkEnd w:id="62"/>
      <w:bookmarkEnd w:id="63"/>
      <w:r>
        <w:rPr/>
        <w:t>1</w:t>
      </w:r>
      <w:r>
        <w:rPr>
          <w:rtl w:val="true"/>
        </w:rPr>
        <w:t xml:space="preserve">. </w:t>
      </w:r>
      <w:r>
        <w:rPr>
          <w:rtl w:val="true"/>
        </w:rPr>
        <w:t>متن توقیع شریف</w:t>
      </w:r>
      <w:bookmarkEnd w:id="64"/>
    </w:p>
    <w:p>
      <w:pPr>
        <w:pStyle w:val="BookText"/>
        <w:rPr/>
      </w:pPr>
      <w:r>
        <w:rPr>
          <w:rFonts w:ascii="IRNazanin" w:hAnsi="IRNazanin" w:eastAsia="IRNazanin"/>
          <w:color w:val="111111"/>
          <w:sz w:val="28"/>
          <w:sz w:val="28"/>
          <w:szCs w:val="28"/>
          <w:rtl w:val="true"/>
          <w:lang w:bidi="fa-IR"/>
        </w:rPr>
        <w:t>بر اساس نقل مرحوم شیخ صدوق در کتاب کمال الدین و تمام النعمه که نخستین نسخه نقل توقیع است، شیخ صدوق اولین راوی به شمار می‌رود که توقیع را در کتاب خود ثبت نموده است؛ چنان‌که دیگران نیز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توقیع شریف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ـ یا علیّ بن محمّد السّمری أعظم الله أجر إخوانک فیک، فإنَّک میِّت ما بینک و بین ستَّة أیّام فاجمع أمرک ولاتوص إلی أحد یقوم مقامک بعد وفاتک، فقد وقعت الغیبة الثانیة، فلاظهور إلّا بعد إذن الله عزوجل و ذلک بعد طول الأَمد و قسوة القلوب و امتلاء الأرض جوراً و سیأتی شیعتی من یدّعی المشاهدة ألا فمن ادّعی المشاهدة قبل خروج السفیانی و الصَّیحة فهو کاذب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لاحول ولاقوَّة إلّا بالله العلیِّ العظیم ؛</w:t>
      </w:r>
      <w:r>
        <w:rPr>
          <w:rStyle w:val="FootnoteAnchor"/>
          <w:rtl w:val="true"/>
        </w:rPr>
        <w:footnoteReference w:id="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و مهربان ـ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مصیبت وفات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پس‌کارهایت را جمع کن و آماده رفتن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 مورد جانشینی بعد از خودت به کسی وصیت مکن؛ زیرا هنگام غیبت دوم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ظهوری نیست، مگر بعد از اذن خداوند</w:t>
      </w:r>
      <w:bookmarkStart w:id="65" w:name="pg3125_40458"/>
    </w:p>
    <w:p>
      <w:pPr>
        <w:pStyle w:val="BookText"/>
        <w:rPr/>
      </w:pPr>
      <w:bookmarkEnd w:id="65"/>
      <w:r>
        <w:rPr>
          <w:rFonts w:ascii="IRNazanin" w:hAnsi="IRNazanin" w:eastAsia="IRNazanin"/>
          <w:color w:val="111111"/>
          <w:sz w:val="28"/>
          <w:sz w:val="28"/>
          <w:szCs w:val="28"/>
          <w:rtl w:val="true"/>
          <w:lang w:bidi="fa-IR"/>
        </w:rPr>
        <w:t>عزوجل و این اذن بعد از طولانی شدن زمان و سخت گردیدن دل‌ها و پر شدن زمین از ظلم و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از شیعیان من ادعای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قبل از خروج سفیانی و ندای آسمانی چنین ادعایی بنماید، دروغ‌گو و افترازننده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 و قدرتی نیست، مگر به مدد خداوند بلند مرتبه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نقل شیخ طوسی در کتاب الغیبه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احتمال سهو یا تصحیف در اختلاف این دو نقل وجود دارد، ولی با توجه به تقدم نسخه کمال‌الدین، ما آن را ملاک عمل قرار می‌دهیم و احتمال تصحیف را متوجه نقل متأخر، یعنی نقل شیخ در الغیبة می‌دانیم</w:t>
      </w:r>
      <w:r>
        <w:rPr>
          <w:rFonts w:eastAsia="IRNazanin" w:cs="IRNazanin"/>
          <w:color w:val="111111"/>
          <w:sz w:val="28"/>
          <w:szCs w:val="28"/>
          <w:rtl w:val="true"/>
          <w:lang w:bidi="fa-IR"/>
        </w:rPr>
        <w:t>.</w:t>
      </w:r>
    </w:p>
    <w:p>
      <w:pPr>
        <w:pStyle w:val="Heading4"/>
        <w:numPr>
          <w:ilvl w:val="3"/>
          <w:numId w:val="1"/>
        </w:numPr>
        <w:rPr/>
      </w:pPr>
      <w:bookmarkStart w:id="66" w:name="__RefHeading___Toc1200360_2749589250"/>
      <w:bookmarkStart w:id="67" w:name="_Toc24"/>
      <w:bookmarkEnd w:id="66"/>
      <w:r>
        <w:rPr/>
        <w:t>2</w:t>
      </w:r>
      <w:r>
        <w:rPr>
          <w:rtl w:val="true"/>
        </w:rPr>
        <w:t xml:space="preserve">. </w:t>
      </w:r>
      <w:r>
        <w:rPr>
          <w:rtl w:val="true"/>
        </w:rPr>
        <w:t>سند توقیع</w:t>
      </w:r>
      <w:bookmarkEnd w:id="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توقیع، بر اساس تصریح خود شیخ 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به طور مستقیم از سوی وی از ابومحمد الحسن بن احمد المکتب نقل گردیده است که او هم آن را مستقیم از علی بن محمد سمری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شیخ صدوق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السّلام فی السَّنة الَّتی توفّی فیها الشیخ علی بن محمدالسَّمری ـ قدس الله روحه ـ فحضرته قبل وفاته بأَیّام فأخرج إلی النّاس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فنسخنا هذا التّوقیع و خرجنا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 محمد حسن بن احمد مکتب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که نایب چهارم از دنیا درگذشت، در بغداد بودم و چند روز قبل از وفاتش به حضور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توقیعی برای مردم بیرون آورد که نسخه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توقیع را نسخه‌برداری کردم و از نزد او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پیروان دیدگاه دوم، سند توقیع کامل و صحیح است</w:t>
      </w:r>
      <w:r>
        <w:rPr>
          <w:rStyle w:val="FootnoteAnchor"/>
          <w:rtl w:val="true"/>
        </w:rPr>
        <w:footnoteReference w:id="86"/>
      </w:r>
      <w:r>
        <w:rPr>
          <w:rFonts w:ascii="IRNazanin" w:hAnsi="IRNazanin" w:eastAsia="IRNazanin"/>
          <w:color w:val="111111"/>
          <w:sz w:val="28"/>
          <w:sz w:val="28"/>
          <w:szCs w:val="28"/>
          <w:rtl w:val="true"/>
          <w:lang w:bidi="fa-IR"/>
        </w:rPr>
        <w:t>و بلکه بالاتر، تواتر مضمونی نیز دارد،</w:t>
      </w:r>
      <w:r>
        <w:rPr>
          <w:rStyle w:val="FootnoteAnchor"/>
          <w:rtl w:val="true"/>
        </w:rPr>
        <w:footnoteReference w:id="87"/>
      </w:r>
      <w:r>
        <w:rPr>
          <w:rFonts w:ascii="IRNazanin" w:hAnsi="IRNazanin" w:eastAsia="IRNazanin"/>
          <w:color w:val="111111"/>
          <w:sz w:val="28"/>
          <w:sz w:val="28"/>
          <w:szCs w:val="28"/>
          <w:rtl w:val="true"/>
          <w:lang w:bidi="fa-IR"/>
        </w:rPr>
        <w:t>اما پیروان دیدگاه اول به سند توقیع خدشه وارد 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مرحوم محدث نوری، نخستین کسی به شمار رود که در سند توقیع تشکیک کرده و آن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سند توقیع به دلیل مرسل بودن، اعتبار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ضعف سند توقیع، موجب گردیده که علما، حتی شیخ طوسی که آن را در کتاب الغیبه آورده، بدان عمل</w:t>
      </w:r>
    </w:p>
    <w:p>
      <w:pPr>
        <w:pStyle w:val="BookText"/>
        <w:rPr/>
      </w:pPr>
      <w:r>
        <w:rPr>
          <w:rFonts w:ascii="IRNazanin" w:hAnsi="IRNazanin" w:eastAsia="IRNazanin"/>
          <w:color w:val="111111"/>
          <w:sz w:val="28"/>
          <w:sz w:val="28"/>
          <w:szCs w:val="28"/>
          <w:rtl w:val="true"/>
          <w:lang w:bidi="fa-IR"/>
        </w:rPr>
        <w:t>نکرده و مورد اعتراض علما قرار گرفته است؛ زیرا این توقیع، معارض با نقل حکایاتی می‌نماید که به طور متواتر از تشرف افراد بی‌شماری در طول زمان غیبت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نجم الثاقب به این مطلب اشاره 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 چنین او در کتاب جنة المأوی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خبر واحد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یعنی توقیع، خبر واحد است که سند آن اتصال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ایشان در مرسل بودن سند توقیع، هویت ناروشن و شناخته نشده فرد واسطه میان شیخ صدوق و علی بن محمد سمری، یعنی حسن بن احمد مکتب است و از نظر وی اتصال سند محرز نیست و یا این‌که مرسل بودن توقیع بدین جهت می‌نماید که وی این توقیع را از منابع دیگری مثل احتجاج طبرسی که آن را به طور مرسل ذکر کرده، نقل نموده، وگرنه در نقل کمال‌الدین، سند متصل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وی، دیگران نیز این شبهه‌ها را در مورد سند توقیع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نهاوندی نیز با محدث نوری هم‌عقیده شده، و با اشاره به ضعف سند توقیع،</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دانسته و عبارات محدث نوری را در این مورد یادآور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آیت‌الله صافی گلپایگانی نیز با اشاره به اشکال سند و اعراض علما از توقیع،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خبر واحدی است که سند آن مرسل و ضعیف می‌نماید و شیخ طوسی که آن را در کتاب الغیبه نقل کرده، خودش به آن عمل ننمود و اصحاب شیعه نیز از مفاد آن اعراض کرده‌اند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نوری و کسانی که از او پیروی کرده‌اند، اولاً سند توقیع مرسل است،</w:t>
      </w:r>
      <w:r>
        <w:rPr>
          <w:rStyle w:val="FootnoteAnchor"/>
          <w:rtl w:val="true"/>
        </w:rPr>
        <w:footnoteReference w:id="92"/>
      </w:r>
      <w:r>
        <w:rPr>
          <w:rFonts w:ascii="IRNazanin" w:hAnsi="IRNazanin" w:eastAsia="IRNazanin"/>
          <w:color w:val="111111"/>
          <w:sz w:val="28"/>
          <w:sz w:val="28"/>
          <w:szCs w:val="28"/>
          <w:rtl w:val="true"/>
          <w:lang w:bidi="fa-IR"/>
        </w:rPr>
        <w:t>ثانیاً شیخ طوسی که خودش تعدادی از حکایات تشرف را در کتاب الغیبة نقل کرده، به مضمون توقیع عمل ننموده و اصحاب و علما نیز با پذیرش و نقل حکایت‌های</w:t>
      </w:r>
    </w:p>
    <w:p>
      <w:pPr>
        <w:pStyle w:val="BookText"/>
        <w:rPr/>
      </w:pPr>
      <w:r>
        <w:rPr>
          <w:rFonts w:ascii="IRNazanin" w:hAnsi="IRNazanin" w:eastAsia="IRNazanin"/>
          <w:color w:val="111111"/>
          <w:sz w:val="28"/>
          <w:sz w:val="28"/>
          <w:szCs w:val="28"/>
          <w:rtl w:val="true"/>
          <w:lang w:bidi="fa-IR"/>
        </w:rPr>
        <w:t>تشرفات، عملاً مفاد توقیع را نادیده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آیا این ایرادها و ابهام‌ها، درباره توقیع تا چه حد واقعیت دارد؟ آیا می‌توان با این تشکیک‌های سندی، اعتبار توقیع را زیر سؤال برد یا نه؟</w:t>
      </w:r>
    </w:p>
    <w:p>
      <w:pPr>
        <w:pStyle w:val="BookText"/>
        <w:rPr/>
      </w:pPr>
      <w:r>
        <w:rPr>
          <w:rFonts w:ascii="IRNazanin" w:hAnsi="IRNazanin" w:eastAsia="IRNazanin"/>
          <w:color w:val="111111"/>
          <w:sz w:val="28"/>
          <w:sz w:val="28"/>
          <w:szCs w:val="28"/>
          <w:rtl w:val="true"/>
          <w:lang w:bidi="fa-IR"/>
        </w:rPr>
        <w:t>شبهه سند توقیع بر اساس آن‌چه مرحوم شیخ صدوق در کتاب کمال الدین آورده، صحیح نیست؛ زیرا این توقیع شریف فقط با سه واسطه از امام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واسطه‌ها که توقیع را به طور مستقیم از یک‌دیگر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ابومحمد حسن بن احمد المکتب و علی بن محمد سمری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اتصال سند به نایب خاص حضرت مشخص است، اتصال سند به امام نیز محرز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اختلاف نسخه‌ها در مورد مشخصات اسمی‌ِ شخص دوم، یعنی ابومحمد مکتب باید گفت که در بعضی منابع کهن، هم حسن ذکر شده و هم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ترتیب القاب وی اختلاف نسخ و نقل دیده می‌شود،</w:t>
      </w:r>
      <w:r>
        <w:rPr>
          <w:rStyle w:val="FootnoteAnchor"/>
          <w:rtl w:val="true"/>
        </w:rPr>
        <w:footnoteReference w:id="93"/>
      </w:r>
      <w:r>
        <w:rPr>
          <w:rFonts w:ascii="IRNazanin" w:hAnsi="IRNazanin" w:eastAsia="IRNazanin"/>
          <w:color w:val="111111"/>
          <w:sz w:val="28"/>
          <w:sz w:val="28"/>
          <w:szCs w:val="28"/>
          <w:rtl w:val="true"/>
          <w:lang w:bidi="fa-IR"/>
        </w:rPr>
        <w:t>ولی با توجه به این‌که شیخ صدوق نخستین کسی به شمار می‌رود که توقیع را در کتاب خود نقل و ضبط کرده، نقل وی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راویان کمال‌الدین، نام وی را حسن بن احمد ذکر</w:t>
      </w:r>
    </w:p>
    <w:p>
      <w:pPr>
        <w:pStyle w:val="BookText"/>
        <w:rPr/>
      </w:pPr>
      <w:r>
        <w:rPr>
          <w:rFonts w:ascii="IRNazanin" w:hAnsi="IRNazanin" w:eastAsia="IRNazanin"/>
          <w:color w:val="111111"/>
          <w:sz w:val="28"/>
          <w:sz w:val="28"/>
          <w:szCs w:val="28"/>
          <w:rtl w:val="true"/>
          <w:lang w:bidi="fa-IR"/>
        </w:rPr>
        <w:t>کرده‌اند و او را از مشایخ حدیث شیخ صدوق برشمرده‌اند، افزون بر آن‌که برای او طلب رضوان و رحمت نموده‌اند که از نشانه‌های وثوق در نقل حدیث به شمار می‌رود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نظر می‌رسد با توجه به شناخت شیخ صدوق از حسن بن احمد مکتب و نیز نقل حدیث از او، اعتماد شیخ صدوق، قرینه و شاهد روشنی بر توثیق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توقیع از این جهت چندان مشکلی ندارد و بیشتر علما سند توقیع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به امکان ارتباط و مشاهده حضرت معتقدند نیز غالباً سند توقیع را بی‌اشکال می‌دانند؛ گرچه دلالت توقیع را برنفی رؤیت تام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 نیز سند توقیع را صحیح می‌داند و اشکال مرسل بودن را وارد نمی‌داند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عالم متتبع، سیدمحمدتقی موسوی اصفهانی نویسنده کتاب ارزشمند مکیال‌المکارم نیز سند توقیع شریف را دارای درجه عالی از درستی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مکیال‌المکارم این‌حدیث را در اصطلاح، صحیح عالی می‌داند؛ زیرا از صاحب‌الزمان عجل الله تعالی فرجه الشریف به واسطه سه نفر روایت گردیده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از نظر والایی مقام و شهرت به توصیف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الحسین بن موسی بابویه قمی که او نیز به دلیل شهرت و معروفیت کتابش و جلالت قدرش،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احمد مکتب که اسم کاملش ابومحمد حسن بن الحسین بن ابراهیم بن احمد بن هشام المکتب است</w:t>
      </w:r>
      <w:r>
        <w:rPr>
          <w:rStyle w:val="FootnoteAnchor"/>
          <w:rtl w:val="true"/>
        </w:rPr>
        <w:footnoteReference w:id="96"/>
      </w:r>
      <w:r>
        <w:rPr>
          <w:rFonts w:ascii="IRNazanin" w:hAnsi="IRNazanin" w:eastAsia="IRNazanin"/>
          <w:color w:val="111111"/>
          <w:sz w:val="28"/>
          <w:sz w:val="28"/>
          <w:szCs w:val="28"/>
          <w:rtl w:val="true"/>
          <w:lang w:bidi="fa-IR"/>
        </w:rPr>
        <w:t>و صدوق بارها از او با طلب رضایت و رحمت خداوند روایت کرده است ـ چنین چیزی از نشانه‌های صحت و وثاقت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 چنین استناد و اعتماد علما از زمان صدوق تا این زمان از دلایل درستی توقیع به شمار می‌رود، چنان‌که هیچ‌یک از آنان در اعتبار آن مناقشه و تأملی نکرده‌اند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نهایت نویسنده مکیال المکارم نتیجه می‌گیرد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مذکور ازروایات قطعی است که هیچ شک و شبهه‌ای در آن راه ندارد</w:t>
      </w:r>
      <w:r>
        <w:rPr>
          <w:rFonts w:eastAsia="IRNazanin" w:cs="IRNazanin"/>
          <w:color w:val="111111"/>
          <w:sz w:val="28"/>
          <w:szCs w:val="28"/>
          <w:rtl w:val="true"/>
          <w:lang w:bidi="fa-IR"/>
        </w:rPr>
        <w:t>.</w:t>
      </w:r>
      <w:r>
        <w:rPr>
          <w:rStyle w:val="FootnoteAnchor"/>
          <w:rtl w:val="true"/>
        </w:rPr>
        <w:footnoteReference w:id="99"/>
      </w:r>
      <w:bookmarkStart w:id="68" w:name="pg3125_40465"/>
    </w:p>
    <w:p>
      <w:pPr>
        <w:pStyle w:val="BookText"/>
        <w:rPr/>
      </w:pPr>
      <w:bookmarkEnd w:id="68"/>
      <w:r>
        <w:rPr>
          <w:rFonts w:ascii="IRNazanin" w:hAnsi="IRNazanin" w:eastAsia="IRNazanin"/>
          <w:color w:val="111111"/>
          <w:sz w:val="28"/>
          <w:sz w:val="28"/>
          <w:szCs w:val="28"/>
          <w:rtl w:val="true"/>
          <w:lang w:bidi="fa-IR"/>
        </w:rPr>
        <w:t>وی هم چنین متذکر می‌شود که در بعضی از نسخه‌ها نظیر نسخه الغیبة طوسی در مورد ضبط نام حسن بن احمد از ناحیه نسخه‌نویسان، تصحیف رخ داده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توقیع از نظر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توقیع مطرح است و جای بحث و بررسی دارد، دلالت آن است که در این‌جا به آن خواهیم پرداخت</w:t>
      </w:r>
      <w:r>
        <w:rPr>
          <w:rFonts w:eastAsia="IRNazanin" w:cs="IRNazanin"/>
          <w:color w:val="111111"/>
          <w:sz w:val="28"/>
          <w:szCs w:val="28"/>
          <w:rtl w:val="true"/>
          <w:lang w:bidi="fa-IR"/>
        </w:rPr>
        <w:t>.</w:t>
      </w:r>
    </w:p>
    <w:p>
      <w:pPr>
        <w:pStyle w:val="Heading4"/>
        <w:numPr>
          <w:ilvl w:val="3"/>
          <w:numId w:val="1"/>
        </w:numPr>
        <w:rPr/>
      </w:pPr>
      <w:bookmarkStart w:id="69" w:name="__RefHeading___Toc1200362_2749589250"/>
      <w:bookmarkStart w:id="70" w:name="_Toc25"/>
      <w:bookmarkEnd w:id="69"/>
      <w:r>
        <w:rPr/>
        <w:t>3</w:t>
      </w:r>
      <w:r>
        <w:rPr>
          <w:rtl w:val="true"/>
        </w:rPr>
        <w:t xml:space="preserve">. </w:t>
      </w:r>
      <w:r>
        <w:rPr>
          <w:rtl w:val="true"/>
        </w:rPr>
        <w:t>دلالت توقیع</w:t>
      </w:r>
      <w:bookmarkEnd w:id="70"/>
    </w:p>
    <w:p>
      <w:pPr>
        <w:pStyle w:val="BookText"/>
        <w:rPr/>
      </w:pPr>
      <w:r>
        <w:rPr>
          <w:rFonts w:ascii="IRNazanin" w:hAnsi="IRNazanin" w:eastAsia="IRNazanin"/>
          <w:color w:val="111111"/>
          <w:sz w:val="28"/>
          <w:sz w:val="28"/>
          <w:szCs w:val="28"/>
          <w:rtl w:val="true"/>
          <w:lang w:bidi="fa-IR"/>
        </w:rPr>
        <w:t>چنان‌که اشاره کردیم، از نظر پیروان دیدگاه دوم، توقیع قوی‌ترین دلیل بر اثبات نظریه انکار به شمار می‌آید که دلالت روشنی بر مدعای آنان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رساله تحقیق لطیف در مورد دلالت بخش‌های توقیع،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لاتوص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سد باب وصایت و نیابت صادر شده می‌داند و آن را پذیرفته و مقبول همه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فلاظهور إلّا بعد 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این بخش توقیع، برای سد باب رؤیت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وی، در غیبت صغرا، امکان رؤیت و ملاقات برای بعضی افراد خاص وجود داشت، ولی در غیبت کبرا چنین استثنایی نیست و کسی امکان دیدار</w:t>
      </w:r>
    </w:p>
    <w:p>
      <w:pPr>
        <w:pStyle w:val="BookText"/>
        <w:rPr/>
      </w:pPr>
      <w:r>
        <w:rPr>
          <w:rFonts w:ascii="IRNazanin" w:hAnsi="IRNazanin" w:eastAsia="IRNazanin"/>
          <w:color w:val="111111"/>
          <w:sz w:val="28"/>
          <w:sz w:val="28"/>
          <w:szCs w:val="28"/>
          <w:rtl w:val="true"/>
          <w:lang w:bidi="fa-IR"/>
        </w:rPr>
        <w:t>با حضرت را ندارد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توقیع را بر نفی دیدار با حضرت حجت، صریح و تام می‌داند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وی ادعا می‌کند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نفی جنس و استثنا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 إلّا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مطلق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بروز بعد از خفاست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بوده، و نفی مطلق ظهور در این جا، نفی مطلق مشاهده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ایشان قسمت‌های بعدی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شیعتی من یدی المشاهدة، ألا فمن ادَّعی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تأکید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چنین برداشتی از توقیع، هر نوع ادعای مشاهده را چه همراه با نیابت و چه بدون آن، و چه مدعی صادق باشد یا کاذب، به انکار و تکذیب محکوم می‌داند و نتیجه می‌گیرد که استناد به توقیع بر عدم‌امکان ارتباط، کامل و صحیح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هر دو، در اصل هدف و نحوه استدلال اشتراک نظر دارند، ولی از نظر نوع مخالفت وشدت</w:t>
      </w:r>
    </w:p>
    <w:p>
      <w:pPr>
        <w:pStyle w:val="BookText"/>
        <w:rPr/>
      </w:pPr>
      <w:r>
        <w:rPr>
          <w:rFonts w:ascii="IRNazanin" w:hAnsi="IRNazanin" w:eastAsia="IRNazanin"/>
          <w:color w:val="111111"/>
          <w:sz w:val="28"/>
          <w:sz w:val="28"/>
          <w:szCs w:val="28"/>
          <w:rtl w:val="true"/>
          <w:lang w:bidi="fa-IR"/>
        </w:rPr>
        <w:t>لحن، تفاوت‌های اندکی نیز میان این دو دیدگاه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ذاکری، عقب نشینی از موضع انکار مطلق را در حد استثنا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موردی که دیدار با حضرت همراه با معجزه و کرامت باشد، آن را از تکذیب و انکار در امان می‌داند و دست‌کم دوبار انعطاف پذیری نشان داده و بر مخالفت نکردن چنین دیداری با توقیع تصریح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 نویسنده محترم تحقیق لطیف هیچ‌گونه نرمشی را در این مورد نمی‌پذیرد و معتقد است که توقیع برای ریشه‌کن کردن کامل زمینه هرگونه ادعای مشاهده صادر شده است تا کسی نتواند در این مورد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نفی ادعای مشاهده در توقیع، هیچ قید و استثنایی نمی پذیرد، بلکه این ادعای مشاهده و ملاقات، چه به خود نقل‌کننده نسبت داده شود و چه از کسی دیگر نقل ملاقات گردد، مشمول توقیع مبنی بر انکار و تکذیب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هر حال، در این قسمت دلالت توقیع را بحث و بررسی می‌کنیم و در ضمن به ارزیابی استنباط انکار مطلق ملاقات از توقیع و نقد آن می‌پردازیم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دقت های انجام گرفته در مورد این توقیع،</w:t>
      </w:r>
    </w:p>
    <w:p>
      <w:pPr>
        <w:pStyle w:val="BookText"/>
        <w:rPr/>
      </w:pPr>
      <w:r>
        <w:rPr>
          <w:rFonts w:ascii="IRNazanin" w:hAnsi="IRNazanin" w:eastAsia="IRNazanin"/>
          <w:color w:val="111111"/>
          <w:sz w:val="28"/>
          <w:sz w:val="28"/>
          <w:szCs w:val="28"/>
          <w:rtl w:val="true"/>
          <w:lang w:bidi="fa-IR"/>
        </w:rPr>
        <w:t>هنوز این سند دینی ـ تاریخی، با نگاهی جامع پردازش نشده و برخی ابهام‌های مطرح در این مورد بی‌پاسخ مانده که به بازکاوی جدی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مهم‌ترین عاملی که نویسندگان یاد شده را برای طرح انکار مطلق رؤیت و عدم امکان مشاهده حضرت به استناد این توقیع برانگیخته، وجود برخی ابهام‌ها و عدم‌دقت و موشکافی لازم در این باره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باید در مقام بررسی دلالت و تحلیل محتوایی توقیع شریف، به این موضوع از چند زاویه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موقعیت صدور توقیع را به خوبی بشناسیم؛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 و کلمات به کار رفته در آن را مفهوم یابی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 توقیع و ارتباط میان آنها را بازبینی نماییم تا منظور و مفاد توقیع را به خوبی دریابیم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تصور روشن از فضای حاکم بر عصر صدور توقیع و شناخت شرایط جاری در آن زمان، ما را در فهم صحیح پیام توقیع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باید در نظر داشت که با توجه به شرایط حاکم بر وضعیت ارتباطی میان شیعیان و امامان از زمان عسکریین به بعد، به ویژه در دوران غیبت صغرا و کانالیزه شدن ارتباطات از راه سلسله مراتب وکیلان و سفیران به ویژه در دهه پایانی عصر غیبت صغرا و</w:t>
      </w:r>
    </w:p>
    <w:p>
      <w:pPr>
        <w:pStyle w:val="BookText"/>
        <w:rPr/>
      </w:pPr>
      <w:r>
        <w:rPr>
          <w:rFonts w:ascii="IRNazanin" w:hAnsi="IRNazanin" w:eastAsia="IRNazanin"/>
          <w:color w:val="111111"/>
          <w:sz w:val="28"/>
          <w:sz w:val="28"/>
          <w:szCs w:val="28"/>
          <w:rtl w:val="true"/>
          <w:lang w:bidi="fa-IR"/>
        </w:rPr>
        <w:t xml:space="preserve">زمان صدور توقیع، فضای فکری شیعیان به گونه‌ای شکل‌گرفته بوده که تلقی عموم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مشاهده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معنای معهود آن، یعنی ارتباط خاص و داشتن مقام سفارت و نیابت از طرف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با فرا رسیدن دوران غیبت کبرا، حضرت با صدور چنین توقیعی، ضمن اعلام پایان غیبت صغرا و آغاز غیبت کبرا، درصدد جلوگیری از پدید آمدن احتمالی مدعیان مشاهده و نیابت برآمدند، تا مبادا کسی از راه ادعای مشاهده خود را به عنوان واسطه و وکیل به مردم بنمایاند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توقیع حضرت در مورد تکذیب مدعی مشاهده، ناظر به دیدار و مشاهده است که پیام خاصی را به همراه دارد و هرگز مطلق رؤیت و دیدار را 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توقیع، بسته شدن مطلق ارتباط با حضرت نیست، بلکه جلوگیری از سوء‌نیت افراد فرصت طلب از ارزش‌های مذهبی با ادعای نمایندگی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هم در طول دوران غیبت کبرا، افراد دنیاطلب، حقه باز و فریب‌کار با دروغ و دجال‌گری،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نمایندگی ویژه حضرت را نمودند و ساده‌دلان بی‌شماری را نیز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عده کثیری از ناآگاهان را به</w:t>
      </w:r>
    </w:p>
    <w:p>
      <w:pPr>
        <w:pStyle w:val="BookText"/>
        <w:rPr/>
      </w:pPr>
      <w:r>
        <w:rPr>
          <w:rFonts w:ascii="IRNazanin" w:hAnsi="IRNazanin" w:eastAsia="IRNazanin"/>
          <w:color w:val="111111"/>
          <w:sz w:val="28"/>
          <w:sz w:val="28"/>
          <w:szCs w:val="28"/>
          <w:rtl w:val="true"/>
          <w:lang w:bidi="fa-IR"/>
        </w:rPr>
        <w:t>دور خود جمع و اقدام به تشکیل و تأسیس فرقه و مذهب و دیانت کردند، نمونه‌های بارز این روی‌کرد خطرناک به شمار می‌روند؛ آنها که با ادعایی به ظاهر کوچک، به تدریج از ادعای بابیت به مهدویت و از آن نیز سر از انکار نبوت پیامبر صلی الله علیه و آله و سلم و دین اسلام و ادعای اولوهیت و خدایی در آوردند، و امروزه با ادعای نجات کل بشر، همگان را به خود فرا می‌خوانند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متن توقیع مبارک، سراسر هشدار به پیدایش چنین آفت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پیش‌تر آن حضرت آفت زدایی کرده و با صدور این توقیع، از نفوذ چنین جریان های ناپاکی جلوگیری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سند تاریخی، علمای شیعه هیچ‌گاه ادعای وساطت و نمایندگی و پیام رسانی را از کسی نپذیرفته‌اند و مدعیان دروغین را نیز رسوا و مطرود ساخته‌اند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موقعیت شناسی توقیع و فضای حاکم بر عصر صدور آن، ما را در فهم منظور و معنای توقیع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حاکم بر شیعیان در شرایط پایان غیبت صغرا و آغاز غیبت کبرا، به گونه‌ای بوده</w:t>
      </w:r>
      <w:bookmarkStart w:id="71" w:name="pg3125_40471"/>
    </w:p>
    <w:p>
      <w:pPr>
        <w:pStyle w:val="BookText"/>
        <w:rPr/>
      </w:pPr>
      <w:bookmarkEnd w:id="71"/>
      <w:r>
        <w:rPr>
          <w:rFonts w:ascii="IRNazanin" w:hAnsi="IRNazanin" w:eastAsia="IRNazanin"/>
          <w:color w:val="111111"/>
          <w:sz w:val="28"/>
          <w:sz w:val="28"/>
          <w:szCs w:val="28"/>
          <w:rtl w:val="true"/>
          <w:lang w:bidi="fa-IR"/>
        </w:rPr>
        <w:t>که مسئله مشاهده و ارتباط فیزیکی با حضرت را مخصوص وکلا و کسانی می‌دانستند که به نوعی با حضرت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موضوع مشاهده، برداشت نیابت و نمایندگی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امام با توجه به حساسیت مسئله و پی‌آمدهای منفی آن در میان شیعیان، با این تدبیر حکیمانه هم از سوءاستفاده افراد شیاد و سودجو جلوگیری نمود و هم تکلیف شیعیان و موضع یک‌پارچه آنان را در مورد تکذیب و طرد این‌گونه عناصر،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لحن توقیع، گویای حساسیت این موضوع و از زمینه های بالقوه بروز چنین آفتی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توقیع صادر نمی‌شد، به یقین در تاریخ شیعه تاکنون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انحراف‌ها ظهور می‌کردند بدون این‌که مانعی جدی در مقابل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صدور این توقیع شریف، مهم ترین سند مصونیت‌بخش شیعه از این آفات فرسایش‌گر به شمار می‌رود</w:t>
      </w:r>
      <w:r>
        <w:rPr>
          <w:rFonts w:eastAsia="IRNazanin" w:cs="IRNazanin"/>
          <w:color w:val="111111"/>
          <w:sz w:val="28"/>
          <w:szCs w:val="28"/>
          <w:rtl w:val="true"/>
          <w:lang w:bidi="fa-IR"/>
        </w:rPr>
        <w:t>.</w:t>
      </w:r>
    </w:p>
    <w:p>
      <w:pPr>
        <w:pStyle w:val="Heading4"/>
        <w:numPr>
          <w:ilvl w:val="3"/>
          <w:numId w:val="1"/>
        </w:numPr>
        <w:rPr/>
      </w:pPr>
      <w:bookmarkStart w:id="72" w:name="__RefHeading___Toc1200364_2749589250"/>
      <w:bookmarkStart w:id="73" w:name="_Toc26"/>
      <w:bookmarkEnd w:id="72"/>
      <w:r>
        <w:rPr/>
        <w:t>4</w:t>
      </w:r>
      <w:r>
        <w:rPr>
          <w:rtl w:val="true"/>
        </w:rPr>
        <w:t xml:space="preserve">. </w:t>
      </w:r>
      <w:r>
        <w:rPr>
          <w:rtl w:val="true"/>
        </w:rPr>
        <w:t>متن‌شناسی توقیع</w:t>
      </w:r>
      <w:bookmarkEnd w:id="7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شرط نخست قضاوت در این مورد، بررسی صحیح مفاد برآمده از متن توقیع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ضرورت مفهوم‌یابی واژه ها و کلمات مطرح شده در توقیع و بررسی ارتباط میان بخش‌های آن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w:t>
      </w:r>
    </w:p>
    <w:p>
      <w:pPr>
        <w:pStyle w:val="BookText"/>
        <w:rPr/>
      </w:pPr>
      <w:r>
        <w:rPr>
          <w:rFonts w:ascii="IRNazanin" w:hAnsi="IRNazanin" w:eastAsia="IRNazanin"/>
          <w:color w:val="111111"/>
          <w:sz w:val="28"/>
          <w:sz w:val="28"/>
          <w:szCs w:val="28"/>
          <w:rtl w:val="true"/>
          <w:lang w:bidi="fa-IR"/>
        </w:rPr>
        <w:t>در این توقیع، واژه ها و اصطلاحات چندی به کار رفته که لغت‌شناسی آن، نقش مهمی در روشن‌شدن مفاد توقیع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پوشیده بودن از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معجم مقائیس اللغه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تستر الشِّی ء عن العیون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غیب، بر آشکار بودن چیزی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قوَّةٍ و بروز، ظهر الشِّی ء إذا انکشفت و برز</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مخاصمه، دعوت و احتجاج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تدَّعی حقّاً لک او لغیرک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حقّاً أو باطلاً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یدعوا النّاس إلی دینه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معاینه، ادراک با چشم و نگاه و نظر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 و شهده شهوداً أی حضره فهو شاهد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شاهده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عاینه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رؤیت با چشم را افاده می‌کند، لذا شهادت به خبر و گواهی صدق می‌کند که از روی قطع و یقین ادا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خبر قاطع</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به معنای دروغ‌گوست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خلاف الصِّدق</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نیز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بسیار دروغ‌گو و مبالغه در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مفتری به معنای دروغ گوینده بر کسی، دروغ بافنده و بهتان زننده بر کسی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معلوم می‌شود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مستور بودن و پوشیده بودن از چشم دیده می‌شود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آن را می‌رساند، یعنی عیان بودن و کشف و بروز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فراخوانی، مخاصمه و احتجاج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امر، به معنای طلب آن چیز و درصدد بر آمدن برای اثبات آن است که در ضمن، دعوت دیگران به قبول آن را نیز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معنای دیدن با چشم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صدق بوده و معنای خلاف واقع بودن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کذب به دیگران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مطلبی خلاف واقع بدون انتساب کذب به کسی باشد، افترا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شریف در مجموع چهار بخش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 وفات علی بن محمد سمری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 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نهی از جانشینی و انتخاب 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لاتوص إلی أحد یقوم مقامک بعد وفاتک 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نفی ظهور تا زمان اذن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فلاظهور إلّا بعد إذن الله عزّوجل و ذلک بعد طول الأمد و قسوة القلوب و إمتلاء الأرض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تکذیب مدعی مشاهده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سیأتی شیعتی من یدّعی المشاهدة ألّا فمن ادّعی المشاهدة قبل خروج السّفیانی و الصَّیحة فهو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بخش‌ها، دو بخش آخری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توقیع، به رحلت سفیر حضرت می‌پردازد که خبری غیبی از سوی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بخش دوم یعنی منع وصایت و جانشینی نیز امری اتفاقی و خارج از محل بحث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سخن، به دو بخش اخیر برمی‌گردد که منشأ اختلاف گردیده و عده‌ای عدم‌امکان رؤیت حضرت را از آن استنباط کرده اند و منکر هر گونه ملاقات و تشرف در زمان غیبت کبرا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معتقدان به عدم امکام ملاقات، بر این استدلال استوار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فلاظهور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مطلق رؤیت می‌کند؛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نیز بر این رؤیت کلی متفرع می‌شود که به عنوان نتیجه جمله قبل، ادعای مشاهده و رؤیت را تا زمان قیام حضرت بعد از خروج سفیانی و صیحه، نفی و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استنباط، بخش سوم، موضوع نفی رؤیت و مشاهده را بیان کرده و راه ارتباط و ملاقات را تا زمان ظهور بسته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هم در واقع نتیجه و حکم ادعای رؤیت را بیان کرده است؛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کلیت بروز و ظاهر شدن حضرت را برای دیگران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قبل از خروج سفیانی و صیحه و فرا رسیدن قیام حضرت، رؤیت و بروزی در کار نیست، مدعی چنین امری کذّاب و مفتری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اگر بخش‌های اخیر توقیع و</w:t>
      </w:r>
    </w:p>
    <w:p>
      <w:pPr>
        <w:pStyle w:val="BookText"/>
        <w:rPr/>
      </w:pPr>
      <w:r>
        <w:rPr>
          <w:rFonts w:ascii="IRNazanin" w:hAnsi="IRNazanin" w:eastAsia="IRNazanin"/>
          <w:color w:val="111111"/>
          <w:sz w:val="28"/>
          <w:sz w:val="28"/>
          <w:szCs w:val="28"/>
          <w:rtl w:val="true"/>
          <w:lang w:bidi="fa-IR"/>
        </w:rPr>
        <w:t>کلمات و واژه‌های به کار رفته در آن، با نگاه دقیق و به دور از هرگونه پیش فرضی مورد تأمل قرار گیرد، روشن می‌شود که استنباط مذکور در نفی‌امکان ارتباط و تکذیب مطلق رؤیت و ملاقات، بسیار سطحی و دور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مساوی انگاشتن نفی ظهور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نفی رؤیت، مهم‌ترین لغزش در استدلال منکران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آنان جمله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ادّعی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تأکید جمله قبل حمل کرده اند و فتوای تکذیب هرگونه ارتباط و ملاقات را صادر نموده‌اند؛ در حالی که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ملاقات و تشرف ربط دارد و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پیشین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نارسایی را در ضمن بررسی دو بخش اخیر توقیع بیان خواهیم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معتقدان به دیدگاه انکار، در تحلیل متنی توقیع، دقت کافی نکرده‌اند و با پیش‌فرض خاصی به سراغ توقیع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در مفهوم‌یابی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اشتباه کرده‌اند و هم این‌که در شناخت ارتباط میان بخش‌های توقیع دچار لغزش بزرگ‌تری گردیده‌اند و بدون توجه لازم به قراین مقالی و شواهد متنی در توقیع، به ذهنیت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استنباط مذکور از چند نظر با</w:t>
      </w:r>
    </w:p>
    <w:p>
      <w:pPr>
        <w:pStyle w:val="BookText"/>
        <w:rPr/>
      </w:pPr>
      <w:r>
        <w:rPr>
          <w:rFonts w:ascii="IRNazanin" w:hAnsi="IRNazanin" w:eastAsia="IRNazanin"/>
          <w:color w:val="111111"/>
          <w:sz w:val="28"/>
          <w:sz w:val="28"/>
          <w:szCs w:val="28"/>
          <w:rtl w:val="true"/>
          <w:lang w:bidi="fa-IR"/>
        </w:rPr>
        <w:t>مشکل جدّی مواجه است؛ در حالی‌که متن این بخش از توقیع، چنین مشکلی را نمی‌پذیرد؛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واژه 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کلمه، بر شدت آشکار بودن دلالت دارد که این معنا در مورد تشرفات و ملاقات های متفرقه انطباق پذیر نیست؛ بلکه با معنای ظهور علنی و قیام حضرت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روایات بار معنایی خاصی دارد و به طور معمول در مورد قیام جهانی حضرت در آخرالزمان اطلاق می‌شود، در این بخش از توقیع نیز تعابیر به کار رفته در ذیل این جمله،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بعد اذن الله عزوجل و ذلک بعد طول الأمد و قسوة القلوب و 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روشن بر انصراف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اصطلاحی آن در روایات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سیاق این بخش از توقیع نیز استنباط مذکور را نمی‌پذیرد؛ زیرا ظاهر این بخش، بر هم‌آهنگی و پیوستگی صدر و ذیل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نفی شده در صدر جمله، با ظهور اثبات شده در ضمن استثنا، هر دو یک چیز و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ظهور اثبات شده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قرینه ذیل آن، به قیام و انقلاب حضرت نظر دارد، طبیعی است که ظهور منفی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ناظر به همان معناست و به ملاقات و جریان تشرفات اجمالی بعضی در دوران غیبت کبرا ربطی ندارد؛ نه نفیاً و نه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 سوم توقیع از این نظر ساکت است و نفی و اثبات در این بخش، به موضوع قیام حضرت نظر دارد که با موضوع امکان یا عدم‌امکان ملاقات و تشرفات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بر تأکید کردن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شیعتی من یدّعی المشاهدة ألا فمن ادَّعی المشاهدة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استدلال پیروان دیدگاه انکار بسیار عجیب و دور از واقع نگری می‌نماید؛ زیرا این دو بخش، هرکدام مطلب جداگانه‌ای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قرینه‌های ذیل آن، موضوع ظهور و قیام حضرت را بیان و آن را به صدور اذن الهی بعد از گذشت زمان طولانی منوط کرده است، اما بخش اخیر در مقام تکذیب مدعیان ارتباط ویژه با حضرت درعصر قبل از ظهور و غیبت کبرا به شمار می‌رود و این دو مسئله کاملاً از هم جدا به نظر می‌رسند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مشاهده در توقیع، بنابر قرینه‌ها و شواهد موجود در متن بخش چهارم مطلق رؤیت نیست، بلکه مشاهده همراه با ادعای وساطت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قرینه‌ها را چنین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کلمه مشاهده که به معنای دیدار متقابل و دو جانبه است، با الف‌ولام عهد ذهنی به کار رفته که به همان مشاهده معهودی نظر دارد که در ابتدای توقیع، سخن از به پایان رسیدن آن به میان آمده است؛ یعنی جانشینی و 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عهد ذکری در این‌جا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الف‌ولام، به طور مشخص ادعای مشاهده از نوع نیابت خاص را افاده می‌کند، و بر مطلق دیدن و رؤیت دلالت دارد وگرنه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سیأتی شیعتی من یدّعی مشاهدتی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الف و لام و اشاره به مشاهده خاص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اقتضای کاربرد کاربرد الف و لام عهد ذهنی در این جا، آن مشاهده تداعی شونده در طول دوران غیبت صغرا را که تنها در مورد نواب خاص حضرت مصداق داشت، پایان یافته اعلام کرد و ادعای مشاهده بعضی از شیعیان را در آینده،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شامل اتفاق‌های آنی و مقطعی برای بعضی افراد صالح در زمان غیبت نمی‌شود؛ چون این‌گونه دیدارهای پیش بینی نشده و ناگهانی، با آن‌چه در گذشته برای نایبان خاص حضرت رخ داده، همانندی ندارد تا مشمول حکم تکذیب و انکار در این توقیع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در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ظریفی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تعبیر، از داعیه داشتن مدعی مشاهده حکایت دارد و این معنا را تفهیم می‌کند که ادعای مشاهده، به نحوی با داعیه نیابت و بابیت مدعی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چون ادعای رؤیت و مشاهده با چنین شائبه و پس‌وندی همراه می‌شود، بسیاری از کسانی که تشرفی داشته‌اند، آن را در سینه‌ها مخفی نگه داشته‌اند و به بایگانی همیشگی اسرار سپرده‌اند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به دلیل ذهنیت موجود در مورد معنای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علاوه بر قرینه الف‌ولام عهد ذهنی که به مشاهده همراه با ادعای نیابت نظر دارد، نفس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داعیه داشتن مدعی مشاهده است؛ نه صرف دیدن و رؤیت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قرینه دیگری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می‌کند،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توقیع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بسیار اهمیت دارد که حضرت ولی عصر عجل الله تعالی فرجه الشریف، مدعی مشاهده را با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که در فهم منظور توقیع به ما کمک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جنس مشترک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مخصص در کلام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نوع ادعای رؤیت دروغ می‌شود، ولی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ادعای کذبی را دربر می‌گیرد که انتساب به حضرت نیز داده شود، نه هر نوع ادعای کذب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این دو وصف در مورد مدعی مشاهده، مبین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مدعی رؤیت در ادعای خود کاذب باشد و چیزی را ادعا کند که خلاف واقع و کذب است؛</w:t>
      </w:r>
    </w:p>
    <w:p>
      <w:pPr>
        <w:pStyle w:val="BookText"/>
        <w:rPr/>
      </w:pPr>
      <w:r>
        <w:rPr>
          <w:rFonts w:ascii="IRNazanin" w:hAnsi="IRNazanin" w:eastAsia="IRNazanin"/>
          <w:color w:val="111111"/>
          <w:sz w:val="28"/>
          <w:sz w:val="28"/>
          <w:szCs w:val="28"/>
          <w:rtl w:val="true"/>
          <w:lang w:bidi="fa-IR"/>
        </w:rPr>
        <w:t>دیگر آن که ادعای خلاف واقع و کذب را به حضرت حجت عجل الله تعالی فرجه الشریف نسبت بدهد؛ یعنی مدعی بابیت و نیابت از طرف حضرت بشود و چنین افترایی را به حضرت انتساب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چنین ادعایی هم کذب و هم افتراست و توقیع، به چنین ادعای مشاهده‌ای نظر دارد، نه صرف رؤیت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مشاهده نیز چند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مشاهده، صرفاً رؤیت حضرت را ابراز کند و در این ادعا صادق نیز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رؤیت بکند، ولی در این ادعا کاذب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رؤیت بکند و در این ادعا نیز کاذب باشد و افزون بر آن، نسبت دروغ نیز به‌حضرت بدهد و چیزی از ناحیه حضرت ادعا کند که حضرت نگفته است؛ چنین کسی مصداق هر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 حضرت، مدعی مشاهده را با این دو وصف معرفی کرده، فقط فرض اخیر از این چند فرض، مصداق کلام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نیز گرچه چون چیزی به حضرت نسبت نداده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در اصل ادعای رؤیت، مرتکب دروغ‌گویی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فرض اول که شخص، اظهار دیدن حضرت و تشرف به محضر او را بکند و در سخن خود نیز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اثبات صدق این ادعای تشرف برای دیگران نیازمند دلیل و قراین اطمینان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سخنی نه مصداق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نقل کمال الدین این‌گونه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خارج از موضوع در توقیع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ترکیب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در مورد مدعی مشاهده در این توقیع، قلمرو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سه فرض پیش‌گفته،گرچه فرض دوم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یقین فرض سوم مصداق کامل توقیع شریف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تأمل در کلمات به کار رفته در این توقیع شریف که هر کدام حکیمانه لحاظ شده‌اند، ما را به این نتیجه می‌رساند که کلام حضرت به گروه خاصی</w:t>
      </w:r>
    </w:p>
    <w:p>
      <w:pPr>
        <w:pStyle w:val="BookText"/>
        <w:rPr/>
      </w:pP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توقیع، با توجه به زمینه‌های بروز و ظهور افرادی در آینده و زمان غیبت کبرا، مدعیان دروغین را افشا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ولی عصر عجل الله تعالی فرجه الشریف با صدور این توقیع و اقدام حکیمانه، جلو این جریان خطرناک و انحرافی را نمی‌گرفت و با این هشدار شدید، اذهان شیعیان را در مورد خطر پیدایش چنین عناصر خودخواه و متظاهری در آینده متوجه نمی‌ساخت، تا حال جامعه شیعه با مصیبت‌های گمراه کننده و آفت‌های مهلکی مواجه شده بود و در تاریخ شیعه، بسیاری از مدعیان دروغین وساطت و داعیه‌داران معجزات و کرامات پدید آمده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نگرانی و موضع شدید حضرت در برابر پیدایش و رشد چنین جریانی در آینده، به دلیل آماده بودن زمینه‌های سوء‌برداشت و سوء‌استفاده از این مقوله است؛ به گونه‌ای که حتی با وجود صدور این توقیع و تدبیر حضرت در برحذر داشتن مردم و شیعیان از پذیرش و پیروی چنین مدعیان دروغین، بازهم جامعه شیعی به طور کامل از آسیب این جریان انحرافی در امان مانده و ظهور فرقه های گمراهی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توجه به حساسیت این موضوع، علمای شیعه همواره به کسانی که از سخن یا عملشان بوی بابیت به مشام برسد، بدبین بوده‌اند و از نزدیکی با این‌گونه افراد که پرچم ارتباط با امام زمان عجل الله تعالی فرجه الشریف را بلند کرده‌اند، پرهیز نموده‌اند، دیگران را نیز از دورگردی آنان برحذر داشته‌اند و حسن‌ظن به ادعاهای افراد مشکوک و ناشناس را نیز قبیح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احتیاط‌ها و سخت‌گیری‌ها نیز وجود این توقیع و حساسیت این موضوع بوده است؛ زیرا تشخیص افراد راست‌گو در مسئله ارتباط با حضرت از افراد دروغ‌گو و تمیز دادن تشرفات واقعی اشخاص بی‌ادعا و پاک‌فطرت از سوءنیت افراد فریب‌کار مقدس‌مآب و ریاکار،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افراد عادی که به آسانی به ردیابی حیله های شیطانی و مقاصد نامرئی و سوء آنان توانا نیستند و نمی‌توانند بافته های دروغین افراد مکار را از تشرفات واقعی و عنایات حضرت به بعضی اشخاص پاک‌طینت و صدوق تشخیص دهند، باید خیلی مواظب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اشاره کردیم، استنباط عدم امکان رؤیت حضرت بقیة‌الله تا زمان رسیدن به ظهور، به استناد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دانستن</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هیچ‌وجه تام نیست و چنین استنباطی از عدم‌توجه به دو مطلب اساسی در مورد توقیع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 فضای فکری جامعه بشری در عصر صدور توقیع درباره مشاهده حضرت و توجه به موضوع توقیع که می‌تواند فلسفه صدور توقیع شریف به شمار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متن‌شناسی و توجه به شواهد و قرینه‌های تعبیه شده در متن توقیع، که بهترین روش برای فهم درست توقیع و روشن شدن مفاد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مع‌الأسف، به هیچ‌کدام از این دو مطلب در استدلال و استنباط منکران ارتباط، به خوبی عنایت نشده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توضیحات ارائه شده، بررسی متنی و دقت و غور کافی در کلمات توقیع و ارتباط بخش‌های آن، ما را به این نتیجه می‌رساند که توقیع، از تکذیب مدعیان وساطت و ارتباط خاص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تعابیر ذیل آن، ظهور به معنای اصطلاحی و قیام نهایی حضرت است، نه ظهور به معنای لغوی و مطلق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المشاهده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قرینه الف ولام و توصیف مدعی با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داعیه داران وساطت وارتباط</w:t>
      </w:r>
    </w:p>
    <w:p>
      <w:pPr>
        <w:pStyle w:val="BookText"/>
        <w:rPr/>
      </w:pPr>
      <w:r>
        <w:rPr>
          <w:rFonts w:ascii="IRNazanin" w:hAnsi="IRNazanin" w:eastAsia="IRNazanin"/>
          <w:color w:val="111111"/>
          <w:sz w:val="28"/>
          <w:sz w:val="28"/>
          <w:szCs w:val="28"/>
          <w:rtl w:val="true"/>
          <w:lang w:bidi="fa-IR"/>
        </w:rPr>
        <w:t>خاص است؛ نظیر آن‌چه درباره نواب اربعه مطرح بوده، با این ویژگی که ارتباط به صورت دو جانبه بوده و تصمیم سفیر حضرت نیز در تحقق و انجام دیدار خصوصی با ایشان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این توقیع چنین ادعایی که تماس با حضرت را برای خود دست‌رس پذیر وانمود کند و میان خود و ایشان نقش و جایگاهی قائل شود، تکذیب می‌گردد و در عصر غیبت کبرا این باب بسته اعلام گردیده، نه هر نوع رؤیت و امکان تشرفی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برآیند مفاد توقیع چنین خواهد بود که ممنوع بودن ادعای مشاهده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دو صفت دروغ و افترا هم، بیان‌گر جنس و فصل این ادعا بوده و مشخص می‌کند که منظور از توقیع، ادعای مشاهده و ارتباط، با این دو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شأن نزول این توقیع که به صورت تکذیبیه مطرح شده، تکذیب مدعیان دروغین و جلوگیری از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افراد سودجو و فرصت‌طلبی است که شاید در آینده با دست‌آویز قرار دادن این مسئله، آن را وسیله رسیدن به اغراض مادی و شهرت‌طلبی خود قرار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تکذیبیه، هرگز کسانی را دربر نمی‌گیرد که بنا به اقتضای مصالح خاصی، آن هم صرفاً با تصمیم</w:t>
      </w:r>
    </w:p>
    <w:p>
      <w:pPr>
        <w:pStyle w:val="BookText"/>
        <w:rPr/>
      </w:pPr>
      <w:r>
        <w:rPr>
          <w:rFonts w:ascii="IRNazanin" w:hAnsi="IRNazanin" w:eastAsia="IRNazanin"/>
          <w:color w:val="111111"/>
          <w:sz w:val="28"/>
          <w:sz w:val="28"/>
          <w:szCs w:val="28"/>
          <w:rtl w:val="true"/>
          <w:lang w:bidi="fa-IR"/>
        </w:rPr>
        <w:t>یک‌جانبه حضرت اذن تشرف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طور اتفاقی یا بر اثر توجه و توسل به آن حضرت، در بعضی موارد به فیض ملاقات برسد، نه تنها در نقل آن دروغ‌گو نیست و جواز تکذیب آن از این توقیع به دست نمی‌آید، بلکه به فیض و سعادتی بزرگی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کسانی که این توفیق الهی نصیب آنان شده است، نوعاً به دلیل دوری از شائبه ریا و شهرت، از نقل آن سر باز می‌زنند یا فقط آن را نزد اشخاصی که محرم راز باشند، به ودیعه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این کتمان و محافظت نیز ترس از تخطئه کسانی باشد که به طور افراطی و غیرمنطقی، هر نوع سخنی را در این زمینه، با حربه انکار و تکذیب دروغ می پندارند و طرد و نفی می‌کنند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راه اعتدال و نگاه منصفانه در این باره تفکیک میان تشرفات معتبر و ادعاهای بی‌اساس و کذب است و باید معیارهای صحیح را در پذیرش یا رد چنین قولی به کار بست؛ دقیقاً همان روشی که فقها همواره در مورد نقل احادیث و روایات به کار می‌برند و در قبول و رد خبر، ملاک و ضوابط</w:t>
      </w:r>
      <w:bookmarkStart w:id="74" w:name="pg3125_40488"/>
    </w:p>
    <w:p>
      <w:pPr>
        <w:pStyle w:val="BookText"/>
        <w:rPr/>
      </w:pPr>
      <w:bookmarkEnd w:id="74"/>
      <w:r>
        <w:rPr>
          <w:rFonts w:ascii="IRNazanin" w:hAnsi="IRNazanin" w:eastAsia="IRNazanin"/>
          <w:color w:val="111111"/>
          <w:sz w:val="28"/>
          <w:sz w:val="28"/>
          <w:szCs w:val="28"/>
          <w:rtl w:val="true"/>
          <w:lang w:bidi="fa-IR"/>
        </w:rPr>
        <w:t>خاصی نظیر وثاقت راوی، درستی مذهب او، اتصال سند روایت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ارتباط و نقل تشرفات نیز باید با چنین روشی پالایش شود و اخبار موثق و تشرفات معتبر، از ادعاهای بی‌اساس جداسازی شود و قضاوت در این مورد نباید یک‌کاسه و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در پاسخ به استدلال دیدگاه عدم امکان ارتباط به توقیع بیان شد، به محور سوم یعنی تحلیل دلالی و متنی مربوط بود که به تفصیل از آن بحث کردیم</w:t>
      </w:r>
      <w:r>
        <w:rPr>
          <w:rFonts w:eastAsia="IRNazanin" w:cs="IRNazanin"/>
          <w:color w:val="111111"/>
          <w:sz w:val="28"/>
          <w:szCs w:val="28"/>
          <w:rtl w:val="true"/>
          <w:lang w:bidi="fa-IR"/>
        </w:rPr>
        <w:t>.</w:t>
      </w:r>
    </w:p>
    <w:p>
      <w:pPr>
        <w:pStyle w:val="Heading4"/>
        <w:numPr>
          <w:ilvl w:val="3"/>
          <w:numId w:val="1"/>
        </w:numPr>
        <w:rPr/>
      </w:pPr>
      <w:bookmarkStart w:id="75" w:name="__RefHeading___Toc1200366_2749589250"/>
      <w:bookmarkStart w:id="76" w:name="_Toc27"/>
      <w:bookmarkEnd w:id="75"/>
      <w:r>
        <w:rPr/>
        <w:t>5</w:t>
      </w:r>
      <w:r>
        <w:rPr>
          <w:rtl w:val="true"/>
        </w:rPr>
        <w:t xml:space="preserve">. </w:t>
      </w:r>
      <w:r>
        <w:rPr>
          <w:rtl w:val="true"/>
        </w:rPr>
        <w:t>تعارض توقیع با نقل تشرفات</w:t>
      </w:r>
      <w:bookmarkEnd w:id="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چهارم بحث توقیع، تعارض آن با اخبار تشرفات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 به توقیع را ـ بر فرض پذیرش دلالت آن بر نفی رؤیت، با مشکل جدّی مواجه کرده، اخبار متواتر افراد ثقه و نقل تشرفات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تشرفات غالباً از سوی کسانی نقل شده که بسیاری از آنان جزء فقها و شخصیت‌های علمی و مذهبی شیعه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حکایات و اخبار نیز چنان فراوان است که از تواتر درمی‌گذرد و به تعبیر بعضی از اهل تحقیق در این زمینه، تعداد آن بیش از حد شمارش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الحکایات والآثار بلغت فی الکثرة حدّاً یمتنع</w:t>
      </w:r>
    </w:p>
    <w:p>
      <w:pPr>
        <w:pStyle w:val="BookText"/>
        <w:rPr/>
      </w:pPr>
      <w:r>
        <w:rPr>
          <w:rFonts w:ascii="IRNazanin" w:hAnsi="IRNazanin" w:eastAsia="IRNazanin"/>
          <w:color w:val="111111"/>
          <w:sz w:val="28"/>
          <w:sz w:val="28"/>
          <w:szCs w:val="28"/>
          <w:rtl w:val="true"/>
          <w:lang w:bidi="fa-IR"/>
        </w:rPr>
        <w:t>إحصائها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بدیهی است که تبانی بر کذب در این حکایات، ناممکن و نامعقول بوده و کثرت اخبار و نیز وثاقت راویان آن، موجب اطمینان به وقوع این تشرفات و حکایات معتبر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امر استنباط دیدگاه دوم از توقیع را به شدت زیر سؤال برده و بی‌اعتبار می‌کند؛ زیرا پذیرش تشرفات در تعارض با دیدگاه آنان بوده و به معنای نفی و تخطئه برداشت ایشان از توقیع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طرفداران دیدگاه دوم، برای برون‌رفت از این بن‌بست و تعارضی که با آن مواجهند، هیچ راهی جز تعدیل دیدگاه و استنباط خود از این توقیع و پذیرش توجیه دلالی آن ندارند؛ زیرا در مقام جست‌وجوی راه‌حل تعارض و جمع میان توقیع و نقل‌های صادق ـ به مقتضای‌قاعده تعادل و تراجیح مبنی بر ضرورت موازنه و سبک و سنگین کردن دو طرف ـ چاره‌ای جز توجیه مفهومی و دلالی توقیع ندارند؛ زیرا توقیع بر فرض درستی سند، ارزش خبر واحد را دارد و مفید ظن است و در مقام تعارض، چنین خبر واحد ظن آوری نمی‌تواند با اخبار متواتر و یقین‌آور مقابله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ظهور ظنی توقیع به‌گونه‌ای باید معنا و تفسیر شود که با این اخبار و حکایات صادق اشخاص ثقه سازگار باشد؛ زیرا برداشت نفی مطلق عملاً نقض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در جایی که از گفته تعداد بسیاری از افراد ثقه، یقین به تحقق مشاهده یا دست‌کم اطمینان به آن به دست می‌آید، خود را به تکذیب و انکار ملاقات ملزم ساخت و خبر واحد ظن‌آور را بر فرض پذیرش سند، بر اخبار متواتر علم‌آور تحمیل کرد و از یقین و اطمینان دست برداشت، بلکه باید بر فرض تعارض و درستی سند، مفاد خبر واحد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ما تصورمان را به این موضوع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دست‌کم نباید توقیع را با نگرش ذهنی صرف معنا کنیم، بلکه باید به نقش این حکایت‌های معتبر که نمونه‌های عینی مسئله هستند، در فهم منظور و معنای توقیع توجه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دیدگاه اول، در مقام پاسخ حلی و جمع دلالی توقیع با اخبار تشرفات، وجوه متعددی را ذکر</w:t>
      </w:r>
    </w:p>
    <w:p>
      <w:pPr>
        <w:pStyle w:val="BookText"/>
        <w:rPr/>
      </w:pPr>
      <w:r>
        <w:rPr>
          <w:rFonts w:ascii="IRNazanin" w:hAnsi="IRNazanin" w:eastAsia="IRNazanin"/>
          <w:color w:val="111111"/>
          <w:sz w:val="28"/>
          <w:sz w:val="28"/>
          <w:szCs w:val="28"/>
          <w:rtl w:val="true"/>
          <w:lang w:bidi="fa-IR"/>
        </w:rPr>
        <w:t>کرده‌اند که در این محور، مهم‌ترین این وجوه را ذکر می‌کنیم و به بررسی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وجه اول، توقیع ناظر به مشاهده همراه با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این وجه را چنین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که باید مدعی آن را تکذیب کرد، مشاهده‌ای است که مدعی بگوید من در هنگام مشاهده و ملاقات دانستم که آن شخص امام زمان و حجت بن الحسن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 در قصص و حکایات کسانی که در غیبت کبرا شرف‌یاب حضور مبارکش شده یا می‌شوند، غیر از این است و آنها در حین مشاهده آن جناب او را نمی‌شناسند که سهل است، بلکه حتی در مخیله شان نیز خطور و خلجان نمی‌نماید که این آقا، امام عصر عجل الله تعالی فرجه الشریف باشد و بالمره در آن حال، غافلند و بعد از انقضای ملاقات به واسطه بعضی قراین، یقین حاصل می‌کنند که او امام عصر عجل الله تعالی فرجه الشریف بوده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وجه گرچه به خودی خود صحیح است؛ یعنی ممکن است تشرف یافتگان چنین حالت غفلتی در مورد شناخت حضرت داشته باشند، از دو جهت مخدوش به نظر می‌رسد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این توجیه فقط در مواردی جاری</w:t>
      </w:r>
    </w:p>
    <w:p>
      <w:pPr>
        <w:pStyle w:val="BookText"/>
        <w:rPr/>
      </w:pPr>
      <w:r>
        <w:rPr>
          <w:rFonts w:ascii="IRNazanin" w:hAnsi="IRNazanin" w:eastAsia="IRNazanin"/>
          <w:color w:val="111111"/>
          <w:sz w:val="28"/>
          <w:sz w:val="28"/>
          <w:szCs w:val="28"/>
          <w:rtl w:val="true"/>
          <w:lang w:bidi="fa-IR"/>
        </w:rPr>
        <w:t>می‌شود که در حال تشرف، شناخت به دست نیاید؛ چنان‌که بیشتر نقل تشرفات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هر چند نادر که تشرف همراه با شناخت باشد، این وجه صادق نیست؛ در حالی که توقیع محل نزاع، مطلق تشرفات را اشاره کرده است؛ چه با شناخت همراه باشد و چه نباشد، پس مدعا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این وجه اصل امکان تشرف پیش‌فرض، گرفته شده، در حالی که آن‌چه در مورد توقیع ادعا شده، دلالت توقیع بر نفی اصل امکان ملاقات است که بر اساس آن چنین چیزی موضوعاً منتفی خواهد بود، نه این‌که بحث از نحوه تشرف، موضوع نزاع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وجه دوم، توقیع ناظر به نفی مشاهده مکان و محل استقرار حضرت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وجه برخاسته از روایت نقل شده در الغیبه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در مورد وضعیت امام زمان عجل الله تعالی فرجه الشریف در عصر غیبت دوم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لایطَّلع علی موضعه أحد من ولی و لاغیره؛</w:t>
      </w:r>
      <w:r>
        <w:rPr>
          <w:rStyle w:val="FootnoteAnchor"/>
          <w:rtl w:val="true"/>
        </w:rPr>
        <w:footnoteReference w:id="1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دوم، به خلاف غیبت اول، هیچ کس از دوستان و خواص شیعه نیز از محل استقرار حضرت و</w:t>
      </w:r>
    </w:p>
    <w:p>
      <w:pPr>
        <w:pStyle w:val="BookText"/>
        <w:rPr/>
      </w:pPr>
      <w:r>
        <w:rPr>
          <w:rFonts w:ascii="IRNazanin" w:hAnsi="IRNazanin" w:eastAsia="IRNazanin"/>
          <w:color w:val="111111"/>
          <w:sz w:val="28"/>
          <w:sz w:val="28"/>
          <w:szCs w:val="28"/>
          <w:rtl w:val="true"/>
          <w:lang w:bidi="fa-IR"/>
        </w:rPr>
        <w:t>مکان او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توجیه، منافاتی ندارد که حضرت در اماکن و مقامات دیگری مشاهده شود و توقیع، آن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از جهاتی پذیرفتنی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مطلق است و به مکان خاص اختصاص ندارد و اطلاق آن، دیدن و مشاهده در هر مکانی را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مذکور از امام صادق علیه السلام نیز استثنایی آمده و در ذیل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الذی یلی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دست‌کم، آن فرد یا افرادی که خدمت گزار حضرتند، از مکان او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امام صادق علیه السلام در مقام بیان یکی از ویژگی‌های شرایط عصر غیبت کبراست و نمی‌تواند مفاد توقیع را مشخص کند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نیز همان نفی دیدار در مکان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وجه سوم، توقیع ناظر به نفی مشاهده با تصمیم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توقیع شریف ادعای دیگران را بر دیدار و مشاهده حضرت به گونه‌ای تکذیب می‌کند که تصمیم دیگران نیز در انجام و وقوع این تشرف و دیدار نقش 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را مرحوم علی‌اکبر نهاوندی مطرح کرده و</w:t>
      </w:r>
    </w:p>
    <w:p>
      <w:pPr>
        <w:pStyle w:val="BookText"/>
        <w:rPr/>
      </w:pPr>
      <w:r>
        <w:rPr>
          <w:rFonts w:ascii="IRNazanin" w:hAnsi="IRNazanin" w:eastAsia="IRNazanin"/>
          <w:color w:val="111111"/>
          <w:sz w:val="28"/>
          <w:sz w:val="28"/>
          <w:szCs w:val="28"/>
          <w:rtl w:val="true"/>
          <w:lang w:bidi="fa-IR"/>
        </w:rPr>
        <w:t>آن را بهترین توجیه برای توقیع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تقریر این وجه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اوجه وجوه آن است که گفته شود توقیع و اخبار دیگری که با آن‌مضمونند، به ظاهر خود باقی باشد، و منافات ندارد با آن‌چه متحقق‌الوقوع در نزد امامیه است از امکان و صحت تشرف در غیبت کبرا به خدمت آن حضرت که آن مقتدای عالمیان، مصلحت دانسته باشد به مصالح عامه و یا مصالح خاصه که خود را بر کسی ظاهر سازد و یا شخصی را در نزد خود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میان آن‌که مکلفین مدعی رؤیت حضرت از ناحیه خود باشد و آن‌که خود حضرت مصلحت در آن بداند که شخصی را در حضور بپذیرد و اجازه ملاقات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مشاهده از ناحیه خود، گرچه مدعی آن کاذب و مفتری است، لکن تشرف به خدمت آن بزرگوار علی وجه‌المصلحه به اراده و طلب او، دلیلی قائم نشده است بر تکذیب و افترا بودن آن، بلکه خلاف آن ثابت و محقق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با ظاهر و اطلاق توقیع چندان هم‌آهنگ نیست؛ چون اطلاق توقیع شامل مشاهده به هر دو شکل می‌شود، ولی با این حال با توجه به مؤیدات و قرینه‌های داخلی موجود در متن توقیع، یکی از</w:t>
      </w:r>
    </w:p>
    <w:p>
      <w:pPr>
        <w:pStyle w:val="BookText"/>
        <w:rPr/>
      </w:pPr>
      <w:r>
        <w:rPr>
          <w:rFonts w:ascii="IRNazanin" w:hAnsi="IRNazanin" w:eastAsia="IRNazanin"/>
          <w:color w:val="111111"/>
          <w:sz w:val="28"/>
          <w:sz w:val="28"/>
          <w:szCs w:val="28"/>
          <w:rtl w:val="true"/>
          <w:lang w:bidi="fa-IR"/>
        </w:rPr>
        <w:t>محمل‌های صحیح برای توقیع می‌تواند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وجه چهارم، توقیع ناظر به نفی و تکذیب ادعای سفارت و بابیت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نخستین کسانی به شمار می‌رود که این وجه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بحارالأنوار</w:t>
      </w:r>
      <w:r>
        <w:rPr>
          <w:rStyle w:val="FootnoteAnchor"/>
          <w:rtl w:val="true"/>
        </w:rPr>
        <w:footnoteReference w:id="124"/>
      </w:r>
      <w:r>
        <w:rPr>
          <w:rFonts w:ascii="IRNazanin" w:hAnsi="IRNazanin" w:eastAsia="IRNazanin"/>
          <w:color w:val="111111"/>
          <w:sz w:val="28"/>
          <w:sz w:val="28"/>
          <w:szCs w:val="28"/>
          <w:rtl w:val="true"/>
          <w:lang w:bidi="fa-IR"/>
        </w:rPr>
        <w:t>برای رفع تنافی میان توقیع و اخبار کثیر تشرفات، یادآور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منظور از توقیع، تکذیب کسانی باشد که مدعی نیابت و نمایندگی حضرت هستند؛ چون سیاق توقیع دلالت دارد که ادعای مشاهده، ناظر به ادعای رؤیت و پیام‌رسانی از جانب حضرت به شیعیان است؛ نظیر نقش وساطت و آن‌چه در عصر غیبت صغرا در مورد نواب خاص حضرت مطرح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معروف‌ترین نظر در میان علمای بعد از مجلسی رحمة الله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منتخب الاثر نیز ضمن نقل این وجه آن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الوجه قریب جدّاً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بسیاری از اهل تحقیق و نویسندگان معاصر نیز که در این زمینه تألیفاتی دارند، این وجه را پذیرفته‌اند و با توجه به‌نحوه دلالت توقیع، تکذیب مشاهده را بر تکذیب ادعای رؤیت همراه با ادعای وکالت و بابیت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سیمای آفتاب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پاسخ به تناسب حکم و موضوع و با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منظور از تکذیب، صرف دیدار و ملاقات نیست، بلکه دیداری است همراه با ادعای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صدور توقیع نیز در چنین شرایطی که بحث از ختم نیابت مطرح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اگر کسی ادعای رؤیت و مشاهده داشته باشد، معلوم است که منظورش، مشاهده‌ای خالی از نیابت نیست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نویسنده تاریخ الغیبة الصغری،</w:t>
      </w:r>
      <w:r>
        <w:rPr>
          <w:rStyle w:val="FootnoteAnchor"/>
          <w:rtl w:val="true"/>
        </w:rPr>
        <w:footnoteReference w:id="127"/>
      </w:r>
      <w:r>
        <w:rPr>
          <w:rFonts w:ascii="IRNazanin" w:hAnsi="IRNazanin" w:eastAsia="IRNazanin"/>
          <w:color w:val="111111"/>
          <w:sz w:val="28"/>
          <w:sz w:val="28"/>
          <w:szCs w:val="28"/>
          <w:rtl w:val="true"/>
          <w:lang w:bidi="fa-IR"/>
        </w:rPr>
        <w:t>صاحب مکیال المکارم</w:t>
      </w:r>
      <w:r>
        <w:rPr>
          <w:rStyle w:val="FootnoteAnchor"/>
          <w:rtl w:val="true"/>
        </w:rPr>
        <w:footnoteReference w:id="128"/>
      </w:r>
      <w:r>
        <w:rPr>
          <w:rFonts w:ascii="IRNazanin" w:hAnsi="IRNazanin" w:eastAsia="IRNazanin"/>
          <w:color w:val="111111"/>
          <w:sz w:val="28"/>
          <w:sz w:val="28"/>
          <w:szCs w:val="28"/>
          <w:rtl w:val="true"/>
          <w:lang w:bidi="fa-IR"/>
        </w:rPr>
        <w:t>و میرزا محسن آل عصفور در کتاب ظاهرة الغیبة و دعوی السفاره</w:t>
      </w:r>
      <w:r>
        <w:rPr>
          <w:rStyle w:val="FootnoteAnchor"/>
          <w:rtl w:val="true"/>
        </w:rPr>
        <w:footnoteReference w:id="129"/>
      </w:r>
      <w:r>
        <w:rPr>
          <w:rFonts w:ascii="IRNazanin" w:hAnsi="IRNazanin" w:eastAsia="IRNazanin"/>
          <w:color w:val="111111"/>
          <w:sz w:val="28"/>
          <w:sz w:val="28"/>
          <w:szCs w:val="28"/>
          <w:rtl w:val="true"/>
          <w:lang w:bidi="fa-IR"/>
        </w:rPr>
        <w:t>، از دیگر کسانی اند که به روشنی این وجه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صدر گرچه این وجه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توقیع را حمل بر مطلق دعوت‌های انحرافی متکی بر ادعای مشاهده دروغین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قول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زودی از شیعیان من کسانی که ادعای مشاهده می‌کنند، ظهور</w:t>
      </w:r>
    </w:p>
    <w:p>
      <w:pPr>
        <w:pStyle w:val="BookText"/>
        <w:rPr/>
      </w:pPr>
      <w:r>
        <w:rPr>
          <w:rFonts w:ascii="IRNazanin" w:hAnsi="IRNazanin" w:eastAsia="IRNazanin"/>
          <w:color w:val="111111"/>
          <w:sz w:val="28"/>
          <w:sz w:val="28"/>
          <w:szCs w:val="28"/>
          <w:rtl w:val="true"/>
          <w:lang w:bidi="fa-IR"/>
        </w:rPr>
        <w:t>خواهند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مراد از این کلام، حدوث و بروز دعوت‌های انحرافی و حرکت‌های ناپسند به پشتوانه ادعای مشاهده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مدعی مشاهده زمانی دروغ می‌گوید که سخنش انحرافی باشد و امور باطلی را از امام مهدی عجل الله تعالی فرجه الشریف نقل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حالی که اولاً تقدیر گرفتن در این جا قرینه دارد؛ زیرا سیاق توقیع و بخش‌های قبل در مورد ختم نیابت است که خود می‌تواند قرینه این تقدیر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بازگشت سخن ایشان نیز به همان ادعای بابیت، سفارت و نمایندگی است که در وجه چهارم، مجلسی و دیگران بیان کرده‌اند؛ زیرا نقل امور باطل از امام مهدی عجل الله تعالی فرجه الشریف و دعوت‌های انحرافی به استناد ادعای مشاهده، چیزی جز همان ادعای نمایندگی و نیابت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گرچه ایشان بر اساس ظاهر وجه جدیدی را مطرح کرده، در حقیقت‌کلامش با بیان دیگران در وجه چهارم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را نیز از معتقدان به این وجه می‌توان به شمار آورد؛ چون دعوت‌های انحرافی بر اساس ادعای مشاهده، همان ادعای پیام رسانی و وکالت بوده و همه این مسائل، اختلاف در تعبیر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مکیال المکارم، در تحلیل دلالت توقیع،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وقعت الغیبة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تعلیل بخش قبل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لاتوص إلی أحد تقوم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دلالت این توقیع را قطع بودن وکالت و نیابت خاصه در غیبت کبرا یاد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هم چنین او در مورد دلالت بخش آخر توقیع،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شیعتی من یدعی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قرینه اول سخن، ناظر به ادعای مشاهده مخصوص بسان مشاهده سفرای چهارگانه در زمان غیبت صغرا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تأکید می‌کند که منظور از مشاهده، آن نوع است که به عنوان بابیت و نیابت مقید باشد، به همان صورت که در مورد نایبان خاص حضرت مطرح بوده، نه مطلق مشاهده</w:t>
      </w:r>
      <w:r>
        <w:rPr>
          <w:rFonts w:eastAsia="IRNazanin" w:cs="IRNazanin"/>
          <w:color w:val="111111"/>
          <w:sz w:val="28"/>
          <w:szCs w:val="28"/>
          <w:rtl w:val="true"/>
          <w:lang w:bidi="fa-IR"/>
        </w:rPr>
        <w:t>.</w:t>
      </w:r>
      <w:r>
        <w:rPr>
          <w:rStyle w:val="FootnoteAnchor"/>
          <w:rtl w:val="true"/>
        </w:rPr>
        <w:footnoteReference w:id="13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با توجه به قراین و مؤیدات داخلی و سیاق توقیع، یکی از محمل‌های صحیح و پذیرفتنی می‌تواند تلقی شود؛ به ویژه اگر دایره آن را وسیع‌تر از ادعای خصوص نیابت و سفارت که بار معنایی خاصی دارد در نظر بگیریم، و شامل مطلق ادعاهای دروغین از ناحیه امام زمان عجل الله تعالی فرجه الشریف و نسبت‌های کذب به آن حضرت بدانیم؛ نظیر آن‌چه سیدمحمد صدر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وجه می‌تواند در توجیه تعارض میان توقیع و نقل تشرفات، مورد توجه قرار گیرد؛ چنان‌که در میان علمای شیعه نیز بیشترین پیروان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مطرح شده دیگر نیز وجود دارد که بعضی توقیع را بر اوایل غیبت کبرا حمل می‌کنند که خطر دستگاه عباسی وجود داشت، نه زمان فعلی؛</w:t>
      </w:r>
      <w:r>
        <w:rPr>
          <w:rStyle w:val="FootnoteAnchor"/>
          <w:rtl w:val="true"/>
        </w:rPr>
        <w:footnoteReference w:id="133"/>
      </w:r>
      <w:r>
        <w:rPr>
          <w:rFonts w:ascii="IRNazanin" w:hAnsi="IRNazanin" w:eastAsia="IRNazanin"/>
          <w:color w:val="111111"/>
          <w:sz w:val="28"/>
          <w:sz w:val="28"/>
          <w:szCs w:val="28"/>
          <w:rtl w:val="true"/>
          <w:lang w:bidi="fa-IR"/>
        </w:rPr>
        <w:t xml:space="preserve">بعضی دیگر توقیع را بر تکذیب ادعای ظهور حمل کرده‌اند و منظور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ادعای ظهور دانسته 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ولی با توجه به این‌که این وجوه با ظاهر توقیع سازگار نیست و قرینه و دلیلی بر آن نداریم، از نقل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مناسب‌ترین وجه که شواهد و قرینه‌های سیاقی و متنی توقیع نیز آن را تأیید می‌کند، حمل توقیع بر تکذیب ادعای مشاهده اختیاری و نیز ادعای مأموریت از ناحیه حضرت است؛ یعنی ترکیبی میان وجه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قرینه‌های داخلی دال بر این ترکیب، اصل موضوع توقیع عبارت است از اعلام پایان غیبت صغرا و جریان سفارت و نیابت خاصه که تا آن زمان به طور سازمانی مخفی فعال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نیابت خاصه و سفیران چهارگانه دو ویژگی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امکان تصمیم‌گیری و تماس با حضرت و دیگر انجام مأموریت و نقل سخن و پیام حضرت به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که سند پایان این دوره است، ادعای مشاهده با این دو ویژگی را از آن به بعد نفی و تکذیب می‌کند؛ زیرا چنین ادعایی با ختم دوران نیابت خاصه در تضاد است، اما مشاهده و تشرف عادی‌که با این دو ویژگی همراه نباشد، هرگز تضاد و تعارضی با مفاد توقیع ندارد تا مشمول تکذیب آن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منکر موضوع ملاقات هستند، یادآوری این نکته مهم است که نباید در قضاوت در مورد این موضوع، با انگیزه جلوگیری از سوءاستفاده افراد مغرض و فرصت‌طلب، به کلی راه ارتباط با حضرت حجة بن الحسن عجل الله تعالی فرجه الشریف، امام و صاحب زمان و جهان را بسته اعلام کنیم و مطلقاً نقل تشرفات را دروغ بدانیم و در این مورد فتوای تکذیب هر نوع سخنی را صادر کنیم؛ زیرا چنین روی‌کردی، افزون بر این‌که هیچ گونه مستند پذیرفتنی و دلیل موجّهی ندارد، آثار منفی مخرب و زیان‌باری نیز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مطلب در جامعه میان شیعیان و کسانی که هستی خود را در گرو عشق به آن حضرت می‌دانند، عواطف و احساسات ناب آنان را به حضرت کاهش می‌دهد؛ زیرا بازتاب طبیعی چنین نگرشی در جامعه، این ذهنیت را در میان مردم دامن می‌زند و تقویت می‌کند که آنان</w:t>
      </w:r>
    </w:p>
    <w:p>
      <w:pPr>
        <w:pStyle w:val="BookText"/>
        <w:rPr/>
      </w:pPr>
      <w:r>
        <w:rPr>
          <w:rFonts w:ascii="IRNazanin" w:hAnsi="IRNazanin" w:eastAsia="IRNazanin"/>
          <w:color w:val="111111"/>
          <w:sz w:val="28"/>
          <w:sz w:val="28"/>
          <w:szCs w:val="28"/>
          <w:rtl w:val="true"/>
          <w:lang w:bidi="fa-IR"/>
        </w:rPr>
        <w:t>حضرت را در شرایط غیبت، تافته‌ای جدا بافته و موجودی قدسی و بی ارتباط با امور زندگی‌شان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باور و پنداری در نوع نگاه آنان به نقش حضرت ولی‌عصر عجل الله تعالی فرجه الشریف در زمان غیبت و میزان توجه و توسل آنان به آن حضرت، تأثیرهای منفی عمیقی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علما بر این عقیده‌اند که با توجه به تواتر اجمالی اخبار افراد ثقه و مورد اعتماد، راه ارتباط و ملاقات با حضرت ولی‌عصر عجل الله تعالی فرجه الشریف در زمان غیبت کبرا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ویژگی‌های این مسئله و شرایط و کم و کیف حصول تشرفات، در میان معتقدان به ملاقات اختلافی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هشدار و توجه به دو نکته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اختلاف در چند و چون مسئله و اظهار نظرها در این مورد، زمینه بروز برخی از کج‌اندیشی‌ها در میان این گروه شده است؛ به گونه‌ای که گاه به طور بی‌ضابطه، اقدام به داستان‌سرایی کرده و به نقل و جمع آوری قصه‌ها و حکایات بی‌ربط و باربطی پرداخته‌اند و در نوشته‌های خود، راه‌های مختلف دیدار و دست‌رس به حضرت را به مخاطبان پیشنهاد می‌کنند و نسخه‌های بدون دلیل برای آنان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کم و کیف این مسئله برای ما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دلیل اسرار و حکمت‌هایی که در موارد صدور</w:t>
      </w:r>
    </w:p>
    <w:p>
      <w:pPr>
        <w:pStyle w:val="BookText"/>
        <w:rPr/>
      </w:pPr>
      <w:r>
        <w:rPr>
          <w:rFonts w:ascii="IRNazanin" w:hAnsi="IRNazanin" w:eastAsia="IRNazanin"/>
          <w:color w:val="111111"/>
          <w:sz w:val="28"/>
          <w:sz w:val="28"/>
          <w:szCs w:val="28"/>
          <w:rtl w:val="true"/>
          <w:lang w:bidi="fa-IR"/>
        </w:rPr>
        <w:t>اذن تشرف وجود دارد، از چند و چون آن به‌خوبی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برای حصول تشرف، قاعده و فرمول بتراشیم؛ زیرا دیدار حضرت در زمان غیبت، دل‌بخواهی و قاعده‌مند نیست، بلکه اذن تشرف تنها در اختیار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اوست که به طور یک‌جانبه، فقط در مواردی که از طرف خداوند متعال مأذون باشد و مصلحت خاصی در کار بداند، چنین اذنی را برای بعضی در موارد خاص صادر می‌کند، آن هم نه در هرجا و نه برای هرکس؛</w:t>
      </w:r>
    </w:p>
    <w:p>
      <w:pPr>
        <w:pStyle w:val="BookText"/>
        <w:rPr/>
      </w:pPr>
      <w:r>
        <w:rPr>
          <w:rFonts w:ascii="IRNazanin" w:hAnsi="IRNazanin" w:eastAsia="IRNazanin"/>
          <w:color w:val="111111"/>
          <w:sz w:val="28"/>
          <w:sz w:val="28"/>
          <w:szCs w:val="28"/>
          <w:rtl w:val="true"/>
          <w:lang w:bidi="fa-IR"/>
        </w:rPr>
        <w:t>آن‌چه موجب رونق نقلیات و حکایات نویسی، به ویژه در این اواخر شده، توجه نکردن به این نکته و سطحی انگاری و سلیقه‌ای برخورد کردن بعضی با این موضوع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نوشته‌ها به قدری پوچ و بی‌اساس می‌نماید که با اندک تأملی، دور از واقعیت بودنشان از دور هویدا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شیوع بی‌رویه چنین نقلیات مضحکی که گاه فقط به درد شب‌نشینی می‌خورد و از شأن حضرت به دور است، موجب وهن مکتب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چنین کتاب‌هایی به دلیل جذبه حکایی‌شان، علاقه‌مندان و مخاطبان بیشتری نیز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بحث تشرفات توجه به آن ضرورت دارد، اصل عدم رؤیت و ملاقات و غیبت</w:t>
      </w:r>
    </w:p>
    <w:p>
      <w:pPr>
        <w:pStyle w:val="BookText"/>
        <w:rPr/>
      </w:pPr>
      <w:r>
        <w:rPr>
          <w:rFonts w:ascii="IRNazanin" w:hAnsi="IRNazanin" w:eastAsia="IRNazanin"/>
          <w:color w:val="111111"/>
          <w:sz w:val="28"/>
          <w:sz w:val="28"/>
          <w:szCs w:val="28"/>
          <w:rtl w:val="true"/>
          <w:lang w:bidi="fa-IR"/>
        </w:rPr>
        <w:t>حضرت در زمان فعلی و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این اصل نیاز به دلیل و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ادعای هرکسی نباید اعتنا کرد، چه رسد به قبول؛ مگر این‌که نقل‌کننده آن کاملاً ثقه و مورد اعتماد باشد و شواهد و قراین یقین آوری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نقلی بسیار اندک است؛ زیرا کسانی که سری در کار دارند، نوعاً آن را بازگو نمی‌کنند تا درصدد اثبات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امکان ارتباط با حضرت وجود دارد و ممکن است اذن تشرف برای افراد نادری در موارد خاصی داده شود، زیرا تعداد بسیاری در طول دوران غیبت چنین فیضی نصیبشان شده، اما باید توجه داشت که هر سخنی پذیرفتنی نیست و در این مورد، از نظر اثباتی باید فراوان سخت‌گیر و محتاط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اگر با چنین نگاهی به این مسئله بپردازیم و همه جوانب آن را درقضاوتمان لحاظ کنیم، مطمئناً از خطر سوءبرداشت و افراط و تفریط در این موضوع به دور خواهیم ماند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احسائی رئیس فرقه شیخیه، بدن مثالی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هورقلیایی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راه حل توجیه معاد جسمانی معراج جسمانی، پیامبر اکرم صلی الله علیه و آله و سلم و حیات فعلی امام زمان عجل الله تعالی فرجه الشریف پنداشته و هر سه مورد را از یک مقوله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الاسلامیه،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الاسلامیه، 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انتشارات مکتبة الصدوق، تهران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علامه مجلسی،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انتشارات مؤسسة الوفاء،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شیخ طوسی،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مؤسسة المعارف الاسلامیه،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معنای عام آن است که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می‌شود، نه معنای خاص آن که دلیل بر اثبات نبوت به کار برده می‌شود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بحرالعلوم، علامه حلی و مقدس اردبیلی از جمله کسانی هستند که حکایاتی از تشرف آنان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در کتاب جنةالمأوی و نجم الثاقب، علامه مجلسی در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مرحوم عراقی در دارالسلام، مرحوم نهاوندی در عبقری الحسان و دیگران این گونه حکایات را گردآوری کرده‌اند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قطب‌الدین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انتشارات مؤسسه امام مهدی عجل الله تعالی فرجه الشریف،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شیخ طوسی، الغیبه،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شیخ طوسی، الغیبه،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نعمانی،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نعمانی، الغیبه،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انتشارات مؤسسه السیدة المعصومه، قم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ابوطالب تجلیل تبریزی، من هو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نشر اسلامی، قم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صدر، تاریخ الغیبه الصغری،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دارالتعاریف للمطبوعات، بیروت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شیخ‌عباس قمی، مفاتیح‌الجنان، ترجمه موسوی دامغانی،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فیض کاشانی، بی‌جا،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شیخ‌عباس قمی، مفاتیح‌الجنان، ترجمه موسوی دامغانی،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حضور،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میر مهر،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دوازدهم،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انتشارات دفتر تبلیغات اسلامی حوزه علمیه قم،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موضوع تشرفات را در کتاب‌های خود نقل کرده‌اند مثل مرحوم مجلسی در بحارالأنوار، مرحوم نوری در نجم‌الثاقب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صحت تحقق تشرفات در دوران غیبت اذعان نموده‌اند و نیز کسانی که به بررسی این مسئله پرداخته‌اند، به دلیل کثرت و موثق بودن ناقلان، اصل تحقق تشرفات در دوران غیبت را پذیرفته‌اند ـ چنان‌که خواهد آمد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صحیفة المهدی عجل الله تعالی فرجه الشریف، نوشته شیخ جواد قیومی، چاپ جامعه مدرسین،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دعاها و کلمات حضرت گردآوری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تاریخچه تأسیس مسجد مقدس جمکران و تشرف حسن بن مثله جمکرانی، به فصل‌نامه انتظار،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مقاله علی اکبر مهدی پور و کتاب میر مهر نوشته پورسیدآقایی، مراجعه کنید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آن‌چه در قضیه تشرف حاج علی بغدادی 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میر مهر،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نهم کتاب صحیفه مهدیه، هشت نوع استخاره منسوب به حضرت نقل شده است، هم چنین در تشرف آیت‌الله مرعشی نجفی نیز نحوه استخاره با تسبیح از حضرت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تشرف آیت‌الله مرعشی برای ذکر رکوع این دعا از حضرت سفارش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 محمّد و ترحَّم علی عجزنا و أغثنا بحقهم برحمتک یا ارحم الراحمین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مجتهدی، صحیفه مهدیه، ترجمه محمدحسین رحیمیان،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دارالثقلین،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بوستان کتاب،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شمسی؛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انتشارات خیام،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انتشارات دارالذخائر،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خیام، 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انتشارات حیدریه، 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نشر اسلامی،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تحقیق و نشر مؤسسه آل‌البیت لإحیاء التراث، بی‌تا، بی‌جا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ترجمه سیدمهدی حائری،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ترجمه سیدمهدی حائری،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الغیبه الصغری،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الغیبه الصغری،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امامت و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پرسش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ده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حضرت معصومه،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انتشارات شهید، قم، بی‌تا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 پانزدهم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سال دوازدهم،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یادآوری است که این شماره، به صورت ویژه‌نامه به مناسبت پانزدهم شعبان سال‌روز تولد حضرت ولی‌عصر عجل الله تعالی فرجه الشریف در یک جلد منتشر شده است و به لحاظ اهمیت مباحث آن و استقبال خوانندگان مجله، تجدید چاپ گردید و انتشارات دفترتبلیغات اسلامی با تغییر عنوان آن به نام چشم به راه مهدی عجل الله تعالی فرجه الشریف به صورت کتابی مستقل بارها آن را منتشر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سال دوازدهم،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سال دوازدهم،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دوزدوزانی، تحقیق لطیف حول توقیع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بی‌جا،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دوزدوزانی، تحقیق لطیف حول توقیع الشریف،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دوزدوزانی، تحقیق لطیف حول توقیع الشریف،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سیمای آفتاب،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زائر آستان،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لطیف،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مسجد مقدس جمکران،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 سوم،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سنگی، نشر کتاب‌فروشی دبستانی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ایراد ارسال سند، از سوی محدث نوری و دیگران، برای تصحیح سند توقیع تلاش وسیعی کرده تا هویت شخص دوم را به خوبی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تتبع و سعی فراوانی که ایشان در این قسمت از خود مایه گذاشته، فرد دوم از مشایخ شیخ صدوق است که بارها از او اخذ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وی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 حسین بن ابراهیم بن احمد بن هشام المکتب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نسخه های متعدد منابع قدیم، در نام وی اختلاف دیده می‌شود؛ گاهی او را حسن و زمانی حسین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کنیه و ترتیب ذکر نسب وی تقدم و تأخر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راوی در همه این نقل‌ها و منابع یکی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الغیبه الصغرا،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ابومحمد، در سند، نفر دوم است، ولی در این‌جا ترتیب سند مورد نظر 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ادعاهای الوهیت فرقه بهایی و بابی، مطالعه کتاب کشف الحیل نوشته حاج شیخ تفتی معروف به آواره، به قلم میرزا عبدالحسین خان آیینی که پرده از چهره تزویر این فرقه ضاله برداشته، مفید به نظر می‌رسد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نحوه پیدایش، افکار، عقاید و وضعیت فعلی این گروه‌های انحرافی، به مقالات آقای عزالدین رضانژاد در فصل‌نامه انتظار،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روی‌کرد افراطی، فریاد بعضی از نویسندگان را بلند کرده که دردمندانه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به حال امتی که به عده‌ای از اخیار، فقط به خاطر این‌که به محضر امام زمانش تشرف داشته‌اند، تهمت دروغ و فریب می‌زنند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علی‌پور، کرامات حضرت ولی عصر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تصحیح مسجد مقدس جمکران،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آیت‌الله صافی نیز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همه حکایات و وقایع مشهور و متواتر را نمی‌توان با این توقیع، خدشه دار نمود و برحسب سند نیز ترجیح با این حکایات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ده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 تصرفی در نقل عبارت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 سوم،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20342</Words>
  <Characters>81412</Characters>
  <CharactersWithSpaces>101153</CharactersWithSpaces>
  <Paragraphs>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2026-08-17T20:55:41Z</dcterms:created>
  <dc:creator>ghaemiyeh.com</dc:creator>
  <dc:description/>
  <dc:language>en-US</dc:language>
  <cp:lastModifiedBy/>
  <dcterms:modified xsi:type="dcterms:W3CDTF">2026-08-18T00:25:44Z</dcterms:modified>
  <cp:revision>1</cp:revision>
  <dc:subject/>
  <dc:title>ارتباط و ملاقات</dc:title>
</cp:coreProperties>
</file>

<file path=docProps/custom.xml><?xml version="1.0" encoding="utf-8"?>
<Properties xmlns="http://schemas.openxmlformats.org/officeDocument/2006/custom-properties" xmlns:vt="http://schemas.openxmlformats.org/officeDocument/2006/docPropsVTypes"/>
</file>